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insoku/>
        <w:wordWrap w:val="0"/>
        <w:overflowPunct/>
        <w:topLinePunct w:val="0"/>
        <w:bidi w:val="0"/>
        <w:adjustRightInd/>
        <w:spacing w:line="360" w:lineRule="auto"/>
        <w:jc w:val="center"/>
        <w:rPr>
          <w:rFonts w:hint="eastAsia" w:ascii="隶书" w:hAnsi="隶书" w:eastAsia="隶书" w:cs="隶书"/>
          <w:b/>
          <w:bCs/>
          <w:color w:val="auto"/>
          <w:sz w:val="56"/>
          <w:szCs w:val="56"/>
          <w:highlight w:val="none"/>
          <w:lang w:eastAsia="zh-CN"/>
        </w:rPr>
      </w:pPr>
      <w:r>
        <w:rPr>
          <w:rFonts w:hint="eastAsia" w:ascii="隶书" w:hAnsi="隶书" w:eastAsia="隶书" w:cs="隶书"/>
          <w:b/>
          <w:bCs/>
          <w:color w:val="auto"/>
          <w:sz w:val="56"/>
          <w:szCs w:val="56"/>
          <w:highlight w:val="none"/>
          <w:lang w:eastAsia="zh-CN"/>
        </w:rPr>
        <w:t>绍兴市殡仪馆</w:t>
      </w:r>
    </w:p>
    <w:p>
      <w:pPr>
        <w:kinsoku/>
        <w:wordWrap w:val="0"/>
        <w:overflowPunct/>
        <w:topLinePunct w:val="0"/>
        <w:bidi w:val="0"/>
        <w:adjustRightInd/>
        <w:spacing w:line="360" w:lineRule="auto"/>
        <w:jc w:val="center"/>
        <w:rPr>
          <w:rFonts w:hint="eastAsia" w:ascii="隶书" w:hAnsi="隶书" w:eastAsia="隶书" w:cs="隶书"/>
          <w:b/>
          <w:bCs/>
          <w:color w:val="auto"/>
          <w:sz w:val="56"/>
          <w:szCs w:val="56"/>
          <w:highlight w:val="none"/>
          <w:lang w:eastAsia="zh-CN"/>
        </w:rPr>
      </w:pPr>
      <w:r>
        <w:rPr>
          <w:rFonts w:hint="eastAsia" w:ascii="隶书" w:hAnsi="隶书" w:eastAsia="隶书" w:cs="隶书"/>
          <w:b/>
          <w:bCs/>
          <w:color w:val="auto"/>
          <w:sz w:val="56"/>
          <w:szCs w:val="56"/>
          <w:highlight w:val="none"/>
          <w:lang w:eastAsia="zh-CN"/>
        </w:rPr>
        <w:t>物业管理服务项目</w:t>
      </w:r>
    </w:p>
    <w:p>
      <w:pPr>
        <w:kinsoku/>
        <w:wordWrap w:val="0"/>
        <w:overflowPunct/>
        <w:topLinePunct w:val="0"/>
        <w:bidi w:val="0"/>
        <w:jc w:val="center"/>
        <w:outlineLvl w:val="0"/>
        <w:rPr>
          <w:rFonts w:hint="eastAsia" w:ascii="隶书" w:hAnsi="隶书" w:eastAsia="隶书" w:cs="隶书"/>
          <w:b/>
          <w:color w:val="auto"/>
          <w:sz w:val="72"/>
          <w:szCs w:val="72"/>
          <w:highlight w:val="none"/>
        </w:rPr>
      </w:pP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公</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开</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招</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标</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文</w:t>
      </w:r>
    </w:p>
    <w:p>
      <w:pPr>
        <w:kinsoku/>
        <w:wordWrap w:val="0"/>
        <w:overflowPunct/>
        <w:topLinePunct w:val="0"/>
        <w:bidi w:val="0"/>
        <w:jc w:val="center"/>
        <w:outlineLvl w:val="0"/>
        <w:rPr>
          <w:rFonts w:hint="eastAsia" w:ascii="隶书" w:hAnsi="隶书" w:eastAsia="隶书" w:cs="隶书"/>
          <w:color w:val="auto"/>
          <w:sz w:val="44"/>
          <w:highlight w:val="none"/>
        </w:rPr>
      </w:pPr>
      <w:r>
        <w:rPr>
          <w:rFonts w:hint="eastAsia" w:ascii="隶书" w:hAnsi="隶书" w:eastAsia="隶书" w:cs="隶书"/>
          <w:b/>
          <w:color w:val="auto"/>
          <w:sz w:val="72"/>
          <w:szCs w:val="72"/>
          <w:highlight w:val="none"/>
        </w:rPr>
        <w:t>件</w:t>
      </w:r>
    </w:p>
    <w:p>
      <w:pPr>
        <w:kinsoku/>
        <w:wordWrap w:val="0"/>
        <w:overflowPunct/>
        <w:topLinePunct w:val="0"/>
        <w:bidi w:val="0"/>
        <w:adjustRightInd/>
        <w:spacing w:line="360" w:lineRule="auto"/>
        <w:jc w:val="center"/>
        <w:rPr>
          <w:rFonts w:hint="eastAsia" w:ascii="隶书" w:hAnsi="隶书" w:eastAsia="隶书" w:cs="隶书"/>
          <w:b/>
          <w:color w:val="auto"/>
          <w:sz w:val="44"/>
          <w:szCs w:val="44"/>
          <w:highlight w:val="none"/>
        </w:rPr>
      </w:pPr>
      <w:r>
        <w:rPr>
          <w:rFonts w:hint="eastAsia" w:ascii="隶书" w:hAnsi="隶书" w:eastAsia="隶书" w:cs="隶书"/>
          <w:b/>
          <w:color w:val="auto"/>
          <w:sz w:val="44"/>
          <w:szCs w:val="44"/>
          <w:highlight w:val="none"/>
        </w:rPr>
        <w:t>（电子招投标）</w:t>
      </w:r>
    </w:p>
    <w:p>
      <w:pPr>
        <w:pStyle w:val="5"/>
        <w:kinsoku/>
        <w:wordWrap w:val="0"/>
        <w:overflowPunct/>
        <w:topLinePunct w:val="0"/>
        <w:bidi w:val="0"/>
        <w:rPr>
          <w:rFonts w:hint="eastAsia" w:ascii="隶书" w:hAnsi="隶书" w:eastAsia="隶书" w:cs="隶书"/>
          <w:b/>
          <w:color w:val="auto"/>
          <w:sz w:val="44"/>
          <w:szCs w:val="44"/>
          <w:highlight w:val="none"/>
        </w:rPr>
      </w:pPr>
    </w:p>
    <w:p>
      <w:pPr>
        <w:kinsoku/>
        <w:wordWrap w:val="0"/>
        <w:overflowPunct/>
        <w:topLinePunct w:val="0"/>
        <w:bidi w:val="0"/>
        <w:rPr>
          <w:rFonts w:hint="eastAsia"/>
          <w:color w:val="auto"/>
          <w:highlight w:val="none"/>
        </w:rPr>
      </w:pPr>
    </w:p>
    <w:p>
      <w:pPr>
        <w:kinsoku/>
        <w:wordWrap w:val="0"/>
        <w:overflowPunct/>
        <w:topLinePunct w:val="0"/>
        <w:bidi w:val="0"/>
        <w:jc w:val="center"/>
        <w:rPr>
          <w:rFonts w:hint="eastAsia" w:ascii="隶书" w:hAnsi="隶书" w:eastAsia="隶书" w:cs="隶书"/>
          <w:b w:val="0"/>
          <w:bCs/>
          <w:color w:val="auto"/>
          <w:sz w:val="28"/>
          <w:szCs w:val="28"/>
          <w:highlight w:val="none"/>
          <w:lang w:eastAsia="zh-CN"/>
        </w:rPr>
      </w:pPr>
      <w:r>
        <w:rPr>
          <w:rFonts w:hint="eastAsia" w:ascii="隶书" w:hAnsi="隶书" w:eastAsia="隶书" w:cs="隶书"/>
          <w:b/>
          <w:color w:val="auto"/>
          <w:sz w:val="44"/>
          <w:szCs w:val="44"/>
          <w:highlight w:val="none"/>
        </w:rPr>
        <w:t xml:space="preserve"> </w:t>
      </w:r>
      <w:r>
        <w:rPr>
          <w:rFonts w:hint="eastAsia" w:ascii="隶书" w:hAnsi="隶书" w:eastAsia="隶书" w:cs="隶书"/>
          <w:b w:val="0"/>
          <w:bCs/>
          <w:color w:val="auto"/>
          <w:sz w:val="28"/>
          <w:szCs w:val="28"/>
          <w:highlight w:val="none"/>
          <w:lang w:eastAsia="zh-CN"/>
        </w:rPr>
        <w:t>招标编号:</w:t>
      </w:r>
      <w:r>
        <w:rPr>
          <w:rFonts w:hint="eastAsia" w:ascii="隶书" w:hAnsi="隶书" w:eastAsia="隶书" w:cs="隶书"/>
          <w:b/>
          <w:bCs w:val="0"/>
          <w:color w:val="auto"/>
          <w:sz w:val="28"/>
          <w:szCs w:val="28"/>
          <w:highlight w:val="none"/>
          <w:lang w:eastAsia="zh-CN"/>
        </w:rPr>
        <w:t>2025-02-0024</w:t>
      </w:r>
    </w:p>
    <w:tbl>
      <w:tblPr>
        <w:tblStyle w:val="64"/>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隶书" w:eastAsia="隶书" w:cs="隶书"/>
                <w:color w:val="auto"/>
                <w:spacing w:val="93"/>
                <w:kern w:val="0"/>
                <w:sz w:val="28"/>
                <w:szCs w:val="28"/>
                <w:highlight w:val="none"/>
              </w:rPr>
              <w:t>采购单</w:t>
            </w:r>
            <w:r>
              <w:rPr>
                <w:rFonts w:hint="eastAsia" w:ascii="隶书" w:hAnsi="隶书" w:eastAsia="隶书" w:cs="隶书"/>
                <w:color w:val="auto"/>
                <w:spacing w:val="1"/>
                <w:kern w:val="0"/>
                <w:sz w:val="28"/>
                <w:szCs w:val="28"/>
                <w:highlight w:val="none"/>
              </w:rPr>
              <w:t>位</w:t>
            </w:r>
            <w:r>
              <w:rPr>
                <w:rFonts w:hint="eastAsia" w:ascii="隶书" w:hAnsi="隶书" w:eastAsia="隶书" w:cs="隶书"/>
                <w:color w:val="auto"/>
                <w:sz w:val="28"/>
                <w:szCs w:val="28"/>
                <w:highlight w:val="none"/>
              </w:rPr>
              <w:t>：</w:t>
            </w:r>
          </w:p>
        </w:tc>
        <w:tc>
          <w:tcPr>
            <w:tcW w:w="5445" w:type="dxa"/>
            <w:vAlign w:val="center"/>
          </w:tcPr>
          <w:p>
            <w:pPr>
              <w:kinsoku/>
              <w:wordWrap w:val="0"/>
              <w:overflowPunct/>
              <w:topLinePunct w:val="0"/>
              <w:bidi w:val="0"/>
              <w:spacing w:line="320" w:lineRule="exact"/>
              <w:outlineLvl w:val="0"/>
              <w:rPr>
                <w:rFonts w:hint="eastAsia" w:ascii="隶书" w:hAnsi="隶书" w:eastAsia="隶书" w:cs="隶书"/>
                <w:color w:val="auto"/>
                <w:sz w:val="28"/>
                <w:szCs w:val="28"/>
                <w:highlight w:val="none"/>
                <w:lang w:eastAsia="zh-CN"/>
              </w:rPr>
            </w:pPr>
            <w:r>
              <w:rPr>
                <w:rFonts w:hint="eastAsia" w:ascii="隶书" w:hAnsi="隶书" w:eastAsia="隶书" w:cs="隶书"/>
                <w:color w:val="auto"/>
                <w:sz w:val="28"/>
                <w:szCs w:val="28"/>
                <w:highlight w:val="none"/>
                <w:lang w:eastAsia="zh-CN"/>
              </w:rPr>
              <w:t>绍兴市殡仪馆</w:t>
            </w:r>
          </w:p>
        </w:tc>
      </w:tr>
      <w:tr>
        <w:tblPrEx>
          <w:tblCellMar>
            <w:top w:w="0" w:type="dxa"/>
            <w:left w:w="108" w:type="dxa"/>
            <w:bottom w:w="0" w:type="dxa"/>
            <w:right w:w="108" w:type="dxa"/>
          </w:tblCellMar>
        </w:tblPrEx>
        <w:trPr>
          <w:trHeight w:val="494" w:hRule="atLeast"/>
          <w:jc w:val="center"/>
        </w:trPr>
        <w:tc>
          <w:tcPr>
            <w:tcW w:w="2356" w:type="dxa"/>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隶书" w:eastAsia="隶书" w:cs="隶书"/>
                <w:color w:val="auto"/>
                <w:spacing w:val="0"/>
                <w:w w:val="100"/>
                <w:kern w:val="0"/>
                <w:sz w:val="28"/>
                <w:szCs w:val="28"/>
                <w:highlight w:val="none"/>
                <w:fitText w:val="1680" w:id="1811156363"/>
              </w:rPr>
              <w:t>采购代理机构</w:t>
            </w:r>
            <w:r>
              <w:rPr>
                <w:rFonts w:hint="eastAsia" w:ascii="隶书" w:hAnsi="隶书" w:eastAsia="隶书" w:cs="隶书"/>
                <w:color w:val="auto"/>
                <w:sz w:val="28"/>
                <w:szCs w:val="28"/>
                <w:highlight w:val="none"/>
              </w:rPr>
              <w:t>：</w:t>
            </w:r>
          </w:p>
        </w:tc>
        <w:tc>
          <w:tcPr>
            <w:tcW w:w="5445" w:type="dxa"/>
            <w:vAlign w:val="top"/>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宋体" w:eastAsia="隶书"/>
                <w:color w:val="auto"/>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隶书" w:eastAsia="隶书" w:cs="隶书"/>
                <w:color w:val="auto"/>
                <w:spacing w:val="93"/>
                <w:kern w:val="0"/>
                <w:sz w:val="28"/>
                <w:szCs w:val="28"/>
                <w:highlight w:val="none"/>
                <w:fitText w:val="1680" w:id="652623389"/>
              </w:rPr>
              <w:t>监督单</w:t>
            </w:r>
            <w:r>
              <w:rPr>
                <w:rFonts w:hint="eastAsia" w:ascii="隶书" w:hAnsi="隶书" w:eastAsia="隶书" w:cs="隶书"/>
                <w:color w:val="auto"/>
                <w:spacing w:val="1"/>
                <w:kern w:val="0"/>
                <w:sz w:val="28"/>
                <w:szCs w:val="28"/>
                <w:highlight w:val="none"/>
                <w:fitText w:val="1680" w:id="652623389"/>
              </w:rPr>
              <w:t>位</w:t>
            </w:r>
            <w:r>
              <w:rPr>
                <w:rFonts w:hint="eastAsia" w:ascii="隶书" w:hAnsi="隶书" w:eastAsia="隶书" w:cs="隶书"/>
                <w:color w:val="auto"/>
                <w:sz w:val="28"/>
                <w:szCs w:val="28"/>
                <w:highlight w:val="none"/>
              </w:rPr>
              <w:t>：</w:t>
            </w:r>
          </w:p>
        </w:tc>
        <w:tc>
          <w:tcPr>
            <w:tcW w:w="5445" w:type="dxa"/>
            <w:vAlign w:val="top"/>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宋体" w:eastAsia="隶书"/>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vAlign w:val="center"/>
          </w:tcPr>
          <w:p>
            <w:pPr>
              <w:kinsoku/>
              <w:wordWrap w:val="0"/>
              <w:overflowPunct/>
              <w:topLinePunct w:val="0"/>
              <w:bidi w:val="0"/>
              <w:spacing w:after="100" w:afterAutospacing="1" w:line="440" w:lineRule="exact"/>
              <w:rPr>
                <w:rFonts w:hint="eastAsia" w:ascii="隶书" w:hAnsi="隶书" w:eastAsia="隶书" w:cs="隶书"/>
                <w:color w:val="auto"/>
                <w:spacing w:val="1400"/>
                <w:kern w:val="0"/>
                <w:sz w:val="28"/>
                <w:szCs w:val="28"/>
                <w:highlight w:val="none"/>
                <w:fitText w:val="1680" w:id="1"/>
              </w:rPr>
            </w:pPr>
          </w:p>
        </w:tc>
        <w:tc>
          <w:tcPr>
            <w:tcW w:w="5445" w:type="dxa"/>
            <w:vAlign w:val="top"/>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宋体" w:eastAsia="隶书"/>
                <w:color w:val="auto"/>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kinsoku/>
              <w:wordWrap w:val="0"/>
              <w:overflowPunct/>
              <w:topLinePunct w:val="0"/>
              <w:bidi w:val="0"/>
              <w:spacing w:after="100" w:afterAutospacing="1" w:line="440" w:lineRule="exact"/>
              <w:jc w:val="center"/>
              <w:rPr>
                <w:rFonts w:hint="eastAsia" w:ascii="隶书" w:hAnsi="隶书" w:eastAsia="隶书" w:cs="隶书"/>
                <w:color w:val="auto"/>
                <w:sz w:val="28"/>
                <w:szCs w:val="28"/>
                <w:highlight w:val="none"/>
              </w:rPr>
            </w:pPr>
            <w:r>
              <w:rPr>
                <w:rFonts w:hint="eastAsia" w:ascii="隶书" w:hAnsi="隶书" w:eastAsia="隶书" w:cs="隶书"/>
                <w:color w:val="auto"/>
                <w:sz w:val="28"/>
                <w:szCs w:val="28"/>
                <w:highlight w:val="none"/>
              </w:rPr>
              <w:t>二○二</w:t>
            </w:r>
            <w:r>
              <w:rPr>
                <w:rFonts w:hint="eastAsia" w:ascii="隶书" w:hAnsi="隶书" w:eastAsia="隶书" w:cs="隶书"/>
                <w:color w:val="auto"/>
                <w:sz w:val="28"/>
                <w:szCs w:val="28"/>
                <w:highlight w:val="none"/>
                <w:lang w:val="en-US" w:eastAsia="zh-CN"/>
              </w:rPr>
              <w:t>五</w:t>
            </w:r>
            <w:r>
              <w:rPr>
                <w:rFonts w:hint="eastAsia" w:ascii="隶书" w:hAnsi="隶书" w:eastAsia="隶书" w:cs="隶书"/>
                <w:color w:val="auto"/>
                <w:sz w:val="28"/>
                <w:szCs w:val="28"/>
                <w:highlight w:val="none"/>
              </w:rPr>
              <w:t>年</w:t>
            </w:r>
            <w:r>
              <w:rPr>
                <w:rFonts w:hint="eastAsia" w:ascii="隶书" w:hAnsi="隶书" w:eastAsia="隶书" w:cs="隶书"/>
                <w:color w:val="auto"/>
                <w:sz w:val="28"/>
                <w:szCs w:val="28"/>
                <w:highlight w:val="none"/>
                <w:lang w:val="en-US" w:eastAsia="zh-CN"/>
              </w:rPr>
              <w:t>二</w:t>
            </w:r>
            <w:r>
              <w:rPr>
                <w:rFonts w:hint="eastAsia" w:ascii="隶书" w:hAnsi="隶书" w:eastAsia="隶书" w:cs="隶书"/>
                <w:color w:val="auto"/>
                <w:sz w:val="28"/>
                <w:szCs w:val="28"/>
                <w:highlight w:val="none"/>
              </w:rPr>
              <w:t>月</w:t>
            </w:r>
          </w:p>
        </w:tc>
      </w:tr>
    </w:tbl>
    <w:p>
      <w:pPr>
        <w:pStyle w:val="635"/>
        <w:kinsoku/>
        <w:wordWrap w:val="0"/>
        <w:overflowPunct/>
        <w:topLinePunct w:val="0"/>
        <w:bidi w:val="0"/>
        <w:rPr>
          <w:rFonts w:hint="eastAsia" w:ascii="仿宋" w:hAnsi="仿宋" w:eastAsia="仿宋" w:cs="仿宋"/>
          <w:color w:val="auto"/>
          <w:highlight w:val="none"/>
        </w:rPr>
        <w:sectPr>
          <w:headerReference r:id="rId4" w:type="first"/>
          <w:headerReference r:id="rId3" w:type="default"/>
          <w:footerReference r:id="rId5" w:type="default"/>
          <w:footerReference r:id="rId6" w:type="even"/>
          <w:pgSz w:w="11906" w:h="16838"/>
          <w:pgMar w:top="1474" w:right="1814" w:bottom="1474" w:left="1814" w:header="851" w:footer="992" w:gutter="0"/>
          <w:pgNumType w:fmt="decimal" w:start="1"/>
          <w:cols w:space="720" w:num="1"/>
          <w:titlePg/>
          <w:docGrid w:linePitch="312" w:charSpace="0"/>
        </w:sectPr>
      </w:pPr>
    </w:p>
    <w:p>
      <w:pPr>
        <w:pStyle w:val="635"/>
        <w:pageBreakBefore w:val="0"/>
        <w:widowControl w:val="0"/>
        <w:kinsoku/>
        <w:wordWrap w:val="0"/>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rPr>
          <w:rFonts w:hint="eastAsia" w:ascii="仿宋" w:hAnsi="仿宋" w:eastAsia="仿宋" w:cs="仿宋"/>
          <w:color w:val="auto"/>
          <w:sz w:val="24"/>
          <w:highlight w:val="none"/>
        </w:rPr>
      </w:pPr>
    </w:p>
    <w:bookmarkEnd w:id="1"/>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headerReference r:id="rId8" w:type="first"/>
          <w:footerReference r:id="rId10" w:type="first"/>
          <w:headerReference r:id="rId7" w:type="default"/>
          <w:footerReference r:id="rId9" w:type="default"/>
          <w:pgSz w:w="11906" w:h="16838"/>
          <w:pgMar w:top="1474" w:right="1814" w:bottom="1474" w:left="1814" w:header="851" w:footer="992" w:gutter="0"/>
          <w:pgNumType w:fmt="decimal"/>
          <w:cols w:space="720" w:num="1"/>
          <w:titlePg/>
          <w:docGrid w:linePitch="312" w:charSpace="0"/>
        </w:sectPr>
      </w:pPr>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项目概况</w:t>
      </w:r>
      <w:r>
        <w:rPr>
          <w:rFonts w:hint="eastAsia" w:ascii="仿宋_GB2312" w:hAnsi="仿宋_GB2312" w:eastAsia="仿宋_GB2312" w:cs="仿宋_GB2312"/>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u w:val="single"/>
          <w:lang w:val="en-US" w:eastAsia="zh-CN"/>
        </w:rPr>
        <w:t xml:space="preserve"> 绍兴市殡仪馆物业管理服务项目  </w:t>
      </w:r>
      <w:r>
        <w:rPr>
          <w:rFonts w:hint="eastAsia" w:ascii="仿宋_GB2312" w:hAnsi="仿宋_GB2312" w:eastAsia="仿宋_GB2312" w:cs="仿宋_GB2312"/>
          <w:color w:val="auto"/>
          <w:sz w:val="24"/>
          <w:highlight w:val="none"/>
        </w:rPr>
        <w:t>招标项目的潜在投标人应在政采云平台（</w:t>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HYPERLINK "https://www.zcygov.cn/）获取（下载）招标文件，并于202%20年%20月%20日%20点%20分00秒" </w:instrText>
      </w:r>
      <w:r>
        <w:rPr>
          <w:rFonts w:hint="eastAsia" w:ascii="仿宋_GB2312" w:hAnsi="仿宋_GB2312" w:eastAsia="仿宋_GB2312" w:cs="仿宋_GB2312"/>
          <w:color w:val="auto"/>
          <w:highlight w:val="none"/>
        </w:rPr>
        <w:fldChar w:fldCharType="separate"/>
      </w:r>
      <w:r>
        <w:rPr>
          <w:rStyle w:val="78"/>
          <w:rFonts w:hint="eastAsia" w:ascii="仿宋_GB2312" w:hAnsi="仿宋_GB2312" w:eastAsia="仿宋_GB2312" w:cs="仿宋_GB2312"/>
          <w:snapToGrid/>
          <w:color w:val="auto"/>
          <w:kern w:val="2"/>
          <w:sz w:val="24"/>
          <w:szCs w:val="24"/>
          <w:highlight w:val="none"/>
        </w:rPr>
        <w:t>https://www.zcygov.cn/）获取（下载）招标文件，并于202</w:t>
      </w:r>
      <w:r>
        <w:rPr>
          <w:rStyle w:val="78"/>
          <w:rFonts w:hint="eastAsia" w:ascii="仿宋_GB2312" w:hAnsi="仿宋_GB2312" w:eastAsia="仿宋_GB2312" w:cs="仿宋_GB2312"/>
          <w:snapToGrid/>
          <w:color w:val="auto"/>
          <w:kern w:val="2"/>
          <w:sz w:val="24"/>
          <w:szCs w:val="24"/>
          <w:highlight w:val="none"/>
          <w:lang w:val="en-US" w:eastAsia="zh-CN"/>
        </w:rPr>
        <w:t>5</w:t>
      </w:r>
      <w:r>
        <w:rPr>
          <w:rStyle w:val="78"/>
          <w:rFonts w:hint="eastAsia" w:ascii="仿宋_GB2312" w:hAnsi="仿宋_GB2312" w:eastAsia="仿宋_GB2312" w:cs="仿宋_GB2312"/>
          <w:snapToGrid/>
          <w:color w:val="auto"/>
          <w:kern w:val="2"/>
          <w:sz w:val="24"/>
          <w:szCs w:val="24"/>
          <w:highlight w:val="none"/>
        </w:rPr>
        <w:t>年 月 日 点 分</w:t>
      </w:r>
      <w:r>
        <w:rPr>
          <w:rStyle w:val="78"/>
          <w:rFonts w:hint="eastAsia" w:ascii="仿宋_GB2312" w:hAnsi="仿宋_GB2312" w:eastAsia="仿宋_GB2312" w:cs="仿宋_GB2312"/>
          <w:bCs/>
          <w:snapToGrid/>
          <w:color w:val="auto"/>
          <w:kern w:val="2"/>
          <w:sz w:val="24"/>
          <w:szCs w:val="24"/>
          <w:highlight w:val="none"/>
        </w:rPr>
        <w:t>00秒</w:t>
      </w:r>
      <w:r>
        <w:rPr>
          <w:rStyle w:val="78"/>
          <w:rFonts w:hint="eastAsia" w:ascii="仿宋_GB2312" w:hAnsi="仿宋_GB2312" w:eastAsia="仿宋_GB2312" w:cs="仿宋_GB2312"/>
          <w:bCs/>
          <w:snapToGrid/>
          <w:color w:val="auto"/>
          <w:kern w:val="2"/>
          <w:sz w:val="24"/>
          <w:szCs w:val="24"/>
          <w:highlight w:val="none"/>
        </w:rPr>
        <w:fldChar w:fldCharType="end"/>
      </w:r>
      <w:r>
        <w:rPr>
          <w:rFonts w:hint="eastAsia" w:ascii="仿宋_GB2312" w:hAnsi="仿宋_GB2312" w:eastAsia="仿宋_GB2312" w:cs="仿宋_GB2312"/>
          <w:bCs/>
          <w:color w:val="auto"/>
          <w:sz w:val="24"/>
          <w:highlight w:val="none"/>
        </w:rPr>
        <w:t>（北京时间）前</w:t>
      </w:r>
      <w:r>
        <w:rPr>
          <w:rFonts w:hint="eastAsia" w:ascii="仿宋_GB2312" w:hAnsi="仿宋_GB2312" w:eastAsia="仿宋_GB2312" w:cs="仿宋_GB2312"/>
          <w:color w:val="auto"/>
          <w:sz w:val="24"/>
          <w:highlight w:val="none"/>
        </w:rPr>
        <w:t>递交（上传）投标文件。</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val="0"/>
          <w:bCs/>
          <w:color w:val="auto"/>
          <w:sz w:val="24"/>
          <w:highlight w:val="none"/>
        </w:rPr>
        <w:t xml:space="preserve">一、项目基本情况  </w:t>
      </w:r>
      <w:r>
        <w:rPr>
          <w:rFonts w:hint="eastAsia" w:ascii="仿宋_GB2312" w:hAnsi="仿宋_GB2312" w:eastAsia="仿宋_GB2312" w:cs="仿宋_GB2312"/>
          <w:b/>
          <w:color w:val="auto"/>
          <w:sz w:val="24"/>
          <w:highlight w:val="none"/>
        </w:rPr>
        <w:t xml:space="preserve">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项目编号：</w:t>
      </w:r>
      <w:r>
        <w:rPr>
          <w:rFonts w:hint="eastAsia" w:ascii="仿宋_GB2312" w:hAnsi="仿宋_GB2312" w:eastAsia="仿宋_GB2312" w:cs="仿宋_GB2312"/>
          <w:color w:val="auto"/>
          <w:sz w:val="24"/>
          <w:highlight w:val="none"/>
          <w:lang w:eastAsia="zh-CN"/>
        </w:rPr>
        <w:t>2025-02-0024</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项目名称：</w:t>
      </w:r>
      <w:r>
        <w:rPr>
          <w:rFonts w:hint="eastAsia" w:ascii="仿宋_GB2312" w:hAnsi="仿宋_GB2312" w:eastAsia="仿宋_GB2312" w:cs="仿宋_GB2312"/>
          <w:bCs/>
          <w:color w:val="auto"/>
          <w:sz w:val="24"/>
          <w:highlight w:val="none"/>
          <w:lang w:eastAsia="zh-CN"/>
        </w:rPr>
        <w:t>绍兴市殡仪馆物业管理服务项目</w:t>
      </w:r>
      <w:r>
        <w:rPr>
          <w:rFonts w:hint="eastAsia" w:ascii="仿宋_GB2312" w:hAnsi="仿宋_GB2312" w:eastAsia="仿宋_GB2312" w:cs="仿宋_GB2312"/>
          <w:color w:val="auto"/>
          <w:sz w:val="24"/>
          <w:highlight w:val="none"/>
          <w:lang w:val="en-US" w:eastAsia="zh-CN"/>
        </w:rPr>
        <w:t xml:space="preserve">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预算金额（元）：</w:t>
      </w:r>
      <w:r>
        <w:rPr>
          <w:rFonts w:hint="eastAsia" w:ascii="仿宋_GB2312" w:hAnsi="仿宋_GB2312" w:eastAsia="仿宋_GB2312" w:cs="仿宋_GB2312"/>
          <w:b w:val="0"/>
          <w:bCs/>
          <w:color w:val="auto"/>
          <w:sz w:val="24"/>
          <w:highlight w:val="none"/>
          <w:lang w:val="en-US" w:eastAsia="zh-CN"/>
        </w:rPr>
        <w:t>1370000</w:t>
      </w:r>
      <w:r>
        <w:rPr>
          <w:rFonts w:hint="eastAsia" w:ascii="仿宋_GB2312" w:hAnsi="仿宋_GB2312" w:eastAsia="仿宋_GB2312" w:cs="仿宋_GB2312"/>
          <w:b/>
          <w:color w:val="auto"/>
          <w:sz w:val="24"/>
          <w:highlight w:val="none"/>
        </w:rPr>
        <w:t xml:space="preserve">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最高限价（元）：</w:t>
      </w:r>
      <w:r>
        <w:rPr>
          <w:rFonts w:hint="eastAsia" w:ascii="仿宋_GB2312" w:hAnsi="仿宋_GB2312" w:eastAsia="仿宋_GB2312" w:cs="仿宋_GB2312"/>
          <w:b w:val="0"/>
          <w:bCs/>
          <w:color w:val="auto"/>
          <w:sz w:val="24"/>
          <w:highlight w:val="none"/>
          <w:lang w:val="en-US" w:eastAsia="zh-CN"/>
        </w:rPr>
        <w:t>1370000</w:t>
      </w:r>
      <w:r>
        <w:rPr>
          <w:rFonts w:hint="eastAsia" w:ascii="仿宋_GB2312" w:hAnsi="仿宋_GB2312" w:eastAsia="仿宋_GB2312" w:cs="仿宋_GB2312"/>
          <w:b/>
          <w:color w:val="auto"/>
          <w:sz w:val="24"/>
          <w:highlight w:val="none"/>
        </w:rPr>
        <w:t xml:space="preserve">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采购需求：</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标项一：</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标项名称：</w:t>
      </w:r>
      <w:r>
        <w:rPr>
          <w:rFonts w:hint="eastAsia" w:ascii="仿宋_GB2312" w:hAnsi="仿宋_GB2312" w:eastAsia="仿宋_GB2312" w:cs="仿宋_GB2312"/>
          <w:bCs/>
          <w:color w:val="auto"/>
          <w:sz w:val="24"/>
          <w:highlight w:val="none"/>
          <w:lang w:eastAsia="zh-CN"/>
        </w:rPr>
        <w:t>物业管理服务项目</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数量：1</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eastAsia="zh-CN"/>
        </w:rPr>
      </w:pPr>
      <w:r>
        <w:rPr>
          <w:rFonts w:hint="eastAsia" w:ascii="仿宋_GB2312" w:hAnsi="仿宋_GB2312" w:eastAsia="仿宋_GB2312" w:cs="仿宋_GB2312"/>
          <w:bCs/>
          <w:color w:val="auto"/>
          <w:sz w:val="24"/>
          <w:highlight w:val="none"/>
          <w:lang w:val="en-US" w:eastAsia="zh-CN"/>
        </w:rPr>
        <w:t>预算金额：</w:t>
      </w:r>
      <w:r>
        <w:rPr>
          <w:rFonts w:hint="eastAsia" w:ascii="仿宋_GB2312" w:hAnsi="仿宋_GB2312" w:eastAsia="仿宋_GB2312" w:cs="仿宋_GB2312"/>
          <w:b w:val="0"/>
          <w:bCs/>
          <w:color w:val="auto"/>
          <w:sz w:val="24"/>
          <w:highlight w:val="none"/>
          <w:lang w:val="en-US" w:eastAsia="zh-CN"/>
        </w:rPr>
        <w:t>1370000</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Cs/>
          <w:color w:val="auto"/>
          <w:sz w:val="24"/>
          <w:highlight w:val="none"/>
        </w:rPr>
        <w:t>主要内容： 简要规格描述或项目基本概况介绍、用途，详见采购文件</w:t>
      </w:r>
      <w:r>
        <w:rPr>
          <w:rFonts w:hint="eastAsia" w:ascii="仿宋_GB2312" w:hAnsi="仿宋_GB2312" w:eastAsia="仿宋_GB2312" w:cs="仿宋_GB2312"/>
          <w:b w:val="0"/>
          <w:bCs/>
          <w:color w:val="auto"/>
          <w:sz w:val="24"/>
          <w:highlight w:val="none"/>
        </w:rPr>
        <w:t>。</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合同履行期限</w:t>
      </w:r>
      <w:r>
        <w:rPr>
          <w:rFonts w:hint="eastAsia" w:ascii="仿宋_GB2312" w:hAnsi="仿宋_GB2312" w:eastAsia="仿宋_GB2312" w:cs="仿宋_GB2312"/>
          <w:color w:val="auto"/>
          <w:sz w:val="24"/>
          <w:highlight w:val="none"/>
        </w:rPr>
        <w:t>：按双方合同约定条款执行。</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sz w:val="24"/>
          <w:highlight w:val="none"/>
        </w:rPr>
        <w:t>本项目接受联合体投标：</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b/>
          <w:color w:val="auto"/>
          <w:sz w:val="24"/>
          <w:highlight w:val="none"/>
        </w:rPr>
        <w:t>是，☐否。</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二、申请人的资格要求</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2.</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3.落实政府采购政策需满足的资格要求：</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sz w:val="24"/>
          <w:highlight w:val="none"/>
        </w:rPr>
        <w:t>无；</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专</w:t>
      </w:r>
      <w:r>
        <w:rPr>
          <w:rFonts w:hint="eastAsia" w:ascii="仿宋_GB2312" w:hAnsi="仿宋_GB2312" w:eastAsia="仿宋_GB2312" w:cs="仿宋_GB2312"/>
          <w:color w:val="auto"/>
          <w:sz w:val="24"/>
          <w:highlight w:val="none"/>
        </w:rPr>
        <w:t>门面向中小企业</w:t>
      </w:r>
    </w:p>
    <w:p>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sz w:val="24"/>
          <w:highlight w:val="none"/>
        </w:rPr>
        <w:t>服务全部由符合政策要求的中小企业承接，提供中小企业声明函；</w:t>
      </w:r>
    </w:p>
    <w:p>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szCs w:val="24"/>
          <w:highlight w:val="none"/>
          <w:lang w:val="en-US" w:eastAsia="zh-CN" w:bidi="ar-SA"/>
        </w:rPr>
        <w:t>☐</w:t>
      </w:r>
      <w:r>
        <w:rPr>
          <w:rFonts w:hint="eastAsia" w:ascii="仿宋_GB2312" w:hAnsi="仿宋_GB2312" w:eastAsia="仿宋_GB2312" w:cs="仿宋_GB2312"/>
          <w:color w:val="auto"/>
          <w:sz w:val="24"/>
          <w:highlight w:val="none"/>
        </w:rPr>
        <w:t>服务全部由符合政策要求的小微企业承接，提供中小企业声明函；</w:t>
      </w:r>
    </w:p>
    <w:p>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要求以联合体形式参加，提供联合协议和中小企业声明函，联合协议中中小企业合同金额应当达到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要求合同分包，提供分包意向协议和中小企业声明函，分包意向协议中中小企业合同金额应当达到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_GB2312" w:hAnsi="仿宋_GB2312" w:eastAsia="仿宋_GB2312" w:cs="仿宋_GB2312"/>
          <w:color w:val="auto"/>
          <w:sz w:val="24"/>
          <w:highlight w:val="none"/>
        </w:rPr>
        <w:t>；</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4.本项目的特定资格要求：</w:t>
      </w:r>
      <w:r>
        <w:rPr>
          <w:rFonts w:hint="eastAsia" w:ascii="仿宋_GB2312" w:hAnsi="仿宋_GB2312" w:eastAsia="仿宋_GB2312" w:cs="仿宋_GB2312"/>
          <w:color w:val="auto"/>
          <w:sz w:val="24"/>
          <w:highlight w:val="none"/>
          <w:lang w:eastAsia="zh-CN"/>
        </w:rPr>
        <w:t>无</w:t>
      </w:r>
      <w:r>
        <w:rPr>
          <w:rFonts w:hint="eastAsia" w:ascii="仿宋_GB2312" w:hAnsi="仿宋_GB2312" w:eastAsia="仿宋_GB2312" w:cs="仿宋_GB2312"/>
          <w:color w:val="auto"/>
          <w:sz w:val="24"/>
          <w:highlight w:val="none"/>
        </w:rPr>
        <w:t>；</w:t>
      </w:r>
    </w:p>
    <w:p>
      <w:pPr>
        <w:pageBreakBefore w:val="0"/>
        <w:widowControl w:val="0"/>
        <w:kinsoku/>
        <w:wordWrap w:val="0"/>
        <w:overflowPunct/>
        <w:topLinePunct w:val="0"/>
        <w:autoSpaceDE/>
        <w:autoSpaceDN/>
        <w:bidi w:val="0"/>
        <w:snapToGrid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三、获取招标文件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时间：</w:t>
      </w:r>
      <w:r>
        <w:rPr>
          <w:rFonts w:hint="eastAsia" w:ascii="仿宋_GB2312" w:hAnsi="仿宋_GB2312" w:eastAsia="仿宋_GB2312" w:cs="仿宋_GB2312"/>
          <w:color w:val="auto"/>
          <w:sz w:val="24"/>
          <w:highlight w:val="none"/>
        </w:rPr>
        <w:t>/至</w:t>
      </w:r>
      <w:r>
        <w:rPr>
          <w:rFonts w:hint="eastAsia" w:ascii="仿宋_GB2312" w:hAnsi="仿宋_GB2312" w:eastAsia="仿宋_GB2312" w:cs="仿宋_GB2312"/>
          <w:color w:val="auto"/>
          <w:sz w:val="24"/>
          <w:highlight w:val="none"/>
          <w:u w:val="single"/>
        </w:rPr>
        <w:t>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年 月 日</w:t>
      </w:r>
      <w:r>
        <w:rPr>
          <w:rFonts w:hint="eastAsia" w:ascii="仿宋_GB2312" w:hAnsi="仿宋_GB2312" w:eastAsia="仿宋_GB2312" w:cs="仿宋_GB2312"/>
          <w:color w:val="auto"/>
          <w:sz w:val="24"/>
          <w:highlight w:val="none"/>
        </w:rPr>
        <w:t>，每天上午00:00至12:00 ，下午12:00至23:59（北京时间，线上获取法定节假日均可，线下获取文件法定节假日除外）</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地点（网址）：</w:t>
      </w:r>
      <w:r>
        <w:rPr>
          <w:rFonts w:hint="eastAsia" w:ascii="仿宋_GB2312" w:hAnsi="仿宋_GB2312" w:eastAsia="仿宋_GB2312" w:cs="仿宋_GB2312"/>
          <w:color w:val="auto"/>
          <w:sz w:val="24"/>
          <w:highlight w:val="none"/>
        </w:rPr>
        <w:t xml:space="preserve">政采云平台（https://www.zcygov.cn/）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方式：</w:t>
      </w:r>
      <w:r>
        <w:rPr>
          <w:rFonts w:hint="eastAsia" w:ascii="仿宋_GB2312" w:hAnsi="仿宋_GB2312" w:eastAsia="仿宋_GB2312" w:cs="仿宋_GB2312"/>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售价（元）：</w:t>
      </w:r>
      <w:r>
        <w:rPr>
          <w:rFonts w:hint="eastAsia" w:ascii="仿宋_GB2312" w:hAnsi="仿宋_GB2312" w:eastAsia="仿宋_GB2312" w:cs="仿宋_GB2312"/>
          <w:color w:val="auto"/>
          <w:sz w:val="24"/>
          <w:highlight w:val="none"/>
        </w:rPr>
        <w:t xml:space="preserve">0 </w:t>
      </w:r>
      <w:r>
        <w:rPr>
          <w:rFonts w:hint="eastAsia" w:ascii="仿宋_GB2312" w:hAnsi="仿宋_GB2312" w:eastAsia="仿宋_GB2312" w:cs="仿宋_GB2312"/>
          <w:color w:val="auto"/>
          <w:sz w:val="24"/>
          <w:highlight w:val="none"/>
        </w:rPr>
        <w:tab/>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四、提交投标文件截止时间、开标时间和地点</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提交投标文件截止时间：</w:t>
      </w:r>
      <w:r>
        <w:rPr>
          <w:rFonts w:hint="eastAsia" w:ascii="仿宋_GB2312" w:hAnsi="仿宋_GB2312" w:eastAsia="仿宋_GB2312" w:cs="仿宋_GB2312"/>
          <w:color w:val="auto"/>
          <w:sz w:val="24"/>
          <w:highlight w:val="none"/>
          <w:u w:val="single"/>
        </w:rPr>
        <w:t xml:space="preserve"> 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年 月 日 点 分00秒</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（北京时间）</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投标地点（网址）：</w:t>
      </w:r>
      <w:r>
        <w:rPr>
          <w:rFonts w:hint="eastAsia" w:ascii="仿宋_GB2312" w:hAnsi="仿宋_GB2312" w:eastAsia="仿宋_GB2312" w:cs="仿宋_GB2312"/>
          <w:color w:val="auto"/>
          <w:sz w:val="24"/>
          <w:highlight w:val="none"/>
        </w:rPr>
        <w:t xml:space="preserve">政采云平台（https://www.zcygov.cn/）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Cs/>
          <w:color w:val="auto"/>
          <w:sz w:val="24"/>
          <w:highlight w:val="none"/>
          <w:u w:val="single"/>
        </w:rPr>
      </w:pPr>
      <w:r>
        <w:rPr>
          <w:rFonts w:hint="eastAsia" w:ascii="仿宋_GB2312" w:hAnsi="仿宋_GB2312" w:eastAsia="仿宋_GB2312" w:cs="仿宋_GB2312"/>
          <w:b/>
          <w:color w:val="auto"/>
          <w:sz w:val="24"/>
          <w:highlight w:val="none"/>
        </w:rPr>
        <w:t>开标时间：</w:t>
      </w:r>
      <w:r>
        <w:rPr>
          <w:rFonts w:hint="eastAsia" w:ascii="仿宋_GB2312" w:hAnsi="仿宋_GB2312" w:eastAsia="仿宋_GB2312" w:cs="仿宋_GB2312"/>
          <w:color w:val="auto"/>
          <w:sz w:val="24"/>
          <w:highlight w:val="none"/>
          <w:u w:val="single"/>
        </w:rPr>
        <w:t>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年 月 日 点 分00秒</w:t>
      </w:r>
      <w:r>
        <w:rPr>
          <w:rFonts w:hint="eastAsia" w:ascii="仿宋_GB2312" w:hAnsi="仿宋_GB2312" w:eastAsia="仿宋_GB2312" w:cs="仿宋_GB2312"/>
          <w:bCs/>
          <w:color w:val="auto"/>
          <w:sz w:val="24"/>
          <w:highlight w:val="none"/>
          <w:u w:val="single"/>
        </w:rPr>
        <w:t xml:space="preserve">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开标地点（网址）：</w:t>
      </w:r>
      <w:r>
        <w:rPr>
          <w:rFonts w:hint="eastAsia" w:ascii="仿宋_GB2312" w:hAnsi="仿宋_GB2312" w:eastAsia="仿宋_GB2312" w:cs="仿宋_GB2312"/>
          <w:color w:val="auto"/>
          <w:sz w:val="24"/>
          <w:highlight w:val="none"/>
        </w:rPr>
        <w:t>政采云平台（https://www.zcygov.cn/）</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五、公告期限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自本公告发布之日起5个工作日。</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六、其他补充事宜</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1.《浙江省财政厅关于进一步发挥政府采购政策功能全力推动经济稳进提质的通知》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3号）、《浙江省财政厅关于进一步促进政府采购公平竞争打造最优营商环境的通知》（浙财采监〔2021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22号））、《浙江省财政厅关于进一步加大政府采购支持中小企业力度助力扎实稳住经济的通知》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8号）已分别于2022年1月29日、2022年2月1日和2022年7月1日开始实施，此前有关规定与上述文件内容不一致的，按上述文件要求执行。</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2.根据《浙江省财政厅关于进一步促进政府采购公平竞争打造最优营商环境的通知》（浙财采监〔2021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_GB2312" w:hAnsi="仿宋_GB2312" w:eastAsia="仿宋_GB2312" w:cs="仿宋_GB2312"/>
          <w:color w:val="auto"/>
          <w:sz w:val="24"/>
          <w:highlight w:val="none"/>
          <w:lang w:eastAsia="zh-CN"/>
        </w:rPr>
        <w:t>政务</w:t>
      </w:r>
      <w:r>
        <w:rPr>
          <w:rFonts w:hint="eastAsia" w:ascii="仿宋_GB2312" w:hAnsi="仿宋_GB2312" w:eastAsia="仿宋_GB2312" w:cs="仿宋_GB2312"/>
          <w:color w:val="auto"/>
          <w:sz w:val="24"/>
          <w:highlight w:val="none"/>
        </w:rPr>
        <w:t>服务网-政府采购投诉处理-在线办理。</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七、对本次采购提出询问、质疑、投诉，请按以下方式联系</w:t>
      </w:r>
    </w:p>
    <w:p>
      <w:pPr>
        <w:pStyle w:val="5"/>
        <w:pageBreakBefore w:val="0"/>
        <w:widowControl w:val="0"/>
        <w:numPr>
          <w:ilvl w:val="0"/>
          <w:numId w:val="0"/>
        </w:numPr>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szCs w:val="24"/>
          <w:highlight w:val="none"/>
        </w:rPr>
      </w:pPr>
      <w:bookmarkStart w:id="5" w:name="_Toc28359096"/>
      <w:bookmarkStart w:id="6" w:name="_Toc35393637"/>
      <w:bookmarkStart w:id="7" w:name="_Toc28359019"/>
      <w:bookmarkStart w:id="8" w:name="_Toc35393806"/>
      <w:r>
        <w:rPr>
          <w:rFonts w:hint="eastAsia" w:ascii="仿宋_GB2312" w:hAnsi="仿宋_GB2312" w:eastAsia="仿宋_GB2312" w:cs="仿宋_GB2312"/>
          <w:color w:val="auto"/>
          <w:sz w:val="24"/>
          <w:szCs w:val="24"/>
          <w:highlight w:val="none"/>
        </w:rPr>
        <w:t>1.采购人信息</w:t>
      </w:r>
      <w:bookmarkEnd w:id="5"/>
      <w:bookmarkEnd w:id="6"/>
      <w:bookmarkEnd w:id="7"/>
      <w:bookmarkEnd w:id="8"/>
      <w:r>
        <w:rPr>
          <w:rFonts w:hint="eastAsia" w:ascii="仿宋_GB2312" w:hAnsi="仿宋_GB2312" w:eastAsia="仿宋_GB2312" w:cs="仿宋_GB2312"/>
          <w:color w:val="auto"/>
          <w:sz w:val="24"/>
          <w:szCs w:val="24"/>
          <w:highlight w:val="none"/>
        </w:rPr>
        <w:t>：</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名    称：</w:t>
      </w:r>
      <w:r>
        <w:rPr>
          <w:rFonts w:hint="eastAsia" w:ascii="仿宋_GB2312" w:hAnsi="仿宋_GB2312" w:eastAsia="仿宋_GB2312" w:cs="仿宋_GB2312"/>
          <w:color w:val="auto"/>
          <w:sz w:val="24"/>
          <w:highlight w:val="none"/>
          <w:lang w:eastAsia="zh-CN"/>
        </w:rPr>
        <w:t>绍兴市殡仪馆</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地    址：绍兴市越城区鉴湖镇官山岙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传    真：</w:t>
      </w:r>
      <w:r>
        <w:rPr>
          <w:rFonts w:hint="eastAsia" w:ascii="仿宋_GB2312" w:hAnsi="仿宋_GB2312" w:eastAsia="仿宋_GB2312" w:cs="仿宋_GB2312"/>
          <w:color w:val="auto"/>
          <w:sz w:val="24"/>
          <w:highlight w:val="none"/>
          <w:lang w:val="en-US" w:eastAsia="zh-CN"/>
        </w:rPr>
        <w:t>/</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项目联系人（询问）：李姗姗</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项目联系方式（询问）：0575-88906576</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质疑联系人：夏懿超</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质疑联系方式：0575-88906576</w:t>
      </w:r>
    </w:p>
    <w:p>
      <w:pPr>
        <w:pStyle w:val="5"/>
        <w:pageBreakBefore w:val="0"/>
        <w:widowControl w:val="0"/>
        <w:numPr>
          <w:ilvl w:val="0"/>
          <w:numId w:val="0"/>
        </w:numPr>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bookmarkStart w:id="9" w:name="_Toc35393638"/>
      <w:bookmarkStart w:id="10" w:name="_Toc35393807"/>
      <w:bookmarkStart w:id="11" w:name="_Toc28359020"/>
      <w:bookmarkStart w:id="12" w:name="_Toc28359097"/>
      <w:r>
        <w:rPr>
          <w:rFonts w:hint="eastAsia" w:ascii="仿宋_GB2312" w:hAnsi="仿宋_GB2312" w:eastAsia="仿宋_GB2312" w:cs="仿宋_GB2312"/>
          <w:color w:val="auto"/>
          <w:sz w:val="24"/>
          <w:szCs w:val="24"/>
          <w:highlight w:val="none"/>
        </w:rPr>
        <w:t>2.采购代理机构信息</w:t>
      </w:r>
      <w:bookmarkEnd w:id="9"/>
      <w:bookmarkEnd w:id="10"/>
      <w:bookmarkEnd w:id="11"/>
      <w:bookmarkEnd w:id="12"/>
      <w:r>
        <w:rPr>
          <w:rFonts w:hint="eastAsia" w:ascii="仿宋_GB2312" w:hAnsi="仿宋_GB2312" w:eastAsia="仿宋_GB2312" w:cs="仿宋_GB2312"/>
          <w:color w:val="auto"/>
          <w:sz w:val="24"/>
          <w:szCs w:val="24"/>
          <w:highlight w:val="none"/>
        </w:rPr>
        <w:t>：</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bookmarkStart w:id="13" w:name="_Toc28359098"/>
      <w:bookmarkStart w:id="14" w:name="_Toc28359021"/>
      <w:bookmarkStart w:id="15" w:name="_Toc35393639"/>
      <w:bookmarkStart w:id="16" w:name="_Toc35393808"/>
      <w:r>
        <w:rPr>
          <w:rFonts w:hint="eastAsia" w:ascii="仿宋_GB2312" w:hAnsi="仿宋_GB2312" w:eastAsia="仿宋_GB2312" w:cs="仿宋_GB2312"/>
          <w:color w:val="auto"/>
          <w:sz w:val="24"/>
          <w:highlight w:val="none"/>
        </w:rPr>
        <w:t>名    称：绍兴市公共资源交易中心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    址：绍兴市越城区迪荡新城鼎盛时代大厦431室</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传    真：0575-88307029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项目联系人（询问）：黄世杰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项目联系方式（询问）：0575-88307028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质疑联系人：顾梁杰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质疑联系方式：0575-88307026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bCs/>
          <w:color w:val="auto"/>
          <w:sz w:val="24"/>
          <w:highlight w:val="none"/>
        </w:rPr>
        <w:t>3.</w:t>
      </w:r>
      <w:r>
        <w:rPr>
          <w:rFonts w:hint="eastAsia" w:ascii="仿宋_GB2312" w:hAnsi="仿宋_GB2312" w:eastAsia="仿宋_GB2312" w:cs="仿宋_GB2312"/>
          <w:b/>
          <w:color w:val="auto"/>
          <w:sz w:val="24"/>
          <w:highlight w:val="none"/>
        </w:rPr>
        <w:t xml:space="preserve"> 同级政府采购监督管理部门：            </w:t>
      </w:r>
    </w:p>
    <w:bookmarkEnd w:id="13"/>
    <w:bookmarkEnd w:id="14"/>
    <w:bookmarkEnd w:id="15"/>
    <w:bookmarkEnd w:id="16"/>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名</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称：绍兴市财政局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地</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址：绍兴市越城区凤林西路151号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传</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真：0575-85209697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联 系 人 ：张婷婷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监督投诉电话：0575-85209697 </w:t>
      </w:r>
      <w:r>
        <w:rPr>
          <w:rFonts w:hint="eastAsia" w:ascii="仿宋_GB2312" w:hAnsi="仿宋_GB2312" w:eastAsia="仿宋_GB2312" w:cs="仿宋_GB2312"/>
          <w:color w:val="auto"/>
          <w:sz w:val="24"/>
          <w:highlight w:val="none"/>
        </w:rPr>
        <w:t xml:space="preserve">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CA问题联系电话（人工）：汇信CA 400-888-4636；天谷CA 400-087-8198。</w:t>
      </w:r>
    </w:p>
    <w:p>
      <w:pPr>
        <w:widowControl/>
        <w:kinsoku/>
        <w:wordWrap w:val="0"/>
        <w:overflowPunct/>
        <w:topLinePunct w:val="0"/>
        <w:bidi w:val="0"/>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pPr>
        <w:kinsoku/>
        <w:wordWrap w:val="0"/>
        <w:overflowPunct/>
        <w:topLinePunct w:val="0"/>
        <w:bidi w:val="0"/>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pPr>
              <w:keepNext w:val="0"/>
              <w:keepLines w:val="0"/>
              <w:pageBreakBefore w:val="0"/>
              <w:widowControl w:val="0"/>
              <w:kinsoku/>
              <w:wordWrap w:val="0"/>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keepNext w:val="0"/>
              <w:keepLines w:val="0"/>
              <w:pageBreakBefore w:val="0"/>
              <w:widowControl w:val="0"/>
              <w:kinsoku/>
              <w:wordWrap w:val="0"/>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default"/>
                <w:color w:val="auto"/>
                <w:highlight w:val="none"/>
                <w:lang w:val="en-US"/>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kinsoku/>
              <w:wordWrap w:val="0"/>
              <w:overflowPunct/>
              <w:topLinePunct w:val="0"/>
              <w:bidi w:val="0"/>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pPr>
              <w:kinsoku/>
              <w:wordWrap w:val="0"/>
              <w:overflowPunct/>
              <w:topLinePunct w:val="0"/>
              <w:bidi w:val="0"/>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pPr>
              <w:kinsoku/>
              <w:wordWrap w:val="0"/>
              <w:overflowPunct/>
              <w:topLinePunct w:val="0"/>
              <w:bidi w:val="0"/>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pPr>
              <w:kinsoku/>
              <w:wordWrap w:val="0"/>
              <w:overflowPunct/>
              <w:topLinePunct w:val="0"/>
              <w:bidi w:val="0"/>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20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pPr>
              <w:kinsoku/>
              <w:wordWrap w:val="0"/>
              <w:overflowPunct/>
              <w:topLinePunct w:val="0"/>
              <w:bidi w:val="0"/>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pPr>
              <w:kinsoku/>
              <w:wordWrap w:val="0"/>
              <w:overflowPunct/>
              <w:topLinePunct w:val="0"/>
              <w:bidi w:val="0"/>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pPr>
              <w:kinsoku/>
              <w:wordWrap w:val="0"/>
              <w:overflowPunct/>
              <w:topLinePunct w:val="0"/>
              <w:bidi w:val="0"/>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kern w:val="0"/>
                <w:sz w:val="24"/>
                <w:u w:val="single"/>
              </w:rPr>
              <w:t>01标</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kern w:val="0"/>
                <w:sz w:val="24"/>
                <w:u w:val="single"/>
              </w:rPr>
              <w:t>物业管理</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4</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5</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7</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insoku/>
              <w:wordWrap w:val="0"/>
              <w:overflowPunct/>
              <w:topLinePunct w:val="0"/>
              <w:bidi w:val="0"/>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p>
        </w:tc>
        <w:tc>
          <w:tcPr>
            <w:tcW w:w="8370" w:type="dxa"/>
            <w:gridSpan w:val="2"/>
            <w:vAlign w:val="center"/>
          </w:tcPr>
          <w:p>
            <w:pPr>
              <w:kinsoku/>
              <w:wordWrap w:val="0"/>
              <w:overflowPunct/>
              <w:topLinePunct w:val="0"/>
              <w:bidi w:val="0"/>
              <w:spacing w:line="336" w:lineRule="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b/>
                <w:color w:val="auto"/>
                <w:sz w:val="24"/>
                <w:highlight w:val="none"/>
              </w:rPr>
              <w:t>采购代理服务费：</w:t>
            </w:r>
            <w:r>
              <w:rPr>
                <w:rFonts w:hint="eastAsia" w:ascii="仿宋" w:hAnsi="仿宋" w:eastAsia="仿宋" w:cs="仿宋"/>
                <w:b/>
                <w:color w:val="auto"/>
                <w:sz w:val="24"/>
                <w:highlight w:val="no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pPr>
        <w:keepNext w:val="0"/>
        <w:keepLines w:val="0"/>
        <w:pageBreakBefore w:val="0"/>
        <w:widowControl w:val="0"/>
        <w:kinsoku/>
        <w:wordWrap w:val="0"/>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_Toc164416483"/>
      <w:bookmarkStart w:id="18" w:name="第三部分"/>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pPr>
        <w:keepNext w:val="0"/>
        <w:keepLines w:val="0"/>
        <w:pageBreakBefore w:val="0"/>
        <w:kinsoku/>
        <w:wordWrap w:val="0"/>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1.适用范围</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val="0"/>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2.定义</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 “采购人”系指招标公告中载明的本项目的采购人。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 “</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”系指招标公告中载明的本项目的</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 “投标人”“供应商”系指是指响应招标、参加投标竞争的法人、其他组织或者自然人。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2.4</w:t>
      </w:r>
      <w:r>
        <w:rPr>
          <w:rFonts w:hint="eastAsia" w:ascii="仿宋_GB2312" w:hAnsi="仿宋_GB2312" w:eastAsia="仿宋_GB2312" w:cs="仿宋_GB2312"/>
          <w:color w:val="auto"/>
          <w:sz w:val="24"/>
          <w:highlight w:val="none"/>
        </w:rPr>
        <w:t>“监督单位”系指政府采购法定义监督管理部门</w:t>
      </w:r>
      <w:r>
        <w:rPr>
          <w:rFonts w:hint="eastAsia" w:ascii="仿宋_GB2312" w:hAnsi="仿宋_GB2312" w:eastAsia="仿宋_GB2312" w:cs="仿宋_GB2312"/>
          <w:color w:val="auto"/>
          <w:sz w:val="24"/>
          <w:highlight w:val="none"/>
          <w:lang w:val="en-US" w:eastAsia="zh-CN"/>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6</w:t>
      </w:r>
      <w:r>
        <w:rPr>
          <w:rFonts w:hint="eastAsia" w:ascii="仿宋_GB2312" w:hAnsi="仿宋_GB2312" w:eastAsia="仿宋_GB2312" w:cs="仿宋_GB2312"/>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“电子交易平台”</w:t>
      </w:r>
      <w:r>
        <w:rPr>
          <w:rFonts w:hint="eastAsia" w:ascii="仿宋_GB2312" w:hAnsi="仿宋_GB2312" w:eastAsia="仿宋_GB2312" w:cs="仿宋_GB2312"/>
          <w:color w:val="auto"/>
          <w:sz w:val="24"/>
          <w:highlight w:val="none"/>
          <w:lang w:val="en-US" w:eastAsia="zh-CN"/>
        </w:rPr>
        <w:t>系</w:t>
      </w:r>
      <w:r>
        <w:rPr>
          <w:rFonts w:hint="eastAsia" w:ascii="仿宋_GB2312" w:hAnsi="仿宋_GB2312" w:eastAsia="仿宋_GB2312" w:cs="仿宋_GB2312"/>
          <w:color w:val="auto"/>
          <w:sz w:val="24"/>
          <w:highlight w:val="none"/>
        </w:rPr>
        <w:t>指本项目政府采购活动所依托的政府采购云平台（https://www.zcygov.cn/）。</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sz w:val="24"/>
          <w:highlight w:val="none"/>
        </w:rPr>
        <w:t>”系指适用本项目的要求，“☐”系指不适用本项目的要求。</w:t>
      </w:r>
    </w:p>
    <w:p>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3.采购项目需要落实的政府采购政策</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 支持绿色发展</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kinsoku/>
        <w:wordWrap w:val="0"/>
        <w:overflowPunct/>
        <w:topLinePunct w:val="0"/>
        <w:bidi w:val="0"/>
        <w:spacing w:line="440" w:lineRule="exact"/>
        <w:ind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★3.2.2</w:t>
      </w:r>
      <w:r>
        <w:rPr>
          <w:rFonts w:hint="eastAsia" w:ascii="仿宋_GB2312" w:hAnsi="仿宋_GB2312" w:eastAsia="仿宋_GB2312" w:cs="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3.2.3 纳入政府采购管理的修缮、装修类项目采购建材的，采购单位</w:t>
      </w:r>
      <w:r>
        <w:rPr>
          <w:rFonts w:hint="eastAsia" w:ascii="仿宋_GB2312" w:hAnsi="仿宋_GB2312" w:eastAsia="仿宋_GB2312" w:cs="仿宋_GB2312"/>
          <w:color w:val="auto"/>
          <w:sz w:val="24"/>
          <w:highlight w:val="none"/>
          <w:lang w:eastAsia="zh-CN"/>
        </w:rPr>
        <w:t>应</w:t>
      </w:r>
      <w:r>
        <w:rPr>
          <w:rFonts w:hint="eastAsia" w:ascii="仿宋_GB2312" w:hAnsi="仿宋_GB2312" w:eastAsia="仿宋_GB2312" w:cs="仿宋_GB2312"/>
          <w:color w:val="auto"/>
          <w:sz w:val="24"/>
          <w:highlight w:val="none"/>
        </w:rPr>
        <w:t>将绿色建材性能、指标等作为实质性条件纳入采购文件和合同，具体性能指标要求</w:t>
      </w:r>
      <w:r>
        <w:rPr>
          <w:rFonts w:hint="eastAsia" w:ascii="仿宋_GB2312" w:hAnsi="仿宋_GB2312" w:eastAsia="仿宋_GB2312" w:cs="仿宋_GB2312"/>
          <w:color w:val="auto"/>
          <w:sz w:val="24"/>
          <w:highlight w:val="none"/>
          <w:lang w:eastAsia="zh-CN"/>
        </w:rPr>
        <w:t>按照</w:t>
      </w:r>
      <w:r>
        <w:rPr>
          <w:rFonts w:hint="eastAsia" w:ascii="仿宋_GB2312" w:hAnsi="仿宋_GB2312" w:eastAsia="仿宋_GB2312" w:cs="仿宋_GB2312"/>
          <w:color w:val="auto"/>
          <w:sz w:val="24"/>
          <w:highlight w:val="none"/>
        </w:rPr>
        <w:t>相关绿色建材政府采购需求标准</w:t>
      </w:r>
      <w:r>
        <w:rPr>
          <w:rFonts w:hint="eastAsia" w:ascii="仿宋_GB2312" w:hAnsi="仿宋_GB2312" w:eastAsia="仿宋_GB2312" w:cs="仿宋_GB2312"/>
          <w:color w:val="auto"/>
          <w:sz w:val="24"/>
          <w:highlight w:val="none"/>
          <w:lang w:eastAsia="zh-CN"/>
        </w:rPr>
        <w:t>执行</w:t>
      </w:r>
      <w:r>
        <w:rPr>
          <w:rFonts w:hint="eastAsia" w:ascii="仿宋_GB2312" w:hAnsi="仿宋_GB2312" w:eastAsia="仿宋_GB2312" w:cs="仿宋_GB2312"/>
          <w:color w:val="auto"/>
          <w:sz w:val="24"/>
          <w:highlight w:val="none"/>
        </w:rPr>
        <w:t>。</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3.2.5</w:t>
      </w:r>
      <w:r>
        <w:rPr>
          <w:rFonts w:hint="eastAsia" w:ascii="仿宋_GB2312" w:hAnsi="仿宋_GB2312" w:eastAsia="仿宋_GB2312" w:cs="仿宋_GB2312"/>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_GB2312" w:hAnsi="仿宋_GB2312" w:eastAsia="仿宋_GB2312" w:cs="仿宋_GB2312"/>
          <w:color w:val="auto"/>
          <w:sz w:val="24"/>
          <w:highlight w:val="none"/>
          <w:lang w:eastAsia="zh-CN"/>
        </w:rPr>
        <w:t>采购人</w:t>
      </w:r>
      <w:r>
        <w:rPr>
          <w:rFonts w:hint="eastAsia" w:ascii="仿宋_GB2312" w:hAnsi="仿宋_GB2312" w:eastAsia="仿宋_GB2312" w:cs="仿宋_GB2312"/>
          <w:color w:val="auto"/>
          <w:sz w:val="24"/>
          <w:highlight w:val="none"/>
        </w:rPr>
        <w:t>登记报备绿色编码，未申领绿色编码的柴油动力移动源不得进入作业现场施工。</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w:t>
      </w:r>
      <w:r>
        <w:rPr>
          <w:rFonts w:hint="eastAsia" w:ascii="仿宋_GB2312" w:hAnsi="仿宋_GB2312" w:eastAsia="仿宋_GB2312" w:cs="仿宋_GB2312"/>
          <w:bCs/>
          <w:color w:val="auto"/>
          <w:sz w:val="24"/>
          <w:highlight w:val="none"/>
        </w:rPr>
        <w:t>小微</w:t>
      </w:r>
      <w:r>
        <w:rPr>
          <w:rFonts w:hint="eastAsia" w:ascii="仿宋_GB2312" w:hAnsi="仿宋_GB2312" w:eastAsia="仿宋_GB2312" w:cs="仿宋_GB2312"/>
          <w:color w:val="auto"/>
          <w:sz w:val="24"/>
          <w:highlight w:val="none"/>
        </w:rPr>
        <w:t>企业价格扣除</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color w:val="auto"/>
          <w:sz w:val="24"/>
          <w:highlight w:val="none"/>
        </w:rPr>
        <w:t>3.3.1小微企业是指</w:t>
      </w:r>
      <w:r>
        <w:rPr>
          <w:rFonts w:hint="eastAsia" w:ascii="仿宋_GB2312" w:hAnsi="仿宋_GB2312" w:eastAsia="仿宋_GB2312" w:cs="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符合中小企业划分标准的个体工商户，在政府采购活动中视同中小企业。</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3.3.2在货物采购项目中，货物由小微企业制造，即货物由小微企业生产且使用该小微企业商号或者注册商标。</w:t>
      </w:r>
      <w:r>
        <w:rPr>
          <w:rFonts w:hint="eastAsia" w:ascii="仿宋_GB2312" w:hAnsi="仿宋_GB2312" w:eastAsia="仿宋_GB2312" w:cs="仿宋_GB2312"/>
          <w:b/>
          <w:bCs/>
          <w:color w:val="auto"/>
          <w:sz w:val="24"/>
          <w:highlight w:val="none"/>
        </w:rPr>
        <w:t>供应商提供的货物既有中小企业制造货物，也有大型企业制造货物的，不享受中小企业扶持政策。</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3.3.3在服务采购项目中，服务由小微企业承接，即提供服务的人员为小微企业依照《中华人民共和国劳动合同法》订立劳动合同的从业人员。</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3.3.4小微企业应按照招标文件格式要求提供《中小企业声明函》。</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以联合体形式参加政府采购活动， 联合体各方均为中小企业的，联合体视同中小企业。其中，联合体各方均为小微企业的，联合体视同小微企业。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3.3.7符合《关于促进残疾人就业政府采购政策的通知》（财库〔2017〕141号）规定的条件并提供《残疾人福利性单位声明函》的残疾人福利性单位视同小微企业；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3.4</w:t>
      </w:r>
      <w:r>
        <w:rPr>
          <w:rFonts w:hint="eastAsia" w:ascii="仿宋_GB2312" w:hAnsi="仿宋_GB2312" w:eastAsia="仿宋_GB2312" w:cs="仿宋_GB2312"/>
          <w:bCs/>
          <w:color w:val="auto"/>
          <w:sz w:val="24"/>
          <w:highlight w:val="none"/>
        </w:rPr>
        <w:t>支持科技创新发展</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对省级以上主管部门认定的首台套产品，自纳入《省推广应用指导目录》起三年内参加政府采购活动，视同已具备相应销售业绩，业绩分为满分。</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3.5平等对待内外资企业和符合条件的破产重整企业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平等对待内外资企业和符合条件的破产重整企业，切实保障企业公平竞争，平等维护企业的合法利益。</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★4.特别说明：</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4.1供应商投标所使用的资格、信誉、荣誉与企业认证必须为投标单位所拥有。供应商投标所使用的采购项目实施人员必须为投标单位正式员工。</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4.2供应商应仔细阅读招标文件的所有内容，按照招标文件的要求提交投标文件，并对所提供的全部资料的真实性承担法律责任。</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二、招标文件</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1．招标方式</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 本次招标采用公开招标方式进行。</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本次招标设定限价，即招标公告中公布的各标项预算金额或最高限价（各标项之间的预算金额不能互相调整）。</w:t>
      </w:r>
    </w:p>
    <w:p>
      <w:pPr>
        <w:pStyle w:val="28"/>
        <w:keepNext w:val="0"/>
        <w:keepLines w:val="0"/>
        <w:pageBreakBefore w:val="0"/>
        <w:kinsoku/>
        <w:wordWrap w:val="0"/>
        <w:overflowPunct/>
        <w:topLinePunct w:val="0"/>
        <w:autoSpaceDE/>
        <w:autoSpaceDN/>
        <w:bidi w:val="0"/>
        <w:snapToGrid w:val="0"/>
        <w:spacing w:line="440" w:lineRule="exact"/>
        <w:ind w:left="0" w:leftChars="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2.授权委托</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3.投标费用</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4.招标文件的修改</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4.2招标文件的澄清 </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4.3招标文件的修改</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5.参考品牌</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5"/>
        <w:keepNext w:val="0"/>
        <w:keepLines w:val="0"/>
        <w:pageBreakBefore w:val="0"/>
        <w:widowControl w:val="0"/>
        <w:kinsoku/>
        <w:wordWrap w:val="0"/>
        <w:overflowPunct/>
        <w:topLinePunct w:val="0"/>
        <w:bidi w:val="0"/>
        <w:snapToGrid/>
        <w:spacing w:beforeAutospacing="0" w:line="360" w:lineRule="auto"/>
        <w:ind w:left="0" w:leftChars="0"/>
        <w:textAlignment w:val="auto"/>
        <w:rPr>
          <w:rFonts w:hint="eastAsia"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Cs w:val="24"/>
          <w:highlight w:val="none"/>
          <w:lang w:val="en-US"/>
        </w:rPr>
        <w:t xml:space="preserve">  </w:t>
      </w:r>
      <w:r>
        <w:rPr>
          <w:rFonts w:hint="eastAsia" w:ascii="仿宋_GB2312" w:hAnsi="仿宋_GB2312" w:eastAsia="仿宋_GB2312" w:cs="仿宋_GB2312"/>
          <w:color w:val="auto"/>
          <w:sz w:val="32"/>
          <w:szCs w:val="32"/>
          <w:highlight w:val="none"/>
          <w:lang w:val="en-US"/>
        </w:rPr>
        <w:t xml:space="preserve">  </w:t>
      </w: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color w:val="auto"/>
          <w:sz w:val="32"/>
          <w:szCs w:val="32"/>
          <w:highlight w:val="none"/>
        </w:rPr>
        <w:t>三、投标</w:t>
      </w:r>
      <w:r>
        <w:rPr>
          <w:rFonts w:hint="eastAsia" w:ascii="仿宋_GB2312" w:hAnsi="仿宋_GB2312" w:eastAsia="仿宋_GB2312" w:cs="仿宋_GB2312"/>
          <w:b/>
          <w:color w:val="auto"/>
          <w:sz w:val="32"/>
          <w:szCs w:val="32"/>
          <w:highlight w:val="none"/>
          <w:lang w:eastAsia="zh-CN"/>
        </w:rPr>
        <w:t>文件</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eastAsia="zh-CN"/>
        </w:rPr>
        <w:t>1.</w:t>
      </w:r>
      <w:r>
        <w:rPr>
          <w:rFonts w:hint="eastAsia" w:ascii="仿宋_GB2312" w:hAnsi="仿宋_GB2312" w:eastAsia="仿宋_GB2312" w:cs="仿宋_GB2312"/>
          <w:b/>
          <w:bCs/>
          <w:color w:val="auto"/>
          <w:sz w:val="24"/>
          <w:highlight w:val="none"/>
        </w:rPr>
        <w:t>投标文件的语言、计量单位、形式及效力</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1.4不按招标文件的要求提供的投标文件可能导致被拒绝。</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1.5投标文件的形式和效力</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1.5.2投标文件的效力：</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投标文件未在投标截止时间前完成传输的，视为投标文件撤回；投标文件未按时解密，亦视为投标文件撤回。</w:t>
      </w:r>
    </w:p>
    <w:p>
      <w:pPr>
        <w:pStyle w:val="36"/>
        <w:keepNext w:val="0"/>
        <w:keepLines w:val="0"/>
        <w:pageBreakBefore w:val="0"/>
        <w:widowControl w:val="0"/>
        <w:kinsoku/>
        <w:wordWrap w:val="0"/>
        <w:overflowPunct/>
        <w:topLinePunct w:val="0"/>
        <w:autoSpaceDE/>
        <w:autoSpaceDN/>
        <w:bidi w:val="0"/>
        <w:adjustRightInd w:val="0"/>
        <w:spacing w:beforeAutospacing="0" w:line="440" w:lineRule="exact"/>
        <w:ind w:firstLine="482"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2</w:t>
      </w:r>
      <w:r>
        <w:rPr>
          <w:rFonts w:hint="eastAsia" w:ascii="仿宋_GB2312" w:hAnsi="仿宋_GB2312" w:eastAsia="仿宋_GB2312" w:cs="仿宋_GB2312"/>
          <w:b/>
          <w:color w:val="auto"/>
          <w:sz w:val="24"/>
          <w:szCs w:val="24"/>
          <w:highlight w:val="none"/>
        </w:rPr>
        <w:t>.投标文件的组成</w:t>
      </w:r>
    </w:p>
    <w:p>
      <w:pPr>
        <w:kinsoku/>
        <w:wordWrap w:val="0"/>
        <w:overflowPunct/>
        <w:topLinePunct w:val="0"/>
        <w:bidi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投标文件由</w:t>
      </w:r>
      <w:r>
        <w:rPr>
          <w:rFonts w:hint="eastAsia" w:ascii="仿宋_GB2312" w:hAnsi="仿宋_GB2312" w:eastAsia="仿宋_GB2312" w:cs="仿宋_GB2312"/>
          <w:color w:val="auto"/>
          <w:sz w:val="24"/>
          <w:highlight w:val="none"/>
          <w:lang w:eastAsia="zh-CN"/>
        </w:rPr>
        <w:t>“资格文件”、“商务技术文件资料”、</w:t>
      </w:r>
      <w:r>
        <w:rPr>
          <w:rFonts w:hint="eastAsia" w:ascii="仿宋_GB2312" w:hAnsi="仿宋_GB2312" w:eastAsia="仿宋_GB2312" w:cs="仿宋_GB2312"/>
          <w:color w:val="auto"/>
          <w:sz w:val="24"/>
          <w:highlight w:val="none"/>
        </w:rPr>
        <w:t>“报价文件资料”</w:t>
      </w:r>
      <w:r>
        <w:rPr>
          <w:rFonts w:hint="eastAsia" w:ascii="仿宋_GB2312" w:hAnsi="仿宋_GB2312" w:eastAsia="仿宋_GB2312" w:cs="仿宋_GB2312"/>
          <w:color w:val="auto"/>
          <w:sz w:val="24"/>
          <w:highlight w:val="none"/>
          <w:lang w:eastAsia="zh-CN"/>
        </w:rPr>
        <w:t>三</w:t>
      </w:r>
      <w:r>
        <w:rPr>
          <w:rFonts w:hint="eastAsia" w:ascii="仿宋_GB2312" w:hAnsi="仿宋_GB2312" w:eastAsia="仿宋_GB2312" w:cs="仿宋_GB2312"/>
          <w:color w:val="auto"/>
          <w:sz w:val="24"/>
          <w:highlight w:val="none"/>
        </w:rPr>
        <w:t>部分组成，其中</w:t>
      </w:r>
      <w:r>
        <w:rPr>
          <w:rFonts w:hint="eastAsia" w:ascii="仿宋_GB2312" w:hAnsi="仿宋_GB2312" w:eastAsia="仿宋_GB2312" w:cs="仿宋_GB2312"/>
          <w:b/>
          <w:color w:val="auto"/>
          <w:sz w:val="24"/>
          <w:highlight w:val="none"/>
        </w:rPr>
        <w:t>电子投标文件中所须加盖公章部分均应采用电子签章。</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en-US" w:eastAsia="zh-CN"/>
        </w:rPr>
        <w:t>2</w:t>
      </w:r>
      <w:r>
        <w:rPr>
          <w:rFonts w:hint="eastAsia" w:ascii="仿宋_GB2312" w:hAnsi="仿宋_GB2312" w:eastAsia="仿宋_GB2312" w:cs="仿宋_GB2312"/>
          <w:b/>
          <w:color w:val="auto"/>
          <w:sz w:val="24"/>
          <w:highlight w:val="none"/>
          <w:lang w:val="zh-CN"/>
        </w:rPr>
        <w:t>.1资格文件：</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lang w:eastAsia="zh-CN"/>
        </w:rPr>
        <w:t>.1.1符合参加政府采购活动应当具备的一般条件的承诺函；</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2.1.2联合协议（如果有)；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分包意向协议</w:t>
      </w:r>
      <w:r>
        <w:rPr>
          <w:rFonts w:hint="eastAsia" w:ascii="仿宋_GB2312" w:hAnsi="仿宋_GB2312" w:eastAsia="仿宋_GB2312" w:cs="仿宋_GB2312"/>
          <w:snapToGrid w:val="0"/>
          <w:color w:val="auto"/>
          <w:kern w:val="28"/>
          <w:sz w:val="24"/>
          <w:szCs w:val="20"/>
          <w:highlight w:val="none"/>
        </w:rPr>
        <w:t>（如果有)</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lang w:eastAsia="zh-CN"/>
        </w:rPr>
        <w:t>落实政府采购政策需满足的资格要求（如果有)；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lang w:eastAsia="zh-CN"/>
        </w:rPr>
        <w:t>本项目的特定资格要求（如果有)。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eastAsia="zh-CN"/>
        </w:rPr>
      </w:pPr>
      <w:r>
        <w:rPr>
          <w:rFonts w:hint="eastAsia" w:ascii="仿宋_GB2312" w:hAnsi="仿宋_GB2312" w:eastAsia="仿宋_GB2312" w:cs="仿宋_GB2312"/>
          <w:b/>
          <w:color w:val="auto"/>
          <w:sz w:val="24"/>
          <w:highlight w:val="none"/>
          <w:lang w:val="zh-CN" w:eastAsia="zh-CN"/>
        </w:rPr>
        <w:t>2.</w:t>
      </w:r>
      <w:r>
        <w:rPr>
          <w:rFonts w:hint="eastAsia" w:ascii="仿宋_GB2312" w:hAnsi="仿宋_GB2312" w:eastAsia="仿宋_GB2312" w:cs="仿宋_GB2312"/>
          <w:b/>
          <w:color w:val="auto"/>
          <w:sz w:val="24"/>
          <w:highlight w:val="none"/>
          <w:lang w:val="en-US" w:eastAsia="zh-CN"/>
        </w:rPr>
        <w:t>2商务技术</w:t>
      </w:r>
      <w:r>
        <w:rPr>
          <w:rFonts w:hint="eastAsia" w:ascii="仿宋_GB2312" w:hAnsi="仿宋_GB2312" w:eastAsia="仿宋_GB2312" w:cs="仿宋_GB2312"/>
          <w:b/>
          <w:color w:val="auto"/>
          <w:sz w:val="24"/>
          <w:highlight w:val="none"/>
          <w:lang w:val="zh-CN" w:eastAsia="zh-CN"/>
        </w:rPr>
        <w:t>文件：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2.2.1投标函；</w:t>
      </w:r>
      <w:r>
        <w:rPr>
          <w:rFonts w:hint="eastAsia" w:ascii="仿宋_GB2312" w:hAnsi="仿宋_GB2312" w:eastAsia="仿宋_GB2312" w:cs="仿宋_GB2312"/>
          <w:color w:val="auto"/>
          <w:sz w:val="24"/>
          <w:highlight w:val="none"/>
          <w:lang w:val="zh-CN" w:eastAsia="zh-CN"/>
        </w:rPr>
        <w:t xml:space="preserve"> </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2.2.2法定代表人授权委托书；</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2.2.3法定代表人及其授权代表身份证复印件；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2.2.4授权代表社保证明；</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2.2.5法定代表人身份证明书；</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2.2.7廉政承诺书（格式见第六部分附件）；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2.2.9供应商应提供针对项目的完整技术解决方案：</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2.2.12供应商售后服务证明材料：由供应商根据本项目要求提供相应的售后服务证明材料或售后服务承诺；</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2.2.16培训计划（如有）；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2.2.17验收方案；</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18</w:t>
      </w:r>
      <w:r>
        <w:rPr>
          <w:rFonts w:hint="eastAsia" w:ascii="仿宋_GB2312" w:hAnsi="仿宋_GB2312" w:eastAsia="仿宋_GB2312" w:cs="仿宋_GB2312"/>
          <w:color w:val="auto"/>
          <w:sz w:val="24"/>
          <w:highlight w:val="none"/>
          <w:u w:val="wave"/>
        </w:rPr>
        <w:t>未尽事宜请各投标单位按评分标准和相对应标项相关要求制作；</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highlight w:val="none"/>
          <w:lang w:val="zh-CN" w:eastAsia="zh-CN"/>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19</w:t>
      </w:r>
      <w:r>
        <w:rPr>
          <w:rFonts w:hint="eastAsia" w:ascii="仿宋_GB2312" w:hAnsi="仿宋_GB2312" w:eastAsia="仿宋_GB2312" w:cs="仿宋_GB2312"/>
          <w:color w:val="auto"/>
          <w:sz w:val="24"/>
          <w:highlight w:val="none"/>
        </w:rPr>
        <w:t>投标人需要说明的其他文件和说明（格式自拟）。</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 xml:space="preserve">2.3报价文件： </w:t>
      </w:r>
    </w:p>
    <w:p>
      <w:pPr>
        <w:pStyle w:val="26"/>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2.3.1开标一览表（报价表）；</w:t>
      </w:r>
    </w:p>
    <w:p>
      <w:pPr>
        <w:pStyle w:val="26"/>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2.3.2中小企业声明函（如有）；</w:t>
      </w:r>
    </w:p>
    <w:p>
      <w:pPr>
        <w:pStyle w:val="26"/>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2.3.3 残疾人福利性单位声明函（如有）。</w:t>
      </w:r>
    </w:p>
    <w:p>
      <w:pPr>
        <w:pStyle w:val="26"/>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2" w:firstLineChars="200"/>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rPr>
        <w:t>3.</w:t>
      </w:r>
      <w:r>
        <w:rPr>
          <w:rFonts w:hint="eastAsia" w:ascii="仿宋_GB2312" w:hAnsi="仿宋_GB2312" w:eastAsia="仿宋_GB2312" w:cs="仿宋_GB2312"/>
          <w:b/>
          <w:bCs/>
          <w:color w:val="auto"/>
          <w:sz w:val="24"/>
          <w:highlight w:val="none"/>
          <w:lang w:val="en-US" w:eastAsia="zh-CN"/>
        </w:rPr>
        <w:t>投标报价</w:t>
      </w:r>
    </w:p>
    <w:p>
      <w:pPr>
        <w:pStyle w:val="26"/>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3.1供应商应按招标文件中《开标一览表》等附表要求填写。</w:t>
      </w:r>
    </w:p>
    <w:p>
      <w:pPr>
        <w:pStyle w:val="26"/>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3.2报价为采购人可以合格使用产品的价格，包括货款、包装、运输、保险、货到就位以及安装、调试、培训、保修及产品知识产权等一切费用。</w:t>
      </w:r>
    </w:p>
    <w:p>
      <w:pPr>
        <w:pStyle w:val="26"/>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3.3招标文件未列明，而供应商认为必需的费用也需列入报价。</w:t>
      </w:r>
    </w:p>
    <w:p>
      <w:pPr>
        <w:pStyle w:val="26"/>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left="479" w:leftChars="228" w:firstLine="0" w:firstLineChars="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bCs/>
          <w:color w:val="auto"/>
          <w:sz w:val="24"/>
          <w:highlight w:val="none"/>
          <w:lang w:val="en-US" w:eastAsia="zh-CN"/>
        </w:rPr>
        <w:t>3.4投标报价只允许有一个报价，有选择的报价将不予接受（除指定外）</w:t>
      </w:r>
      <w:r>
        <w:rPr>
          <w:rFonts w:hint="eastAsia" w:ascii="仿宋_GB2312" w:hAnsi="仿宋_GB2312" w:eastAsia="仿宋_GB2312" w:cs="仿宋_GB2312"/>
          <w:b/>
          <w:bCs/>
          <w:color w:val="auto"/>
          <w:sz w:val="24"/>
          <w:highlight w:val="none"/>
          <w:lang w:val="en-US"/>
        </w:rPr>
        <w:t>。</w:t>
      </w:r>
      <w:r>
        <w:rPr>
          <w:rFonts w:hint="eastAsia" w:ascii="仿宋_GB2312" w:hAnsi="仿宋_GB2312" w:eastAsia="仿宋_GB2312" w:cs="仿宋_GB2312"/>
          <w:b/>
          <w:color w:val="auto"/>
          <w:kern w:val="0"/>
          <w:szCs w:val="24"/>
          <w:highlight w:val="none"/>
        </w:rPr>
        <w:t>4.</w:t>
      </w:r>
      <w:r>
        <w:rPr>
          <w:rFonts w:hint="eastAsia" w:ascii="仿宋_GB2312" w:hAnsi="仿宋_GB2312" w:eastAsia="仿宋_GB2312" w:cs="仿宋_GB2312"/>
          <w:b/>
          <w:color w:val="auto"/>
          <w:szCs w:val="24"/>
          <w:highlight w:val="none"/>
        </w:rPr>
        <w:t>投标文件的编制</w:t>
      </w:r>
      <w:r>
        <w:rPr>
          <w:rFonts w:hint="eastAsia" w:ascii="仿宋_GB2312" w:hAnsi="仿宋_GB2312" w:eastAsia="仿宋_GB2312" w:cs="仿宋_GB2312"/>
          <w:b/>
          <w:color w:val="auto"/>
          <w:szCs w:val="24"/>
          <w:highlight w:val="none"/>
          <w:lang w:eastAsia="zh-CN"/>
        </w:rPr>
        <w:t>和</w:t>
      </w:r>
      <w:r>
        <w:rPr>
          <w:rFonts w:hint="eastAsia" w:ascii="仿宋_GB2312" w:hAnsi="仿宋_GB2312" w:eastAsia="仿宋_GB2312" w:cs="仿宋_GB2312"/>
          <w:b/>
          <w:color w:val="auto"/>
          <w:sz w:val="24"/>
          <w:highlight w:val="none"/>
        </w:rPr>
        <w:t>签署</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.3使用“政采云电子交易客户端”需要提前申领CA数字证书，申领流程请自行前往“浙江政府采购网-下载专区-电子交易客户端-CA驱动和申领流程”进行查阅。</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4.4</w:t>
      </w:r>
      <w:r>
        <w:rPr>
          <w:rFonts w:hint="eastAsia" w:ascii="仿宋_GB2312" w:hAnsi="仿宋_GB2312" w:eastAsia="仿宋_GB2312" w:cs="仿宋_GB2312"/>
          <w:color w:val="auto"/>
          <w:sz w:val="24"/>
          <w:highlight w:val="none"/>
          <w:lang w:val="zh-CN"/>
        </w:rPr>
        <w:t>投标文件按照招标文件第六部分格式要求进行签署、盖章。投标人的投标文件未按照招标文件要求签署、盖章的，其投标无效。</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4.5</w:t>
      </w:r>
      <w:r>
        <w:rPr>
          <w:rFonts w:hint="eastAsia" w:ascii="仿宋_GB2312" w:hAnsi="仿宋_GB2312" w:eastAsia="仿宋_GB2312" w:cs="仿宋_GB2312"/>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4.6</w:t>
      </w:r>
      <w:r>
        <w:rPr>
          <w:rFonts w:hint="eastAsia" w:ascii="仿宋_GB2312" w:hAnsi="仿宋_GB2312" w:eastAsia="仿宋_GB2312" w:cs="仿宋_GB2312"/>
          <w:color w:val="auto"/>
          <w:sz w:val="24"/>
          <w:highlight w:val="none"/>
          <w:lang w:val="zh-CN"/>
        </w:rPr>
        <w:t>招标文件对投标文件签署、盖章的要求适用于电子签名。</w:t>
      </w:r>
    </w:p>
    <w:p>
      <w:pPr>
        <w:pStyle w:val="130"/>
        <w:kinsoku/>
        <w:wordWrap w:val="0"/>
        <w:overflowPunct/>
        <w:topLinePunct w:val="0"/>
        <w:bidi w:val="0"/>
        <w:spacing w:before="0" w:line="440" w:lineRule="exact"/>
        <w:ind w:firstLine="482" w:firstLineChars="20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lang w:val="en-US" w:eastAsia="zh-CN"/>
        </w:rPr>
        <w:t>5</w:t>
      </w:r>
      <w:r>
        <w:rPr>
          <w:rFonts w:hint="eastAsia" w:ascii="仿宋_GB2312" w:hAnsi="仿宋_GB2312" w:eastAsia="仿宋_GB2312" w:cs="仿宋_GB2312"/>
          <w:b/>
          <w:color w:val="auto"/>
          <w:szCs w:val="24"/>
          <w:highlight w:val="none"/>
        </w:rPr>
        <w:t>.投标文件的提交、补充、修改、撤回</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kinsoku/>
        <w:wordWrap w:val="0"/>
        <w:overflowPunct/>
        <w:topLinePunct w:val="0"/>
        <w:bidi w:val="0"/>
        <w:adjustRightInd w:val="0"/>
        <w:spacing w:line="440" w:lineRule="exact"/>
        <w:ind w:left="0" w:leftChars="0" w:firstLine="482"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6.投标有效期</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6.2投标文件合格投递后，自投标截止日期起，在投标有效期内有效。</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pPr>
        <w:pStyle w:val="130"/>
        <w:keepNext w:val="0"/>
        <w:keepLines w:val="0"/>
        <w:pageBreakBefore w:val="0"/>
        <w:widowControl w:val="0"/>
        <w:kinsoku/>
        <w:wordWrap w:val="0"/>
        <w:overflowPunct/>
        <w:topLinePunct w:val="0"/>
        <w:autoSpaceDE/>
        <w:autoSpaceDN/>
        <w:bidi w:val="0"/>
        <w:adjustRightInd w:val="0"/>
        <w:snapToGrid/>
        <w:spacing w:before="0" w:beforeAutospacing="0" w:line="360" w:lineRule="auto"/>
        <w:ind w:left="0" w:leftChars="0" w:firstLine="643"/>
        <w:textAlignment w:val="auto"/>
        <w:rPr>
          <w:rFonts w:hint="eastAsia" w:ascii="仿宋_GB2312" w:hAnsi="仿宋_GB2312" w:eastAsia="仿宋_GB2312" w:cs="仿宋_GB2312"/>
          <w:b/>
          <w:color w:val="auto"/>
          <w:sz w:val="32"/>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2"/>
          <w:szCs w:val="32"/>
          <w:highlight w:val="none"/>
        </w:rPr>
      </w:pPr>
      <w:bookmarkStart w:id="19" w:name="_Toc91899903"/>
      <w:r>
        <w:rPr>
          <w:rFonts w:hint="eastAsia" w:ascii="仿宋_GB2312" w:hAnsi="仿宋_GB2312" w:eastAsia="仿宋_GB2312" w:cs="仿宋_GB2312"/>
          <w:b/>
          <w:color w:val="auto"/>
          <w:sz w:val="32"/>
          <w:szCs w:val="32"/>
          <w:highlight w:val="none"/>
        </w:rPr>
        <w:t>四、开标和评标</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1．电子招投标开标及评审程序</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1.1投标截止时间后，主持人宣布开标会开始。</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1.3评标委员会对资格和商务技术响应文件进行评审。</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1.7主持人公布评标结果。</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特别说明：政采云公司如对电子化开标及评审程序有调整的，按调整后的程序操作。</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2.1电子交易平台发生故障而无法登录访问的；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2.2电子交易平台应用或数据库出现错误，不能进行正常操作的；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2.3电子交易平台发现严重安全漏洞，有潜在泄密危险的；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2.4病毒发作导致不能进行正常操作的；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2.5其他无法保证电子交易的公平、公正和安全的情况。</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3．评标</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3.3评标委员会负责对投标人资格的最终审定。</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供应商通过政采云平台交换的数据电文必须进行电子签章。</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val="en-US" w:eastAsia="zh-CN"/>
        </w:rPr>
        <w:t>3.7评标委员会不向落标方解释落标的原因。</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4．投标文件的初审鉴定</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4.1资格性审查</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4.2符合性审查</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 xml:space="preserve">5. </w:t>
      </w:r>
      <w:r>
        <w:rPr>
          <w:rFonts w:hint="eastAsia" w:ascii="仿宋_GB2312" w:hAnsi="仿宋_GB2312" w:eastAsia="仿宋_GB2312" w:cs="仿宋_GB2312"/>
          <w:b/>
          <w:color w:val="auto"/>
          <w:sz w:val="24"/>
          <w:highlight w:val="none"/>
        </w:rPr>
        <w:t>投标文件报价出现前后不一致的，按照下列规定修正：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5.2大写金额和小写金额不一致的，以大写金额为准；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6.投标文件的评审、比较和否决</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6.6汇总（商务技术得分情况）。评标委员会各成员应当独立对每个投标人的商务技术文件进行评价，并汇总商务技术得分情况。</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7"/>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7.投标文件的澄清</w:t>
      </w:r>
    </w:p>
    <w:p>
      <w:pPr>
        <w:pStyle w:val="17"/>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6"/>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8.无效投标的情形</w:t>
      </w:r>
    </w:p>
    <w:p>
      <w:pPr>
        <w:keepNext w:val="0"/>
        <w:keepLines w:val="0"/>
        <w:pageBreakBefore w:val="0"/>
        <w:tabs>
          <w:tab w:val="left" w:pos="4085"/>
        </w:tabs>
        <w:kinsoku/>
        <w:wordWrap w:val="0"/>
        <w:overflowPunct/>
        <w:topLinePunct w:val="0"/>
        <w:autoSpaceDE/>
        <w:autoSpaceDN/>
        <w:bidi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投标文件有下列情形之一的作无效投标处理：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8.1未按照招标文件规定要求电子签章、签字或盖章的；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8.8投标文件中的投标函无投标人的电子签章或填写不全的；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8.12《技术偏离说明表》不真实填写或弄虚作假的；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8.13投标文件含有采购人不能接受的附加条件；</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8.15报价超过招标文件中规定的预算金额或最高限价的；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8.16投标文件“商务技术文件资料”部分中出现《开标一览表》相关内容的；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8.19投标人对根据修正原则修正后的报价不确认的；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8.20.1使用伪造、变造的许可证件；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8.20.2提供虚假的财务状况或者业绩；</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8.20.4提供虚假的信用状况；</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8.20.5其他弄虚作假的行为。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8.21.5不同投标人的投标文件相互混装；</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8.23评标委员会认定有重大偏差或实质性不响应招标文件要求的；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8.24投标文件出现不是唯一的、有选择性投标报价的；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bCs/>
          <w:color w:val="auto"/>
          <w:sz w:val="24"/>
          <w:highlight w:val="none"/>
          <w:lang w:val="en-US" w:eastAsia="zh-CN"/>
        </w:rPr>
        <w:t>8.25 未按招标文件要求提供样品或提供样品不满足采购需求实质性条件的；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bCs/>
          <w:color w:val="auto"/>
          <w:sz w:val="24"/>
          <w:highlight w:val="none"/>
          <w:lang w:val="en-US"/>
        </w:rPr>
      </w:pPr>
      <w:r>
        <w:rPr>
          <w:rFonts w:hint="eastAsia" w:ascii="仿宋_GB2312" w:hAnsi="仿宋_GB2312" w:eastAsia="仿宋_GB2312" w:cs="仿宋_GB2312"/>
          <w:b/>
          <w:bCs/>
          <w:color w:val="auto"/>
          <w:sz w:val="24"/>
          <w:highlight w:val="none"/>
        </w:rPr>
        <w:t>8.2</w:t>
      </w:r>
      <w:r>
        <w:rPr>
          <w:rFonts w:hint="eastAsia" w:ascii="仿宋_GB2312" w:hAnsi="仿宋_GB2312" w:eastAsia="仿宋_GB2312" w:cs="仿宋_GB2312"/>
          <w:b/>
          <w:bCs/>
          <w:color w:val="auto"/>
          <w:sz w:val="24"/>
          <w:highlight w:val="none"/>
          <w:lang w:val="en-US"/>
        </w:rPr>
        <w:t>6参与同一个采购包(标段)的供应商存在下列情形之一的其投标(响应)文件无效: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8.26.1</w:t>
      </w:r>
      <w:r>
        <w:rPr>
          <w:rFonts w:hint="eastAsia" w:ascii="仿宋_GB2312" w:hAnsi="仿宋_GB2312" w:eastAsia="仿宋_GB2312" w:cs="仿宋_GB2312"/>
          <w:b w:val="0"/>
          <w:bCs w:val="0"/>
          <w:color w:val="auto"/>
          <w:sz w:val="24"/>
          <w:highlight w:val="none"/>
          <w:lang w:val="en-US"/>
        </w:rPr>
        <w:t>不同供应商的电子投标(响应)文件上传计算机的网卡MAC地址、CPU序列号和硬盘序列号等硬件信息相同的;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8.26.2</w:t>
      </w:r>
      <w:r>
        <w:rPr>
          <w:rFonts w:hint="eastAsia" w:ascii="仿宋_GB2312" w:hAnsi="仿宋_GB2312" w:eastAsia="仿宋_GB2312" w:cs="仿宋_GB2312"/>
          <w:b w:val="0"/>
          <w:bCs w:val="0"/>
          <w:color w:val="auto"/>
          <w:sz w:val="24"/>
          <w:highlight w:val="none"/>
          <w:lang w:val="en-US"/>
        </w:rPr>
        <w:t>上传的电子投标(响应)文件若出现使用本项目其他投标(响应)供应商的数字证书加密的，或者加盖本项目其他投标(响应)供应商的电子印章的;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8.26.3</w:t>
      </w:r>
      <w:r>
        <w:rPr>
          <w:rFonts w:hint="eastAsia" w:ascii="仿宋_GB2312" w:hAnsi="仿宋_GB2312" w:eastAsia="仿宋_GB2312" w:cs="仿宋_GB2312"/>
          <w:b w:val="0"/>
          <w:bCs w:val="0"/>
          <w:color w:val="auto"/>
          <w:sz w:val="24"/>
          <w:highlight w:val="none"/>
          <w:lang w:val="en-US"/>
        </w:rPr>
        <w:t>不同供应商的投标(响应)文件的内容存在三处(含)以上错误一致，且无法合理解释的;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val="0"/>
          <w:bCs w:val="0"/>
          <w:color w:val="auto"/>
          <w:sz w:val="24"/>
          <w:highlight w:val="none"/>
          <w:lang w:val="en-US" w:eastAsia="zh-CN"/>
        </w:rPr>
        <w:t>8.26.4</w:t>
      </w:r>
      <w:r>
        <w:rPr>
          <w:rFonts w:hint="eastAsia" w:ascii="仿宋_GB2312" w:hAnsi="仿宋_GB2312" w:eastAsia="仿宋_GB2312" w:cs="仿宋_GB2312"/>
          <w:b w:val="0"/>
          <w:bCs w:val="0"/>
          <w:color w:val="auto"/>
          <w:sz w:val="24"/>
          <w:highlight w:val="none"/>
          <w:lang w:val="en-US"/>
        </w:rPr>
        <w:t>不同供应商联系人为同一人或不同联系人的联系电话一致，且无法合理解释的。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color w:val="auto"/>
          <w:sz w:val="24"/>
          <w:highlight w:val="none"/>
        </w:rPr>
        <w:t>8.2</w:t>
      </w:r>
      <w:r>
        <w:rPr>
          <w:rFonts w:hint="eastAsia" w:ascii="仿宋_GB2312" w:hAnsi="仿宋_GB2312" w:eastAsia="仿宋_GB2312" w:cs="仿宋_GB2312"/>
          <w:b/>
          <w:color w:val="auto"/>
          <w:sz w:val="24"/>
          <w:highlight w:val="none"/>
          <w:lang w:val="en-US"/>
        </w:rPr>
        <w:t>7</w:t>
      </w:r>
      <w:r>
        <w:rPr>
          <w:rFonts w:hint="eastAsia" w:ascii="仿宋_GB2312" w:hAnsi="仿宋_GB2312" w:eastAsia="仿宋_GB2312" w:cs="仿宋_GB2312"/>
          <w:b/>
          <w:color w:val="auto"/>
          <w:sz w:val="24"/>
          <w:highlight w:val="none"/>
        </w:rPr>
        <w:t>其他违反法律、法规的情形。</w:t>
      </w:r>
    </w:p>
    <w:p>
      <w:pPr>
        <w:keepNext w:val="0"/>
        <w:keepLines w:val="0"/>
        <w:pageBreakBefore w:val="0"/>
        <w:kinsoku/>
        <w:wordWrap w:val="0"/>
        <w:overflowPunct/>
        <w:topLinePunct w:val="0"/>
        <w:autoSpaceDE/>
        <w:autoSpaceDN/>
        <w:bidi w:val="0"/>
        <w:snapToGrid w:val="0"/>
        <w:spacing w:line="440" w:lineRule="exact"/>
        <w:ind w:firstLine="482" w:firstLineChars="200"/>
        <w:textAlignment w:val="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9.评标过程保密</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9.1</w:t>
      </w:r>
      <w:r>
        <w:rPr>
          <w:rFonts w:hint="eastAsia" w:ascii="仿宋_GB2312" w:hAnsi="仿宋_GB2312" w:eastAsia="仿宋_GB2312" w:cs="仿宋_GB2312"/>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9.2 在评标期间，投标人企图影响招标人或</w:t>
      </w:r>
      <w:r>
        <w:rPr>
          <w:rFonts w:hint="eastAsia" w:ascii="仿宋_GB2312" w:hAnsi="仿宋_GB2312" w:eastAsia="仿宋_GB2312" w:cs="仿宋_GB2312"/>
          <w:color w:val="auto"/>
          <w:sz w:val="24"/>
          <w:highlight w:val="none"/>
        </w:rPr>
        <w:t>评标委员会</w:t>
      </w:r>
      <w:r>
        <w:rPr>
          <w:rFonts w:hint="eastAsia" w:ascii="仿宋_GB2312" w:hAnsi="仿宋_GB2312" w:eastAsia="仿宋_GB2312" w:cs="仿宋_GB2312"/>
          <w:color w:val="auto"/>
          <w:kern w:val="0"/>
          <w:sz w:val="24"/>
          <w:highlight w:val="none"/>
        </w:rPr>
        <w:t>的任何活动，都将导致投标被拒绝，并由其承担相应的法律责任。</w:t>
      </w:r>
    </w:p>
    <w:p>
      <w:pPr>
        <w:keepNext w:val="0"/>
        <w:keepLines w:val="0"/>
        <w:pageBreakBefore w:val="0"/>
        <w:widowControl w:val="0"/>
        <w:kinsoku/>
        <w:wordWrap w:val="0"/>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_GB2312" w:hAnsi="仿宋_GB2312" w:eastAsia="仿宋_GB2312" w:cs="仿宋_GB2312"/>
          <w:b/>
          <w:color w:val="auto"/>
          <w:sz w:val="32"/>
          <w:highlight w:val="none"/>
        </w:rPr>
      </w:pPr>
    </w:p>
    <w:bookmarkEnd w:id="19"/>
    <w:p>
      <w:pPr>
        <w:pStyle w:val="36"/>
        <w:keepNext w:val="0"/>
        <w:keepLines w:val="0"/>
        <w:pageBreakBefore w:val="0"/>
        <w:widowControl w:val="0"/>
        <w:kinsoku/>
        <w:wordWrap w:val="0"/>
        <w:overflowPunct/>
        <w:topLinePunct w:val="0"/>
        <w:autoSpaceDE/>
        <w:autoSpaceDN/>
        <w:bidi w:val="0"/>
        <w:adjustRightInd w:val="0"/>
        <w:spacing w:line="360" w:lineRule="auto"/>
        <w:ind w:firstLine="726"/>
        <w:jc w:val="center"/>
        <w:textAlignment w:val="auto"/>
        <w:rPr>
          <w:rFonts w:hint="eastAsia" w:ascii="仿宋_GB2312" w:hAnsi="仿宋_GB2312" w:eastAsia="仿宋_GB2312" w:cs="仿宋_GB2312"/>
          <w:b/>
          <w:color w:val="auto"/>
          <w:sz w:val="32"/>
          <w:szCs w:val="32"/>
          <w:highlight w:val="none"/>
        </w:rPr>
      </w:pPr>
      <w:bookmarkStart w:id="20" w:name="_Hlt74707468"/>
      <w:bookmarkEnd w:id="20"/>
      <w:bookmarkStart w:id="21" w:name="_Hlt74730295"/>
      <w:bookmarkEnd w:id="21"/>
      <w:bookmarkStart w:id="22" w:name="_Hlt68403820"/>
      <w:bookmarkEnd w:id="22"/>
      <w:bookmarkStart w:id="23" w:name="_Hlt75236290"/>
      <w:bookmarkEnd w:id="23"/>
      <w:bookmarkStart w:id="24" w:name="_Hlt68072990"/>
      <w:bookmarkEnd w:id="24"/>
      <w:bookmarkStart w:id="25" w:name="_Hlt74729768"/>
      <w:bookmarkEnd w:id="25"/>
      <w:bookmarkStart w:id="26" w:name="_Hlt75236011"/>
      <w:bookmarkEnd w:id="26"/>
      <w:bookmarkStart w:id="27" w:name="_Hlt74714665"/>
      <w:bookmarkEnd w:id="27"/>
      <w:bookmarkStart w:id="28" w:name="_Hlt68073093"/>
      <w:bookmarkEnd w:id="28"/>
      <w:bookmarkStart w:id="29" w:name="_Hlt75236101"/>
      <w:bookmarkEnd w:id="29"/>
      <w:bookmarkStart w:id="30" w:name="_Hlt68072998"/>
      <w:bookmarkEnd w:id="30"/>
      <w:bookmarkStart w:id="31" w:name="_Hlt68057669"/>
      <w:bookmarkEnd w:id="31"/>
      <w:bookmarkStart w:id="32" w:name="_Toc84325929"/>
      <w:bookmarkStart w:id="33" w:name="_Toc81372776"/>
      <w:bookmarkStart w:id="34" w:name="_Toc81372953"/>
      <w:r>
        <w:rPr>
          <w:rFonts w:hint="eastAsia" w:ascii="仿宋_GB2312" w:hAnsi="仿宋_GB2312" w:eastAsia="仿宋_GB2312" w:cs="仿宋_GB2312"/>
          <w:b/>
          <w:color w:val="auto"/>
          <w:sz w:val="32"/>
          <w:szCs w:val="32"/>
          <w:highlight w:val="none"/>
        </w:rPr>
        <w:t>五、授予合同</w:t>
      </w:r>
    </w:p>
    <w:bookmarkEnd w:id="32"/>
    <w:bookmarkEnd w:id="33"/>
    <w:bookmarkEnd w:id="34"/>
    <w:p>
      <w:pPr>
        <w:pStyle w:val="17"/>
        <w:keepNext w:val="0"/>
        <w:keepLines w:val="0"/>
        <w:pageBreakBefore w:val="0"/>
        <w:tabs>
          <w:tab w:val="clear" w:pos="390"/>
          <w:tab w:val="clear" w:pos="454"/>
        </w:tabs>
        <w:kinsoku/>
        <w:wordWrap w:val="0"/>
        <w:overflowPunct/>
        <w:topLinePunct w:val="0"/>
        <w:autoSpaceDE/>
        <w:autoSpaceDN/>
        <w:bidi w:val="0"/>
        <w:snapToGrid/>
        <w:spacing w:after="0" w:line="440" w:lineRule="exact"/>
        <w:ind w:left="0" w:firstLine="482" w:firstLineChars="20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1.中标条件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1.1投标文件基本符合招标文件要求；</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1.2投标人有很好的执行合同的能力；</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1.3实施方案最合理并对招标人最为有利，最大限度满足招标文件的要求；</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1.4投标人能够提供质量技术、商务经济占综合优势的系统及服务。</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1.5招标人将把中标通知书授予最佳投标者，但最低价不是中标的绝对保证。</w:t>
      </w:r>
    </w:p>
    <w:p>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2.中标确认</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2.3采购人应在确认中标人前再次对资格条件和相关证件材料进一步查验核实。</w:t>
      </w:r>
    </w:p>
    <w:p>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3．中标通知</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3.1采购代理机构对中标结果在指定媒体（浙江政府采购网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"http://www.zjzfcg.gov.cn"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http://zfcg.czt.zj.gov.cn/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、绍兴公共资源交易网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"http://ggb.sx.gov.cn"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http://ggb.sx.gov.cn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）发布中标公告，中标公告期限为1个工作日。</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color w:val="auto"/>
          <w:sz w:val="24"/>
          <w:highlight w:val="none"/>
          <w:lang w:val="zh-CN"/>
        </w:rPr>
        <w:t>。</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3.3采购代理机构对中标结果不作任何说明和解释，也不回答任何提问。</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4</w:t>
      </w:r>
      <w:r>
        <w:rPr>
          <w:rFonts w:hint="eastAsia" w:ascii="仿宋_GB2312" w:hAnsi="仿宋_GB2312" w:eastAsia="仿宋_GB2312" w:cs="仿宋_GB2312"/>
          <w:b/>
          <w:color w:val="auto"/>
          <w:sz w:val="24"/>
          <w:highlight w:val="none"/>
        </w:rPr>
        <w:t>．履约保证金</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4.2项目验收结束后，采购人应及时退还履约保证金。</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4.4政府采购货物和服务项目不得收取质量保证金。</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5</w:t>
      </w:r>
      <w:r>
        <w:rPr>
          <w:rFonts w:hint="eastAsia" w:ascii="仿宋_GB2312" w:hAnsi="仿宋_GB2312" w:eastAsia="仿宋_GB2312" w:cs="仿宋_GB2312"/>
          <w:b/>
          <w:color w:val="auto"/>
          <w:sz w:val="24"/>
          <w:highlight w:val="none"/>
        </w:rPr>
        <w:t>．合同签订及备案</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5.1中标人应当在中标通知书发出之日起30天内与采购人签订合同，自采购合同签订之日起2个工作日内，通过电子交易平台进行备案。</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6</w:t>
      </w:r>
      <w:r>
        <w:rPr>
          <w:rFonts w:hint="eastAsia" w:ascii="仿宋_GB2312" w:hAnsi="仿宋_GB2312" w:eastAsia="仿宋_GB2312" w:cs="仿宋_GB2312"/>
          <w:b/>
          <w:color w:val="auto"/>
          <w:sz w:val="24"/>
          <w:highlight w:val="none"/>
        </w:rPr>
        <w:t>.验收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7</w:t>
      </w:r>
      <w:r>
        <w:rPr>
          <w:rFonts w:hint="eastAsia" w:ascii="仿宋_GB2312" w:hAnsi="仿宋_GB2312" w:eastAsia="仿宋_GB2312" w:cs="仿宋_GB2312"/>
          <w:b/>
          <w:color w:val="auto"/>
          <w:sz w:val="24"/>
          <w:highlight w:val="none"/>
        </w:rPr>
        <w:t>.售后服务考核</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pPr>
        <w:keepNext w:val="0"/>
        <w:keepLines w:val="0"/>
        <w:pageBreakBefore w:val="0"/>
        <w:widowControl w:val="0"/>
        <w:tabs>
          <w:tab w:val="left" w:pos="0"/>
        </w:tabs>
        <w:kinsoku/>
        <w:wordWrap w:val="0"/>
        <w:overflowPunct/>
        <w:topLinePunct w:val="0"/>
        <w:autoSpaceDE/>
        <w:autoSpaceDN/>
        <w:bidi w:val="0"/>
        <w:adjustRightInd w:val="0"/>
        <w:spacing w:line="360" w:lineRule="auto"/>
        <w:ind w:firstLine="480"/>
        <w:textAlignment w:val="auto"/>
        <w:rPr>
          <w:rFonts w:hint="eastAsia" w:ascii="仿宋_GB2312" w:hAnsi="仿宋_GB2312" w:eastAsia="仿宋_GB2312" w:cs="仿宋_GB2312"/>
          <w:color w:val="auto"/>
          <w:kern w:val="0"/>
          <w:sz w:val="24"/>
          <w:highlight w:val="none"/>
        </w:rPr>
      </w:pPr>
    </w:p>
    <w:p>
      <w:pPr>
        <w:kinsoku/>
        <w:wordWrap w:val="0"/>
        <w:overflowPunct/>
        <w:topLinePunct w:val="0"/>
        <w:bidi w:val="0"/>
        <w:adjustRightInd/>
        <w:spacing w:line="336"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六、</w:t>
      </w:r>
      <w:r>
        <w:rPr>
          <w:rFonts w:hint="eastAsia" w:ascii="仿宋_GB2312" w:hAnsi="仿宋_GB2312" w:eastAsia="仿宋_GB2312" w:cs="仿宋_GB2312"/>
          <w:b/>
          <w:bCs/>
          <w:i w:val="0"/>
          <w:iCs w:val="0"/>
          <w:color w:val="auto"/>
          <w:kern w:val="2"/>
          <w:sz w:val="32"/>
          <w:szCs w:val="20"/>
          <w:highlight w:val="none"/>
          <w:vertAlign w:val="baseline"/>
          <w:lang w:val="en-US" w:eastAsia="zh-CN" w:bidi="ar-SA"/>
        </w:rPr>
        <w:t>询问、质疑与投诉</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1.在线询问、质疑、投诉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_GB2312" w:hAnsi="仿宋_GB2312" w:eastAsia="仿宋_GB2312" w:cs="仿宋_GB2312"/>
          <w:color w:val="auto"/>
          <w:sz w:val="24"/>
          <w:highlight w:val="none"/>
        </w:rPr>
        <w:t>〔2021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2. 供应商询问</w:t>
      </w:r>
    </w:p>
    <w:p>
      <w:pPr>
        <w:kinsoku/>
        <w:wordWrap w:val="0"/>
        <w:overflowPunct/>
        <w:topLinePunct w:val="0"/>
        <w:autoSpaceDE w:val="0"/>
        <w:autoSpaceDN w:val="0"/>
        <w:bidi w:val="0"/>
        <w:adjustRightInd w:val="0"/>
        <w:spacing w:line="336" w:lineRule="auto"/>
        <w:ind w:firstLine="480" w:firstLineChars="200"/>
        <w:jc w:val="left"/>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_GB2312" w:hAnsi="仿宋_GB2312" w:eastAsia="仿宋_GB2312" w:cs="仿宋_GB2312"/>
          <w:b w:val="0"/>
          <w:bCs w:val="0"/>
          <w:i w:val="0"/>
          <w:iCs w:val="0"/>
          <w:color w:val="auto"/>
          <w:kern w:val="0"/>
          <w:sz w:val="24"/>
          <w:szCs w:val="24"/>
          <w:highlight w:val="none"/>
          <w:vertAlign w:val="baseline"/>
          <w:lang w:val="en-US" w:eastAsia="zh-CN" w:bidi="ar-SA"/>
        </w:rPr>
        <w:t xml:space="preserve"> </w:t>
      </w: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的，采购代理机构应当告知供应商向采购人提出。</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3. 供应商质疑</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.1质疑提出时效</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kinsoku/>
        <w:wordWrap w:val="0"/>
        <w:overflowPunct/>
        <w:topLinePunct w:val="0"/>
        <w:bidi w:val="0"/>
        <w:adjustRightInd w:val="0"/>
        <w:snapToGrid w:val="0"/>
        <w:spacing w:line="336" w:lineRule="auto"/>
        <w:ind w:firstLine="434" w:firstLineChars="181"/>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3.1.2.4对同一采购程序环节的质疑，供应商须一次性提出。</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0"/>
          <w:sz w:val="24"/>
          <w:szCs w:val="20"/>
          <w:highlight w:val="none"/>
          <w:vertAlign w:val="baseline"/>
          <w:lang w:val="en-US" w:eastAsia="zh-CN" w:bidi="ar-SA"/>
        </w:rPr>
        <w:t>2</w:t>
      </w: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质疑函</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供应商的姓名或者名称、地址、邮编、联系人及联系电话；</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质疑项目的名称、编号；</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具体、明确的质疑事项和与质疑事项相关的请求；</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事实依据；</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必要的法律依据；</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提出质疑的日期。</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质疑函范本及制作说明详见附件1。</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4.供应商投诉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4.3供应商投诉应当有明确的请求和必要的证明材料。</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left"/>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投诉书范本及制作说明详见附件2。</w:t>
      </w:r>
    </w:p>
    <w:p>
      <w:pPr>
        <w:pStyle w:val="25"/>
        <w:keepNext w:val="0"/>
        <w:keepLines w:val="0"/>
        <w:pageBreakBefore w:val="0"/>
        <w:widowControl w:val="0"/>
        <w:kinsoku/>
        <w:wordWrap w:val="0"/>
        <w:overflowPunct/>
        <w:topLinePunct w:val="0"/>
        <w:bidi w:val="0"/>
        <w:adjustRightInd w:val="0"/>
        <w:snapToGrid/>
        <w:spacing w:line="440" w:lineRule="exact"/>
        <w:ind w:firstLine="480" w:firstLineChars="200"/>
        <w:textAlignment w:val="auto"/>
        <w:rPr>
          <w:rFonts w:hint="eastAsia" w:ascii="仿宋_GB2312" w:hAnsi="仿宋_GB2312" w:eastAsia="仿宋_GB2312" w:cs="仿宋_GB2312"/>
          <w:color w:val="auto"/>
          <w:highlight w:val="none"/>
        </w:rPr>
        <w:sectPr>
          <w:footerReference r:id="rId11" w:type="default"/>
          <w:pgSz w:w="11906" w:h="16838"/>
          <w:pgMar w:top="1474" w:right="1814" w:bottom="1474" w:left="1814" w:header="851" w:footer="992" w:gutter="0"/>
          <w:pgNumType w:fmt="decimal"/>
          <w:cols w:space="720" w:num="1"/>
          <w:docGrid w:linePitch="312" w:charSpace="0"/>
        </w:sectPr>
      </w:pPr>
    </w:p>
    <w:bookmarkEnd w:id="17"/>
    <w:bookmarkEnd w:id="18"/>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pPr>
        <w:keepNext w:val="0"/>
        <w:keepLines w:val="0"/>
        <w:pageBreakBefore w:val="0"/>
        <w:widowControl w:val="0"/>
        <w:kinsoku/>
        <w:wordWrap/>
        <w:overflowPunct/>
        <w:topLinePunct w:val="0"/>
        <w:autoSpaceDE/>
        <w:autoSpaceDN/>
        <w:bidi w:val="0"/>
        <w:adjustRightInd w:val="0"/>
        <w:snapToGrid/>
        <w:spacing w:line="360" w:lineRule="auto"/>
        <w:ind w:left="0" w:leftChars="0" w:firstLine="0" w:firstLineChars="0"/>
        <w:jc w:val="left"/>
        <w:textAlignment w:val="auto"/>
        <w:outlineLvl w:val="0"/>
        <w:rPr>
          <w:rFonts w:hint="eastAsia" w:ascii="仿宋" w:hAnsi="仿宋" w:eastAsia="仿宋_GB2312" w:cs="仿宋"/>
          <w:b/>
          <w:color w:val="auto"/>
          <w:sz w:val="36"/>
          <w:szCs w:val="36"/>
          <w:highlight w:val="none"/>
          <w:lang w:eastAsia="zh-CN"/>
        </w:rPr>
      </w:pPr>
      <w:bookmarkStart w:id="36" w:name="第五部分"/>
      <w:bookmarkStart w:id="37" w:name="_Toc86217003"/>
      <w:r>
        <w:rPr>
          <w:rFonts w:hint="eastAsia" w:ascii="仿宋_GB2312" w:hAnsi="新宋体" w:eastAsia="仿宋_GB2312" w:cs="Arial"/>
          <w:b/>
          <w:bCs/>
          <w:sz w:val="24"/>
          <w:bdr w:val="single" w:color="auto" w:sz="4" w:space="0"/>
        </w:rPr>
        <w:t>01标</w:t>
      </w:r>
      <w:r>
        <w:rPr>
          <w:rFonts w:hint="eastAsia" w:ascii="仿宋_GB2312" w:hAnsi="新宋体" w:eastAsia="仿宋_GB2312" w:cs="Arial"/>
          <w:b/>
          <w:bCs/>
          <w:sz w:val="24"/>
          <w:lang w:eastAsia="zh-CN"/>
        </w:rPr>
        <w:t>物业管理服务项目</w:t>
      </w:r>
    </w:p>
    <w:p>
      <w:pPr>
        <w:keepNext w:val="0"/>
        <w:keepLines w:val="0"/>
        <w:pageBreakBefore w:val="0"/>
        <w:kinsoku/>
        <w:wordWrap/>
        <w:overflowPunct/>
        <w:topLinePunct w:val="0"/>
        <w:bidi w:val="0"/>
        <w:adjustRightInd w:val="0"/>
        <w:spacing w:line="400" w:lineRule="exact"/>
        <w:ind w:firstLine="482" w:firstLineChars="200"/>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一、项目概况</w:t>
      </w:r>
    </w:p>
    <w:p>
      <w:pPr>
        <w:keepNext w:val="0"/>
        <w:keepLines w:val="0"/>
        <w:pageBreakBefore w:val="0"/>
        <w:kinsoku/>
        <w:wordWrap/>
        <w:overflowPunct/>
        <w:topLinePunct w:val="0"/>
        <w:bidi w:val="0"/>
        <w:adjustRightInd w:val="0"/>
        <w:spacing w:line="400" w:lineRule="exact"/>
        <w:ind w:firstLine="480" w:firstLineChars="200"/>
        <w:jc w:val="left"/>
        <w:textAlignment w:val="auto"/>
        <w:rPr>
          <w:rFonts w:hint="eastAsia" w:ascii="仿宋_GB2312" w:hAnsi="仿宋_GB2312" w:eastAsia="仿宋_GB2312" w:cs="仿宋_GB2312"/>
          <w:b/>
          <w:dstrike/>
          <w:color w:val="auto"/>
          <w:sz w:val="24"/>
          <w:szCs w:val="24"/>
          <w:highlight w:val="none"/>
        </w:rPr>
      </w:pPr>
      <w:r>
        <w:rPr>
          <w:rFonts w:hint="eastAsia" w:ascii="仿宋_GB2312" w:hAnsi="仿宋_GB2312" w:eastAsia="仿宋_GB2312" w:cs="仿宋_GB2312"/>
          <w:bCs/>
          <w:color w:val="auto"/>
          <w:sz w:val="24"/>
          <w:szCs w:val="24"/>
          <w:highlight w:val="none"/>
        </w:rPr>
        <w:t>本次采购内容为绍兴市殡仪馆</w:t>
      </w:r>
      <w:r>
        <w:rPr>
          <w:rFonts w:hint="eastAsia" w:ascii="仿宋_GB2312" w:hAnsi="仿宋_GB2312" w:eastAsia="仿宋_GB2312" w:cs="仿宋_GB2312"/>
          <w:bCs/>
          <w:color w:val="auto"/>
          <w:sz w:val="24"/>
          <w:szCs w:val="24"/>
          <w:highlight w:val="none"/>
          <w:lang w:eastAsia="zh-CN"/>
        </w:rPr>
        <w:t>物业管理服务项目</w:t>
      </w:r>
      <w:r>
        <w:rPr>
          <w:rFonts w:hint="eastAsia" w:ascii="仿宋_GB2312" w:hAnsi="仿宋_GB2312" w:eastAsia="仿宋_GB2312" w:cs="仿宋_GB2312"/>
          <w:bCs/>
          <w:color w:val="auto"/>
          <w:sz w:val="24"/>
          <w:szCs w:val="24"/>
          <w:highlight w:val="none"/>
        </w:rPr>
        <w:t>。</w:t>
      </w:r>
    </w:p>
    <w:p>
      <w:pPr>
        <w:keepNext w:val="0"/>
        <w:keepLines w:val="0"/>
        <w:pageBreakBefore w:val="0"/>
        <w:kinsoku/>
        <w:wordWrap/>
        <w:overflowPunct/>
        <w:topLinePunct w:val="0"/>
        <w:bidi w:val="0"/>
        <w:adjustRightInd w:val="0"/>
        <w:spacing w:line="400" w:lineRule="exact"/>
        <w:ind w:firstLine="482" w:firstLineChars="200"/>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二、服务范围、期限、内容、要求</w:t>
      </w:r>
    </w:p>
    <w:p>
      <w:pPr>
        <w:keepNext w:val="0"/>
        <w:keepLines w:val="0"/>
        <w:pageBreakBefore w:val="0"/>
        <w:kinsoku/>
        <w:wordWrap/>
        <w:overflowPunct/>
        <w:topLinePunct w:val="0"/>
        <w:bidi w:val="0"/>
        <w:adjustRightInd w:val="0"/>
        <w:spacing w:line="400" w:lineRule="exact"/>
        <w:ind w:firstLine="482" w:firstLineChars="200"/>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（一）</w:t>
      </w:r>
      <w:r>
        <w:rPr>
          <w:rFonts w:hint="eastAsia" w:ascii="仿宋_GB2312" w:hAnsi="仿宋_GB2312" w:eastAsia="仿宋_GB2312" w:cs="仿宋_GB2312"/>
          <w:b/>
          <w:color w:val="auto"/>
          <w:sz w:val="24"/>
          <w:szCs w:val="24"/>
          <w:highlight w:val="none"/>
        </w:rPr>
        <w:t>服务范围</w:t>
      </w:r>
    </w:p>
    <w:p>
      <w:pPr>
        <w:keepNext w:val="0"/>
        <w:keepLines w:val="0"/>
        <w:pageBreakBefore w:val="0"/>
        <w:kinsoku/>
        <w:wordWrap/>
        <w:overflowPunct/>
        <w:topLinePunct w:val="0"/>
        <w:bidi w:val="0"/>
        <w:adjustRightInd w:val="0"/>
        <w:spacing w:line="400" w:lineRule="exact"/>
        <w:ind w:firstLine="480" w:firstLineChars="20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绍兴市殡仪馆下属三个墓区：望秦山陵园、香炉峰墓区和官山生态陵园。包括各墓区内公共设施、办公楼、地下室和回民墓区服务用房等建筑</w:t>
      </w:r>
      <w:r>
        <w:rPr>
          <w:rFonts w:hint="eastAsia" w:ascii="仿宋_GB2312" w:hAnsi="仿宋_GB2312" w:eastAsia="仿宋_GB2312" w:cs="仿宋_GB2312"/>
          <w:bCs/>
          <w:color w:val="auto"/>
          <w:sz w:val="24"/>
          <w:szCs w:val="24"/>
          <w:highlight w:val="none"/>
          <w:lang w:eastAsia="zh-CN"/>
        </w:rPr>
        <w:t>和相关智能化消防、电气安防等系统设备</w:t>
      </w:r>
      <w:r>
        <w:rPr>
          <w:rFonts w:hint="eastAsia" w:ascii="仿宋_GB2312" w:hAnsi="仿宋_GB2312" w:eastAsia="仿宋_GB2312" w:cs="仿宋_GB2312"/>
          <w:bCs/>
          <w:color w:val="auto"/>
          <w:sz w:val="24"/>
          <w:szCs w:val="24"/>
          <w:highlight w:val="none"/>
        </w:rPr>
        <w:t>。</w:t>
      </w:r>
    </w:p>
    <w:p>
      <w:pPr>
        <w:keepNext w:val="0"/>
        <w:keepLines w:val="0"/>
        <w:pageBreakBefore w:val="0"/>
        <w:kinsoku/>
        <w:wordWrap/>
        <w:overflowPunct/>
        <w:topLinePunct w:val="0"/>
        <w:bidi w:val="0"/>
        <w:adjustRightInd w:val="0"/>
        <w:spacing w:line="400" w:lineRule="exact"/>
        <w:ind w:firstLine="482" w:firstLineChars="200"/>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eastAsia="zh-CN"/>
        </w:rPr>
        <w:t>（二）</w:t>
      </w:r>
      <w:r>
        <w:rPr>
          <w:rFonts w:hint="eastAsia" w:ascii="仿宋_GB2312" w:hAnsi="仿宋_GB2312" w:eastAsia="仿宋_GB2312" w:cs="仿宋_GB2312"/>
          <w:b/>
          <w:color w:val="auto"/>
          <w:sz w:val="24"/>
          <w:szCs w:val="24"/>
          <w:highlight w:val="none"/>
        </w:rPr>
        <w:t>服务内容</w:t>
      </w:r>
    </w:p>
    <w:p>
      <w:pPr>
        <w:keepNext w:val="0"/>
        <w:keepLines w:val="0"/>
        <w:pageBreakBefore w:val="0"/>
        <w:kinsoku/>
        <w:wordWrap/>
        <w:overflowPunct/>
        <w:topLinePunct w:val="0"/>
        <w:bidi w:val="0"/>
        <w:adjustRightInd w:val="0"/>
        <w:spacing w:line="400" w:lineRule="exact"/>
        <w:ind w:firstLine="480" w:firstLineChars="20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主要包括墓区内所有公共区域及办公场所的日常保洁</w:t>
      </w:r>
      <w:r>
        <w:rPr>
          <w:rFonts w:hint="eastAsia" w:ascii="仿宋_GB2312" w:hAnsi="仿宋_GB2312" w:eastAsia="仿宋_GB2312" w:cs="仿宋_GB2312"/>
          <w:bCs/>
          <w:color w:val="auto"/>
          <w:sz w:val="24"/>
          <w:szCs w:val="24"/>
          <w:highlight w:val="none"/>
          <w:lang w:eastAsia="zh-CN"/>
        </w:rPr>
        <w:t>、</w:t>
      </w:r>
      <w:r>
        <w:rPr>
          <w:rFonts w:hint="eastAsia" w:ascii="仿宋_GB2312" w:hAnsi="仿宋_GB2312" w:eastAsia="仿宋_GB2312" w:cs="仿宋_GB2312"/>
          <w:bCs/>
          <w:color w:val="auto"/>
          <w:sz w:val="24"/>
          <w:szCs w:val="24"/>
          <w:highlight w:val="none"/>
        </w:rPr>
        <w:t>绿化养护</w:t>
      </w:r>
      <w:r>
        <w:rPr>
          <w:rFonts w:hint="eastAsia" w:ascii="仿宋_GB2312" w:hAnsi="仿宋_GB2312" w:eastAsia="仿宋_GB2312" w:cs="仿宋_GB2312"/>
          <w:bCs/>
          <w:color w:val="auto"/>
          <w:sz w:val="24"/>
          <w:szCs w:val="24"/>
          <w:highlight w:val="none"/>
          <w:lang w:eastAsia="zh-CN"/>
        </w:rPr>
        <w:t>以及设施设备的维修保养</w:t>
      </w:r>
      <w:r>
        <w:rPr>
          <w:rFonts w:hint="eastAsia" w:ascii="仿宋_GB2312" w:hAnsi="仿宋_GB2312" w:eastAsia="仿宋_GB2312" w:cs="仿宋_GB2312"/>
          <w:bCs/>
          <w:color w:val="auto"/>
          <w:sz w:val="24"/>
          <w:szCs w:val="24"/>
          <w:highlight w:val="none"/>
        </w:rPr>
        <w:t>等。</w:t>
      </w:r>
    </w:p>
    <w:p>
      <w:pPr>
        <w:keepNext w:val="0"/>
        <w:keepLines w:val="0"/>
        <w:pageBreakBefore w:val="0"/>
        <w:kinsoku/>
        <w:wordWrap/>
        <w:overflowPunct/>
        <w:topLinePunct w:val="0"/>
        <w:bidi w:val="0"/>
        <w:adjustRightInd w:val="0"/>
        <w:spacing w:line="400" w:lineRule="exact"/>
        <w:ind w:firstLine="482" w:firstLineChars="200"/>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eastAsia="zh-CN"/>
        </w:rPr>
        <w:t>（三）</w:t>
      </w:r>
      <w:r>
        <w:rPr>
          <w:rFonts w:hint="eastAsia" w:ascii="仿宋_GB2312" w:hAnsi="仿宋_GB2312" w:eastAsia="仿宋_GB2312" w:cs="仿宋_GB2312"/>
          <w:b/>
          <w:color w:val="auto"/>
          <w:sz w:val="24"/>
          <w:szCs w:val="24"/>
          <w:highlight w:val="none"/>
        </w:rPr>
        <w:t>服务期限</w:t>
      </w:r>
    </w:p>
    <w:p>
      <w:pPr>
        <w:keepNext w:val="0"/>
        <w:keepLines w:val="0"/>
        <w:pageBreakBefore w:val="0"/>
        <w:kinsoku/>
        <w:wordWrap/>
        <w:overflowPunct/>
        <w:topLinePunct w:val="0"/>
        <w:bidi w:val="0"/>
        <w:adjustRightInd w:val="0"/>
        <w:spacing w:line="400" w:lineRule="exact"/>
        <w:ind w:firstLine="480" w:firstLineChars="20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本项目服务期为壹年，自202</w:t>
      </w:r>
      <w:r>
        <w:rPr>
          <w:rFonts w:hint="eastAsia" w:ascii="仿宋_GB2312" w:hAnsi="仿宋_GB2312" w:eastAsia="仿宋_GB2312" w:cs="仿宋_GB2312"/>
          <w:bCs/>
          <w:color w:val="auto"/>
          <w:sz w:val="24"/>
          <w:szCs w:val="24"/>
          <w:highlight w:val="none"/>
          <w:lang w:val="en-US" w:eastAsia="zh-CN"/>
        </w:rPr>
        <w:t>5</w:t>
      </w:r>
      <w:r>
        <w:rPr>
          <w:rFonts w:hint="eastAsia" w:ascii="仿宋_GB2312" w:hAnsi="仿宋_GB2312" w:eastAsia="仿宋_GB2312" w:cs="仿宋_GB2312"/>
          <w:bCs/>
          <w:color w:val="auto"/>
          <w:sz w:val="24"/>
          <w:szCs w:val="24"/>
          <w:highlight w:val="none"/>
        </w:rPr>
        <w:t>年5月1日至202</w:t>
      </w:r>
      <w:r>
        <w:rPr>
          <w:rFonts w:hint="eastAsia" w:ascii="仿宋_GB2312" w:hAnsi="仿宋_GB2312" w:eastAsia="仿宋_GB2312" w:cs="仿宋_GB2312"/>
          <w:bCs/>
          <w:color w:val="auto"/>
          <w:sz w:val="24"/>
          <w:szCs w:val="24"/>
          <w:highlight w:val="none"/>
          <w:lang w:val="en-US" w:eastAsia="zh-CN"/>
        </w:rPr>
        <w:t>6</w:t>
      </w:r>
      <w:r>
        <w:rPr>
          <w:rFonts w:hint="eastAsia" w:ascii="仿宋_GB2312" w:hAnsi="仿宋_GB2312" w:eastAsia="仿宋_GB2312" w:cs="仿宋_GB2312"/>
          <w:bCs/>
          <w:color w:val="auto"/>
          <w:sz w:val="24"/>
          <w:szCs w:val="24"/>
          <w:highlight w:val="none"/>
        </w:rPr>
        <w:t>年4月30日。</w:t>
      </w:r>
    </w:p>
    <w:p>
      <w:pPr>
        <w:keepNext w:val="0"/>
        <w:keepLines w:val="0"/>
        <w:pageBreakBefore w:val="0"/>
        <w:kinsoku/>
        <w:wordWrap/>
        <w:overflowPunct/>
        <w:topLinePunct w:val="0"/>
        <w:bidi w:val="0"/>
        <w:adjustRightInd w:val="0"/>
        <w:spacing w:line="400" w:lineRule="exact"/>
        <w:ind w:firstLine="482"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color w:val="auto"/>
          <w:sz w:val="24"/>
          <w:szCs w:val="24"/>
          <w:highlight w:val="none"/>
          <w:lang w:eastAsia="zh-CN"/>
        </w:rPr>
        <w:t>（四）</w:t>
      </w:r>
      <w:r>
        <w:rPr>
          <w:rFonts w:hint="eastAsia" w:ascii="仿宋_GB2312" w:hAnsi="仿宋_GB2312" w:eastAsia="仿宋_GB2312" w:cs="仿宋_GB2312"/>
          <w:b/>
          <w:color w:val="auto"/>
          <w:sz w:val="24"/>
          <w:szCs w:val="24"/>
          <w:highlight w:val="none"/>
        </w:rPr>
        <w:t>服务要求</w:t>
      </w:r>
    </w:p>
    <w:p>
      <w:pPr>
        <w:keepNext w:val="0"/>
        <w:keepLines w:val="0"/>
        <w:pageBreakBefore w:val="0"/>
        <w:kinsoku/>
        <w:wordWrap/>
        <w:overflowPunct/>
        <w:topLinePunct w:val="0"/>
        <w:bidi w:val="0"/>
        <w:adjustRightInd w:val="0"/>
        <w:spacing w:line="400" w:lineRule="exact"/>
        <w:ind w:firstLine="482" w:firstLineChars="200"/>
        <w:jc w:val="left"/>
        <w:textAlignment w:val="auto"/>
        <w:rPr>
          <w:rFonts w:hint="eastAsia" w:ascii="仿宋_GB2312" w:hAnsi="仿宋_GB2312" w:eastAsia="仿宋_GB2312" w:cs="仿宋_GB2312"/>
          <w:b/>
          <w:color w:val="auto"/>
          <w:sz w:val="24"/>
          <w:szCs w:val="24"/>
          <w:highlight w:val="none"/>
          <w:lang w:val="en-US" w:eastAsia="zh-CN"/>
        </w:rPr>
      </w:pPr>
      <w:r>
        <w:rPr>
          <w:rFonts w:hint="eastAsia" w:ascii="仿宋_GB2312" w:hAnsi="仿宋_GB2312" w:eastAsia="仿宋_GB2312" w:cs="仿宋_GB2312"/>
          <w:b/>
          <w:color w:val="auto"/>
          <w:sz w:val="24"/>
          <w:szCs w:val="24"/>
          <w:highlight w:val="none"/>
          <w:lang w:val="en-US" w:eastAsia="zh-CN"/>
        </w:rPr>
        <w:t>1.保洁</w:t>
      </w:r>
    </w:p>
    <w:p>
      <w:pPr>
        <w:keepNext w:val="0"/>
        <w:keepLines w:val="0"/>
        <w:pageBreakBefore w:val="0"/>
        <w:kinsoku/>
        <w:wordWrap/>
        <w:overflowPunct/>
        <w:topLinePunct w:val="0"/>
        <w:bidi w:val="0"/>
        <w:adjustRightInd w:val="0"/>
        <w:spacing w:line="400" w:lineRule="exact"/>
        <w:ind w:firstLine="482" w:firstLineChars="200"/>
        <w:jc w:val="left"/>
        <w:textAlignment w:val="auto"/>
        <w:rPr>
          <w:rFonts w:hint="eastAsia" w:ascii="仿宋_GB2312" w:hAnsi="仿宋_GB2312" w:eastAsia="仿宋_GB2312" w:cs="仿宋_GB2312"/>
          <w:b/>
          <w:color w:val="auto"/>
          <w:sz w:val="24"/>
          <w:szCs w:val="24"/>
          <w:highlight w:val="none"/>
          <w:lang w:val="en-US" w:eastAsia="zh-CN"/>
        </w:rPr>
      </w:pPr>
      <w:r>
        <w:rPr>
          <w:rFonts w:hint="eastAsia" w:ascii="仿宋_GB2312" w:hAnsi="仿宋_GB2312" w:eastAsia="仿宋_GB2312" w:cs="仿宋_GB2312"/>
          <w:b/>
          <w:color w:val="auto"/>
          <w:sz w:val="24"/>
          <w:szCs w:val="24"/>
          <w:highlight w:val="none"/>
          <w:lang w:val="en-US" w:eastAsia="zh-CN"/>
        </w:rPr>
        <w:t>（1）保洁范围和内容要求</w:t>
      </w:r>
    </w:p>
    <w:p>
      <w:pPr>
        <w:keepNext w:val="0"/>
        <w:keepLines w:val="0"/>
        <w:pageBreakBefore w:val="0"/>
        <w:kinsoku/>
        <w:wordWrap/>
        <w:overflowPunct/>
        <w:topLinePunct w:val="0"/>
        <w:bidi w:val="0"/>
        <w:adjustRightInd w:val="0"/>
        <w:spacing w:line="400" w:lineRule="exact"/>
        <w:ind w:firstLine="480" w:firstLineChars="20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lang w:val="en-US" w:eastAsia="zh-CN"/>
        </w:rPr>
        <w:t>1）</w:t>
      </w:r>
      <w:r>
        <w:rPr>
          <w:rFonts w:hint="eastAsia" w:ascii="仿宋_GB2312" w:hAnsi="仿宋_GB2312" w:eastAsia="仿宋_GB2312" w:cs="仿宋_GB2312"/>
          <w:bCs/>
          <w:color w:val="auto"/>
          <w:sz w:val="24"/>
          <w:szCs w:val="24"/>
          <w:highlight w:val="none"/>
        </w:rPr>
        <w:t>行政楼、地下室及回民墓区服务用房区域：办公室内区域每日清扫1次，保证地面、窗台、扶手等位置的干净整洁；地下室每日清洁1次，保证公共区域无杂物堆积，定期检查地下室内各个管理用房，及时清理垃圾、蛛网等，并对生活泵房内的储水槽进行排空清洁，每月1次；回民墓区服务用房需在使用之后立即清理，平常情况下需定期打扫卫生，至少每周1次；办公楼大厅地面洁净有光泽，无纸屑、烟头等垃圾，无泥沙、污渍；墙面、天花及玻璃门窗无灰尘、无蜘蛛网，不锈钢公共设施表面保持光亮整洁、无灰尘，垃圾桶内垃圾不超过一半，保持大堂内空气清新、无异味，并做到每天清扫拖洗不少于2次；灯饰、门禁开关等公共设施每天擦拭1次，墙面及玻璃门窗每周擦拭1次，大厅每天须随时巡回保洁。</w:t>
      </w:r>
    </w:p>
    <w:p>
      <w:pPr>
        <w:keepNext w:val="0"/>
        <w:keepLines w:val="0"/>
        <w:pageBreakBefore w:val="0"/>
        <w:kinsoku/>
        <w:wordWrap/>
        <w:overflowPunct/>
        <w:topLinePunct w:val="0"/>
        <w:bidi w:val="0"/>
        <w:adjustRightInd w:val="0"/>
        <w:spacing w:line="400" w:lineRule="exact"/>
        <w:ind w:firstLine="480" w:firstLineChars="20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2）卫生间（包括室外公共卫生间）：卫生洁具清洁，无水迹、头发、异味；墙面四角干净、无蛛网，地面无脚印、杂物；金属器具保持光亮，无浮灰、水迹、绣斑；卫生用品齐全、无破损，空气清新；并做到每日4次以上定时检查保洁工作；洗手台无积水，镜面无水渍，卫生间内无异味，及时清倒卫生垃圾，达到卫生标准，地面随时拖擦，达到无水迹、无垃圾、无尘土、无污垢标准。</w:t>
      </w:r>
    </w:p>
    <w:p>
      <w:pPr>
        <w:keepNext w:val="0"/>
        <w:keepLines w:val="0"/>
        <w:pageBreakBefore w:val="0"/>
        <w:kinsoku/>
        <w:wordWrap/>
        <w:overflowPunct/>
        <w:topLinePunct w:val="0"/>
        <w:bidi w:val="0"/>
        <w:adjustRightInd w:val="0"/>
        <w:spacing w:line="400" w:lineRule="exact"/>
        <w:ind w:firstLine="480" w:firstLineChars="20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3）各楼层及多层楼梯：地面无滞留垃圾（如烟头、纸屑等）、无污渍，楼层无异味，地脚线干净无积尘，公共设施表面无乱写乱画，无积尘、墙面、天花目视无明显灰尘、无蜘蛛网；并做到每天清扫1次，每周拖洗不低于2次，过道内开关、消防栓、井道门等公共设施每周擦拭保洁1次。</w:t>
      </w:r>
    </w:p>
    <w:p>
      <w:pPr>
        <w:keepNext w:val="0"/>
        <w:keepLines w:val="0"/>
        <w:pageBreakBefore w:val="0"/>
        <w:kinsoku/>
        <w:wordWrap/>
        <w:overflowPunct/>
        <w:topLinePunct w:val="0"/>
        <w:bidi w:val="0"/>
        <w:adjustRightInd w:val="0"/>
        <w:spacing w:line="400" w:lineRule="exact"/>
        <w:ind w:firstLine="480" w:firstLineChars="20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4）墓区景观亭廊草地等楼外公共区域：园内硬化道路地面目视干净，无垃圾滞留，每日清扫1次，广场砖面每周冲洗一次；绿地、明沟无杂物、无积水，每周清理一次；公用照明灯具、宣传栏、监控杆、音响等每周擦抹一次，目视无污渍、明亮清洁。园内亭廊、墓道每日清扫一次，并整日巡查保洁，巡查发现垃圾第一时间清理。蓄水池内保持干净无杂物。墓区每月定期清洗一次，墓碑每月擦洗一次，丧户祭拜完离开后一小时内灭烟、灭火，及时清理祭拜品，鲜花隔日清理。园内设施随时保洁，并每月清洁一遍，确保无积水、无垃圾、无污垢、无乱涂乱画。</w:t>
      </w:r>
    </w:p>
    <w:p>
      <w:pPr>
        <w:keepNext w:val="0"/>
        <w:keepLines w:val="0"/>
        <w:pageBreakBefore w:val="0"/>
        <w:kinsoku/>
        <w:wordWrap/>
        <w:overflowPunct/>
        <w:topLinePunct w:val="0"/>
        <w:bidi w:val="0"/>
        <w:adjustRightInd w:val="0"/>
        <w:spacing w:line="400" w:lineRule="exact"/>
        <w:ind w:firstLine="480" w:firstLineChars="20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5）清明、冬至祭扫服务保障：清明节及冬至传统祭祀期间除完成日常工作外，应增加工作人员协助采购人维持祭扫秩序，做好保洁工作，配合采购人做好绿色殡葬、文明殡葬宣传工作，做好代客祭扫服务工作。</w:t>
      </w:r>
    </w:p>
    <w:p>
      <w:pPr>
        <w:keepNext w:val="0"/>
        <w:keepLines w:val="0"/>
        <w:pageBreakBefore w:val="0"/>
        <w:kinsoku/>
        <w:wordWrap/>
        <w:overflowPunct/>
        <w:topLinePunct w:val="0"/>
        <w:bidi w:val="0"/>
        <w:adjustRightInd w:val="0"/>
        <w:spacing w:line="400" w:lineRule="exact"/>
        <w:ind w:firstLine="480" w:firstLineChars="20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6）消杀服务：保洁区域内定期消杀，做好公共场所定期消毒工作，并做好消毒记录，防止蚊蝇滋生，消除“四害”。</w:t>
      </w:r>
    </w:p>
    <w:p>
      <w:pPr>
        <w:keepNext w:val="0"/>
        <w:keepLines w:val="0"/>
        <w:pageBreakBefore w:val="0"/>
        <w:kinsoku/>
        <w:wordWrap/>
        <w:overflowPunct/>
        <w:topLinePunct w:val="0"/>
        <w:bidi w:val="0"/>
        <w:adjustRightInd w:val="0"/>
        <w:spacing w:line="400" w:lineRule="exact"/>
        <w:ind w:firstLine="480" w:firstLineChars="20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7）会务服务：按采购人需求对范围内会议室提供会务服务。做好大堂前台引导接待与部分会议室的接待与服务工作。具体要求按采购人需要提前布置好会场，开好灯光、空调、准备好茶水、话筒、投影等相关物品，检查多媒体设备等。按要求对会议进行全程茶水服务，会议结束后，搞好清洁卫生，收拾好多媒体设备，发现异常情况及时报告。</w:t>
      </w:r>
    </w:p>
    <w:p>
      <w:pPr>
        <w:keepNext w:val="0"/>
        <w:keepLines w:val="0"/>
        <w:pageBreakBefore w:val="0"/>
        <w:kinsoku/>
        <w:wordWrap/>
        <w:overflowPunct/>
        <w:topLinePunct w:val="0"/>
        <w:bidi w:val="0"/>
        <w:adjustRightInd w:val="0"/>
        <w:spacing w:line="400" w:lineRule="exact"/>
        <w:ind w:firstLine="482" w:firstLineChars="200"/>
        <w:jc w:val="left"/>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sz w:val="24"/>
          <w:szCs w:val="24"/>
          <w:highlight w:val="none"/>
          <w:lang w:val="en-US" w:eastAsia="zh-CN"/>
        </w:rPr>
        <w:t>2）</w:t>
      </w:r>
      <w:r>
        <w:rPr>
          <w:rFonts w:hint="eastAsia" w:ascii="仿宋_GB2312" w:hAnsi="仿宋_GB2312" w:eastAsia="仿宋_GB2312" w:cs="仿宋_GB2312"/>
          <w:b/>
          <w:bCs/>
          <w:color w:val="auto"/>
          <w:sz w:val="24"/>
          <w:szCs w:val="24"/>
          <w:highlight w:val="none"/>
        </w:rPr>
        <w:t>保洁用品和其他要求</w:t>
      </w:r>
    </w:p>
    <w:p>
      <w:pPr>
        <w:keepNext w:val="0"/>
        <w:keepLines w:val="0"/>
        <w:pageBreakBefore w:val="0"/>
        <w:kinsoku/>
        <w:wordWrap/>
        <w:overflowPunct/>
        <w:topLinePunct w:val="0"/>
        <w:bidi w:val="0"/>
        <w:adjustRightInd w:val="0"/>
        <w:spacing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所有保洁用品由投标人提供，主要有垃圾袋、洗手液、檀香丸、抹布、水桶、各种保洁拖把、清洁剂等保洁用品。垃圾桶需及时更换垃圾袋，空的垃圾桶需及时套上垃圾袋，不得出现垃圾桶无垃圾袋现象；所有卫生间的小便池需放卫生球；垃圾桶上需放细石英砂。</w:t>
      </w:r>
    </w:p>
    <w:p>
      <w:pPr>
        <w:keepNext w:val="0"/>
        <w:keepLines w:val="0"/>
        <w:pageBreakBefore w:val="0"/>
        <w:kinsoku/>
        <w:wordWrap/>
        <w:overflowPunct/>
        <w:topLinePunct w:val="0"/>
        <w:bidi w:val="0"/>
        <w:adjustRightInd w:val="0"/>
        <w:spacing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2）卫生用品必须按采购人要求落实，放置必须及时，不得时断时有，消毒药水等不得有害身体健康，不得有强刺激味。</w:t>
      </w:r>
    </w:p>
    <w:p>
      <w:pPr>
        <w:keepNext w:val="0"/>
        <w:keepLines w:val="0"/>
        <w:pageBreakBefore w:val="0"/>
        <w:kinsoku/>
        <w:wordWrap/>
        <w:overflowPunct/>
        <w:topLinePunct w:val="0"/>
        <w:bidi w:val="0"/>
        <w:adjustRightInd w:val="0"/>
        <w:spacing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3）投标人进场后，需把相关工作人员的姓名、联系电话及负责保洁区域在大楼相关位置进行公示。</w:t>
      </w:r>
    </w:p>
    <w:p>
      <w:pPr>
        <w:keepNext w:val="0"/>
        <w:keepLines w:val="0"/>
        <w:pageBreakBefore w:val="0"/>
        <w:kinsoku/>
        <w:wordWrap/>
        <w:overflowPunct/>
        <w:topLinePunct w:val="0"/>
        <w:bidi w:val="0"/>
        <w:adjustRightInd w:val="0"/>
        <w:spacing w:line="400" w:lineRule="exact"/>
        <w:ind w:firstLine="480" w:firstLineChars="200"/>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4）大楼内垃圾每天必须收集清运，集中放置在指定地点；大楼外立面每年清洗一次，时间由采购人指定；大厅、过厅、大堂、办公室等地面地砖每年做晶面处理一次。</w:t>
      </w:r>
    </w:p>
    <w:p>
      <w:pPr>
        <w:keepNext w:val="0"/>
        <w:keepLines w:val="0"/>
        <w:pageBreakBefore w:val="0"/>
        <w:kinsoku/>
        <w:wordWrap/>
        <w:overflowPunct/>
        <w:topLinePunct w:val="0"/>
        <w:bidi w:val="0"/>
        <w:adjustRightInd w:val="0"/>
        <w:spacing w:line="400" w:lineRule="exact"/>
        <w:ind w:firstLine="482" w:firstLineChars="200"/>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2.</w:t>
      </w:r>
      <w:r>
        <w:rPr>
          <w:rFonts w:hint="eastAsia" w:ascii="仿宋_GB2312" w:hAnsi="仿宋_GB2312" w:eastAsia="仿宋_GB2312" w:cs="仿宋_GB2312"/>
          <w:b/>
          <w:color w:val="auto"/>
          <w:sz w:val="24"/>
          <w:szCs w:val="24"/>
          <w:highlight w:val="none"/>
        </w:rPr>
        <w:t>绿化养护</w:t>
      </w:r>
    </w:p>
    <w:p>
      <w:pPr>
        <w:keepNext w:val="0"/>
        <w:keepLines w:val="0"/>
        <w:pageBreakBefore w:val="0"/>
        <w:kinsoku/>
        <w:wordWrap/>
        <w:overflowPunct/>
        <w:topLinePunct w:val="0"/>
        <w:bidi w:val="0"/>
        <w:adjustRightInd w:val="0"/>
        <w:spacing w:line="400" w:lineRule="exact"/>
        <w:ind w:firstLine="482" w:firstLineChars="200"/>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eastAsia="zh-CN"/>
        </w:rPr>
        <w:t>（</w:t>
      </w:r>
      <w:r>
        <w:rPr>
          <w:rFonts w:hint="eastAsia" w:ascii="仿宋_GB2312" w:hAnsi="仿宋_GB2312" w:eastAsia="仿宋_GB2312" w:cs="仿宋_GB2312"/>
          <w:b/>
          <w:color w:val="auto"/>
          <w:sz w:val="24"/>
          <w:szCs w:val="24"/>
          <w:highlight w:val="none"/>
          <w:lang w:val="en-US" w:eastAsia="zh-CN"/>
        </w:rPr>
        <w:t>1）</w:t>
      </w:r>
      <w:r>
        <w:rPr>
          <w:rFonts w:hint="eastAsia" w:ascii="仿宋_GB2312" w:hAnsi="仿宋_GB2312" w:eastAsia="仿宋_GB2312" w:cs="仿宋_GB2312"/>
          <w:b/>
          <w:color w:val="auto"/>
          <w:sz w:val="24"/>
          <w:szCs w:val="24"/>
          <w:highlight w:val="none"/>
        </w:rPr>
        <w:t>绿化养护范围和内容要求</w:t>
      </w:r>
    </w:p>
    <w:p>
      <w:pPr>
        <w:keepNext w:val="0"/>
        <w:keepLines w:val="0"/>
        <w:pageBreakBefore w:val="0"/>
        <w:kinsoku/>
        <w:wordWrap/>
        <w:overflowPunct/>
        <w:topLinePunct w:val="0"/>
        <w:bidi w:val="0"/>
        <w:adjustRightInd w:val="0"/>
        <w:spacing w:line="400" w:lineRule="exact"/>
        <w:ind w:firstLine="480" w:firstLineChars="200"/>
        <w:jc w:val="left"/>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养护期限内，投标人应按照园林绿化养护操作规程及园林绿化养护质量标准，合理组织，精心养护，保质保量完成养护管理任务。质量等级要求符合《城市园林绿化养护管理标准》，达到绿化养护二级养护标准。</w:t>
      </w:r>
    </w:p>
    <w:p>
      <w:pPr>
        <w:keepNext w:val="0"/>
        <w:keepLines w:val="0"/>
        <w:pageBreakBefore w:val="0"/>
        <w:widowControl/>
        <w:kinsoku/>
        <w:wordWrap/>
        <w:overflowPunct/>
        <w:topLinePunct w:val="0"/>
        <w:bidi w:val="0"/>
        <w:adjustRightInd w:val="0"/>
        <w:spacing w:line="400" w:lineRule="exact"/>
        <w:ind w:firstLine="435"/>
        <w:jc w:val="left"/>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1）修剪：根据各类植物的生长特点、地理环境、景观要求，按照操作规程适时进行。</w:t>
      </w:r>
      <w:r>
        <w:rPr>
          <w:rFonts w:hint="eastAsia" w:ascii="仿宋_GB2312" w:hAnsi="仿宋_GB2312" w:eastAsia="仿宋_GB2312" w:cs="仿宋_GB2312"/>
          <w:color w:val="auto"/>
          <w:sz w:val="24"/>
          <w:szCs w:val="24"/>
          <w:highlight w:val="none"/>
        </w:rPr>
        <w:t>中标后须进行一次大规模树木修剪工作，服务期内大规模树木修剪工作不少于3次。</w:t>
      </w:r>
    </w:p>
    <w:p>
      <w:pPr>
        <w:keepNext w:val="0"/>
        <w:keepLines w:val="0"/>
        <w:pageBreakBefore w:val="0"/>
        <w:widowControl/>
        <w:kinsoku/>
        <w:wordWrap/>
        <w:overflowPunct/>
        <w:topLinePunct w:val="0"/>
        <w:bidi w:val="0"/>
        <w:adjustRightInd w:val="0"/>
        <w:spacing w:line="400" w:lineRule="exact"/>
        <w:ind w:firstLine="435"/>
        <w:jc w:val="left"/>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2）施肥、淋水：根据各类植物的生长特点及植物对肥料和水分的需要，要求年施肥不得少于2次，并适时适量进行淋水，以保持各类植物的生长旺盛达到一定景观效果。</w:t>
      </w:r>
    </w:p>
    <w:p>
      <w:pPr>
        <w:keepNext w:val="0"/>
        <w:keepLines w:val="0"/>
        <w:pageBreakBefore w:val="0"/>
        <w:widowControl/>
        <w:kinsoku/>
        <w:wordWrap/>
        <w:overflowPunct/>
        <w:topLinePunct w:val="0"/>
        <w:bidi w:val="0"/>
        <w:adjustRightInd w:val="0"/>
        <w:spacing w:line="400" w:lineRule="exact"/>
        <w:ind w:firstLine="435"/>
        <w:jc w:val="left"/>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3）除、种草：各类绿地、树穴、绿带要结合松土及时清理各类杂草。</w:t>
      </w:r>
      <w:r>
        <w:rPr>
          <w:rFonts w:hint="eastAsia" w:ascii="仿宋_GB2312" w:hAnsi="仿宋_GB2312" w:eastAsia="仿宋_GB2312" w:cs="仿宋_GB2312"/>
          <w:color w:val="auto"/>
          <w:sz w:val="24"/>
          <w:szCs w:val="24"/>
          <w:highlight w:val="none"/>
        </w:rPr>
        <w:t>秋、冬两季要做到全墓区无杂草，春、夏两季做到全墓区绿地内不可有超过10公分的杂草；对枯死的草皮及时换新，无绿化的草坪土地需要及时播种草籽。</w:t>
      </w:r>
    </w:p>
    <w:p>
      <w:pPr>
        <w:keepNext w:val="0"/>
        <w:keepLines w:val="0"/>
        <w:pageBreakBefore w:val="0"/>
        <w:widowControl/>
        <w:kinsoku/>
        <w:wordWrap/>
        <w:overflowPunct/>
        <w:topLinePunct w:val="0"/>
        <w:bidi w:val="0"/>
        <w:adjustRightInd w:val="0"/>
        <w:spacing w:line="400" w:lineRule="exact"/>
        <w:ind w:firstLine="435"/>
        <w:jc w:val="left"/>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4）抹芽：主要用于乔木、大型灌木，对不定芽要及时清除，以保持树木骨架清晰，促使生长形态美观，营养集中。 </w:t>
      </w:r>
    </w:p>
    <w:p>
      <w:pPr>
        <w:keepNext w:val="0"/>
        <w:keepLines w:val="0"/>
        <w:pageBreakBefore w:val="0"/>
        <w:widowControl/>
        <w:kinsoku/>
        <w:wordWrap/>
        <w:overflowPunct/>
        <w:topLinePunct w:val="0"/>
        <w:bidi w:val="0"/>
        <w:adjustRightInd w:val="0"/>
        <w:spacing w:line="400" w:lineRule="exact"/>
        <w:ind w:firstLine="435"/>
        <w:jc w:val="left"/>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5）病虫害防治：病虫害防治是园林植物养护中较为重要的手段和内容，要根据各类植物的寄生对象及时做好预测预报，及时采取措施防治。 </w:t>
      </w:r>
    </w:p>
    <w:p>
      <w:pPr>
        <w:keepNext w:val="0"/>
        <w:keepLines w:val="0"/>
        <w:pageBreakBefore w:val="0"/>
        <w:widowControl/>
        <w:kinsoku/>
        <w:wordWrap/>
        <w:overflowPunct/>
        <w:topLinePunct w:val="0"/>
        <w:bidi w:val="0"/>
        <w:adjustRightInd w:val="0"/>
        <w:spacing w:line="400" w:lineRule="exact"/>
        <w:ind w:firstLine="435"/>
        <w:jc w:val="left"/>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抗旱、抗台、抗涝，防低温：旱季及新种植物要及时进行灌溉，防止植物因脱水而造成枯死；台汛期间要做好加固、排涝抢险工作，防止植物受损。低温时期要及时对墓区树干进行涂白，防冻害防虫害。做好抗旱防台相关物资储备工作，随时应对突发状况。</w:t>
      </w:r>
    </w:p>
    <w:p>
      <w:pPr>
        <w:keepNext w:val="0"/>
        <w:keepLines w:val="0"/>
        <w:pageBreakBefore w:val="0"/>
        <w:kinsoku/>
        <w:wordWrap/>
        <w:overflowPunct/>
        <w:topLinePunct w:val="0"/>
        <w:bidi w:val="0"/>
        <w:adjustRightInd w:val="0"/>
        <w:spacing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Style w:val="964"/>
          <w:rFonts w:hint="eastAsia" w:ascii="仿宋_GB2312" w:hAnsi="仿宋_GB2312" w:eastAsia="仿宋_GB2312" w:cs="仿宋_GB2312"/>
          <w:color w:val="auto"/>
          <w:sz w:val="24"/>
          <w:szCs w:val="24"/>
          <w:highlight w:val="none"/>
        </w:rPr>
        <w:t>7）清洁：养护产生的垃圾（如：树枝、树叶、草屑等）做到随产随清，做到每天保洁，绿地整洁，无砖石瓦块等废弃物，无生活垃圾和枯叶枯枝。</w:t>
      </w:r>
    </w:p>
    <w:p>
      <w:pPr>
        <w:keepNext w:val="0"/>
        <w:keepLines w:val="0"/>
        <w:pageBreakBefore w:val="0"/>
        <w:kinsoku/>
        <w:wordWrap/>
        <w:overflowPunct/>
        <w:topLinePunct w:val="0"/>
        <w:bidi w:val="0"/>
        <w:adjustRightInd w:val="0"/>
        <w:spacing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8）防火隔离带清理：清理墓区外围防火隔离带内的杂草杂树，保持通畅无杂物，对存在安全隐患的树木、石头等物件，需及时上报采购人，并按照采购人的要求进行处理。</w:t>
      </w:r>
    </w:p>
    <w:p>
      <w:pPr>
        <w:keepNext w:val="0"/>
        <w:keepLines w:val="0"/>
        <w:pageBreakBefore w:val="0"/>
        <w:kinsoku/>
        <w:wordWrap/>
        <w:overflowPunct/>
        <w:topLinePunct w:val="0"/>
        <w:bidi w:val="0"/>
        <w:adjustRightInd w:val="0"/>
        <w:spacing w:line="400" w:lineRule="exact"/>
        <w:ind w:firstLine="482" w:firstLineChars="200"/>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eastAsia="zh-CN"/>
        </w:rPr>
        <w:t>（</w:t>
      </w:r>
      <w:r>
        <w:rPr>
          <w:rFonts w:hint="eastAsia" w:ascii="仿宋_GB2312" w:hAnsi="仿宋_GB2312" w:eastAsia="仿宋_GB2312" w:cs="仿宋_GB2312"/>
          <w:b/>
          <w:color w:val="auto"/>
          <w:sz w:val="24"/>
          <w:szCs w:val="24"/>
          <w:highlight w:val="none"/>
          <w:lang w:val="en-US" w:eastAsia="zh-CN"/>
        </w:rPr>
        <w:t>2）</w:t>
      </w:r>
      <w:r>
        <w:rPr>
          <w:rFonts w:hint="eastAsia" w:ascii="仿宋_GB2312" w:hAnsi="仿宋_GB2312" w:eastAsia="仿宋_GB2312" w:cs="仿宋_GB2312"/>
          <w:b/>
          <w:color w:val="auto"/>
          <w:sz w:val="24"/>
          <w:szCs w:val="24"/>
          <w:highlight w:val="none"/>
        </w:rPr>
        <w:t>绿化养护工具和其他要求</w:t>
      </w:r>
    </w:p>
    <w:p>
      <w:pPr>
        <w:keepNext w:val="0"/>
        <w:keepLines w:val="0"/>
        <w:pageBreakBefore w:val="0"/>
        <w:kinsoku/>
        <w:wordWrap/>
        <w:overflowPunct/>
        <w:topLinePunct w:val="0"/>
        <w:bidi w:val="0"/>
        <w:adjustRightInd w:val="0"/>
        <w:spacing w:line="40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1）</w:t>
      </w:r>
      <w:r>
        <w:rPr>
          <w:rFonts w:hint="eastAsia" w:ascii="仿宋_GB2312" w:hAnsi="仿宋_GB2312" w:eastAsia="仿宋_GB2312" w:cs="仿宋_GB2312"/>
          <w:color w:val="auto"/>
          <w:sz w:val="24"/>
          <w:szCs w:val="24"/>
          <w:highlight w:val="none"/>
        </w:rPr>
        <w:t>实施养护管理所用的一切劳动力和工具由投标人自行负责，提供服务所需用的材料设备如：劳动工具、运输工具、农药、草绳、泥土、支架、遮阳膜、铁丝、绳索等费用均包含在投标报价内，养护人员的休息室、工具室也需要自行解决。采购人只提供水源和电源，服务期间投标人若使用采购人保洁养护专用水的，产生的水费根据专用水表计算，由投标人自行承担。</w:t>
      </w:r>
    </w:p>
    <w:p>
      <w:pPr>
        <w:keepNext w:val="0"/>
        <w:keepLines w:val="0"/>
        <w:pageBreakBefore w:val="0"/>
        <w:kinsoku/>
        <w:wordWrap/>
        <w:overflowPunct/>
        <w:topLinePunct w:val="0"/>
        <w:bidi w:val="0"/>
        <w:adjustRightInd w:val="0"/>
        <w:spacing w:line="40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2）</w:t>
      </w:r>
      <w:r>
        <w:rPr>
          <w:rFonts w:hint="eastAsia" w:ascii="仿宋_GB2312" w:hAnsi="仿宋_GB2312" w:eastAsia="仿宋_GB2312" w:cs="仿宋_GB2312"/>
          <w:color w:val="auto"/>
          <w:sz w:val="24"/>
          <w:szCs w:val="24"/>
          <w:highlight w:val="none"/>
        </w:rPr>
        <w:t>服务期限内，绿地内自然老化以及遭人为破坏的乔、灌、地被、草坪等，投标人应在两周补齐或修复（乔木补种需同品种、同规格，免费保活一年），保证景观效果，费用由</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 xml:space="preserve">自理。投标人养护不到位的，采购人通知投标人整改时，投标人应无条件地立即整改。合同期限届满时，投标人应保证本绿化养护项目设施量完好无损。未完好的，由投标人负责补齐或修复。届时，未补齐或修复的，采购人可自行或委托他人补齐或修复，费用由投标人负责。    </w:t>
      </w:r>
    </w:p>
    <w:p>
      <w:pPr>
        <w:keepNext w:val="0"/>
        <w:keepLines w:val="0"/>
        <w:pageBreakBefore w:val="0"/>
        <w:kinsoku/>
        <w:wordWrap/>
        <w:overflowPunct/>
        <w:topLinePunct w:val="0"/>
        <w:bidi w:val="0"/>
        <w:adjustRightInd w:val="0"/>
        <w:spacing w:line="40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3）</w:t>
      </w:r>
      <w:r>
        <w:rPr>
          <w:rFonts w:hint="eastAsia" w:ascii="仿宋_GB2312" w:hAnsi="仿宋_GB2312" w:eastAsia="仿宋_GB2312" w:cs="仿宋_GB2312"/>
          <w:color w:val="auto"/>
          <w:sz w:val="24"/>
          <w:szCs w:val="24"/>
          <w:highlight w:val="none"/>
        </w:rPr>
        <w:t>投标人应每月向采购人汇报详细的养护管理计划及有关措施。做好详细的养护台账，建立养护档案，供采购人检查及评分。投标人应接受并主动配合采购人及有关管理部门的检查。投标人在工作中未达到采购人的要求标准和有工作失误，根据实际情况酌情扣除相应处罚金额。</w:t>
      </w:r>
    </w:p>
    <w:p>
      <w:pPr>
        <w:keepNext w:val="0"/>
        <w:keepLines w:val="0"/>
        <w:pageBreakBefore w:val="0"/>
        <w:widowControl w:val="0"/>
        <w:kinsoku/>
        <w:wordWrap/>
        <w:overflowPunct/>
        <w:topLinePunct w:val="0"/>
        <w:bidi w:val="0"/>
        <w:adjustRightInd w:val="0"/>
        <w:snapToGrid/>
        <w:spacing w:line="400" w:lineRule="exact"/>
        <w:ind w:firstLine="480"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kern w:val="0"/>
          <w:sz w:val="24"/>
          <w:szCs w:val="24"/>
          <w:highlight w:val="none"/>
        </w:rPr>
        <w:t>4）</w:t>
      </w:r>
      <w:r>
        <w:rPr>
          <w:rFonts w:hint="eastAsia" w:ascii="仿宋_GB2312" w:hAnsi="仿宋_GB2312" w:eastAsia="仿宋_GB2312" w:cs="仿宋_GB2312"/>
          <w:color w:val="auto"/>
          <w:sz w:val="24"/>
          <w:szCs w:val="24"/>
          <w:highlight w:val="none"/>
        </w:rPr>
        <w:t>如遇突击栽树、移树，投标人应无条件地为采购人解决需求，养护范围之外的突击性、突发性工作，投标人须服从采购人的安排，不得无故拖延。</w:t>
      </w:r>
    </w:p>
    <w:p>
      <w:pPr>
        <w:keepNext w:val="0"/>
        <w:keepLines w:val="0"/>
        <w:pageBreakBefore w:val="0"/>
        <w:widowControl w:val="0"/>
        <w:kinsoku/>
        <w:wordWrap/>
        <w:overflowPunct/>
        <w:topLinePunct w:val="0"/>
        <w:bidi w:val="0"/>
        <w:adjustRightInd w:val="0"/>
        <w:snapToGrid/>
        <w:spacing w:line="400" w:lineRule="exact"/>
        <w:ind w:firstLine="482" w:firstLineChars="200"/>
        <w:jc w:val="left"/>
        <w:textAlignment w:val="auto"/>
        <w:rPr>
          <w:rFonts w:hint="eastAsia" w:ascii="仿宋_GB2312" w:hAnsi="仿宋_GB2312" w:eastAsia="仿宋_GB2312" w:cs="仿宋_GB2312"/>
          <w:b/>
          <w:color w:val="auto"/>
          <w:sz w:val="24"/>
          <w:szCs w:val="24"/>
          <w:highlight w:val="none"/>
          <w:lang w:val="en-US" w:eastAsia="zh-CN"/>
        </w:rPr>
      </w:pPr>
      <w:r>
        <w:rPr>
          <w:rFonts w:hint="eastAsia" w:ascii="仿宋_GB2312" w:hAnsi="仿宋_GB2312" w:eastAsia="仿宋_GB2312" w:cs="仿宋_GB2312"/>
          <w:b/>
          <w:color w:val="auto"/>
          <w:sz w:val="24"/>
          <w:szCs w:val="24"/>
          <w:highlight w:val="none"/>
          <w:lang w:val="en-US" w:eastAsia="zh-CN"/>
        </w:rPr>
        <w:t>3.设备运行及维护</w:t>
      </w:r>
    </w:p>
    <w:p>
      <w:pPr>
        <w:pStyle w:val="2"/>
        <w:keepNext w:val="0"/>
        <w:keepLines w:val="0"/>
        <w:pageBreakBefore w:val="0"/>
        <w:widowControl w:val="0"/>
        <w:kinsoku/>
        <w:wordWrap/>
        <w:overflowPunct/>
        <w:topLinePunct w:val="0"/>
        <w:bidi w:val="0"/>
        <w:adjustRightInd w:val="0"/>
        <w:snapToGrid/>
        <w:spacing w:line="400" w:lineRule="exact"/>
        <w:ind w:firstLine="481"/>
        <w:textAlignment w:val="auto"/>
        <w:rPr>
          <w:rFonts w:hint="eastAsia" w:ascii="仿宋_GB2312" w:hAnsi="仿宋_GB2312" w:eastAsia="仿宋_GB2312" w:cs="仿宋_GB2312"/>
          <w:b/>
          <w:bCs/>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（1）智能化系统（消防电气、安防门禁等）维修保养</w:t>
      </w:r>
    </w:p>
    <w:p>
      <w:pPr>
        <w:keepNext w:val="0"/>
        <w:keepLines w:val="0"/>
        <w:pageBreakBefore w:val="0"/>
        <w:widowControl w:val="0"/>
        <w:numPr>
          <w:ilvl w:val="0"/>
          <w:numId w:val="0"/>
        </w:numPr>
        <w:suppressLineNumbers w:val="0"/>
        <w:kinsoku/>
        <w:wordWrap/>
        <w:overflowPunct/>
        <w:topLinePunct w:val="0"/>
        <w:bidi w:val="0"/>
        <w:adjustRightInd w:val="0"/>
        <w:snapToGrid/>
        <w:spacing w:before="0" w:beforeAutospacing="0" w:after="0" w:afterAutospacing="0" w:line="400" w:lineRule="exact"/>
        <w:ind w:leftChars="202" w:right="0" w:rightChars="0"/>
        <w:jc w:val="both"/>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1）消防电气系统</w:t>
      </w:r>
    </w:p>
    <w:p>
      <w:pPr>
        <w:keepNext w:val="0"/>
        <w:keepLines w:val="0"/>
        <w:pageBreakBefore w:val="0"/>
        <w:widowControl w:val="0"/>
        <w:numPr>
          <w:ilvl w:val="0"/>
          <w:numId w:val="0"/>
        </w:numPr>
        <w:suppressLineNumbers w:val="0"/>
        <w:kinsoku/>
        <w:wordWrap/>
        <w:overflowPunct/>
        <w:topLinePunct w:val="0"/>
        <w:bidi w:val="0"/>
        <w:adjustRightInd w:val="0"/>
        <w:snapToGrid/>
        <w:spacing w:before="0" w:beforeAutospacing="0" w:after="0" w:afterAutospacing="0" w:line="400" w:lineRule="exact"/>
        <w:ind w:right="0" w:rightChars="0" w:firstLine="480" w:firstLineChars="200"/>
        <w:jc w:val="both"/>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fldChar w:fldCharType="begin"/>
      </w:r>
      <w:r>
        <w:rPr>
          <w:rFonts w:hint="eastAsia" w:ascii="仿宋_GB2312" w:hAnsi="仿宋_GB2312" w:eastAsia="仿宋_GB2312" w:cs="仿宋_GB2312"/>
          <w:color w:val="auto"/>
          <w:kern w:val="2"/>
          <w:sz w:val="24"/>
          <w:szCs w:val="24"/>
          <w:highlight w:val="none"/>
          <w:lang w:val="en-US" w:eastAsia="zh-CN" w:bidi="ar-SA"/>
        </w:rPr>
        <w:instrText xml:space="preserve"> = 1 \* GB3 \* MERGEFORMAT </w:instrText>
      </w:r>
      <w:r>
        <w:rPr>
          <w:rFonts w:hint="eastAsia" w:ascii="仿宋_GB2312" w:hAnsi="仿宋_GB2312" w:eastAsia="仿宋_GB2312" w:cs="仿宋_GB2312"/>
          <w:color w:val="auto"/>
          <w:kern w:val="2"/>
          <w:sz w:val="24"/>
          <w:szCs w:val="24"/>
          <w:highlight w:val="none"/>
          <w:lang w:val="en-US" w:eastAsia="zh-CN" w:bidi="ar-SA"/>
        </w:rPr>
        <w:fldChar w:fldCharType="separate"/>
      </w:r>
      <w:r>
        <w:rPr>
          <w:rFonts w:hint="eastAsia" w:ascii="仿宋_GB2312" w:hAnsi="仿宋_GB2312" w:eastAsia="仿宋_GB2312" w:cs="仿宋_GB2312"/>
          <w:color w:val="auto"/>
          <w:sz w:val="24"/>
          <w:szCs w:val="24"/>
          <w:highlight w:val="none"/>
        </w:rPr>
        <w:t>①</w:t>
      </w:r>
      <w:r>
        <w:rPr>
          <w:rFonts w:hint="eastAsia" w:ascii="仿宋_GB2312" w:hAnsi="仿宋_GB2312" w:eastAsia="仿宋_GB2312" w:cs="仿宋_GB2312"/>
          <w:color w:val="auto"/>
          <w:kern w:val="2"/>
          <w:sz w:val="24"/>
          <w:szCs w:val="24"/>
          <w:highlight w:val="none"/>
          <w:lang w:val="en-US" w:eastAsia="zh-CN" w:bidi="ar-SA"/>
        </w:rPr>
        <w:fldChar w:fldCharType="end"/>
      </w:r>
      <w:r>
        <w:rPr>
          <w:rFonts w:hint="eastAsia" w:ascii="仿宋_GB2312" w:hAnsi="仿宋_GB2312" w:eastAsia="仿宋_GB2312" w:cs="仿宋_GB2312"/>
          <w:color w:val="auto"/>
          <w:kern w:val="2"/>
          <w:sz w:val="24"/>
          <w:szCs w:val="24"/>
          <w:highlight w:val="none"/>
          <w:lang w:val="en-US" w:eastAsia="zh-CN" w:bidi="ar-SA"/>
        </w:rPr>
        <w:t>使用温、烟感探测模拟器的探头每半年保养一次。</w:t>
      </w:r>
    </w:p>
    <w:p>
      <w:pPr>
        <w:keepNext w:val="0"/>
        <w:keepLines w:val="0"/>
        <w:pageBreakBefore w:val="0"/>
        <w:widowControl w:val="0"/>
        <w:kinsoku/>
        <w:wordWrap/>
        <w:overflowPunct/>
        <w:topLinePunct w:val="0"/>
        <w:bidi w:val="0"/>
        <w:adjustRightInd w:val="0"/>
        <w:snapToGrid/>
        <w:spacing w:line="400" w:lineRule="exact"/>
        <w:ind w:firstLine="480" w:firstLineChars="200"/>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fldChar w:fldCharType="begin"/>
      </w:r>
      <w:r>
        <w:rPr>
          <w:rFonts w:hint="eastAsia" w:ascii="仿宋_GB2312" w:hAnsi="仿宋_GB2312" w:eastAsia="仿宋_GB2312" w:cs="仿宋_GB2312"/>
          <w:color w:val="auto"/>
          <w:kern w:val="2"/>
          <w:sz w:val="24"/>
          <w:szCs w:val="24"/>
          <w:highlight w:val="none"/>
          <w:lang w:val="en-US" w:eastAsia="zh-CN" w:bidi="ar-SA"/>
        </w:rPr>
        <w:instrText xml:space="preserve"> = 2 \* GB3 \* MERGEFORMAT </w:instrText>
      </w:r>
      <w:r>
        <w:rPr>
          <w:rFonts w:hint="eastAsia" w:ascii="仿宋_GB2312" w:hAnsi="仿宋_GB2312" w:eastAsia="仿宋_GB2312" w:cs="仿宋_GB2312"/>
          <w:color w:val="auto"/>
          <w:kern w:val="2"/>
          <w:sz w:val="24"/>
          <w:szCs w:val="24"/>
          <w:highlight w:val="none"/>
          <w:lang w:val="en-US" w:eastAsia="zh-CN" w:bidi="ar-SA"/>
        </w:rPr>
        <w:fldChar w:fldCharType="separate"/>
      </w:r>
      <w:r>
        <w:rPr>
          <w:rFonts w:hint="eastAsia" w:ascii="仿宋_GB2312" w:hAnsi="仿宋_GB2312" w:eastAsia="仿宋_GB2312" w:cs="仿宋_GB2312"/>
          <w:color w:val="auto"/>
          <w:sz w:val="24"/>
          <w:szCs w:val="24"/>
          <w:highlight w:val="none"/>
        </w:rPr>
        <w:t>②</w:t>
      </w:r>
      <w:r>
        <w:rPr>
          <w:rFonts w:hint="eastAsia" w:ascii="仿宋_GB2312" w:hAnsi="仿宋_GB2312" w:eastAsia="仿宋_GB2312" w:cs="仿宋_GB2312"/>
          <w:color w:val="auto"/>
          <w:kern w:val="2"/>
          <w:sz w:val="24"/>
          <w:szCs w:val="24"/>
          <w:highlight w:val="none"/>
          <w:lang w:val="en-US" w:eastAsia="zh-CN" w:bidi="ar-SA"/>
        </w:rPr>
        <w:fldChar w:fldCharType="end"/>
      </w:r>
      <w:r>
        <w:rPr>
          <w:rFonts w:hint="eastAsia" w:ascii="仿宋_GB2312" w:hAnsi="仿宋_GB2312" w:eastAsia="仿宋_GB2312" w:cs="仿宋_GB2312"/>
          <w:color w:val="auto"/>
          <w:kern w:val="2"/>
          <w:sz w:val="24"/>
          <w:szCs w:val="24"/>
          <w:highlight w:val="none"/>
          <w:lang w:val="en-US" w:eastAsia="zh-CN" w:bidi="ar-SA"/>
        </w:rPr>
        <w:t>背景音乐消防应急广播系统、各类声源设备按钮及指示灯工作正常，功能良好；话筒切换正常，联接可靠；扬声器声音清晰，无沙哑及无声等不正常现象。</w:t>
      </w:r>
    </w:p>
    <w:p>
      <w:pPr>
        <w:pStyle w:val="2"/>
        <w:keepNext w:val="0"/>
        <w:keepLines w:val="0"/>
        <w:pageBreakBefore w:val="0"/>
        <w:widowControl w:val="0"/>
        <w:kinsoku/>
        <w:wordWrap/>
        <w:overflowPunct/>
        <w:topLinePunct w:val="0"/>
        <w:bidi w:val="0"/>
        <w:adjustRightInd w:val="0"/>
        <w:snapToGrid/>
        <w:spacing w:line="400" w:lineRule="exac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 xml:space="preserve">    </w:t>
      </w:r>
      <w:r>
        <w:rPr>
          <w:rFonts w:hint="eastAsia" w:ascii="仿宋_GB2312" w:hAnsi="仿宋_GB2312" w:eastAsia="仿宋_GB2312" w:cs="仿宋_GB2312"/>
          <w:color w:val="auto"/>
          <w:kern w:val="2"/>
          <w:sz w:val="24"/>
          <w:szCs w:val="24"/>
          <w:highlight w:val="none"/>
          <w:lang w:val="en-US" w:eastAsia="zh-CN" w:bidi="ar-SA"/>
        </w:rPr>
        <w:fldChar w:fldCharType="begin"/>
      </w:r>
      <w:r>
        <w:rPr>
          <w:rFonts w:hint="eastAsia" w:ascii="仿宋_GB2312" w:hAnsi="仿宋_GB2312" w:eastAsia="仿宋_GB2312" w:cs="仿宋_GB2312"/>
          <w:color w:val="auto"/>
          <w:kern w:val="2"/>
          <w:sz w:val="24"/>
          <w:szCs w:val="24"/>
          <w:highlight w:val="none"/>
          <w:lang w:val="en-US" w:eastAsia="zh-CN" w:bidi="ar-SA"/>
        </w:rPr>
        <w:instrText xml:space="preserve"> = 3 \* GB3 \* MERGEFORMAT </w:instrText>
      </w:r>
      <w:r>
        <w:rPr>
          <w:rFonts w:hint="eastAsia" w:ascii="仿宋_GB2312" w:hAnsi="仿宋_GB2312" w:eastAsia="仿宋_GB2312" w:cs="仿宋_GB2312"/>
          <w:color w:val="auto"/>
          <w:kern w:val="2"/>
          <w:sz w:val="24"/>
          <w:szCs w:val="24"/>
          <w:highlight w:val="none"/>
          <w:lang w:val="en-US" w:eastAsia="zh-CN" w:bidi="ar-SA"/>
        </w:rPr>
        <w:fldChar w:fldCharType="separate"/>
      </w:r>
      <w:r>
        <w:rPr>
          <w:rFonts w:hint="eastAsia" w:ascii="仿宋_GB2312" w:hAnsi="仿宋_GB2312" w:eastAsia="仿宋_GB2312" w:cs="仿宋_GB2312"/>
          <w:color w:val="auto"/>
          <w:sz w:val="24"/>
          <w:szCs w:val="24"/>
          <w:highlight w:val="none"/>
        </w:rPr>
        <w:t>③</w:t>
      </w:r>
      <w:r>
        <w:rPr>
          <w:rFonts w:hint="eastAsia" w:ascii="仿宋_GB2312" w:hAnsi="仿宋_GB2312" w:eastAsia="仿宋_GB2312" w:cs="仿宋_GB2312"/>
          <w:color w:val="auto"/>
          <w:kern w:val="2"/>
          <w:sz w:val="24"/>
          <w:szCs w:val="24"/>
          <w:highlight w:val="none"/>
          <w:lang w:val="en-US" w:eastAsia="zh-CN" w:bidi="ar-SA"/>
        </w:rPr>
        <w:fldChar w:fldCharType="end"/>
      </w:r>
      <w:r>
        <w:rPr>
          <w:rFonts w:hint="eastAsia" w:ascii="仿宋_GB2312" w:hAnsi="仿宋_GB2312" w:eastAsia="仿宋_GB2312" w:cs="仿宋_GB2312"/>
          <w:color w:val="auto"/>
          <w:sz w:val="24"/>
          <w:szCs w:val="24"/>
          <w:highlight w:val="none"/>
        </w:rPr>
        <w:t>公共照明、电器设施（包括灯具、配电箱、强弱电插座、开水器，热水器、食堂电器等）做到勤检查、勤维护，保证用电安全，故障及时修复，一般故障当天修复。</w:t>
      </w:r>
      <w:r>
        <w:rPr>
          <w:rFonts w:hint="eastAsia" w:ascii="仿宋_GB2312" w:hAnsi="仿宋_GB2312" w:eastAsia="仿宋_GB2312" w:cs="仿宋_GB2312"/>
          <w:color w:val="auto"/>
          <w:kern w:val="2"/>
          <w:sz w:val="24"/>
          <w:szCs w:val="24"/>
          <w:highlight w:val="none"/>
          <w:lang w:val="en-US" w:eastAsia="zh-CN" w:bidi="ar-SA"/>
        </w:rPr>
        <w:t xml:space="preserve">    </w:t>
      </w:r>
    </w:p>
    <w:p>
      <w:pPr>
        <w:pStyle w:val="2"/>
        <w:keepNext w:val="0"/>
        <w:keepLines w:val="0"/>
        <w:pageBreakBefore w:val="0"/>
        <w:widowControl w:val="0"/>
        <w:kinsoku/>
        <w:wordWrap/>
        <w:overflowPunct/>
        <w:topLinePunct w:val="0"/>
        <w:bidi w:val="0"/>
        <w:adjustRightInd w:val="0"/>
        <w:snapToGrid/>
        <w:spacing w:line="40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bidi="ar-SA"/>
        </w:rPr>
        <w:fldChar w:fldCharType="begin"/>
      </w:r>
      <w:r>
        <w:rPr>
          <w:rFonts w:hint="eastAsia" w:ascii="仿宋_GB2312" w:hAnsi="仿宋_GB2312" w:eastAsia="仿宋_GB2312" w:cs="仿宋_GB2312"/>
          <w:color w:val="auto"/>
          <w:kern w:val="2"/>
          <w:sz w:val="24"/>
          <w:szCs w:val="24"/>
          <w:highlight w:val="none"/>
          <w:lang w:val="en-US" w:eastAsia="zh-CN" w:bidi="ar-SA"/>
        </w:rPr>
        <w:instrText xml:space="preserve"> = 4 \* GB3 \* MERGEFORMAT </w:instrText>
      </w:r>
      <w:r>
        <w:rPr>
          <w:rFonts w:hint="eastAsia" w:ascii="仿宋_GB2312" w:hAnsi="仿宋_GB2312" w:eastAsia="仿宋_GB2312" w:cs="仿宋_GB2312"/>
          <w:color w:val="auto"/>
          <w:kern w:val="2"/>
          <w:sz w:val="24"/>
          <w:szCs w:val="24"/>
          <w:highlight w:val="none"/>
          <w:lang w:val="en-US" w:eastAsia="zh-CN" w:bidi="ar-SA"/>
        </w:rPr>
        <w:fldChar w:fldCharType="separate"/>
      </w:r>
      <w:r>
        <w:rPr>
          <w:rFonts w:hint="eastAsia" w:ascii="仿宋_GB2312" w:hAnsi="仿宋_GB2312" w:eastAsia="仿宋_GB2312" w:cs="仿宋_GB2312"/>
          <w:color w:val="auto"/>
          <w:sz w:val="24"/>
          <w:szCs w:val="24"/>
          <w:highlight w:val="none"/>
        </w:rPr>
        <w:t>④</w:t>
      </w:r>
      <w:r>
        <w:rPr>
          <w:rFonts w:hint="eastAsia" w:ascii="仿宋_GB2312" w:hAnsi="仿宋_GB2312" w:eastAsia="仿宋_GB2312" w:cs="仿宋_GB2312"/>
          <w:color w:val="auto"/>
          <w:kern w:val="2"/>
          <w:sz w:val="24"/>
          <w:szCs w:val="24"/>
          <w:highlight w:val="none"/>
          <w:lang w:val="en-US" w:eastAsia="zh-CN" w:bidi="ar-SA"/>
        </w:rPr>
        <w:fldChar w:fldCharType="end"/>
      </w:r>
      <w:r>
        <w:rPr>
          <w:rFonts w:hint="eastAsia" w:ascii="仿宋_GB2312" w:hAnsi="仿宋_GB2312" w:eastAsia="仿宋_GB2312" w:cs="仿宋_GB2312"/>
          <w:color w:val="auto"/>
          <w:kern w:val="2"/>
          <w:sz w:val="24"/>
          <w:szCs w:val="24"/>
          <w:highlight w:val="none"/>
          <w:lang w:val="en-US" w:eastAsia="zh-CN" w:bidi="ar-SA"/>
        </w:rPr>
        <w:t>提供其他消防设施专业服务，对采购人所在区域内的消防设备进行专业维护保养，并定期检测消防系统、电气照明系统等有关设施设备，如采购人有需要，投标人需另行提供消防设备</w:t>
      </w:r>
      <w:r>
        <w:rPr>
          <w:rFonts w:hint="eastAsia" w:ascii="仿宋_GB2312" w:hAnsi="仿宋_GB2312" w:eastAsia="仿宋_GB2312" w:cs="仿宋_GB2312"/>
          <w:color w:val="auto"/>
          <w:sz w:val="24"/>
          <w:szCs w:val="24"/>
          <w:highlight w:val="none"/>
        </w:rPr>
        <w:t>年度远程监控服务</w:t>
      </w:r>
      <w:r>
        <w:rPr>
          <w:rFonts w:hint="eastAsia" w:ascii="仿宋_GB2312" w:hAnsi="仿宋_GB2312" w:eastAsia="仿宋_GB2312" w:cs="仿宋_GB2312"/>
          <w:color w:val="auto"/>
          <w:sz w:val="24"/>
          <w:szCs w:val="24"/>
          <w:highlight w:val="none"/>
          <w:lang w:eastAsia="zh-CN"/>
        </w:rPr>
        <w:t>，费用由投标人承担。</w:t>
      </w:r>
    </w:p>
    <w:p>
      <w:pPr>
        <w:keepNext w:val="0"/>
        <w:keepLines w:val="0"/>
        <w:pageBreakBefore w:val="0"/>
        <w:widowControl w:val="0"/>
        <w:numPr>
          <w:ilvl w:val="0"/>
          <w:numId w:val="0"/>
        </w:numPr>
        <w:suppressLineNumbers w:val="0"/>
        <w:kinsoku/>
        <w:wordWrap/>
        <w:overflowPunct/>
        <w:topLinePunct w:val="0"/>
        <w:bidi w:val="0"/>
        <w:adjustRightInd w:val="0"/>
        <w:snapToGrid/>
        <w:spacing w:before="0" w:beforeAutospacing="0" w:after="0" w:afterAutospacing="0" w:line="400" w:lineRule="exact"/>
        <w:ind w:leftChars="202" w:right="0" w:rightChars="0"/>
        <w:jc w:val="both"/>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2）安防门禁系统</w:t>
      </w:r>
    </w:p>
    <w:p>
      <w:pPr>
        <w:keepNext w:val="0"/>
        <w:keepLines w:val="0"/>
        <w:pageBreakBefore w:val="0"/>
        <w:widowControl w:val="0"/>
        <w:suppressLineNumbers w:val="0"/>
        <w:kinsoku/>
        <w:wordWrap/>
        <w:overflowPunct/>
        <w:topLinePunct w:val="0"/>
        <w:bidi w:val="0"/>
        <w:adjustRightInd w:val="0"/>
        <w:snapToGrid/>
        <w:spacing w:before="0" w:beforeAutospacing="0" w:after="0" w:afterAutospacing="0" w:line="400" w:lineRule="exact"/>
        <w:ind w:right="0" w:firstLine="480" w:firstLineChars="200"/>
        <w:jc w:val="both"/>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各系统的联接应可靠、紧固，防止松动移位，每半年应检查一次；各系统的各接插件联接可靠，无接触不良现象，两个月检查一次；主机操作系统正常，各项参数设定正确，报警程序正常。传感器能正确传输现场信号，对应的终端驱动反应正确。摄像机功能完好，操作灵活，反应灵敏。监视器清晰。</w:t>
      </w:r>
    </w:p>
    <w:p>
      <w:pPr>
        <w:keepNext w:val="0"/>
        <w:keepLines w:val="0"/>
        <w:pageBreakBefore w:val="0"/>
        <w:widowControl w:val="0"/>
        <w:suppressLineNumbers w:val="0"/>
        <w:kinsoku/>
        <w:wordWrap/>
        <w:overflowPunct/>
        <w:topLinePunct w:val="0"/>
        <w:bidi w:val="0"/>
        <w:adjustRightInd w:val="0"/>
        <w:snapToGrid/>
        <w:spacing w:before="0" w:beforeAutospacing="0" w:after="0" w:afterAutospacing="0" w:line="400" w:lineRule="exact"/>
        <w:ind w:left="0" w:right="0" w:firstLine="480" w:firstLineChars="200"/>
        <w:jc w:val="both"/>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投标人负责智能化设备的综合管理，每两周一次对智能化设备运行状况进行检查。</w:t>
      </w:r>
    </w:p>
    <w:p>
      <w:pPr>
        <w:keepNext w:val="0"/>
        <w:keepLines w:val="0"/>
        <w:pageBreakBefore w:val="0"/>
        <w:widowControl w:val="0"/>
        <w:kinsoku/>
        <w:wordWrap/>
        <w:overflowPunct/>
        <w:topLinePunct w:val="0"/>
        <w:bidi w:val="0"/>
        <w:adjustRightInd w:val="0"/>
        <w:snapToGrid/>
        <w:spacing w:line="400" w:lineRule="exact"/>
        <w:ind w:firstLine="420"/>
        <w:textAlignment w:val="auto"/>
        <w:rPr>
          <w:rFonts w:hint="eastAsia" w:ascii="仿宋_GB2312" w:hAnsi="仿宋_GB2312" w:eastAsia="仿宋_GB2312" w:cs="仿宋_GB2312"/>
          <w:b/>
          <w:bCs/>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（2）房屋、设备维修保养</w:t>
      </w:r>
    </w:p>
    <w:p>
      <w:pPr>
        <w:pStyle w:val="2"/>
        <w:keepNext w:val="0"/>
        <w:keepLines w:val="0"/>
        <w:pageBreakBefore w:val="0"/>
        <w:widowControl w:val="0"/>
        <w:kinsoku/>
        <w:wordWrap/>
        <w:overflowPunct/>
        <w:topLinePunct w:val="0"/>
        <w:bidi w:val="0"/>
        <w:adjustRightInd w:val="0"/>
        <w:snapToGrid/>
        <w:spacing w:line="400" w:lineRule="exact"/>
        <w:ind w:firstLine="420"/>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保障采购人所在办公区域的房屋建筑、设施设备功能正常作用，对小程度的损坏进行修复修缮。单次（件）维修所需材料费在500元（含）以内的，费用由投标人自行承担；超出500元的材料费用由采购人承担，投标人负责维修工作。</w:t>
      </w:r>
    </w:p>
    <w:p>
      <w:pPr>
        <w:keepNext w:val="0"/>
        <w:keepLines w:val="0"/>
        <w:pageBreakBefore w:val="0"/>
        <w:widowControl w:val="0"/>
        <w:kinsoku/>
        <w:wordWrap/>
        <w:overflowPunct/>
        <w:topLinePunct w:val="0"/>
        <w:bidi w:val="0"/>
        <w:adjustRightInd w:val="0"/>
        <w:snapToGrid/>
        <w:spacing w:line="400" w:lineRule="exact"/>
        <w:ind w:firstLine="482" w:firstLineChars="200"/>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4.人员要求</w:t>
      </w:r>
    </w:p>
    <w:p>
      <w:pPr>
        <w:keepNext w:val="0"/>
        <w:keepLines w:val="0"/>
        <w:pageBreakBefore w:val="0"/>
        <w:widowControl/>
        <w:kinsoku/>
        <w:wordWrap/>
        <w:overflowPunct/>
        <w:topLinePunct w:val="0"/>
        <w:bidi w:val="0"/>
        <w:adjustRightInd w:val="0"/>
        <w:snapToGrid/>
        <w:spacing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（1）投标人必须配置1名项目</w:t>
      </w:r>
      <w:r>
        <w:rPr>
          <w:rFonts w:hint="eastAsia" w:ascii="仿宋_GB2312" w:hAnsi="仿宋_GB2312" w:eastAsia="仿宋_GB2312" w:cs="仿宋_GB2312"/>
          <w:color w:val="auto"/>
          <w:sz w:val="24"/>
          <w:szCs w:val="24"/>
          <w:highlight w:val="none"/>
          <w:lang w:eastAsia="zh-CN"/>
        </w:rPr>
        <w:t>经理</w:t>
      </w:r>
      <w:r>
        <w:rPr>
          <w:rFonts w:hint="eastAsia" w:ascii="仿宋_GB2312" w:hAnsi="仿宋_GB2312" w:eastAsia="仿宋_GB2312" w:cs="仿宋_GB2312"/>
          <w:color w:val="auto"/>
          <w:sz w:val="24"/>
          <w:szCs w:val="24"/>
          <w:highlight w:val="none"/>
        </w:rPr>
        <w:t>，负责本项目的管理工作（需随叫随到），与采购人及时对接。</w:t>
      </w:r>
      <w:r>
        <w:rPr>
          <w:rFonts w:hint="eastAsia" w:ascii="仿宋_GB2312" w:hAnsi="仿宋_GB2312" w:eastAsia="仿宋_GB2312" w:cs="仿宋_GB2312"/>
          <w:color w:val="auto"/>
          <w:sz w:val="24"/>
          <w:szCs w:val="24"/>
          <w:highlight w:val="none"/>
          <w:lang w:eastAsia="zh-CN"/>
        </w:rPr>
        <w:t>项目经理需</w:t>
      </w:r>
      <w:r>
        <w:rPr>
          <w:rFonts w:hint="eastAsia" w:ascii="仿宋_GB2312" w:hAnsi="仿宋_GB2312" w:eastAsia="仿宋_GB2312" w:cs="仿宋_GB2312"/>
          <w:color w:val="auto"/>
          <w:sz w:val="24"/>
          <w:szCs w:val="24"/>
          <w:highlight w:val="none"/>
        </w:rPr>
        <w:t>具有大专及以上学历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持有人社部门颁发的管理类中级及以上职称证书</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人社部门颁发</w:t>
      </w:r>
      <w:r>
        <w:rPr>
          <w:rFonts w:hint="eastAsia" w:ascii="仿宋_GB2312" w:hAnsi="仿宋_GB2312" w:eastAsia="仿宋_GB2312" w:cs="仿宋_GB2312"/>
          <w:color w:val="auto"/>
          <w:sz w:val="24"/>
          <w:szCs w:val="24"/>
          <w:highlight w:val="none"/>
          <w:lang w:eastAsia="zh-CN"/>
        </w:rPr>
        <w:t>的</w:t>
      </w:r>
      <w:r>
        <w:rPr>
          <w:rFonts w:hint="eastAsia" w:ascii="仿宋_GB2312" w:hAnsi="仿宋_GB2312" w:eastAsia="仿宋_GB2312" w:cs="仿宋_GB2312"/>
          <w:color w:val="auto"/>
          <w:sz w:val="24"/>
          <w:szCs w:val="24"/>
          <w:highlight w:val="none"/>
        </w:rPr>
        <w:t>园林绿化专业中级工程师及以上职称</w:t>
      </w:r>
      <w:r>
        <w:rPr>
          <w:rFonts w:hint="eastAsia" w:ascii="仿宋_GB2312" w:hAnsi="仿宋_GB2312" w:eastAsia="仿宋_GB2312" w:cs="仿宋_GB2312"/>
          <w:color w:val="auto"/>
          <w:sz w:val="24"/>
          <w:szCs w:val="24"/>
          <w:highlight w:val="none"/>
          <w:lang w:eastAsia="zh-CN"/>
        </w:rPr>
        <w:t>证书。</w:t>
      </w:r>
      <w:r>
        <w:rPr>
          <w:rFonts w:hint="eastAsia" w:ascii="仿宋_GB2312" w:hAnsi="仿宋_GB2312" w:eastAsia="仿宋_GB2312" w:cs="仿宋_GB2312"/>
          <w:color w:val="auto"/>
          <w:sz w:val="24"/>
          <w:szCs w:val="24"/>
          <w:highlight w:val="none"/>
        </w:rPr>
        <w:t>中标后，相关人员情况需报采购人审定，要求思想素质好、品貌端正。保洁</w:t>
      </w:r>
      <w:r>
        <w:rPr>
          <w:rFonts w:hint="eastAsia" w:ascii="仿宋_GB2312" w:hAnsi="仿宋_GB2312" w:eastAsia="仿宋_GB2312" w:cs="仿宋_GB2312"/>
          <w:color w:val="auto"/>
          <w:sz w:val="24"/>
          <w:szCs w:val="24"/>
          <w:highlight w:val="none"/>
          <w:lang w:eastAsia="zh-CN"/>
        </w:rPr>
        <w:t>人员</w:t>
      </w:r>
      <w:r>
        <w:rPr>
          <w:rFonts w:hint="eastAsia" w:ascii="仿宋_GB2312" w:hAnsi="仿宋_GB2312" w:eastAsia="仿宋_GB2312" w:cs="仿宋_GB2312"/>
          <w:color w:val="auto"/>
          <w:sz w:val="24"/>
          <w:szCs w:val="24"/>
          <w:highlight w:val="none"/>
        </w:rPr>
        <w:t>不</w:t>
      </w:r>
      <w:r>
        <w:rPr>
          <w:rFonts w:hint="eastAsia" w:ascii="仿宋_GB2312" w:hAnsi="仿宋_GB2312" w:eastAsia="仿宋_GB2312" w:cs="仿宋_GB2312"/>
          <w:color w:val="auto"/>
          <w:sz w:val="24"/>
          <w:szCs w:val="24"/>
          <w:highlight w:val="none"/>
          <w:lang w:eastAsia="zh-CN"/>
        </w:rPr>
        <w:t>得</w:t>
      </w:r>
      <w:r>
        <w:rPr>
          <w:rFonts w:hint="eastAsia" w:ascii="仿宋_GB2312" w:hAnsi="仿宋_GB2312" w:eastAsia="仿宋_GB2312" w:cs="仿宋_GB2312"/>
          <w:color w:val="auto"/>
          <w:sz w:val="24"/>
          <w:szCs w:val="24"/>
          <w:highlight w:val="none"/>
        </w:rPr>
        <w:t>少于14人</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bCs/>
          <w:color w:val="auto"/>
          <w:sz w:val="24"/>
          <w:szCs w:val="24"/>
          <w:highlight w:val="none"/>
          <w:lang w:val="en-US" w:eastAsia="zh-CN"/>
        </w:rPr>
        <w:t>绿化工配备不少于3人，</w:t>
      </w:r>
      <w:r>
        <w:rPr>
          <w:rFonts w:hint="eastAsia" w:ascii="仿宋_GB2312" w:hAnsi="仿宋_GB2312" w:eastAsia="仿宋_GB2312" w:cs="仿宋_GB2312"/>
          <w:color w:val="auto"/>
          <w:sz w:val="24"/>
          <w:szCs w:val="24"/>
          <w:highlight w:val="none"/>
        </w:rPr>
        <w:t>设备维护人员不少于1人</w:t>
      </w:r>
      <w:r>
        <w:rPr>
          <w:rFonts w:hint="eastAsia" w:ascii="仿宋_GB2312" w:hAnsi="仿宋_GB2312" w:eastAsia="仿宋_GB2312" w:cs="仿宋_GB2312"/>
          <w:color w:val="auto"/>
          <w:sz w:val="24"/>
          <w:szCs w:val="24"/>
          <w:highlight w:val="none"/>
          <w:lang w:eastAsia="zh-CN"/>
        </w:rPr>
        <w:t>。</w:t>
      </w:r>
    </w:p>
    <w:p>
      <w:pPr>
        <w:keepNext w:val="0"/>
        <w:keepLines w:val="0"/>
        <w:pageBreakBefore w:val="0"/>
        <w:kinsoku/>
        <w:wordWrap/>
        <w:overflowPunct/>
        <w:topLinePunct w:val="0"/>
        <w:bidi w:val="0"/>
        <w:adjustRightInd w:val="0"/>
        <w:spacing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（2）所有人员应统一着装，遵守采购人管理有关规定，有专职管理人员管理。</w:t>
      </w:r>
    </w:p>
    <w:p>
      <w:pPr>
        <w:keepNext w:val="0"/>
        <w:keepLines w:val="0"/>
        <w:pageBreakBefore w:val="0"/>
        <w:kinsoku/>
        <w:wordWrap/>
        <w:overflowPunct/>
        <w:topLinePunct w:val="0"/>
        <w:bidi w:val="0"/>
        <w:adjustRightInd w:val="0"/>
        <w:spacing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（3）作业时应遵守安全操作规程，保证安全。发生各种意外事故由投标人自行负责解决，与采购人无关。</w:t>
      </w:r>
    </w:p>
    <w:p>
      <w:pPr>
        <w:keepNext w:val="0"/>
        <w:keepLines w:val="0"/>
        <w:pageBreakBefore w:val="0"/>
        <w:kinsoku/>
        <w:wordWrap/>
        <w:overflowPunct/>
        <w:topLinePunct w:val="0"/>
        <w:bidi w:val="0"/>
        <w:adjustRightInd w:val="0"/>
        <w:spacing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（4）不得迟到早退，按时进入岗位，不得在工作间内闲谈，不得吸烟酗酒，不得在上班时间干私事，不得私自收集废品报纸，不得私自夹带或出售废品。</w:t>
      </w:r>
    </w:p>
    <w:p>
      <w:pPr>
        <w:pStyle w:val="25"/>
        <w:keepNext w:val="0"/>
        <w:keepLines w:val="0"/>
        <w:pageBreakBefore w:val="0"/>
        <w:kinsoku/>
        <w:wordWrap/>
        <w:overflowPunct/>
        <w:topLinePunct w:val="0"/>
        <w:bidi w:val="0"/>
        <w:adjustRightInd w:val="0"/>
        <w:spacing w:line="400" w:lineRule="exact"/>
        <w:ind w:firstLine="480" w:firstLineChars="200"/>
        <w:jc w:val="left"/>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sz w:val="24"/>
          <w:szCs w:val="24"/>
          <w:highlight w:val="none"/>
        </w:rPr>
        <w:t>（5）违反相关规定者，一经查处，采购人有权向投标人提出处置意见，投标人须无条件执行，相关责任或损失由投标人自行承担，与采购人无关。</w:t>
      </w:r>
    </w:p>
    <w:p>
      <w:pPr>
        <w:keepNext w:val="0"/>
        <w:keepLines w:val="0"/>
        <w:pageBreakBefore w:val="0"/>
        <w:kinsoku/>
        <w:wordWrap/>
        <w:overflowPunct/>
        <w:topLinePunct w:val="0"/>
        <w:bidi w:val="0"/>
        <w:adjustRightInd w:val="0"/>
        <w:spacing w:line="400" w:lineRule="exact"/>
        <w:ind w:firstLine="482" w:firstLineChars="200"/>
        <w:jc w:val="left"/>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三、其他说明和要求</w:t>
      </w:r>
    </w:p>
    <w:p>
      <w:pPr>
        <w:keepNext w:val="0"/>
        <w:keepLines w:val="0"/>
        <w:pageBreakBefore w:val="0"/>
        <w:kinsoku/>
        <w:wordWrap/>
        <w:overflowPunct/>
        <w:topLinePunct w:val="0"/>
        <w:bidi w:val="0"/>
        <w:adjustRightInd w:val="0"/>
        <w:spacing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投标人的报价应包括完成本项目所需的相关服务的总报价：费用实行全年综合包干，包括所有人员工资、奖金、福利、加班费、就餐、培训费、各类补贴及五险一金、服装、工具、耗材、装备及办公用品等一切费用。</w:t>
      </w:r>
    </w:p>
    <w:p>
      <w:pPr>
        <w:keepNext w:val="0"/>
        <w:keepLines w:val="0"/>
        <w:pageBreakBefore w:val="0"/>
        <w:kinsoku/>
        <w:wordWrap/>
        <w:overflowPunct/>
        <w:topLinePunct w:val="0"/>
        <w:bidi w:val="0"/>
        <w:adjustRightInd w:val="0"/>
        <w:spacing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投标人派驻的工作人员必须严格执行采购人的规章制度，自觉接受采购人有关领导的指导及监督，如因事需调休、缺勤、因伤、因病不能继续从事原岗位的，由投标人负责调配补充。对于不服从管理、屡教不改、工作能力不达标等人员，采购人有权要求投标人进行人员更换。</w:t>
      </w:r>
    </w:p>
    <w:p>
      <w:pPr>
        <w:keepNext w:val="0"/>
        <w:keepLines w:val="0"/>
        <w:pageBreakBefore w:val="0"/>
        <w:kinsoku/>
        <w:wordWrap/>
        <w:overflowPunct/>
        <w:topLinePunct w:val="0"/>
        <w:bidi w:val="0"/>
        <w:adjustRightInd w:val="0"/>
        <w:spacing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投标人工作人员与采购人不发生任何法律关系，投标人工作人员的劳务纠纷或疾病、事故等与采购人无涉，由投标人自行解决（处理和承担）。</w:t>
      </w:r>
    </w:p>
    <w:p>
      <w:pPr>
        <w:pStyle w:val="25"/>
        <w:keepNext w:val="0"/>
        <w:keepLines w:val="0"/>
        <w:pageBreakBefore w:val="0"/>
        <w:kinsoku/>
        <w:wordWrap/>
        <w:overflowPunct/>
        <w:topLinePunct w:val="0"/>
        <w:bidi w:val="0"/>
        <w:adjustRightInd w:val="0"/>
        <w:spacing w:line="400" w:lineRule="exact"/>
        <w:ind w:firstLine="480" w:firstLineChars="20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lang w:val="en-US" w:eastAsia="zh-CN"/>
        </w:rPr>
        <w:t>4.</w:t>
      </w:r>
      <w:r>
        <w:rPr>
          <w:rFonts w:hint="eastAsia" w:ascii="仿宋_GB2312" w:hAnsi="仿宋_GB2312" w:eastAsia="仿宋_GB2312" w:cs="仿宋_GB2312"/>
          <w:bCs/>
          <w:color w:val="auto"/>
          <w:sz w:val="24"/>
          <w:szCs w:val="24"/>
          <w:highlight w:val="none"/>
        </w:rPr>
        <w:t>法定节假日需留有值守人员；因工作需要，在法定节假日期间，落实会议、应急维稳等任务，物业服务单位需按照采购人要求，无条件补充工作人员，以保障采购人办公需求。</w:t>
      </w:r>
    </w:p>
    <w:p>
      <w:pPr>
        <w:pStyle w:val="25"/>
        <w:keepNext w:val="0"/>
        <w:keepLines w:val="0"/>
        <w:pageBreakBefore w:val="0"/>
        <w:kinsoku/>
        <w:wordWrap/>
        <w:overflowPunct/>
        <w:topLinePunct w:val="0"/>
        <w:bidi w:val="0"/>
        <w:adjustRightInd w:val="0"/>
        <w:spacing w:line="40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如遇特殊情况或临时性有关工作，投标人必须服从采购人调配。</w:t>
      </w:r>
    </w:p>
    <w:p>
      <w:pPr>
        <w:pStyle w:val="25"/>
        <w:keepNext w:val="0"/>
        <w:keepLines w:val="0"/>
        <w:pageBreakBefore w:val="0"/>
        <w:kinsoku/>
        <w:wordWrap/>
        <w:overflowPunct/>
        <w:topLinePunct w:val="0"/>
        <w:bidi w:val="0"/>
        <w:adjustRightInd w:val="0"/>
        <w:spacing w:line="400" w:lineRule="exact"/>
        <w:ind w:firstLine="480" w:firstLineChars="20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lang w:val="en-US" w:eastAsia="zh-CN"/>
        </w:rPr>
        <w:t>6.</w:t>
      </w:r>
      <w:r>
        <w:rPr>
          <w:rFonts w:hint="eastAsia" w:ascii="仿宋_GB2312" w:hAnsi="仿宋_GB2312" w:eastAsia="仿宋_GB2312" w:cs="仿宋_GB2312"/>
          <w:bCs/>
          <w:color w:val="auto"/>
          <w:sz w:val="24"/>
          <w:szCs w:val="24"/>
          <w:highlight w:val="none"/>
        </w:rPr>
        <w:t>因投标人施工作业导致采购人所有物损坏、丢失的，一律由投标人承担损失，负责赔偿或复原。</w:t>
      </w:r>
    </w:p>
    <w:p>
      <w:pPr>
        <w:pStyle w:val="25"/>
        <w:keepNext w:val="0"/>
        <w:keepLines w:val="0"/>
        <w:pageBreakBefore w:val="0"/>
        <w:kinsoku/>
        <w:wordWrap/>
        <w:overflowPunct/>
        <w:topLinePunct w:val="0"/>
        <w:bidi w:val="0"/>
        <w:adjustRightInd w:val="0"/>
        <w:spacing w:line="40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Cs/>
          <w:color w:val="auto"/>
          <w:sz w:val="24"/>
          <w:szCs w:val="24"/>
          <w:highlight w:val="none"/>
          <w:lang w:val="en-US" w:eastAsia="zh-CN"/>
        </w:rPr>
        <w:t>7.</w:t>
      </w:r>
      <w:r>
        <w:rPr>
          <w:rFonts w:hint="eastAsia" w:ascii="仿宋_GB2312" w:hAnsi="仿宋_GB2312" w:eastAsia="仿宋_GB2312" w:cs="仿宋_GB2312"/>
          <w:bCs/>
          <w:color w:val="auto"/>
          <w:sz w:val="24"/>
          <w:szCs w:val="24"/>
          <w:highlight w:val="none"/>
        </w:rPr>
        <w:t>采购人在服务过程中如发现工作人员存在违规行为的，投标人须严格按照考核管理制度对其进行处罚。</w:t>
      </w:r>
    </w:p>
    <w:p>
      <w:pPr>
        <w:keepNext w:val="0"/>
        <w:keepLines w:val="0"/>
        <w:pageBreakBefore w:val="0"/>
        <w:kinsoku/>
        <w:wordWrap/>
        <w:overflowPunct/>
        <w:topLinePunct w:val="0"/>
        <w:bidi w:val="0"/>
        <w:adjustRightInd w:val="0"/>
        <w:spacing w:line="400" w:lineRule="exact"/>
        <w:ind w:firstLine="480" w:firstLineChars="20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lang w:val="en-US" w:eastAsia="zh-CN"/>
        </w:rPr>
        <w:t>8.</w:t>
      </w:r>
      <w:r>
        <w:rPr>
          <w:rFonts w:hint="eastAsia" w:ascii="仿宋_GB2312" w:hAnsi="仿宋_GB2312" w:eastAsia="仿宋_GB2312" w:cs="仿宋_GB2312"/>
          <w:bCs/>
          <w:color w:val="auto"/>
          <w:sz w:val="24"/>
          <w:szCs w:val="24"/>
          <w:highlight w:val="none"/>
        </w:rPr>
        <w:t>采购人对投标人提供的服务进行季度考核，若达不到采购人的考核标准，采购人有权扣减服务费，并对投标人提出期限整改，限期整改仍达不到采购人的考核标准的，采购人有权中止合同，并由投标人承担相关损失。</w:t>
      </w:r>
    </w:p>
    <w:p>
      <w:pPr>
        <w:keepNext w:val="0"/>
        <w:keepLines w:val="0"/>
        <w:pageBreakBefore w:val="0"/>
        <w:kinsoku/>
        <w:wordWrap/>
        <w:overflowPunct/>
        <w:topLinePunct w:val="0"/>
        <w:bidi w:val="0"/>
        <w:adjustRightInd w:val="0"/>
        <w:spacing w:line="40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Cs/>
          <w:color w:val="auto"/>
          <w:sz w:val="24"/>
          <w:szCs w:val="24"/>
          <w:highlight w:val="none"/>
          <w:lang w:val="en-US" w:eastAsia="zh-CN"/>
        </w:rPr>
        <w:t>9.</w:t>
      </w:r>
      <w:r>
        <w:rPr>
          <w:rFonts w:hint="eastAsia" w:ascii="仿宋_GB2312" w:hAnsi="仿宋_GB2312" w:eastAsia="仿宋_GB2312" w:cs="仿宋_GB2312"/>
          <w:bCs/>
          <w:color w:val="auto"/>
          <w:sz w:val="24"/>
          <w:szCs w:val="24"/>
          <w:highlight w:val="none"/>
        </w:rPr>
        <w:t>投标人所提供的必须是合法的服务，并能确保在中标合同有效期内按照合同规定的要求和标准提供规范的管理服务。</w:t>
      </w:r>
    </w:p>
    <w:p>
      <w:pPr>
        <w:keepNext w:val="0"/>
        <w:keepLines w:val="0"/>
        <w:pageBreakBefore w:val="0"/>
        <w:kinsoku/>
        <w:wordWrap/>
        <w:overflowPunct/>
        <w:topLinePunct w:val="0"/>
        <w:bidi w:val="0"/>
        <w:adjustRightInd w:val="0"/>
        <w:spacing w:line="400" w:lineRule="exact"/>
        <w:ind w:firstLine="482" w:firstLineChars="200"/>
        <w:jc w:val="left"/>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四、付款方式</w:t>
      </w:r>
    </w:p>
    <w:p>
      <w:pPr>
        <w:keepNext w:val="0"/>
        <w:keepLines w:val="0"/>
        <w:pageBreakBefore w:val="0"/>
        <w:kinsoku/>
        <w:wordWrap/>
        <w:overflowPunct/>
        <w:topLinePunct w:val="0"/>
        <w:bidi w:val="0"/>
        <w:adjustRightInd w:val="0"/>
        <w:spacing w:line="400" w:lineRule="exact"/>
        <w:ind w:firstLineChars="200"/>
        <w:textAlignment w:val="auto"/>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按《浙江省财政厅关于进一步发挥政府采购政策 功能全力推动经济稳进提质的通知》（浙财采监〔2022〕3号）等文件要求执行，具体付款方式由双方协商后在合同中明确。</w:t>
      </w: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157" w:name="_GoBack"/>
      <w:bookmarkEnd w:id="157"/>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pPr>
        <w:kinsoku/>
        <w:wordWrap w:val="0"/>
        <w:overflowPunct/>
        <w:topLinePunct w:val="0"/>
        <w:bidi w:val="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kinsoku/>
        <w:wordWrap w:val="0"/>
        <w:overflowPunct/>
        <w:topLinePunct w:val="0"/>
        <w:bidi w:val="0"/>
        <w:spacing w:line="480" w:lineRule="auto"/>
        <w:jc w:val="center"/>
        <w:rPr>
          <w:rFonts w:hint="eastAsia" w:ascii="仿宋" w:hAnsi="仿宋" w:eastAsia="仿宋" w:cs="仿宋"/>
          <w:b/>
          <w:color w:val="auto"/>
          <w:sz w:val="28"/>
          <w:szCs w:val="28"/>
          <w:highlight w:val="none"/>
        </w:rPr>
      </w:pPr>
    </w:p>
    <w:p>
      <w:pPr>
        <w:kinsoku/>
        <w:wordWrap w:val="0"/>
        <w:overflowPunct/>
        <w:topLinePunct w:val="0"/>
        <w:bidi w:val="0"/>
        <w:spacing w:line="480" w:lineRule="auto"/>
        <w:jc w:val="center"/>
        <w:rPr>
          <w:rFonts w:hint="eastAsia" w:ascii="仿宋" w:hAnsi="仿宋" w:eastAsia="仿宋" w:cs="仿宋"/>
          <w:b/>
          <w:color w:val="auto"/>
          <w:sz w:val="24"/>
          <w:highlight w:val="none"/>
        </w:rPr>
      </w:pPr>
    </w:p>
    <w:p>
      <w:pPr>
        <w:kinsoku/>
        <w:wordWrap w:val="0"/>
        <w:overflowPunct/>
        <w:topLinePunct w:val="0"/>
        <w:bidi w:val="0"/>
        <w:spacing w:line="480" w:lineRule="auto"/>
        <w:jc w:val="center"/>
        <w:rPr>
          <w:rFonts w:hint="eastAsia" w:ascii="仿宋" w:hAnsi="仿宋" w:eastAsia="仿宋" w:cs="仿宋"/>
          <w:b/>
          <w:color w:val="auto"/>
          <w:sz w:val="24"/>
          <w:highlight w:val="none"/>
        </w:rPr>
      </w:pPr>
    </w:p>
    <w:p>
      <w:pPr>
        <w:kinsoku/>
        <w:wordWrap w:val="0"/>
        <w:overflowPunct/>
        <w:topLinePunct w:val="0"/>
        <w:bidi w:val="0"/>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kinsoku/>
        <w:wordWrap w:val="0"/>
        <w:overflowPunct/>
        <w:topLinePunct w:val="0"/>
        <w:bidi w:val="0"/>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pPr>
        <w:pStyle w:val="700"/>
        <w:kinsoku/>
        <w:wordWrap w:val="0"/>
        <w:overflowPunct/>
        <w:topLinePunct w:val="0"/>
        <w:bidi w:val="0"/>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kinsoku/>
        <w:wordWrap w:val="0"/>
        <w:overflowPunct/>
        <w:topLinePunct w:val="0"/>
        <w:bidi w:val="0"/>
        <w:spacing w:before="120" w:line="22" w:lineRule="atLeast"/>
        <w:rPr>
          <w:rFonts w:hint="eastAsia" w:ascii="仿宋" w:hAnsi="仿宋" w:eastAsia="仿宋" w:cs="仿宋"/>
          <w:color w:val="auto"/>
          <w:sz w:val="24"/>
          <w:highlight w:val="none"/>
        </w:rPr>
      </w:pPr>
    </w:p>
    <w:p>
      <w:pPr>
        <w:pStyle w:val="5"/>
        <w:kinsoku/>
        <w:wordWrap w:val="0"/>
        <w:overflowPunct/>
        <w:topLinePunct w:val="0"/>
        <w:bidi w:val="0"/>
        <w:rPr>
          <w:rFonts w:hint="eastAsia" w:ascii="仿宋" w:hAnsi="仿宋" w:eastAsia="仿宋" w:cs="仿宋"/>
          <w:color w:val="auto"/>
          <w:highlight w:val="none"/>
        </w:rPr>
      </w:pPr>
    </w:p>
    <w:p>
      <w:pPr>
        <w:kinsoku/>
        <w:wordWrap w:val="0"/>
        <w:overflowPunct/>
        <w:topLinePunct w:val="0"/>
        <w:bidi w:val="0"/>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597"/>
        <w:kinsoku/>
        <w:wordWrap w:val="0"/>
        <w:overflowPunct/>
        <w:topLinePunct w:val="0"/>
        <w:bidi w:val="0"/>
        <w:spacing w:before="120" w:line="22" w:lineRule="atLeast"/>
        <w:rPr>
          <w:rFonts w:hint="eastAsia" w:ascii="仿宋" w:hAnsi="仿宋" w:eastAsia="仿宋" w:cs="仿宋"/>
          <w:color w:val="auto"/>
          <w:szCs w:val="24"/>
          <w:highlight w:val="none"/>
        </w:rPr>
      </w:pPr>
    </w:p>
    <w:p>
      <w:pPr>
        <w:pStyle w:val="597"/>
        <w:kinsoku/>
        <w:wordWrap w:val="0"/>
        <w:overflowPunct/>
        <w:topLinePunct w:val="0"/>
        <w:bidi w:val="0"/>
        <w:spacing w:before="120" w:line="22" w:lineRule="atLeast"/>
        <w:rPr>
          <w:rFonts w:hint="eastAsia" w:ascii="仿宋" w:hAnsi="仿宋" w:eastAsia="仿宋" w:cs="仿宋"/>
          <w:color w:val="auto"/>
          <w:szCs w:val="24"/>
          <w:highlight w:val="none"/>
        </w:rPr>
      </w:pPr>
    </w:p>
    <w:p>
      <w:pPr>
        <w:kinsoku/>
        <w:wordWrap w:val="0"/>
        <w:overflowPunct/>
        <w:topLinePunct w:val="0"/>
        <w:bidi w:val="0"/>
        <w:rPr>
          <w:rFonts w:hint="eastAsia" w:ascii="仿宋" w:hAnsi="仿宋" w:eastAsia="仿宋" w:cs="仿宋"/>
          <w:color w:val="auto"/>
          <w:sz w:val="24"/>
          <w:highlight w:val="none"/>
        </w:rPr>
      </w:pPr>
    </w:p>
    <w:p>
      <w:pPr>
        <w:kinsoku/>
        <w:wordWrap w:val="0"/>
        <w:overflowPunct/>
        <w:topLinePunct w:val="0"/>
        <w:bidi w:val="0"/>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kinsoku/>
        <w:wordWrap w:val="0"/>
        <w:overflowPunct/>
        <w:topLinePunct w:val="0"/>
        <w:bidi w:val="0"/>
        <w:spacing w:before="120" w:line="22" w:lineRule="atLeast"/>
        <w:rPr>
          <w:rFonts w:hint="eastAsia" w:ascii="仿宋" w:hAnsi="仿宋" w:eastAsia="仿宋" w:cs="仿宋"/>
          <w:color w:val="auto"/>
          <w:sz w:val="24"/>
          <w:highlight w:val="none"/>
        </w:rPr>
      </w:pPr>
    </w:p>
    <w:p>
      <w:pPr>
        <w:kinsoku/>
        <w:wordWrap w:val="0"/>
        <w:overflowPunct/>
        <w:topLinePunct w:val="0"/>
        <w:bidi w:val="0"/>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kinsoku/>
        <w:wordWrap w:val="0"/>
        <w:overflowPunct/>
        <w:topLinePunct w:val="0"/>
        <w:bidi w:val="0"/>
        <w:spacing w:before="120" w:line="22" w:lineRule="atLeast"/>
        <w:rPr>
          <w:rFonts w:hint="eastAsia" w:ascii="仿宋" w:hAnsi="仿宋" w:eastAsia="仿宋" w:cs="仿宋"/>
          <w:color w:val="auto"/>
          <w:sz w:val="24"/>
          <w:highlight w:val="none"/>
        </w:rPr>
      </w:pPr>
    </w:p>
    <w:p>
      <w:pPr>
        <w:kinsoku/>
        <w:wordWrap w:val="0"/>
        <w:overflowPunct/>
        <w:topLinePunct w:val="0"/>
        <w:bidi w:val="0"/>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kinsoku/>
        <w:wordWrap w:val="0"/>
        <w:overflowPunct/>
        <w:topLinePunct w:val="0"/>
        <w:bidi w:val="0"/>
        <w:spacing w:before="120" w:line="22" w:lineRule="atLeast"/>
        <w:rPr>
          <w:rFonts w:hint="eastAsia" w:ascii="仿宋" w:hAnsi="仿宋" w:eastAsia="仿宋" w:cs="仿宋"/>
          <w:color w:val="auto"/>
          <w:sz w:val="24"/>
          <w:highlight w:val="none"/>
        </w:rPr>
      </w:pPr>
    </w:p>
    <w:p>
      <w:pPr>
        <w:kinsoku/>
        <w:wordWrap w:val="0"/>
        <w:overflowPunct/>
        <w:topLinePunct w:val="0"/>
        <w:bidi w:val="0"/>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kinsoku/>
        <w:wordWrap w:val="0"/>
        <w:overflowPunct/>
        <w:topLinePunct w:val="0"/>
        <w:bidi w:val="0"/>
        <w:jc w:val="left"/>
        <w:rPr>
          <w:rFonts w:hint="eastAsia" w:ascii="仿宋" w:hAnsi="仿宋" w:eastAsia="仿宋" w:cs="仿宋"/>
          <w:color w:val="auto"/>
          <w:kern w:val="0"/>
          <w:sz w:val="24"/>
          <w:highlight w:val="none"/>
        </w:rPr>
        <w:sectPr>
          <w:pgSz w:w="11907" w:h="16840"/>
          <w:pgMar w:top="1474" w:right="1814" w:bottom="1474" w:left="1814" w:header="851" w:footer="851" w:gutter="0"/>
          <w:pgNumType w:fmt="decimal"/>
          <w:cols w:space="720" w:num="1"/>
        </w:sectPr>
      </w:pPr>
    </w:p>
    <w:p>
      <w:pPr>
        <w:kinsoku/>
        <w:wordWrap w:val="0"/>
        <w:overflowPunct/>
        <w:topLinePunct w:val="0"/>
        <w:bidi w:val="0"/>
        <w:rPr>
          <w:rFonts w:hint="eastAsia" w:ascii="仿宋" w:hAnsi="仿宋" w:eastAsia="仿宋" w:cs="仿宋"/>
          <w:b/>
          <w:color w:val="auto"/>
          <w:sz w:val="24"/>
          <w:highlight w:val="none"/>
        </w:rPr>
      </w:pP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绍兴市殡仪馆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绍兴市殡仪馆物业管理服务项目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绍兴市殡仪馆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38" w:name="_Toc15367"/>
      <w:bookmarkStart w:id="39" w:name="_Toc19273"/>
      <w:bookmarkStart w:id="40" w:name="_Toc22967"/>
      <w:bookmarkStart w:id="41" w:name="_Toc28855"/>
      <w:bookmarkStart w:id="42" w:name="_Toc20421"/>
      <w:r>
        <w:rPr>
          <w:rFonts w:hint="eastAsia" w:ascii="仿宋" w:hAnsi="仿宋" w:eastAsia="仿宋" w:cs="仿宋"/>
          <w:b/>
          <w:color w:val="auto"/>
          <w:sz w:val="24"/>
          <w:highlight w:val="none"/>
        </w:rPr>
        <w:t>1.1 合同组成部分</w:t>
      </w:r>
      <w:bookmarkEnd w:id="38"/>
      <w:bookmarkEnd w:id="39"/>
      <w:bookmarkEnd w:id="40"/>
      <w:bookmarkEnd w:id="41"/>
      <w:bookmarkEnd w:id="42"/>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3" w:name="_Toc18585"/>
      <w:bookmarkStart w:id="44" w:name="_Toc6311"/>
      <w:bookmarkStart w:id="45" w:name="_Toc6773"/>
      <w:bookmarkStart w:id="46" w:name="_Toc2918"/>
      <w:bookmarkStart w:id="47" w:name="_Toc22185"/>
      <w:r>
        <w:rPr>
          <w:rFonts w:hint="eastAsia" w:ascii="仿宋" w:hAnsi="仿宋" w:eastAsia="仿宋" w:cs="仿宋"/>
          <w:b/>
          <w:color w:val="auto"/>
          <w:sz w:val="24"/>
          <w:highlight w:val="none"/>
        </w:rPr>
        <w:t>1.2 标的</w:t>
      </w:r>
      <w:bookmarkEnd w:id="43"/>
      <w:bookmarkEnd w:id="44"/>
      <w:bookmarkEnd w:id="45"/>
      <w:bookmarkEnd w:id="46"/>
      <w:bookmarkEnd w:id="47"/>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pPr>
        <w:pageBreakBefore w:val="0"/>
        <w:kinsoku/>
        <w:wordWrap w:val="0"/>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48" w:name="_Toc1386"/>
      <w:bookmarkStart w:id="49" w:name="_Toc21124"/>
      <w:bookmarkStart w:id="50" w:name="_Toc5635"/>
      <w:bookmarkStart w:id="51" w:name="_Toc4929"/>
      <w:bookmarkStart w:id="52" w:name="_Toc13918"/>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8"/>
      <w:bookmarkEnd w:id="49"/>
      <w:bookmarkEnd w:id="50"/>
      <w:bookmarkEnd w:id="51"/>
      <w:bookmarkEnd w:id="52"/>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3" w:name="_Toc14993"/>
      <w:bookmarkStart w:id="54" w:name="_Toc30158"/>
      <w:bookmarkStart w:id="55" w:name="_Toc26916"/>
      <w:bookmarkStart w:id="56" w:name="_Toc3654"/>
      <w:bookmarkStart w:id="57" w:name="_Toc3050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pStyle w:val="5"/>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3"/>
    <w:bookmarkEnd w:id="54"/>
    <w:bookmarkEnd w:id="55"/>
    <w:bookmarkEnd w:id="56"/>
    <w:bookmarkEnd w:id="57"/>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58" w:name="_Toc22618"/>
      <w:bookmarkStart w:id="59" w:name="_Toc10340"/>
      <w:bookmarkStart w:id="60" w:name="_Toc1814"/>
      <w:bookmarkStart w:id="61" w:name="_Toc31421"/>
      <w:bookmarkStart w:id="62" w:name="_Toc8772"/>
      <w:bookmarkStart w:id="63" w:name="_Toc3625"/>
      <w:bookmarkStart w:id="64" w:name="_Toc11108"/>
      <w:bookmarkStart w:id="65" w:name="_Toc4760"/>
      <w:r>
        <w:rPr>
          <w:rFonts w:hint="eastAsia" w:ascii="仿宋" w:hAnsi="仿宋" w:eastAsia="仿宋" w:cs="仿宋"/>
          <w:b/>
          <w:color w:val="auto"/>
          <w:highlight w:val="none"/>
        </w:rPr>
        <w:t>1.4履约保证金</w:t>
      </w:r>
    </w:p>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5"/>
        <w:pageBreakBefore w:val="0"/>
        <w:tabs>
          <w:tab w:val="left" w:pos="0"/>
        </w:tabs>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8"/>
      <w:bookmarkEnd w:id="59"/>
      <w:bookmarkEnd w:id="60"/>
      <w:r>
        <w:rPr>
          <w:rFonts w:hint="eastAsia" w:ascii="仿宋" w:hAnsi="仿宋" w:eastAsia="仿宋" w:cs="仿宋"/>
          <w:b/>
          <w:color w:val="auto"/>
          <w:sz w:val="24"/>
          <w:highlight w:val="none"/>
        </w:rPr>
        <w:t>预付款</w:t>
      </w:r>
    </w:p>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1"/>
      <w:bookmarkEnd w:id="62"/>
      <w:bookmarkEnd w:id="63"/>
      <w:bookmarkEnd w:id="64"/>
      <w:bookmarkEnd w:id="65"/>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6" w:name="_Toc5698"/>
      <w:bookmarkStart w:id="67" w:name="_Toc24662"/>
      <w:bookmarkStart w:id="68" w:name="_Toc8586"/>
      <w:bookmarkStart w:id="69" w:name="_Toc2375"/>
      <w:bookmarkStart w:id="70" w:name="_Toc3079"/>
      <w:r>
        <w:rPr>
          <w:rFonts w:hint="eastAsia" w:ascii="仿宋" w:hAnsi="仿宋" w:eastAsia="仿宋" w:cs="仿宋"/>
          <w:bCs/>
          <w:color w:val="auto"/>
          <w:sz w:val="24"/>
          <w:highlight w:val="none"/>
        </w:rPr>
        <w:t>1.7.4若服务涉及货物的，则货物的：</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6"/>
      <w:bookmarkEnd w:id="67"/>
      <w:bookmarkEnd w:id="68"/>
      <w:bookmarkEnd w:id="69"/>
      <w:bookmarkEnd w:id="70"/>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pPr>
        <w:pStyle w:val="5"/>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1" w:name="_Toc32454"/>
      <w:bookmarkStart w:id="72" w:name="_Toc30329"/>
      <w:bookmarkStart w:id="73" w:name="_Toc18683"/>
      <w:bookmarkStart w:id="74" w:name="_Toc9497"/>
      <w:bookmarkStart w:id="75" w:name="_Toc2680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1"/>
    <w:bookmarkEnd w:id="72"/>
    <w:bookmarkEnd w:id="73"/>
    <w:bookmarkEnd w:id="74"/>
    <w:bookmarkEnd w:id="75"/>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6" w:name="_Toc15583"/>
      <w:bookmarkStart w:id="77" w:name="_Toc28375"/>
      <w:bookmarkStart w:id="78" w:name="_Toc16021"/>
      <w:r>
        <w:rPr>
          <w:rFonts w:hint="eastAsia" w:ascii="仿宋" w:hAnsi="仿宋" w:eastAsia="仿宋" w:cs="仿宋"/>
          <w:b/>
          <w:color w:val="auto"/>
          <w:sz w:val="24"/>
          <w:highlight w:val="none"/>
        </w:rPr>
        <w:t>1.9合同争议的解决</w:t>
      </w:r>
      <w:bookmarkEnd w:id="76"/>
      <w:bookmarkEnd w:id="77"/>
      <w:bookmarkEnd w:id="78"/>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9" w:name="_Toc7245"/>
      <w:bookmarkStart w:id="80" w:name="_Toc15322"/>
      <w:bookmarkStart w:id="81" w:name="_Toc11173"/>
      <w:r>
        <w:rPr>
          <w:rFonts w:hint="eastAsia" w:ascii="仿宋" w:hAnsi="仿宋" w:eastAsia="仿宋" w:cs="仿宋"/>
          <w:b/>
          <w:color w:val="auto"/>
          <w:sz w:val="24"/>
          <w:highlight w:val="none"/>
        </w:rPr>
        <w:t>2.0 合同生效</w:t>
      </w:r>
      <w:bookmarkEnd w:id="79"/>
      <w:bookmarkEnd w:id="80"/>
      <w:bookmarkEnd w:id="81"/>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widowControl/>
        <w:kinsoku/>
        <w:wordWrap w:val="0"/>
        <w:overflowPunct/>
        <w:topLinePunct w:val="0"/>
        <w:bidi w:val="0"/>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pPr>
        <w:pStyle w:val="700"/>
        <w:kinsoku/>
        <w:wordWrap w:val="0"/>
        <w:overflowPunct/>
        <w:topLinePunct w:val="0"/>
        <w:bidi w:val="0"/>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82" w:name="_Toc5228"/>
      <w:bookmarkStart w:id="83" w:name="_Toc31297"/>
      <w:bookmarkStart w:id="84" w:name="_Toc14021"/>
      <w:bookmarkStart w:id="85" w:name="_Toc19680"/>
      <w:bookmarkStart w:id="86" w:name="_Toc25079"/>
      <w:r>
        <w:rPr>
          <w:rFonts w:hint="eastAsia" w:ascii="仿宋" w:hAnsi="仿宋" w:eastAsia="仿宋" w:cs="仿宋"/>
          <w:b/>
          <w:color w:val="auto"/>
          <w:sz w:val="24"/>
          <w:highlight w:val="none"/>
        </w:rPr>
        <w:t>2.1 定义</w:t>
      </w:r>
      <w:bookmarkEnd w:id="82"/>
      <w:bookmarkEnd w:id="83"/>
      <w:bookmarkEnd w:id="84"/>
      <w:bookmarkEnd w:id="85"/>
      <w:bookmarkEnd w:id="86"/>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87" w:name="_Toc3769"/>
      <w:bookmarkStart w:id="88" w:name="_Toc31402"/>
      <w:bookmarkStart w:id="89" w:name="_Toc23289"/>
      <w:bookmarkStart w:id="90" w:name="_Toc16752"/>
      <w:bookmarkStart w:id="91" w:name="_Toc19539"/>
      <w:r>
        <w:rPr>
          <w:rFonts w:hint="eastAsia" w:ascii="仿宋" w:hAnsi="仿宋" w:eastAsia="仿宋" w:cs="仿宋"/>
          <w:b/>
          <w:color w:val="auto"/>
          <w:sz w:val="24"/>
          <w:highlight w:val="none"/>
        </w:rPr>
        <w:t>2.2 技术规范</w:t>
      </w:r>
      <w:bookmarkEnd w:id="87"/>
      <w:bookmarkEnd w:id="88"/>
      <w:bookmarkEnd w:id="89"/>
      <w:bookmarkEnd w:id="90"/>
      <w:bookmarkEnd w:id="91"/>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92" w:name="_Toc9161"/>
      <w:bookmarkStart w:id="93" w:name="_Toc4133"/>
      <w:bookmarkStart w:id="94" w:name="_Toc13673"/>
      <w:bookmarkStart w:id="95" w:name="_Toc12412"/>
      <w:bookmarkStart w:id="96" w:name="_Toc27945"/>
      <w:r>
        <w:rPr>
          <w:rFonts w:hint="eastAsia" w:ascii="仿宋" w:hAnsi="仿宋" w:eastAsia="仿宋" w:cs="仿宋"/>
          <w:b/>
          <w:color w:val="auto"/>
          <w:sz w:val="24"/>
          <w:highlight w:val="none"/>
        </w:rPr>
        <w:t>2.3 知识产权</w:t>
      </w:r>
      <w:bookmarkEnd w:id="92"/>
      <w:bookmarkEnd w:id="93"/>
      <w:bookmarkEnd w:id="94"/>
      <w:bookmarkEnd w:id="95"/>
      <w:bookmarkEnd w:id="96"/>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kinsoku/>
        <w:wordWrap w:val="0"/>
        <w:overflowPunct/>
        <w:topLinePunct w:val="0"/>
        <w:bidi w:val="0"/>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97" w:name="_Toc15447"/>
      <w:bookmarkStart w:id="98" w:name="_Toc32670"/>
      <w:bookmarkStart w:id="99" w:name="_Toc31233"/>
      <w:bookmarkStart w:id="100" w:name="_Toc26555"/>
      <w:bookmarkStart w:id="101" w:name="_Toc22011"/>
      <w:r>
        <w:rPr>
          <w:rFonts w:hint="eastAsia" w:ascii="仿宋" w:hAnsi="仿宋" w:eastAsia="仿宋" w:cs="仿宋"/>
          <w:b/>
          <w:color w:val="auto"/>
          <w:sz w:val="24"/>
          <w:highlight w:val="none"/>
        </w:rPr>
        <w:t>2.5 结算方式和付款条件</w:t>
      </w:r>
      <w:bookmarkEnd w:id="97"/>
      <w:bookmarkEnd w:id="98"/>
      <w:bookmarkEnd w:id="99"/>
      <w:bookmarkEnd w:id="100"/>
      <w:bookmarkEnd w:id="101"/>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02" w:name="_Toc18990"/>
      <w:bookmarkStart w:id="103" w:name="_Toc30507"/>
      <w:bookmarkStart w:id="104" w:name="_Toc16163"/>
      <w:bookmarkStart w:id="105" w:name="_Toc13154"/>
      <w:bookmarkStart w:id="106" w:name="_Toc13467"/>
      <w:r>
        <w:rPr>
          <w:rFonts w:hint="eastAsia" w:ascii="仿宋" w:hAnsi="仿宋" w:eastAsia="仿宋" w:cs="仿宋"/>
          <w:b/>
          <w:color w:val="auto"/>
          <w:sz w:val="24"/>
          <w:highlight w:val="none"/>
        </w:rPr>
        <w:t>2.6 技术资料和保密义务</w:t>
      </w:r>
      <w:bookmarkEnd w:id="102"/>
      <w:bookmarkEnd w:id="103"/>
      <w:bookmarkEnd w:id="104"/>
      <w:bookmarkEnd w:id="105"/>
      <w:bookmarkEnd w:id="106"/>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07" w:name="_Toc19069"/>
      <w:r>
        <w:rPr>
          <w:rFonts w:hint="eastAsia" w:ascii="仿宋" w:hAnsi="仿宋" w:eastAsia="仿宋" w:cs="仿宋"/>
          <w:b/>
          <w:color w:val="auto"/>
          <w:sz w:val="24"/>
          <w:highlight w:val="none"/>
        </w:rPr>
        <w:t>2.7 质量保证</w:t>
      </w:r>
      <w:bookmarkEnd w:id="107"/>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08" w:name="_Toc22267"/>
      <w:r>
        <w:rPr>
          <w:rFonts w:hint="eastAsia" w:ascii="仿宋" w:hAnsi="仿宋" w:eastAsia="仿宋" w:cs="仿宋"/>
          <w:b/>
          <w:color w:val="auto"/>
          <w:sz w:val="24"/>
          <w:highlight w:val="none"/>
        </w:rPr>
        <w:t>2.8 延迟履行</w:t>
      </w:r>
      <w:bookmarkEnd w:id="108"/>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09" w:name="_Toc10611"/>
      <w:r>
        <w:rPr>
          <w:rFonts w:hint="eastAsia" w:ascii="仿宋" w:hAnsi="仿宋" w:eastAsia="仿宋" w:cs="仿宋"/>
          <w:b/>
          <w:color w:val="auto"/>
          <w:sz w:val="24"/>
          <w:highlight w:val="none"/>
        </w:rPr>
        <w:t>2.9 合同变更</w:t>
      </w:r>
      <w:bookmarkEnd w:id="109"/>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10" w:name="_Toc42"/>
      <w:bookmarkStart w:id="111" w:name="_Toc21830"/>
      <w:bookmarkStart w:id="112" w:name="_Toc10663"/>
      <w:bookmarkStart w:id="113" w:name="_Toc23368"/>
      <w:bookmarkStart w:id="114" w:name="_Toc26689"/>
      <w:r>
        <w:rPr>
          <w:rFonts w:hint="eastAsia" w:ascii="仿宋" w:hAnsi="仿宋" w:eastAsia="仿宋" w:cs="仿宋"/>
          <w:b/>
          <w:color w:val="auto"/>
          <w:sz w:val="24"/>
          <w:highlight w:val="none"/>
        </w:rPr>
        <w:t>2.10 合同转让和分包</w:t>
      </w:r>
      <w:bookmarkEnd w:id="110"/>
      <w:bookmarkEnd w:id="111"/>
      <w:bookmarkEnd w:id="112"/>
      <w:bookmarkEnd w:id="113"/>
      <w:bookmarkEnd w:id="114"/>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15" w:name="_Toc32494"/>
      <w:bookmarkStart w:id="116" w:name="_Toc14371"/>
      <w:bookmarkStart w:id="117" w:name="_Toc26633"/>
      <w:bookmarkStart w:id="118" w:name="_Toc25571"/>
      <w:bookmarkStart w:id="119" w:name="_Toc4720"/>
      <w:r>
        <w:rPr>
          <w:rFonts w:hint="eastAsia" w:ascii="仿宋" w:hAnsi="仿宋" w:eastAsia="仿宋" w:cs="仿宋"/>
          <w:b/>
          <w:color w:val="auto"/>
          <w:sz w:val="24"/>
          <w:highlight w:val="none"/>
        </w:rPr>
        <w:t>2.11 不可抗力</w:t>
      </w:r>
      <w:bookmarkEnd w:id="115"/>
      <w:bookmarkEnd w:id="116"/>
      <w:bookmarkEnd w:id="117"/>
      <w:bookmarkEnd w:id="118"/>
      <w:bookmarkEnd w:id="119"/>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20" w:name="_Toc3638"/>
      <w:bookmarkStart w:id="121" w:name="_Toc23854"/>
      <w:bookmarkStart w:id="122" w:name="_Toc14115"/>
      <w:bookmarkStart w:id="123" w:name="_Toc25783"/>
      <w:bookmarkStart w:id="124" w:name="_Toc24465"/>
      <w:r>
        <w:rPr>
          <w:rFonts w:hint="eastAsia" w:ascii="仿宋" w:hAnsi="仿宋" w:eastAsia="仿宋" w:cs="仿宋"/>
          <w:b/>
          <w:color w:val="auto"/>
          <w:sz w:val="24"/>
          <w:highlight w:val="none"/>
        </w:rPr>
        <w:t>2.12 税费</w:t>
      </w:r>
      <w:bookmarkEnd w:id="120"/>
      <w:bookmarkEnd w:id="121"/>
      <w:bookmarkEnd w:id="122"/>
      <w:bookmarkEnd w:id="123"/>
      <w:bookmarkEnd w:id="124"/>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25" w:name="_Toc30105"/>
      <w:bookmarkStart w:id="126" w:name="_Toc7315"/>
      <w:bookmarkStart w:id="127" w:name="_Toc14814"/>
      <w:bookmarkStart w:id="128" w:name="_Toc25525"/>
      <w:bookmarkStart w:id="129" w:name="_Toc26883"/>
      <w:r>
        <w:rPr>
          <w:rFonts w:hint="eastAsia" w:ascii="仿宋" w:hAnsi="仿宋" w:eastAsia="仿宋" w:cs="仿宋"/>
          <w:b/>
          <w:color w:val="auto"/>
          <w:sz w:val="24"/>
          <w:highlight w:val="none"/>
        </w:rPr>
        <w:t>2.13 乙方破产</w:t>
      </w:r>
      <w:bookmarkEnd w:id="125"/>
      <w:bookmarkEnd w:id="126"/>
      <w:bookmarkEnd w:id="127"/>
      <w:bookmarkEnd w:id="128"/>
      <w:bookmarkEnd w:id="129"/>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30" w:name="_Toc23323"/>
      <w:bookmarkStart w:id="131" w:name="_Toc2016"/>
      <w:bookmarkStart w:id="132" w:name="_Toc1123"/>
      <w:r>
        <w:rPr>
          <w:rFonts w:hint="eastAsia" w:ascii="仿宋" w:hAnsi="仿宋" w:eastAsia="仿宋" w:cs="仿宋"/>
          <w:b/>
          <w:color w:val="auto"/>
          <w:sz w:val="24"/>
          <w:highlight w:val="none"/>
        </w:rPr>
        <w:t>2.14 合同中止、终止</w:t>
      </w:r>
      <w:bookmarkEnd w:id="130"/>
      <w:bookmarkEnd w:id="131"/>
      <w:bookmarkEnd w:id="132"/>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33" w:name="_Toc1969"/>
      <w:bookmarkStart w:id="134" w:name="_Toc14525"/>
      <w:bookmarkStart w:id="135" w:name="_Toc17363"/>
      <w:r>
        <w:rPr>
          <w:rFonts w:hint="eastAsia" w:ascii="仿宋" w:hAnsi="仿宋" w:eastAsia="仿宋" w:cs="仿宋"/>
          <w:b/>
          <w:color w:val="auto"/>
          <w:sz w:val="24"/>
          <w:highlight w:val="none"/>
        </w:rPr>
        <w:t>2.15 检验和验收</w:t>
      </w:r>
      <w:bookmarkEnd w:id="133"/>
      <w:bookmarkEnd w:id="134"/>
      <w:bookmarkEnd w:id="135"/>
    </w:p>
    <w:p>
      <w:pPr>
        <w:tabs>
          <w:tab w:val="left" w:pos="360"/>
          <w:tab w:val="left" w:pos="540"/>
          <w:tab w:val="left" w:pos="1080"/>
        </w:tabs>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pPr>
        <w:tabs>
          <w:tab w:val="left" w:pos="360"/>
          <w:tab w:val="left" w:pos="540"/>
          <w:tab w:val="left" w:pos="1080"/>
        </w:tabs>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36" w:name="_Toc31892"/>
      <w:bookmarkStart w:id="137" w:name="_Toc2308"/>
      <w:bookmarkStart w:id="138" w:name="_Toc9808"/>
      <w:bookmarkStart w:id="139" w:name="_Toc12666"/>
      <w:bookmarkStart w:id="140" w:name="_Toc25198"/>
      <w:r>
        <w:rPr>
          <w:rFonts w:hint="eastAsia" w:ascii="仿宋" w:hAnsi="仿宋" w:eastAsia="仿宋" w:cs="仿宋"/>
          <w:b/>
          <w:color w:val="auto"/>
          <w:sz w:val="24"/>
          <w:highlight w:val="none"/>
        </w:rPr>
        <w:t>2.16 通知和送达</w:t>
      </w:r>
      <w:bookmarkEnd w:id="136"/>
      <w:bookmarkEnd w:id="137"/>
      <w:bookmarkEnd w:id="138"/>
      <w:bookmarkEnd w:id="139"/>
      <w:bookmarkEnd w:id="140"/>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bookmarkStart w:id="141" w:name="_Toc27674"/>
      <w:bookmarkStart w:id="142" w:name="_Toc18401"/>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43" w:name="_Toc27644"/>
      <w:bookmarkStart w:id="144" w:name="_Toc20808"/>
      <w:bookmarkStart w:id="145" w:name="_Toc12254"/>
      <w:bookmarkStart w:id="146" w:name="_Toc5063"/>
      <w:bookmarkStart w:id="147" w:name="_Toc28906"/>
      <w:r>
        <w:rPr>
          <w:rFonts w:hint="eastAsia" w:ascii="仿宋" w:hAnsi="仿宋" w:eastAsia="仿宋" w:cs="仿宋"/>
          <w:b/>
          <w:color w:val="auto"/>
          <w:sz w:val="24"/>
          <w:highlight w:val="none"/>
        </w:rPr>
        <w:t>2.17 合同使用的文字和适用的法律</w:t>
      </w:r>
      <w:bookmarkEnd w:id="143"/>
      <w:bookmarkEnd w:id="144"/>
      <w:bookmarkEnd w:id="145"/>
      <w:bookmarkEnd w:id="146"/>
      <w:bookmarkEnd w:id="147"/>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48" w:name="_Toc4355"/>
      <w:bookmarkStart w:id="149" w:name="_Toc18540"/>
      <w:bookmarkStart w:id="150" w:name="_Toc30599"/>
      <w:r>
        <w:rPr>
          <w:rFonts w:hint="eastAsia" w:ascii="仿宋" w:hAnsi="仿宋" w:eastAsia="仿宋" w:cs="仿宋"/>
          <w:b/>
          <w:color w:val="auto"/>
          <w:sz w:val="24"/>
          <w:highlight w:val="none"/>
        </w:rPr>
        <w:t>2.18 计量单位</w:t>
      </w:r>
      <w:bookmarkEnd w:id="148"/>
      <w:bookmarkEnd w:id="149"/>
      <w:bookmarkEnd w:id="150"/>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kinsoku/>
        <w:wordWrap w:val="0"/>
        <w:overflowPunct/>
        <w:topLinePunct w:val="0"/>
        <w:bidi w:val="0"/>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default" w:ascii="仿宋" w:hAnsi="仿宋" w:eastAsia="仿宋" w:cs="仿宋"/>
          <w:b/>
          <w:color w:val="auto"/>
          <w:sz w:val="24"/>
          <w:highlight w:val="none"/>
        </w:rPr>
        <w:t>19</w:t>
      </w:r>
      <w:r>
        <w:rPr>
          <w:rFonts w:hint="eastAsia" w:ascii="仿宋" w:hAnsi="仿宋" w:eastAsia="仿宋" w:cs="仿宋"/>
          <w:b/>
          <w:color w:val="auto"/>
          <w:sz w:val="24"/>
          <w:highlight w:val="none"/>
        </w:rPr>
        <w:t>合同份数</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keepNext w:val="0"/>
        <w:keepLines w:val="0"/>
        <w:pageBreakBefore w:val="0"/>
        <w:widowControl w:val="0"/>
        <w:kinsoku/>
        <w:wordWrap w:val="0"/>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1" w:name="_Toc331685784"/>
      <w:r>
        <w:rPr>
          <w:rFonts w:hint="eastAsia" w:ascii="仿宋" w:hAnsi="仿宋" w:eastAsia="仿宋" w:cs="仿宋"/>
          <w:b/>
          <w:color w:val="auto"/>
          <w:sz w:val="24"/>
          <w:highlight w:val="none"/>
        </w:rPr>
        <w:t xml:space="preserve"> </w:t>
      </w:r>
      <w:bookmarkEnd w:id="151"/>
      <w:r>
        <w:rPr>
          <w:rFonts w:hint="eastAsia" w:ascii="仿宋" w:hAnsi="仿宋" w:eastAsia="仿宋" w:cs="仿宋"/>
          <w:b/>
          <w:color w:val="auto"/>
          <w:kern w:val="2"/>
          <w:sz w:val="24"/>
          <w:szCs w:val="24"/>
          <w:highlight w:val="none"/>
          <w:lang w:val="en-US" w:eastAsia="zh-CN" w:bidi="ar-SA"/>
        </w:rPr>
        <w:t>第三部分  合同专用条款</w:t>
      </w:r>
    </w:p>
    <w:p>
      <w:pPr>
        <w:keepNext w:val="0"/>
        <w:keepLines w:val="0"/>
        <w:pageBreakBefore w:val="0"/>
        <w:widowControl w:val="0"/>
        <w:kinsoku/>
        <w:wordWrap w:val="0"/>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pPr>
              <w:kinsoku/>
              <w:wordWrap w:val="0"/>
              <w:overflowPunct/>
              <w:topLinePunct w:val="0"/>
              <w:bidi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pPr>
              <w:kinsoku/>
              <w:wordWrap w:val="0"/>
              <w:overflowPunct/>
              <w:topLinePunct w:val="0"/>
              <w:bidi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pPr>
              <w:kinsoku/>
              <w:wordWrap w:val="0"/>
              <w:overflowPunct/>
              <w:topLinePunct w:val="0"/>
              <w:bidi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pPr>
              <w:kinsoku/>
              <w:wordWrap w:val="0"/>
              <w:overflowPunct/>
              <w:topLinePunct w:val="0"/>
              <w:bidi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pPr>
              <w:kinsoku/>
              <w:wordWrap w:val="0"/>
              <w:overflowPunct/>
              <w:topLinePunct w:val="0"/>
              <w:bidi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pPr>
              <w:kinsoku/>
              <w:wordWrap w:val="0"/>
              <w:overflowPunct/>
              <w:topLinePunct w:val="0"/>
              <w:bidi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pPr>
              <w:kinsoku/>
              <w:wordWrap w:val="0"/>
              <w:overflowPunct/>
              <w:topLinePunct w:val="0"/>
              <w:bidi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pPr>
              <w:kinsoku/>
              <w:wordWrap w:val="0"/>
              <w:overflowPunct/>
              <w:topLinePunct w:val="0"/>
              <w:bidi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pPr>
              <w:kinsoku/>
              <w:wordWrap w:val="0"/>
              <w:overflowPunct/>
              <w:topLinePunct w:val="0"/>
              <w:bidi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pPr>
              <w:kinsoku/>
              <w:wordWrap w:val="0"/>
              <w:overflowPunct/>
              <w:topLinePunct w:val="0"/>
              <w:bidi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pPr>
              <w:kinsoku/>
              <w:wordWrap w:val="0"/>
              <w:overflowPunct/>
              <w:topLinePunct w:val="0"/>
              <w:bidi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pPr>
              <w:kinsoku/>
              <w:wordWrap w:val="0"/>
              <w:overflowPunct/>
              <w:topLinePunct w:val="0"/>
              <w:bidi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pPr>
              <w:kinsoku/>
              <w:wordWrap w:val="0"/>
              <w:overflowPunct/>
              <w:topLinePunct w:val="0"/>
              <w:bidi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pPr>
              <w:kinsoku/>
              <w:wordWrap w:val="0"/>
              <w:overflowPunct/>
              <w:topLinePunct w:val="0"/>
              <w:bidi w:val="0"/>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pPr>
              <w:kinsoku/>
              <w:wordWrap w:val="0"/>
              <w:overflowPunct/>
              <w:topLinePunct w:val="0"/>
              <w:bidi w:val="0"/>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pPr>
              <w:kinsoku/>
              <w:wordWrap w:val="0"/>
              <w:overflowPunct/>
              <w:topLinePunct w:val="0"/>
              <w:bidi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pPr>
              <w:kinsoku/>
              <w:wordWrap w:val="0"/>
              <w:overflowPunct/>
              <w:topLinePunct w:val="0"/>
              <w:bidi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pPr>
              <w:kinsoku/>
              <w:wordWrap w:val="0"/>
              <w:overflowPunct/>
              <w:topLinePunct w:val="0"/>
              <w:bidi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pPr>
              <w:kinsoku/>
              <w:wordWrap w:val="0"/>
              <w:overflowPunct/>
              <w:topLinePunct w:val="0"/>
              <w:bidi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kinsoku/>
              <w:wordWrap w:val="0"/>
              <w:overflowPunct/>
              <w:topLinePunct w:val="0"/>
              <w:bidi w:val="0"/>
              <w:spacing w:line="360" w:lineRule="auto"/>
              <w:rPr>
                <w:rFonts w:hint="default" w:ascii="仿宋" w:hAnsi="仿宋" w:eastAsia="仿宋" w:cs="仿宋"/>
                <w:color w:val="auto"/>
                <w:sz w:val="24"/>
                <w:highlight w:val="none"/>
                <w:lang w:eastAsia="zh-CN"/>
              </w:rPr>
            </w:pPr>
            <w:r>
              <w:rPr>
                <w:rFonts w:hint="eastAsia" w:ascii="仿宋" w:hAnsi="仿宋" w:eastAsia="仿宋" w:cs="仿宋"/>
                <w:color w:val="auto"/>
                <w:sz w:val="24"/>
                <w:highlight w:val="none"/>
              </w:rPr>
              <w:t>2.</w:t>
            </w:r>
            <w:r>
              <w:rPr>
                <w:rFonts w:hint="default" w:ascii="仿宋" w:hAnsi="仿宋" w:eastAsia="仿宋" w:cs="仿宋"/>
                <w:color w:val="auto"/>
                <w:sz w:val="24"/>
                <w:highlight w:val="none"/>
              </w:rPr>
              <w:t>19</w:t>
            </w:r>
          </w:p>
        </w:tc>
        <w:tc>
          <w:tcPr>
            <w:tcW w:w="8149" w:type="dxa"/>
          </w:tcPr>
          <w:p>
            <w:pPr>
              <w:kinsoku/>
              <w:wordWrap w:val="0"/>
              <w:overflowPunct/>
              <w:topLinePunct w:val="0"/>
              <w:bidi w:val="0"/>
              <w:spacing w:line="360" w:lineRule="auto"/>
              <w:rPr>
                <w:rFonts w:hint="eastAsia" w:ascii="仿宋" w:hAnsi="仿宋" w:eastAsia="仿宋" w:cs="仿宋"/>
                <w:color w:val="auto"/>
                <w:sz w:val="24"/>
                <w:highlight w:val="none"/>
              </w:rPr>
            </w:pPr>
          </w:p>
        </w:tc>
      </w:tr>
    </w:tbl>
    <w:p>
      <w:pPr>
        <w:kinsoku/>
        <w:wordWrap w:val="0"/>
        <w:overflowPunct/>
        <w:topLinePunct w:val="0"/>
        <w:bidi w:val="0"/>
        <w:spacing w:line="360" w:lineRule="auto"/>
        <w:ind w:left="-420" w:leftChars="-200" w:right="-420" w:rightChars="-200" w:firstLine="480" w:firstLineChars="200"/>
        <w:rPr>
          <w:rFonts w:hint="eastAsia" w:ascii="仿宋" w:hAnsi="仿宋" w:eastAsia="仿宋" w:cs="仿宋"/>
          <w:color w:val="auto"/>
          <w:sz w:val="24"/>
          <w:highlight w:val="none"/>
        </w:rPr>
      </w:pPr>
    </w:p>
    <w:p>
      <w:pPr>
        <w:kinsoku/>
        <w:wordWrap w:val="0"/>
        <w:overflowPunct/>
        <w:topLinePunct w:val="0"/>
        <w:bidi w:val="0"/>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val="0"/>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70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30 </w:t>
      </w:r>
      <w:r>
        <w:rPr>
          <w:rFonts w:hint="eastAsia" w:ascii="仿宋" w:hAnsi="仿宋" w:eastAsia="仿宋" w:cs="仿宋"/>
          <w:color w:val="auto"/>
          <w:sz w:val="24"/>
          <w:highlight w:val="none"/>
        </w:rPr>
        <w:t>分。评分依下述所列为评标打分依据，分值如下（计算分值时，按其算术平均值保留小数2位）。</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70 </w:t>
      </w:r>
      <w:r>
        <w:rPr>
          <w:rFonts w:hint="eastAsia" w:ascii="仿宋" w:hAnsi="仿宋" w:eastAsia="仿宋" w:cs="仿宋"/>
          <w:b/>
          <w:bCs/>
          <w:iCs/>
          <w:color w:val="auto"/>
          <w:sz w:val="24"/>
          <w:highlight w:val="none"/>
        </w:rPr>
        <w:t>分）</w:t>
      </w:r>
    </w:p>
    <w:tbl>
      <w:tblPr>
        <w:tblStyle w:val="64"/>
        <w:tblW w:w="8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1229"/>
        <w:gridCol w:w="6153"/>
        <w:gridCol w:w="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767" w:type="dxa"/>
            <w:noWrap w:val="0"/>
            <w:vAlign w:val="center"/>
          </w:tcPr>
          <w:p>
            <w:pPr>
              <w:widowControl/>
              <w:snapToGrid w:val="0"/>
              <w:spacing w:line="400" w:lineRule="exact"/>
              <w:jc w:val="center"/>
              <w:rPr>
                <w:rFonts w:ascii="仿宋_GB2312" w:hAnsi="仿宋_GB2312" w:eastAsia="仿宋_GB2312" w:cs="仿宋_GB2312"/>
                <w:sz w:val="24"/>
              </w:rPr>
            </w:pPr>
            <w:r>
              <w:rPr>
                <w:rFonts w:hint="eastAsia" w:ascii="仿宋_GB2312" w:hAnsi="仿宋_GB2312" w:eastAsia="仿宋_GB2312" w:cs="仿宋_GB2312"/>
                <w:b/>
                <w:bCs/>
                <w:kern w:val="0"/>
                <w:sz w:val="24"/>
              </w:rPr>
              <w:t>序号</w:t>
            </w:r>
          </w:p>
        </w:tc>
        <w:tc>
          <w:tcPr>
            <w:tcW w:w="1229" w:type="dxa"/>
            <w:noWrap w:val="0"/>
            <w:vAlign w:val="center"/>
          </w:tcPr>
          <w:p>
            <w:pPr>
              <w:widowControl/>
              <w:snapToGrid w:val="0"/>
              <w:spacing w:line="400" w:lineRule="exact"/>
              <w:jc w:val="center"/>
              <w:rPr>
                <w:rFonts w:ascii="仿宋_GB2312" w:hAnsi="仿宋_GB2312" w:eastAsia="仿宋_GB2312" w:cs="仿宋_GB2312"/>
                <w:sz w:val="24"/>
              </w:rPr>
            </w:pPr>
            <w:r>
              <w:rPr>
                <w:rFonts w:hint="eastAsia" w:ascii="仿宋_GB2312" w:hAnsi="仿宋_GB2312" w:eastAsia="仿宋_GB2312" w:cs="仿宋_GB2312"/>
                <w:b/>
                <w:bCs/>
                <w:kern w:val="0"/>
                <w:sz w:val="24"/>
              </w:rPr>
              <w:t>评分项</w:t>
            </w:r>
          </w:p>
        </w:tc>
        <w:tc>
          <w:tcPr>
            <w:tcW w:w="6153" w:type="dxa"/>
            <w:noWrap w:val="0"/>
            <w:vAlign w:val="center"/>
          </w:tcPr>
          <w:p>
            <w:pPr>
              <w:widowControl/>
              <w:snapToGrid w:val="0"/>
              <w:spacing w:line="400" w:lineRule="exact"/>
              <w:jc w:val="center"/>
              <w:rPr>
                <w:rFonts w:ascii="仿宋_GB2312" w:hAnsi="仿宋_GB2312" w:eastAsia="仿宋_GB2312" w:cs="仿宋_GB2312"/>
                <w:sz w:val="24"/>
              </w:rPr>
            </w:pPr>
            <w:r>
              <w:rPr>
                <w:rFonts w:hint="eastAsia" w:ascii="仿宋_GB2312" w:hAnsi="仿宋_GB2312" w:eastAsia="仿宋_GB2312" w:cs="仿宋_GB2312"/>
                <w:b/>
                <w:bCs/>
                <w:kern w:val="0"/>
                <w:sz w:val="24"/>
              </w:rPr>
              <w:t>评审依据及标准</w:t>
            </w:r>
          </w:p>
        </w:tc>
        <w:tc>
          <w:tcPr>
            <w:tcW w:w="809" w:type="dxa"/>
            <w:noWrap w:val="0"/>
            <w:vAlign w:val="center"/>
          </w:tcPr>
          <w:p>
            <w:pPr>
              <w:widowControl/>
              <w:snapToGrid w:val="0"/>
              <w:spacing w:line="400" w:lineRule="exact"/>
              <w:jc w:val="center"/>
              <w:rPr>
                <w:rFonts w:ascii="仿宋_GB2312" w:hAnsi="仿宋_GB2312" w:eastAsia="仿宋_GB2312" w:cs="仿宋_GB2312"/>
                <w:sz w:val="24"/>
              </w:rPr>
            </w:pPr>
            <w:r>
              <w:rPr>
                <w:rFonts w:hint="eastAsia" w:ascii="仿宋_GB2312" w:hAnsi="仿宋_GB2312" w:eastAsia="仿宋_GB2312" w:cs="仿宋_GB2312"/>
                <w:b/>
                <w:bCs/>
                <w:kern w:val="0"/>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767" w:type="dxa"/>
            <w:noWrap w:val="0"/>
            <w:vAlign w:val="center"/>
          </w:tcPr>
          <w:p>
            <w:pPr>
              <w:widowControl/>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229" w:type="dxa"/>
            <w:noWrap w:val="0"/>
            <w:vAlign w:val="center"/>
          </w:tcPr>
          <w:p>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相关认证证书</w:t>
            </w:r>
          </w:p>
        </w:tc>
        <w:tc>
          <w:tcPr>
            <w:tcW w:w="6153" w:type="dxa"/>
            <w:noWrap w:val="0"/>
            <w:vAlign w:val="center"/>
          </w:tcPr>
          <w:p>
            <w:pPr>
              <w:wordWrap w:val="0"/>
              <w:spacing w:line="400" w:lineRule="exact"/>
              <w:rPr>
                <w:rFonts w:ascii="仿宋_GB2312" w:hAnsi="仿宋_GB2312" w:eastAsia="仿宋_GB2312" w:cs="仿宋_GB2312"/>
                <w:sz w:val="24"/>
              </w:rPr>
            </w:pPr>
            <w:r>
              <w:rPr>
                <w:rFonts w:hint="eastAsia" w:ascii="仿宋_GB2312" w:hAnsi="仿宋_GB2312" w:eastAsia="仿宋_GB2312" w:cs="仿宋_GB2312"/>
                <w:sz w:val="24"/>
              </w:rPr>
              <w:t>根据投标人企业认证证书情况进行打分，提供相关证明并加盖投标人公章。(本项分值设置为3,2,1,0.5,0分)</w:t>
            </w:r>
          </w:p>
        </w:tc>
        <w:tc>
          <w:tcPr>
            <w:tcW w:w="809" w:type="dxa"/>
            <w:noWrap w:val="0"/>
            <w:vAlign w:val="center"/>
          </w:tcPr>
          <w:p>
            <w:pPr>
              <w:widowControl/>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lang w:val="en-US" w:eastAsia="zh-CN"/>
              </w:rPr>
              <w:t>3</w:t>
            </w:r>
            <w:r>
              <w:rPr>
                <w:rFonts w:hint="eastAsia" w:ascii="仿宋_GB2312" w:hAnsi="仿宋_GB2312" w:eastAsia="仿宋_GB2312" w:cs="仿宋_GB2312"/>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767" w:type="dxa"/>
            <w:noWrap w:val="0"/>
            <w:vAlign w:val="center"/>
          </w:tcPr>
          <w:p>
            <w:pPr>
              <w:widowControl/>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229" w:type="dxa"/>
            <w:noWrap w:val="0"/>
            <w:vAlign w:val="center"/>
          </w:tcPr>
          <w:p>
            <w:pPr>
              <w:widowControl/>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同类项目业绩情况</w:t>
            </w:r>
          </w:p>
        </w:tc>
        <w:tc>
          <w:tcPr>
            <w:tcW w:w="6153" w:type="dxa"/>
            <w:noWrap w:val="0"/>
            <w:vAlign w:val="center"/>
          </w:tcPr>
          <w:p>
            <w:pPr>
              <w:widowControl/>
              <w:spacing w:line="400" w:lineRule="exact"/>
              <w:rPr>
                <w:rFonts w:ascii="仿宋_GB2312" w:hAnsi="仿宋_GB2312" w:eastAsia="仿宋_GB2312" w:cs="仿宋_GB2312"/>
                <w:sz w:val="24"/>
              </w:rPr>
            </w:pPr>
            <w:r>
              <w:rPr>
                <w:rFonts w:hint="eastAsia" w:ascii="仿宋_GB2312" w:hAnsi="仿宋_GB2312" w:eastAsia="仿宋_GB2312" w:cs="仿宋_GB2312"/>
                <w:sz w:val="24"/>
              </w:rPr>
              <w:t>投标人自202</w:t>
            </w:r>
            <w:r>
              <w:rPr>
                <w:rFonts w:hint="eastAsia" w:ascii="仿宋_GB2312" w:hAnsi="仿宋_GB2312" w:eastAsia="仿宋_GB2312" w:cs="仿宋_GB2312"/>
                <w:sz w:val="24"/>
                <w:lang w:val="en-US" w:eastAsia="zh-CN"/>
              </w:rPr>
              <w:t>2</w:t>
            </w:r>
            <w:r>
              <w:rPr>
                <w:rFonts w:hint="eastAsia" w:ascii="仿宋_GB2312" w:hAnsi="仿宋_GB2312" w:eastAsia="仿宋_GB2312" w:cs="仿宋_GB2312"/>
                <w:sz w:val="24"/>
              </w:rPr>
              <w:t>年1月1日以来（以合同签订时间为准）完成的同类案例，每有1个得1分，满分3分。</w:t>
            </w:r>
          </w:p>
          <w:p>
            <w:pPr>
              <w:widowControl/>
              <w:spacing w:line="400" w:lineRule="exact"/>
              <w:rPr>
                <w:rFonts w:ascii="仿宋_GB2312" w:hAnsi="仿宋_GB2312" w:eastAsia="仿宋_GB2312" w:cs="仿宋_GB2312"/>
                <w:sz w:val="24"/>
              </w:rPr>
            </w:pPr>
            <w:r>
              <w:rPr>
                <w:rFonts w:hint="eastAsia" w:ascii="仿宋_GB2312" w:hAnsi="仿宋_GB2312" w:eastAsia="仿宋_GB2312" w:cs="仿宋_GB2312"/>
                <w:b/>
                <w:bCs/>
                <w:sz w:val="24"/>
              </w:rPr>
              <w:t>注：每个案例提供合同复印件加盖投标人公章。</w:t>
            </w:r>
          </w:p>
        </w:tc>
        <w:tc>
          <w:tcPr>
            <w:tcW w:w="809" w:type="dxa"/>
            <w:noWrap w:val="0"/>
            <w:vAlign w:val="center"/>
          </w:tcPr>
          <w:p>
            <w:pPr>
              <w:widowControl/>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767" w:type="dxa"/>
            <w:noWrap w:val="0"/>
            <w:vAlign w:val="center"/>
          </w:tcPr>
          <w:p>
            <w:pPr>
              <w:pStyle w:val="25"/>
              <w:spacing w:line="400" w:lineRule="exact"/>
              <w:jc w:val="center"/>
              <w:rPr>
                <w:rFonts w:ascii="仿宋_GB2312" w:hAnsi="仿宋_GB2312" w:cs="仿宋_GB2312"/>
                <w:sz w:val="24"/>
              </w:rPr>
            </w:pPr>
            <w:r>
              <w:rPr>
                <w:rFonts w:hint="eastAsia" w:ascii="仿宋_GB2312" w:hAnsi="仿宋_GB2312" w:cs="仿宋_GB2312"/>
                <w:sz w:val="24"/>
              </w:rPr>
              <w:t>3</w:t>
            </w:r>
          </w:p>
        </w:tc>
        <w:tc>
          <w:tcPr>
            <w:tcW w:w="1229" w:type="dxa"/>
            <w:noWrap w:val="0"/>
            <w:vAlign w:val="center"/>
          </w:tcPr>
          <w:p>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管理制度</w:t>
            </w:r>
          </w:p>
        </w:tc>
        <w:tc>
          <w:tcPr>
            <w:tcW w:w="6153" w:type="dxa"/>
            <w:noWrap w:val="0"/>
            <w:vAlign w:val="center"/>
          </w:tcPr>
          <w:p>
            <w:pPr>
              <w:spacing w:line="400" w:lineRule="exact"/>
              <w:rPr>
                <w:rFonts w:ascii="仿宋_GB2312" w:hAnsi="仿宋_GB2312" w:eastAsia="仿宋_GB2312" w:cs="仿宋_GB2312"/>
                <w:sz w:val="24"/>
              </w:rPr>
            </w:pPr>
            <w:r>
              <w:rPr>
                <w:rFonts w:hint="eastAsia" w:ascii="仿宋_GB2312" w:hAnsi="仿宋_GB2312" w:eastAsia="仿宋_GB2312" w:cs="仿宋_GB2312"/>
                <w:sz w:val="24"/>
              </w:rPr>
              <w:t>按投标人提供的是否有完善的物业管理制度、作业流程及物业管理工作计划及实施时间，并建立和完善档案管理制度、公众制度、物业管理制度等，体现标准化服务，管理服务水平符合国家和行业标准，是否具有信息化调度管理平台系统等方面进行打分</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(本项分值设置为5,4,3,2,1,0.5,0分)</w:t>
            </w:r>
          </w:p>
        </w:tc>
        <w:tc>
          <w:tcPr>
            <w:tcW w:w="809" w:type="dxa"/>
            <w:noWrap w:val="0"/>
            <w:vAlign w:val="center"/>
          </w:tcPr>
          <w:p>
            <w:pPr>
              <w:widowControl/>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lang w:val="en-US" w:eastAsia="zh-CN"/>
              </w:rPr>
              <w:t>5</w:t>
            </w:r>
            <w:r>
              <w:rPr>
                <w:rFonts w:hint="eastAsia" w:ascii="仿宋_GB2312" w:hAnsi="仿宋_GB2312" w:eastAsia="仿宋_GB2312" w:cs="仿宋_GB2312"/>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4" w:hRule="atLeast"/>
          <w:jc w:val="center"/>
        </w:trPr>
        <w:tc>
          <w:tcPr>
            <w:tcW w:w="767" w:type="dxa"/>
            <w:noWrap w:val="0"/>
            <w:vAlign w:val="center"/>
          </w:tcPr>
          <w:p>
            <w:pPr>
              <w:widowControl/>
              <w:spacing w:line="400" w:lineRule="exac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4</w:t>
            </w:r>
          </w:p>
        </w:tc>
        <w:tc>
          <w:tcPr>
            <w:tcW w:w="1229" w:type="dxa"/>
            <w:noWrap w:val="0"/>
            <w:vAlign w:val="center"/>
          </w:tcPr>
          <w:p>
            <w:pPr>
              <w:tabs>
                <w:tab w:val="left" w:pos="0"/>
              </w:tabs>
              <w:snapToGrid w:val="0"/>
              <w:spacing w:line="400" w:lineRule="exact"/>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rPr>
              <w:t>保洁项目</w:t>
            </w:r>
            <w:r>
              <w:rPr>
                <w:rFonts w:hint="eastAsia" w:ascii="仿宋_GB2312" w:hAnsi="仿宋_GB2312" w:eastAsia="仿宋_GB2312" w:cs="仿宋_GB2312"/>
                <w:sz w:val="24"/>
                <w:lang w:eastAsia="zh-CN"/>
              </w:rPr>
              <w:t>实施方案</w:t>
            </w:r>
          </w:p>
        </w:tc>
        <w:tc>
          <w:tcPr>
            <w:tcW w:w="6153" w:type="dxa"/>
            <w:noWrap w:val="0"/>
            <w:vAlign w:val="center"/>
          </w:tcPr>
          <w:p>
            <w:pPr>
              <w:pStyle w:val="25"/>
              <w:spacing w:line="400" w:lineRule="exact"/>
              <w:rPr>
                <w:rFonts w:hint="eastAsia" w:ascii="仿宋_GB2312" w:hAnsi="仿宋_GB2312" w:cs="仿宋_GB2312"/>
                <w:sz w:val="24"/>
              </w:rPr>
            </w:pPr>
            <w:r>
              <w:rPr>
                <w:rFonts w:hint="eastAsia" w:ascii="仿宋_GB2312" w:hAnsi="仿宋_GB2312" w:eastAsia="仿宋_GB2312" w:cs="仿宋_GB2312"/>
                <w:sz w:val="24"/>
              </w:rPr>
              <w:t>根据投标人提供的办公楼室内地面、墙面、天花板、会议室、办公室、大堂、电梯、洗手间、楼梯等公共区域及公共设施的日常保洁；墓区墓道、路面、绿化带、停车场等区域及公共设施的日常保洁方案进行打分。(本项分值设置为5,4,3,2,1,0.5,0分)</w:t>
            </w:r>
          </w:p>
        </w:tc>
        <w:tc>
          <w:tcPr>
            <w:tcW w:w="809" w:type="dxa"/>
            <w:noWrap w:val="0"/>
            <w:vAlign w:val="center"/>
          </w:tcPr>
          <w:p>
            <w:pPr>
              <w:tabs>
                <w:tab w:val="left" w:pos="0"/>
              </w:tabs>
              <w:snapToGrid w:val="0"/>
              <w:spacing w:line="400" w:lineRule="exac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767" w:type="dxa"/>
            <w:noWrap w:val="0"/>
            <w:vAlign w:val="center"/>
          </w:tcPr>
          <w:p>
            <w:pPr>
              <w:widowControl/>
              <w:spacing w:line="400" w:lineRule="exac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5</w:t>
            </w:r>
          </w:p>
        </w:tc>
        <w:tc>
          <w:tcPr>
            <w:tcW w:w="1229" w:type="dxa"/>
            <w:noWrap w:val="0"/>
            <w:vAlign w:val="center"/>
          </w:tcPr>
          <w:p>
            <w:pPr>
              <w:tabs>
                <w:tab w:val="left" w:pos="0"/>
              </w:tabs>
              <w:snapToGrid w:val="0"/>
              <w:spacing w:line="400" w:lineRule="exact"/>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rPr>
              <w:t>绿化养护项目</w:t>
            </w:r>
            <w:r>
              <w:rPr>
                <w:rFonts w:hint="eastAsia" w:ascii="仿宋_GB2312" w:hAnsi="仿宋_GB2312" w:eastAsia="仿宋_GB2312" w:cs="仿宋_GB2312"/>
                <w:sz w:val="24"/>
                <w:lang w:eastAsia="zh-CN"/>
              </w:rPr>
              <w:t>实施方案</w:t>
            </w:r>
          </w:p>
        </w:tc>
        <w:tc>
          <w:tcPr>
            <w:tcW w:w="6153" w:type="dxa"/>
            <w:noWrap w:val="0"/>
            <w:vAlign w:val="center"/>
          </w:tcPr>
          <w:p>
            <w:pPr>
              <w:pStyle w:val="25"/>
              <w:spacing w:line="400" w:lineRule="exact"/>
              <w:rPr>
                <w:rFonts w:hint="eastAsia" w:ascii="仿宋_GB2312" w:hAnsi="仿宋_GB2312" w:eastAsia="仿宋_GB2312" w:cs="仿宋_GB2312"/>
                <w:sz w:val="24"/>
                <w:lang w:eastAsia="zh-CN"/>
              </w:rPr>
            </w:pPr>
            <w:r>
              <w:rPr>
                <w:rFonts w:hint="eastAsia" w:ascii="仿宋_GB2312" w:hAnsi="仿宋_GB2312" w:eastAsia="仿宋_GB2312" w:cs="仿宋_GB2312"/>
                <w:sz w:val="24"/>
              </w:rPr>
              <w:t>根据投标人提供的墓区和办公区域绿化的施肥、浇水养护、病虫害防治、灾害预防措施方案进行打分</w:t>
            </w:r>
            <w:r>
              <w:rPr>
                <w:rFonts w:hint="eastAsia" w:ascii="仿宋_GB2312" w:hAnsi="仿宋_GB2312" w:cs="仿宋_GB2312"/>
                <w:sz w:val="24"/>
                <w:lang w:eastAsia="zh-CN"/>
              </w:rPr>
              <w:t>。</w:t>
            </w:r>
            <w:r>
              <w:rPr>
                <w:rFonts w:hint="eastAsia" w:ascii="仿宋_GB2312" w:hAnsi="仿宋_GB2312" w:eastAsia="仿宋_GB2312" w:cs="仿宋_GB2312"/>
                <w:sz w:val="24"/>
              </w:rPr>
              <w:t>(本项分值设置为5,4,3,2,1,0.5,0分)</w:t>
            </w:r>
          </w:p>
        </w:tc>
        <w:tc>
          <w:tcPr>
            <w:tcW w:w="809" w:type="dxa"/>
            <w:noWrap w:val="0"/>
            <w:vAlign w:val="center"/>
          </w:tcPr>
          <w:p>
            <w:pPr>
              <w:tabs>
                <w:tab w:val="left" w:pos="0"/>
              </w:tabs>
              <w:snapToGrid w:val="0"/>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767" w:type="dxa"/>
            <w:noWrap w:val="0"/>
            <w:vAlign w:val="center"/>
          </w:tcPr>
          <w:p>
            <w:pPr>
              <w:widowControl/>
              <w:spacing w:line="400" w:lineRule="exac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6</w:t>
            </w:r>
          </w:p>
        </w:tc>
        <w:tc>
          <w:tcPr>
            <w:tcW w:w="1229" w:type="dxa"/>
            <w:noWrap w:val="0"/>
            <w:vAlign w:val="center"/>
          </w:tcPr>
          <w:p>
            <w:pPr>
              <w:tabs>
                <w:tab w:val="left" w:pos="0"/>
              </w:tabs>
              <w:snapToGrid w:val="0"/>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应急方案</w:t>
            </w:r>
          </w:p>
        </w:tc>
        <w:tc>
          <w:tcPr>
            <w:tcW w:w="6153" w:type="dxa"/>
            <w:noWrap w:val="0"/>
            <w:vAlign w:val="center"/>
          </w:tcPr>
          <w:p>
            <w:pPr>
              <w:pStyle w:val="25"/>
              <w:spacing w:line="400" w:lineRule="exact"/>
              <w:rPr>
                <w:rFonts w:hint="eastAsia" w:ascii="仿宋_GB2312" w:hAnsi="仿宋_GB2312" w:cs="仿宋_GB2312"/>
                <w:sz w:val="24"/>
              </w:rPr>
            </w:pPr>
            <w:r>
              <w:rPr>
                <w:rFonts w:hint="eastAsia" w:ascii="仿宋_GB2312" w:hAnsi="仿宋_GB2312" w:eastAsia="仿宋_GB2312" w:cs="仿宋_GB2312"/>
                <w:sz w:val="24"/>
              </w:rPr>
              <w:t>根据投标人提出的针对防台、防汛、防火、防震、突发事件处置的应急方案及措施进行打分。(本项分值设置为5,4,3,2,1,0.5,0分)</w:t>
            </w:r>
          </w:p>
        </w:tc>
        <w:tc>
          <w:tcPr>
            <w:tcW w:w="809" w:type="dxa"/>
            <w:noWrap w:val="0"/>
            <w:vAlign w:val="center"/>
          </w:tcPr>
          <w:p>
            <w:pPr>
              <w:tabs>
                <w:tab w:val="left" w:pos="0"/>
              </w:tabs>
              <w:snapToGrid w:val="0"/>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767" w:type="dxa"/>
            <w:noWrap w:val="0"/>
            <w:vAlign w:val="center"/>
          </w:tcPr>
          <w:p>
            <w:pPr>
              <w:widowControl/>
              <w:spacing w:line="400" w:lineRule="exact"/>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7</w:t>
            </w:r>
          </w:p>
        </w:tc>
        <w:tc>
          <w:tcPr>
            <w:tcW w:w="1229" w:type="dxa"/>
            <w:noWrap w:val="0"/>
            <w:vAlign w:val="center"/>
          </w:tcPr>
          <w:p>
            <w:pPr>
              <w:tabs>
                <w:tab w:val="left" w:pos="0"/>
              </w:tabs>
              <w:snapToGrid w:val="0"/>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节能、环保方案</w:t>
            </w:r>
          </w:p>
        </w:tc>
        <w:tc>
          <w:tcPr>
            <w:tcW w:w="6153" w:type="dxa"/>
            <w:noWrap w:val="0"/>
            <w:vAlign w:val="center"/>
          </w:tcPr>
          <w:p>
            <w:pPr>
              <w:pStyle w:val="25"/>
              <w:spacing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根据投标人提供的在垃圾分类管理和回收、危废管理等方面管理举措，以及节能降耗工作计划和实施措施等方面进行打分。(本项分值设置为5,4,3,2,1,0.5,0分)</w:t>
            </w:r>
          </w:p>
        </w:tc>
        <w:tc>
          <w:tcPr>
            <w:tcW w:w="809" w:type="dxa"/>
            <w:noWrap w:val="0"/>
            <w:vAlign w:val="center"/>
          </w:tcPr>
          <w:p>
            <w:pPr>
              <w:pStyle w:val="25"/>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5</w:t>
            </w:r>
            <w:r>
              <w:rPr>
                <w:rFonts w:hint="eastAsia" w:ascii="仿宋_GB2312" w:hAnsi="仿宋_GB2312" w:eastAsia="仿宋_GB2312" w:cs="仿宋_GB2312"/>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767" w:type="dxa"/>
            <w:noWrap w:val="0"/>
            <w:vAlign w:val="center"/>
          </w:tcPr>
          <w:p>
            <w:pPr>
              <w:widowControl/>
              <w:spacing w:line="400" w:lineRule="exact"/>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8</w:t>
            </w:r>
          </w:p>
        </w:tc>
        <w:tc>
          <w:tcPr>
            <w:tcW w:w="1229" w:type="dxa"/>
            <w:noWrap w:val="0"/>
            <w:vAlign w:val="center"/>
          </w:tcPr>
          <w:p>
            <w:pPr>
              <w:tabs>
                <w:tab w:val="left" w:pos="0"/>
              </w:tabs>
              <w:snapToGrid w:val="0"/>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拟派项目经理</w:t>
            </w:r>
          </w:p>
        </w:tc>
        <w:tc>
          <w:tcPr>
            <w:tcW w:w="6153" w:type="dxa"/>
            <w:noWrap w:val="0"/>
            <w:vAlign w:val="center"/>
          </w:tcPr>
          <w:p>
            <w:pPr>
              <w:spacing w:line="400" w:lineRule="exact"/>
              <w:jc w:val="left"/>
              <w:rPr>
                <w:rFonts w:hint="eastAsia" w:ascii="仿宋_GB2312" w:hAnsi="仿宋_GB2312" w:eastAsia="仿宋_GB2312" w:cs="仿宋_GB2312"/>
                <w:snapToGrid w:val="0"/>
                <w:kern w:val="2"/>
                <w:sz w:val="24"/>
                <w:szCs w:val="21"/>
                <w:lang w:val="zh-CN" w:eastAsia="zh-CN" w:bidi="ar-SA"/>
              </w:rPr>
            </w:pPr>
            <w:r>
              <w:rPr>
                <w:rFonts w:hint="eastAsia" w:ascii="仿宋_GB2312" w:hAnsi="仿宋_GB2312" w:eastAsia="仿宋_GB2312" w:cs="仿宋_GB2312"/>
                <w:snapToGrid w:val="0"/>
                <w:kern w:val="2"/>
                <w:sz w:val="24"/>
                <w:szCs w:val="21"/>
                <w:lang w:val="en-US" w:eastAsia="zh-CN" w:bidi="ar-SA"/>
              </w:rPr>
              <w:t>1.</w:t>
            </w:r>
            <w:r>
              <w:rPr>
                <w:rFonts w:hint="eastAsia" w:ascii="仿宋_GB2312" w:hAnsi="仿宋_GB2312" w:eastAsia="仿宋_GB2312" w:cs="仿宋_GB2312"/>
                <w:snapToGrid w:val="0"/>
                <w:kern w:val="2"/>
                <w:sz w:val="24"/>
                <w:szCs w:val="21"/>
                <w:lang w:val="zh-CN" w:eastAsia="zh-CN" w:bidi="ar-SA"/>
              </w:rPr>
              <w:t>持有人社部门颁发的管理类中级及以上职称证书的，得2分；</w:t>
            </w:r>
          </w:p>
          <w:p>
            <w:pPr>
              <w:spacing w:line="400" w:lineRule="exact"/>
              <w:jc w:val="left"/>
              <w:rPr>
                <w:rFonts w:hint="eastAsia" w:ascii="仿宋_GB2312" w:hAnsi="仿宋_GB2312" w:eastAsia="仿宋_GB2312" w:cs="仿宋_GB2312"/>
                <w:snapToGrid w:val="0"/>
                <w:kern w:val="2"/>
                <w:sz w:val="24"/>
                <w:szCs w:val="21"/>
                <w:lang w:val="zh-CN" w:eastAsia="zh-CN" w:bidi="ar-SA"/>
              </w:rPr>
            </w:pPr>
            <w:r>
              <w:rPr>
                <w:rFonts w:hint="eastAsia" w:ascii="仿宋_GB2312" w:hAnsi="仿宋_GB2312" w:eastAsia="仿宋_GB2312" w:cs="仿宋_GB2312"/>
                <w:snapToGrid w:val="0"/>
                <w:kern w:val="2"/>
                <w:sz w:val="24"/>
                <w:szCs w:val="21"/>
                <w:lang w:val="en-US" w:eastAsia="zh-CN" w:bidi="ar-SA"/>
              </w:rPr>
              <w:t>2.</w:t>
            </w:r>
            <w:r>
              <w:rPr>
                <w:rFonts w:hint="eastAsia" w:ascii="仿宋_GB2312" w:hAnsi="仿宋_GB2312" w:eastAsia="仿宋_GB2312" w:cs="仿宋_GB2312"/>
                <w:snapToGrid w:val="0"/>
                <w:kern w:val="2"/>
                <w:sz w:val="24"/>
                <w:szCs w:val="21"/>
                <w:lang w:val="zh-CN" w:eastAsia="zh-CN" w:bidi="ar-SA"/>
              </w:rPr>
              <w:t>具有大专及以上学历的，得2分；</w:t>
            </w:r>
          </w:p>
          <w:p>
            <w:pPr>
              <w:spacing w:line="400" w:lineRule="exact"/>
              <w:jc w:val="left"/>
              <w:rPr>
                <w:rFonts w:hint="eastAsia" w:ascii="仿宋_GB2312" w:hAnsi="仿宋_GB2312" w:eastAsia="仿宋_GB2312" w:cs="仿宋_GB2312"/>
                <w:snapToGrid w:val="0"/>
                <w:kern w:val="2"/>
                <w:sz w:val="24"/>
                <w:szCs w:val="21"/>
                <w:lang w:val="zh-CN" w:eastAsia="zh-CN" w:bidi="ar-SA"/>
              </w:rPr>
            </w:pPr>
            <w:r>
              <w:rPr>
                <w:rFonts w:hint="eastAsia" w:ascii="仿宋_GB2312" w:hAnsi="仿宋_GB2312" w:eastAsia="仿宋_GB2312" w:cs="仿宋_GB2312"/>
                <w:snapToGrid w:val="0"/>
                <w:kern w:val="2"/>
                <w:sz w:val="24"/>
                <w:szCs w:val="21"/>
                <w:lang w:val="en-US" w:eastAsia="zh-CN" w:bidi="ar-SA"/>
              </w:rPr>
              <w:t>3.</w:t>
            </w:r>
            <w:r>
              <w:rPr>
                <w:rFonts w:hint="eastAsia" w:ascii="仿宋_GB2312" w:hAnsi="仿宋_GB2312" w:eastAsia="仿宋_GB2312" w:cs="仿宋_GB2312"/>
                <w:snapToGrid w:val="0"/>
                <w:kern w:val="2"/>
                <w:sz w:val="24"/>
                <w:szCs w:val="21"/>
                <w:lang w:val="zh-CN" w:eastAsia="zh-CN" w:bidi="ar-SA"/>
              </w:rPr>
              <w:t>持有人社部门颁发的园林绿化专业中级工程师及以上职称的，得2分；</w:t>
            </w:r>
          </w:p>
          <w:p>
            <w:pPr>
              <w:tabs>
                <w:tab w:val="left" w:pos="0"/>
              </w:tabs>
              <w:snapToGrid w:val="0"/>
              <w:spacing w:line="400" w:lineRule="exact"/>
              <w:rPr>
                <w:rFonts w:hint="eastAsia" w:ascii="仿宋_GB2312" w:hAnsi="仿宋_GB2312" w:eastAsia="仿宋_GB2312" w:cs="仿宋_GB2312"/>
                <w:snapToGrid w:val="0"/>
                <w:kern w:val="2"/>
                <w:sz w:val="24"/>
                <w:szCs w:val="21"/>
                <w:lang w:val="zh-CN" w:eastAsia="zh-CN" w:bidi="ar-SA"/>
              </w:rPr>
            </w:pPr>
            <w:r>
              <w:rPr>
                <w:rFonts w:hint="eastAsia" w:ascii="仿宋_GB2312" w:hAnsi="仿宋_GB2312" w:eastAsia="仿宋_GB2312" w:cs="仿宋_GB2312"/>
                <w:b/>
                <w:bCs/>
                <w:snapToGrid w:val="0"/>
                <w:kern w:val="2"/>
                <w:sz w:val="24"/>
                <w:szCs w:val="21"/>
                <w:lang w:val="zh-CN" w:eastAsia="zh-CN" w:bidi="ar-SA"/>
              </w:rPr>
              <w:t>注：提供相关证书扫描件及本单位社保缴纳证明均加盖投标人公章</w:t>
            </w:r>
            <w:r>
              <w:rPr>
                <w:rFonts w:hint="eastAsia" w:ascii="仿宋_GB2312" w:hAnsi="仿宋_GB2312" w:eastAsia="仿宋_GB2312" w:cs="仿宋_GB2312"/>
                <w:b/>
                <w:bCs/>
                <w:snapToGrid w:val="0"/>
                <w:kern w:val="2"/>
                <w:sz w:val="24"/>
                <w:szCs w:val="21"/>
                <w:lang w:val="en-US" w:eastAsia="zh-CN" w:bidi="ar-SA"/>
              </w:rPr>
              <w:t>，否则不得分。</w:t>
            </w:r>
          </w:p>
        </w:tc>
        <w:tc>
          <w:tcPr>
            <w:tcW w:w="809" w:type="dxa"/>
            <w:noWrap w:val="0"/>
            <w:vAlign w:val="center"/>
          </w:tcPr>
          <w:p>
            <w:pPr>
              <w:tabs>
                <w:tab w:val="left" w:pos="0"/>
              </w:tabs>
              <w:snapToGrid w:val="0"/>
              <w:spacing w:line="400" w:lineRule="exact"/>
              <w:jc w:val="center"/>
              <w:rPr>
                <w:rFonts w:hint="eastAsia" w:ascii="仿宋_GB2312" w:hAnsi="仿宋_GB2312" w:eastAsia="仿宋_GB2312" w:cs="仿宋_GB2312"/>
                <w:snapToGrid w:val="0"/>
                <w:kern w:val="2"/>
                <w:sz w:val="24"/>
                <w:szCs w:val="21"/>
                <w:lang w:val="zh-CN" w:eastAsia="zh-CN" w:bidi="ar-SA"/>
              </w:rPr>
            </w:pPr>
            <w:r>
              <w:rPr>
                <w:rFonts w:hint="eastAsia" w:ascii="仿宋_GB2312" w:hAnsi="仿宋_GB2312" w:eastAsia="仿宋_GB2312" w:cs="仿宋_GB2312"/>
                <w:snapToGrid w:val="0"/>
                <w:kern w:val="2"/>
                <w:sz w:val="24"/>
                <w:szCs w:val="21"/>
                <w:lang w:val="zh-CN" w:eastAsia="zh-CN" w:bidi="ar-SA"/>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9" w:hRule="atLeast"/>
          <w:jc w:val="center"/>
        </w:trPr>
        <w:tc>
          <w:tcPr>
            <w:tcW w:w="767" w:type="dxa"/>
            <w:noWrap w:val="0"/>
            <w:vAlign w:val="center"/>
          </w:tcPr>
          <w:p>
            <w:pPr>
              <w:widowControl/>
              <w:spacing w:line="400" w:lineRule="exact"/>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9</w:t>
            </w:r>
          </w:p>
        </w:tc>
        <w:tc>
          <w:tcPr>
            <w:tcW w:w="1229" w:type="dxa"/>
            <w:noWrap w:val="0"/>
            <w:vAlign w:val="center"/>
          </w:tcPr>
          <w:p>
            <w:pPr>
              <w:tabs>
                <w:tab w:val="left" w:pos="0"/>
              </w:tabs>
              <w:snapToGrid w:val="0"/>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拟投入的物资情况</w:t>
            </w:r>
          </w:p>
        </w:tc>
        <w:tc>
          <w:tcPr>
            <w:tcW w:w="6153" w:type="dxa"/>
            <w:noWrap w:val="0"/>
            <w:vAlign w:val="center"/>
          </w:tcPr>
          <w:p>
            <w:pPr>
              <w:tabs>
                <w:tab w:val="left" w:pos="0"/>
              </w:tabs>
              <w:snapToGrid w:val="0"/>
              <w:spacing w:line="400" w:lineRule="exact"/>
              <w:rPr>
                <w:rFonts w:ascii="仿宋_GB2312" w:hAnsi="仿宋_GB2312" w:eastAsia="仿宋_GB2312" w:cs="仿宋_GB2312"/>
                <w:sz w:val="24"/>
              </w:rPr>
            </w:pPr>
            <w:r>
              <w:rPr>
                <w:rFonts w:hint="eastAsia" w:ascii="仿宋_GB2312" w:hAnsi="仿宋_GB2312" w:eastAsia="仿宋_GB2312" w:cs="仿宋_GB2312"/>
                <w:sz w:val="24"/>
              </w:rPr>
              <w:t>根据投标人自有或租赁相关保洁、养护设备情况，和根据提供的办公用具、员工服装、易耗品等情况进行打分。(本项分值设置为5,4,3,2,1,0.5,0分)</w:t>
            </w:r>
          </w:p>
          <w:p>
            <w:pPr>
              <w:tabs>
                <w:tab w:val="left" w:pos="0"/>
              </w:tabs>
              <w:snapToGrid w:val="0"/>
              <w:spacing w:line="400" w:lineRule="exact"/>
              <w:rPr>
                <w:rFonts w:ascii="仿宋_GB2312" w:hAnsi="仿宋_GB2312" w:eastAsia="仿宋_GB2312" w:cs="仿宋_GB2312"/>
                <w:sz w:val="24"/>
              </w:rPr>
            </w:pPr>
            <w:r>
              <w:rPr>
                <w:rFonts w:hint="eastAsia" w:ascii="仿宋_GB2312" w:hAnsi="仿宋_GB2312" w:eastAsia="仿宋_GB2312" w:cs="仿宋_GB2312"/>
                <w:b/>
                <w:bCs/>
                <w:sz w:val="24"/>
              </w:rPr>
              <w:t>注：需提供设备购置发票复印件或设备租赁合同复印件加盖投标人公章，不提供不得分。</w:t>
            </w:r>
          </w:p>
        </w:tc>
        <w:tc>
          <w:tcPr>
            <w:tcW w:w="809" w:type="dxa"/>
            <w:noWrap w:val="0"/>
            <w:vAlign w:val="center"/>
          </w:tcPr>
          <w:p>
            <w:pPr>
              <w:tabs>
                <w:tab w:val="left" w:pos="0"/>
              </w:tabs>
              <w:snapToGrid w:val="0"/>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lang w:val="en-US" w:eastAsia="zh-CN"/>
              </w:rPr>
              <w:t>5</w:t>
            </w:r>
            <w:r>
              <w:rPr>
                <w:rFonts w:hint="eastAsia" w:ascii="仿宋_GB2312" w:hAnsi="仿宋_GB2312" w:eastAsia="仿宋_GB2312" w:cs="仿宋_GB2312"/>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767" w:type="dxa"/>
            <w:noWrap w:val="0"/>
            <w:vAlign w:val="center"/>
          </w:tcPr>
          <w:p>
            <w:pPr>
              <w:widowControl/>
              <w:spacing w:line="4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10</w:t>
            </w:r>
          </w:p>
        </w:tc>
        <w:tc>
          <w:tcPr>
            <w:tcW w:w="1229" w:type="dxa"/>
            <w:noWrap w:val="0"/>
            <w:vAlign w:val="center"/>
          </w:tcPr>
          <w:p>
            <w:pPr>
              <w:tabs>
                <w:tab w:val="left" w:pos="0"/>
              </w:tabs>
              <w:snapToGrid w:val="0"/>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人员培训管理方案</w:t>
            </w:r>
          </w:p>
        </w:tc>
        <w:tc>
          <w:tcPr>
            <w:tcW w:w="6153" w:type="dxa"/>
            <w:noWrap w:val="0"/>
            <w:vAlign w:val="center"/>
          </w:tcPr>
          <w:p>
            <w:pPr>
              <w:pStyle w:val="25"/>
              <w:spacing w:line="400" w:lineRule="exact"/>
              <w:rPr>
                <w:rFonts w:ascii="仿宋_GB2312" w:hAnsi="仿宋_GB2312" w:cs="仿宋_GB2312"/>
                <w:sz w:val="24"/>
              </w:rPr>
            </w:pPr>
            <w:r>
              <w:rPr>
                <w:rFonts w:hint="eastAsia" w:ascii="仿宋_GB2312" w:hAnsi="仿宋_GB2312" w:eastAsia="仿宋_GB2312" w:cs="仿宋_GB2312"/>
                <w:snapToGrid/>
                <w:color w:val="auto"/>
                <w:kern w:val="2"/>
                <w:sz w:val="24"/>
                <w:szCs w:val="24"/>
                <w:highlight w:val="none"/>
                <w:lang w:val="en-US" w:eastAsia="zh-CN" w:bidi="ar-SA"/>
              </w:rPr>
              <w:t>根据投标人提供的各岗位培训计划的详细程度及培训方案进行打分，包括但不限于人员录用与考核有标准，有奖惩淘汰机制；各类人员上岗仪表、行为、态度，标准统一、规范等。(本项分值设置为5,4,3,2,1,0.5,0分)</w:t>
            </w:r>
          </w:p>
        </w:tc>
        <w:tc>
          <w:tcPr>
            <w:tcW w:w="809" w:type="dxa"/>
            <w:noWrap w:val="0"/>
            <w:vAlign w:val="center"/>
          </w:tcPr>
          <w:p>
            <w:pPr>
              <w:tabs>
                <w:tab w:val="left" w:pos="0"/>
              </w:tabs>
              <w:snapToGrid w:val="0"/>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767" w:type="dxa"/>
            <w:noWrap w:val="0"/>
            <w:vAlign w:val="center"/>
          </w:tcPr>
          <w:p>
            <w:pPr>
              <w:widowControl/>
              <w:spacing w:line="4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11</w:t>
            </w:r>
          </w:p>
        </w:tc>
        <w:tc>
          <w:tcPr>
            <w:tcW w:w="1229" w:type="dxa"/>
            <w:noWrap w:val="0"/>
            <w:vAlign w:val="center"/>
          </w:tcPr>
          <w:p>
            <w:pPr>
              <w:tabs>
                <w:tab w:val="left" w:pos="0"/>
              </w:tabs>
              <w:snapToGrid w:val="0"/>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员工福利待遇</w:t>
            </w:r>
          </w:p>
        </w:tc>
        <w:tc>
          <w:tcPr>
            <w:tcW w:w="6153" w:type="dxa"/>
            <w:noWrap w:val="0"/>
            <w:vAlign w:val="center"/>
          </w:tcPr>
          <w:p>
            <w:pPr>
              <w:tabs>
                <w:tab w:val="left" w:pos="0"/>
              </w:tabs>
              <w:snapToGrid w:val="0"/>
              <w:spacing w:line="400" w:lineRule="exact"/>
              <w:rPr>
                <w:rFonts w:ascii="仿宋_GB2312" w:hAnsi="仿宋_GB2312" w:eastAsia="仿宋_GB2312" w:cs="仿宋_GB2312"/>
                <w:sz w:val="24"/>
              </w:rPr>
            </w:pPr>
            <w:r>
              <w:rPr>
                <w:rFonts w:hint="eastAsia" w:ascii="仿宋_GB2312" w:hAnsi="仿宋_GB2312" w:eastAsia="仿宋_GB2312" w:cs="仿宋_GB2312"/>
                <w:sz w:val="24"/>
              </w:rPr>
              <w:t>根据投标人提供的对服务人员福利待遇、社会保险、职业安全等保障措施和方案的优劣情况进行打分。(本项分值设置为5,4,3,2,1,0.5,0分)</w:t>
            </w:r>
          </w:p>
        </w:tc>
        <w:tc>
          <w:tcPr>
            <w:tcW w:w="809" w:type="dxa"/>
            <w:noWrap w:val="0"/>
            <w:vAlign w:val="center"/>
          </w:tcPr>
          <w:p>
            <w:pPr>
              <w:tabs>
                <w:tab w:val="left" w:pos="0"/>
              </w:tabs>
              <w:snapToGrid w:val="0"/>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767" w:type="dxa"/>
            <w:noWrap w:val="0"/>
            <w:vAlign w:val="center"/>
          </w:tcPr>
          <w:p>
            <w:pPr>
              <w:widowControl/>
              <w:spacing w:line="4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12</w:t>
            </w:r>
          </w:p>
        </w:tc>
        <w:tc>
          <w:tcPr>
            <w:tcW w:w="1229" w:type="dxa"/>
            <w:noWrap w:val="0"/>
            <w:vAlign w:val="center"/>
          </w:tcPr>
          <w:p>
            <w:pPr>
              <w:tabs>
                <w:tab w:val="left" w:pos="0"/>
              </w:tabs>
              <w:snapToGrid w:val="0"/>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服务承诺</w:t>
            </w:r>
          </w:p>
        </w:tc>
        <w:tc>
          <w:tcPr>
            <w:tcW w:w="6153" w:type="dxa"/>
            <w:noWrap w:val="0"/>
            <w:vAlign w:val="center"/>
          </w:tcPr>
          <w:p>
            <w:pPr>
              <w:tabs>
                <w:tab w:val="left" w:pos="0"/>
              </w:tabs>
              <w:snapToGrid w:val="0"/>
              <w:spacing w:line="400" w:lineRule="exact"/>
              <w:rPr>
                <w:rFonts w:ascii="仿宋_GB2312" w:hAnsi="仿宋_GB2312" w:eastAsia="仿宋_GB2312" w:cs="仿宋_GB2312"/>
                <w:sz w:val="24"/>
              </w:rPr>
            </w:pPr>
            <w:r>
              <w:rPr>
                <w:rFonts w:hint="eastAsia" w:ascii="仿宋_GB2312" w:hAnsi="仿宋_GB2312" w:eastAsia="仿宋_GB2312" w:cs="仿宋_GB2312"/>
                <w:sz w:val="24"/>
              </w:rPr>
              <w:t>根据投标人提供的服务承诺、项目管理及质量保证、优惠措施（但不包括价格优惠）等进行打分。(本项分值设置为5,4,3,2,1,0.5,0分)</w:t>
            </w:r>
          </w:p>
        </w:tc>
        <w:tc>
          <w:tcPr>
            <w:tcW w:w="809" w:type="dxa"/>
            <w:noWrap w:val="0"/>
            <w:vAlign w:val="center"/>
          </w:tcPr>
          <w:p>
            <w:pPr>
              <w:tabs>
                <w:tab w:val="left" w:pos="0"/>
              </w:tabs>
              <w:snapToGrid w:val="0"/>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jc w:val="center"/>
        </w:trPr>
        <w:tc>
          <w:tcPr>
            <w:tcW w:w="767" w:type="dxa"/>
            <w:noWrap w:val="0"/>
            <w:vAlign w:val="center"/>
          </w:tcPr>
          <w:p>
            <w:pPr>
              <w:widowControl/>
              <w:spacing w:line="400" w:lineRule="exact"/>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rPr>
              <w:t>1</w:t>
            </w:r>
            <w:r>
              <w:rPr>
                <w:rFonts w:hint="eastAsia" w:ascii="仿宋_GB2312" w:hAnsi="仿宋_GB2312" w:eastAsia="仿宋_GB2312" w:cs="仿宋_GB2312"/>
                <w:sz w:val="24"/>
                <w:lang w:val="en-US" w:eastAsia="zh-CN"/>
              </w:rPr>
              <w:t>3</w:t>
            </w:r>
          </w:p>
        </w:tc>
        <w:tc>
          <w:tcPr>
            <w:tcW w:w="1229" w:type="dxa"/>
            <w:noWrap w:val="0"/>
            <w:vAlign w:val="center"/>
          </w:tcPr>
          <w:p>
            <w:pPr>
              <w:tabs>
                <w:tab w:val="left" w:pos="0"/>
              </w:tabs>
              <w:snapToGrid w:val="0"/>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交接方案</w:t>
            </w:r>
          </w:p>
        </w:tc>
        <w:tc>
          <w:tcPr>
            <w:tcW w:w="6153" w:type="dxa"/>
            <w:noWrap w:val="0"/>
            <w:vAlign w:val="center"/>
          </w:tcPr>
          <w:p>
            <w:pPr>
              <w:tabs>
                <w:tab w:val="left" w:pos="0"/>
              </w:tabs>
              <w:snapToGrid w:val="0"/>
              <w:spacing w:line="400" w:lineRule="exact"/>
              <w:rPr>
                <w:rFonts w:ascii="仿宋_GB2312" w:hAnsi="仿宋_GB2312" w:eastAsia="仿宋_GB2312" w:cs="仿宋_GB2312"/>
                <w:sz w:val="24"/>
              </w:rPr>
            </w:pPr>
            <w:r>
              <w:rPr>
                <w:rFonts w:hint="eastAsia" w:ascii="仿宋_GB2312" w:hAnsi="仿宋_GB2312" w:eastAsia="仿宋_GB2312" w:cs="仿宋_GB2312"/>
                <w:sz w:val="24"/>
              </w:rPr>
              <w:t>根据投标人提供</w:t>
            </w:r>
            <w:r>
              <w:rPr>
                <w:rFonts w:hint="eastAsia" w:ascii="仿宋_GB2312" w:hAnsi="仿宋_GB2312" w:eastAsia="仿宋_GB2312" w:cs="仿宋_GB2312"/>
                <w:sz w:val="24"/>
                <w:lang w:eastAsia="zh-CN"/>
              </w:rPr>
              <w:t>的</w:t>
            </w:r>
            <w:r>
              <w:rPr>
                <w:rFonts w:hint="eastAsia" w:ascii="仿宋_GB2312" w:hAnsi="仿宋_GB2312" w:eastAsia="仿宋_GB2312" w:cs="仿宋_GB2312"/>
                <w:sz w:val="24"/>
              </w:rPr>
              <w:t>物业交接方案进行打分，包含但不限于人员安置、工作移交、设备盘点交接、提前对接等。(本项分值设置为5,4,3,2,1,0.5,0分)</w:t>
            </w:r>
          </w:p>
        </w:tc>
        <w:tc>
          <w:tcPr>
            <w:tcW w:w="809" w:type="dxa"/>
            <w:noWrap w:val="0"/>
            <w:vAlign w:val="center"/>
          </w:tcPr>
          <w:p>
            <w:pPr>
              <w:tabs>
                <w:tab w:val="left" w:pos="0"/>
              </w:tabs>
              <w:snapToGrid w:val="0"/>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767" w:type="dxa"/>
            <w:noWrap w:val="0"/>
            <w:vAlign w:val="center"/>
          </w:tcPr>
          <w:p>
            <w:pPr>
              <w:widowControl/>
              <w:spacing w:line="4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14</w:t>
            </w:r>
          </w:p>
        </w:tc>
        <w:tc>
          <w:tcPr>
            <w:tcW w:w="1229" w:type="dxa"/>
            <w:noWrap w:val="0"/>
            <w:vAlign w:val="center"/>
          </w:tcPr>
          <w:p>
            <w:pPr>
              <w:tabs>
                <w:tab w:val="left" w:pos="0"/>
              </w:tabs>
              <w:snapToGrid w:val="0"/>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color w:val="auto"/>
                <w:sz w:val="24"/>
                <w:highlight w:val="none"/>
              </w:rPr>
              <w:t>总体服务方案</w:t>
            </w:r>
          </w:p>
        </w:tc>
        <w:tc>
          <w:tcPr>
            <w:tcW w:w="6153" w:type="dxa"/>
            <w:noWrap w:val="0"/>
            <w:vAlign w:val="center"/>
          </w:tcPr>
          <w:p>
            <w:pPr>
              <w:tabs>
                <w:tab w:val="left" w:pos="0"/>
              </w:tabs>
              <w:snapToGrid w:val="0"/>
              <w:spacing w:line="400" w:lineRule="exact"/>
              <w:rPr>
                <w:rFonts w:hint="eastAsia" w:ascii="仿宋_GB2312" w:hAnsi="仿宋_GB2312" w:eastAsia="仿宋_GB2312" w:cs="仿宋_GB2312"/>
                <w:sz w:val="24"/>
              </w:rPr>
            </w:pPr>
            <w:r>
              <w:rPr>
                <w:rFonts w:hint="eastAsia" w:ascii="仿宋_GB2312" w:hAnsi="仿宋_GB2312" w:eastAsia="仿宋_GB2312" w:cs="仿宋_GB2312"/>
                <w:color w:val="auto"/>
                <w:sz w:val="24"/>
                <w:highlight w:val="none"/>
              </w:rPr>
              <w:t>对本项目理解的熟悉程度，整体构想的创新性、充分性和相符程度；针对本项目日常服务管理特点和难点进行分析，整体调查分析到位、问题抓准；提出解决问题的措施等，提供方案及案例。(本项分值设置为3,2,1,0.5,0分)</w:t>
            </w:r>
          </w:p>
        </w:tc>
        <w:tc>
          <w:tcPr>
            <w:tcW w:w="809" w:type="dxa"/>
            <w:noWrap w:val="0"/>
            <w:vAlign w:val="center"/>
          </w:tcPr>
          <w:p>
            <w:pPr>
              <w:tabs>
                <w:tab w:val="left" w:pos="0"/>
              </w:tabs>
              <w:snapToGrid w:val="0"/>
              <w:spacing w:line="400" w:lineRule="exac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767" w:type="dxa"/>
            <w:noWrap w:val="0"/>
            <w:vAlign w:val="center"/>
          </w:tcPr>
          <w:p>
            <w:pPr>
              <w:widowControl/>
              <w:tabs>
                <w:tab w:val="left" w:pos="0"/>
              </w:tabs>
              <w:snapToGrid w:val="0"/>
              <w:spacing w:line="400" w:lineRule="exac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15</w:t>
            </w:r>
          </w:p>
        </w:tc>
        <w:tc>
          <w:tcPr>
            <w:tcW w:w="1229" w:type="dxa"/>
            <w:noWrap w:val="0"/>
            <w:vAlign w:val="center"/>
          </w:tcPr>
          <w:p>
            <w:pPr>
              <w:tabs>
                <w:tab w:val="left" w:pos="0"/>
              </w:tabs>
              <w:snapToGrid w:val="0"/>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消控、高配服务方案</w:t>
            </w:r>
          </w:p>
        </w:tc>
        <w:tc>
          <w:tcPr>
            <w:tcW w:w="6153" w:type="dxa"/>
            <w:noWrap w:val="0"/>
            <w:vAlign w:val="center"/>
          </w:tcPr>
          <w:p>
            <w:pPr>
              <w:tabs>
                <w:tab w:val="left" w:pos="0"/>
              </w:tabs>
              <w:snapToGrid w:val="0"/>
              <w:spacing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根据投标人提供的消控室、配电房高配间服务方案进行打分，包括但不限于：物业服务区域内的消防设施设备应急处置方案、消防设施设备运行维护方案、高配房设施设备管理维护方案、高配房设施设备运行维护方案等</w:t>
            </w:r>
            <w:r>
              <w:rPr>
                <w:rFonts w:hint="eastAsia" w:ascii="仿宋_GB2312" w:hAnsi="仿宋_GB2312" w:eastAsia="仿宋_GB2312" w:cs="仿宋_GB2312"/>
                <w:sz w:val="24"/>
                <w:lang w:eastAsia="zh-CN"/>
              </w:rPr>
              <w:t>。</w:t>
            </w:r>
            <w:r>
              <w:rPr>
                <w:rFonts w:hint="eastAsia" w:ascii="仿宋_GB2312" w:hAnsi="仿宋_GB2312" w:eastAsia="仿宋_GB2312" w:cs="仿宋_GB2312"/>
                <w:kern w:val="2"/>
                <w:sz w:val="24"/>
                <w:szCs w:val="24"/>
                <w:lang w:val="en-US" w:eastAsia="zh-CN" w:bidi="ar"/>
              </w:rPr>
              <w:t>(本项分值设置为5,4,3,2,1,0.5,0分)</w:t>
            </w:r>
          </w:p>
        </w:tc>
        <w:tc>
          <w:tcPr>
            <w:tcW w:w="809" w:type="dxa"/>
            <w:noWrap w:val="0"/>
            <w:vAlign w:val="center"/>
          </w:tcPr>
          <w:p>
            <w:pPr>
              <w:tabs>
                <w:tab w:val="left" w:pos="0"/>
              </w:tabs>
              <w:snapToGrid w:val="0"/>
              <w:spacing w:line="400" w:lineRule="exac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5分</w:t>
            </w:r>
          </w:p>
        </w:tc>
      </w:tr>
    </w:tbl>
    <w:p>
      <w:pPr>
        <w:keepNext w:val="0"/>
        <w:keepLines w:val="0"/>
        <w:pageBreakBefore w:val="0"/>
        <w:kinsoku/>
        <w:wordWrap w:val="0"/>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keepNext w:val="0"/>
        <w:keepLines w:val="0"/>
        <w:pageBreakBefore w:val="0"/>
        <w:kinsoku/>
        <w:wordWrap w:val="0"/>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 xml:space="preserve"> 30 </w:t>
      </w:r>
      <w:r>
        <w:rPr>
          <w:rFonts w:hint="eastAsia" w:ascii="仿宋" w:hAnsi="仿宋" w:eastAsia="仿宋" w:cs="仿宋"/>
          <w:b/>
          <w:bCs/>
          <w:iCs/>
          <w:color w:val="auto"/>
          <w:sz w:val="24"/>
          <w:highlight w:val="none"/>
        </w:rPr>
        <w:t>分）</w:t>
      </w:r>
    </w:p>
    <w:p>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 xml:space="preserve"> 30 </w:t>
      </w:r>
    </w:p>
    <w:p>
      <w:pPr>
        <w:pStyle w:val="28"/>
        <w:kinsoku/>
        <w:wordWrap w:val="0"/>
        <w:overflowPunct/>
        <w:topLinePunct w:val="0"/>
        <w:bidi w:val="0"/>
        <w:snapToGrid w:val="0"/>
        <w:spacing w:line="360" w:lineRule="auto"/>
        <w:ind w:firstLine="0" w:firstLineChars="0"/>
        <w:rPr>
          <w:rFonts w:hint="eastAsia" w:ascii="仿宋" w:hAnsi="仿宋" w:eastAsia="仿宋" w:cs="仿宋"/>
          <w:color w:val="auto"/>
          <w:highlight w:val="none"/>
        </w:rPr>
      </w:pPr>
    </w:p>
    <w:p>
      <w:pPr>
        <w:widowControl/>
        <w:kinsoku/>
        <w:wordWrap w:val="0"/>
        <w:overflowPunct/>
        <w:topLinePunct w:val="0"/>
        <w:bidi w:val="0"/>
        <w:adjustRightInd/>
        <w:jc w:val="center"/>
        <w:rPr>
          <w:rFonts w:hint="eastAsia" w:ascii="仿宋" w:hAnsi="仿宋" w:eastAsia="仿宋" w:cs="仿宋"/>
          <w:b/>
          <w:color w:val="auto"/>
          <w:sz w:val="36"/>
          <w:szCs w:val="20"/>
          <w:highlight w:val="none"/>
        </w:rPr>
      </w:pPr>
    </w:p>
    <w:p>
      <w:pPr>
        <w:pStyle w:val="25"/>
        <w:kinsoku/>
        <w:wordWrap w:val="0"/>
        <w:overflowPunct/>
        <w:topLinePunct w:val="0"/>
        <w:bidi w:val="0"/>
        <w:rPr>
          <w:rFonts w:hint="eastAsia" w:ascii="仿宋" w:hAnsi="仿宋" w:eastAsia="仿宋" w:cs="仿宋"/>
          <w:b/>
          <w:color w:val="auto"/>
          <w:sz w:val="36"/>
          <w:szCs w:val="20"/>
          <w:highlight w:val="none"/>
        </w:rPr>
      </w:pPr>
    </w:p>
    <w:p>
      <w:pPr>
        <w:pStyle w:val="26"/>
        <w:kinsoku/>
        <w:wordWrap w:val="0"/>
        <w:overflowPunct/>
        <w:topLinePunct w:val="0"/>
        <w:bidi w:val="0"/>
        <w:rPr>
          <w:rFonts w:hint="eastAsia" w:ascii="仿宋" w:hAnsi="仿宋" w:eastAsia="仿宋" w:cs="仿宋"/>
          <w:b/>
          <w:color w:val="auto"/>
          <w:sz w:val="36"/>
          <w:szCs w:val="20"/>
          <w:highlight w:val="none"/>
        </w:rPr>
      </w:pPr>
    </w:p>
    <w:p>
      <w:pPr>
        <w:kinsoku/>
        <w:wordWrap w:val="0"/>
        <w:overflowPunct/>
        <w:topLinePunct w:val="0"/>
        <w:bidi w:val="0"/>
        <w:rPr>
          <w:rFonts w:hint="eastAsia" w:ascii="仿宋" w:hAnsi="仿宋" w:eastAsia="仿宋" w:cs="仿宋"/>
          <w:b/>
          <w:color w:val="auto"/>
          <w:sz w:val="36"/>
          <w:szCs w:val="20"/>
          <w:highlight w:val="none"/>
        </w:rPr>
      </w:pPr>
    </w:p>
    <w:p>
      <w:pPr>
        <w:pStyle w:val="25"/>
        <w:kinsoku/>
        <w:wordWrap w:val="0"/>
        <w:overflowPunct/>
        <w:topLinePunct w:val="0"/>
        <w:bidi w:val="0"/>
        <w:rPr>
          <w:rFonts w:hint="eastAsia" w:ascii="仿宋" w:hAnsi="仿宋" w:eastAsia="仿宋" w:cs="仿宋"/>
          <w:b/>
          <w:color w:val="auto"/>
          <w:sz w:val="36"/>
          <w:szCs w:val="20"/>
          <w:highlight w:val="none"/>
        </w:rPr>
      </w:pPr>
    </w:p>
    <w:p>
      <w:pPr>
        <w:kinsoku/>
        <w:wordWrap w:val="0"/>
        <w:overflowPunct/>
        <w:topLinePunct w:val="0"/>
        <w:bidi w:val="0"/>
        <w:rPr>
          <w:rFonts w:hint="eastAsia" w:ascii="仿宋" w:hAnsi="仿宋" w:eastAsia="仿宋" w:cs="仿宋"/>
          <w:color w:val="auto"/>
          <w:highlight w:val="none"/>
        </w:rPr>
      </w:pPr>
    </w:p>
    <w:p>
      <w:pPr>
        <w:keepNext w:val="0"/>
        <w:keepLines w:val="0"/>
        <w:pageBreakBefore/>
        <w:widowControl/>
        <w:kinsoku/>
        <w:wordWrap w:val="0"/>
        <w:overflowPunct/>
        <w:topLinePunct w:val="0"/>
        <w:autoSpaceDE/>
        <w:autoSpaceDN/>
        <w:bidi w:val="0"/>
        <w:adjustRightInd/>
        <w:snapToGrid/>
        <w:jc w:val="center"/>
        <w:textAlignment w:val="auto"/>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5"/>
        <w:kinsoku/>
        <w:wordWrap w:val="0"/>
        <w:overflowPunct/>
        <w:topLinePunct w:val="0"/>
        <w:bidi w:val="0"/>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绍兴市殡仪馆</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绍兴市公共资源交易中心</w:t>
      </w:r>
      <w:r>
        <w:rPr>
          <w:rFonts w:hint="eastAsia" w:ascii="仿宋" w:hAnsi="仿宋" w:eastAsia="仿宋" w:cs="仿宋"/>
          <w:color w:val="auto"/>
          <w:sz w:val="24"/>
          <w:highlight w:val="none"/>
        </w:rPr>
        <w:t>：</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绍兴市殡仪馆物业管理服务项目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2025-02-0024</w:t>
      </w:r>
      <w:r>
        <w:rPr>
          <w:rFonts w:hint="eastAsia" w:ascii="仿宋" w:hAnsi="仿宋" w:eastAsia="仿宋" w:cs="仿宋"/>
          <w:color w:val="auto"/>
          <w:sz w:val="24"/>
          <w:highlight w:val="none"/>
        </w:rPr>
        <w:t>】政府采购活动，郑重承诺：</w:t>
      </w:r>
    </w:p>
    <w:p>
      <w:pPr>
        <w:kinsoku/>
        <w:wordWrap w:val="0"/>
        <w:overflowPunct/>
        <w:topLinePunct w:val="0"/>
        <w:bidi w:val="0"/>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kinsoku/>
        <w:wordWrap w:val="0"/>
        <w:overflowPunct/>
        <w:topLinePunct w:val="0"/>
        <w:bidi w:val="0"/>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widowControl/>
        <w:kinsoku/>
        <w:wordWrap w:val="0"/>
        <w:overflowPunct/>
        <w:topLinePunct w:val="0"/>
        <w:bidi w:val="0"/>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widowControl/>
        <w:kinsoku/>
        <w:wordWrap w:val="0"/>
        <w:overflowPunct/>
        <w:topLinePunct w:val="0"/>
        <w:bidi w:val="0"/>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pPr>
        <w:widowControl/>
        <w:kinsoku/>
        <w:wordWrap w:val="0"/>
        <w:overflowPunct/>
        <w:topLinePunct w:val="0"/>
        <w:bidi w:val="0"/>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pPr>
        <w:widowControl/>
        <w:kinsoku/>
        <w:wordWrap w:val="0"/>
        <w:overflowPunct/>
        <w:topLinePunct w:val="0"/>
        <w:bidi w:val="0"/>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kinsoku/>
        <w:wordWrap w:val="0"/>
        <w:overflowPunct/>
        <w:topLinePunct w:val="0"/>
        <w:bidi w:val="0"/>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pPr>
        <w:widowControl/>
        <w:kinsoku/>
        <w:wordWrap w:val="0"/>
        <w:overflowPunct/>
        <w:topLinePunct w:val="0"/>
        <w:bidi w:val="0"/>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kinsoku/>
        <w:wordWrap w:val="0"/>
        <w:overflowPunct/>
        <w:topLinePunct w:val="0"/>
        <w:bidi w:val="0"/>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kinsoku/>
        <w:wordWrap w:val="0"/>
        <w:overflowPunct/>
        <w:topLinePunct w:val="0"/>
        <w:bidi w:val="0"/>
        <w:spacing w:line="360" w:lineRule="auto"/>
        <w:ind w:left="150"/>
        <w:jc w:val="center"/>
        <w:rPr>
          <w:rFonts w:hint="eastAsia" w:ascii="仿宋" w:hAnsi="仿宋" w:eastAsia="仿宋" w:cs="仿宋"/>
          <w:b/>
          <w:color w:val="auto"/>
          <w:kern w:val="0"/>
          <w:sz w:val="32"/>
          <w:szCs w:val="32"/>
          <w:highlight w:val="none"/>
        </w:rPr>
      </w:pPr>
    </w:p>
    <w:p>
      <w:pPr>
        <w:widowControl/>
        <w:kinsoku/>
        <w:wordWrap w:val="0"/>
        <w:overflowPunct/>
        <w:topLinePunct w:val="0"/>
        <w:bidi w:val="0"/>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kinsoku/>
        <w:wordWrap w:val="0"/>
        <w:overflowPunct/>
        <w:topLinePunct w:val="0"/>
        <w:bidi w:val="0"/>
        <w:spacing w:line="360" w:lineRule="auto"/>
        <w:jc w:val="center"/>
        <w:outlineLvl w:val="0"/>
        <w:rPr>
          <w:rFonts w:hint="eastAsia" w:ascii="仿宋" w:hAnsi="仿宋" w:eastAsia="仿宋" w:cs="仿宋"/>
          <w:b/>
          <w:color w:val="auto"/>
          <w:kern w:val="0"/>
          <w:sz w:val="24"/>
          <w:highlight w:val="none"/>
        </w:rPr>
      </w:pPr>
    </w:p>
    <w:p>
      <w:pPr>
        <w:keepNext w:val="0"/>
        <w:keepLines w:val="0"/>
        <w:pageBreakBefore/>
        <w:widowControl w:val="0"/>
        <w:kinsoku/>
        <w:wordWrap w:val="0"/>
        <w:overflowPunct/>
        <w:topLinePunct w:val="0"/>
        <w:autoSpaceDE/>
        <w:autoSpaceDN/>
        <w:bidi w:val="0"/>
        <w:adjustRightInd w:val="0"/>
        <w:snapToGrid/>
        <w:spacing w:line="336" w:lineRule="auto"/>
        <w:jc w:val="center"/>
        <w:textAlignment w:val="auto"/>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kinsoku/>
        <w:wordWrap w:val="0"/>
        <w:overflowPunct/>
        <w:topLinePunct w:val="0"/>
        <w:bidi w:val="0"/>
        <w:spacing w:line="336" w:lineRule="auto"/>
        <w:jc w:val="center"/>
        <w:outlineLvl w:val="0"/>
        <w:rPr>
          <w:rFonts w:ascii="仿宋" w:hAnsi="仿宋" w:eastAsia="仿宋" w:cs="仿宋"/>
          <w:b/>
          <w:color w:val="auto"/>
          <w:kern w:val="0"/>
          <w:sz w:val="24"/>
          <w:highlight w:val="none"/>
        </w:rPr>
      </w:pPr>
    </w:p>
    <w:p>
      <w:pPr>
        <w:kinsoku/>
        <w:wordWrap w:val="0"/>
        <w:overflowPunct/>
        <w:topLinePunct w:val="0"/>
        <w:bidi w:val="0"/>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4"/>
        <w:numPr>
          <w:ilvl w:val="0"/>
          <w:numId w:val="1"/>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pPr>
        <w:pStyle w:val="904"/>
        <w:numPr>
          <w:ilvl w:val="0"/>
          <w:numId w:val="1"/>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pPr>
        <w:pStyle w:val="904"/>
        <w:numPr>
          <w:ilvl w:val="0"/>
          <w:numId w:val="1"/>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pPr>
        <w:pStyle w:val="904"/>
        <w:numPr>
          <w:ilvl w:val="0"/>
          <w:numId w:val="1"/>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pPr>
        <w:pStyle w:val="904"/>
        <w:numPr>
          <w:ilvl w:val="0"/>
          <w:numId w:val="1"/>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pPr>
        <w:pStyle w:val="904"/>
        <w:numPr>
          <w:ilvl w:val="0"/>
          <w:numId w:val="1"/>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pPr>
        <w:pStyle w:val="904"/>
        <w:numPr>
          <w:ilvl w:val="0"/>
          <w:numId w:val="1"/>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pPr>
        <w:kinsoku/>
        <w:wordWrap w:val="0"/>
        <w:overflowPunct/>
        <w:topLinePunct w:val="0"/>
        <w:bidi w:val="0"/>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pPr>
        <w:kinsoku/>
        <w:wordWrap w:val="0"/>
        <w:overflowPunct/>
        <w:topLinePunct w:val="0"/>
        <w:bidi w:val="0"/>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pPr>
        <w:kinsoku/>
        <w:wordWrap w:val="0"/>
        <w:overflowPunct/>
        <w:topLinePunct w:val="0"/>
        <w:bidi w:val="0"/>
        <w:snapToGrid w:val="0"/>
        <w:spacing w:line="360" w:lineRule="auto"/>
        <w:jc w:val="both"/>
        <w:rPr>
          <w:rFonts w:hint="eastAsia" w:ascii="仿宋" w:hAnsi="仿宋" w:eastAsia="仿宋" w:cs="仿宋"/>
          <w:b/>
          <w:color w:val="auto"/>
          <w:kern w:val="0"/>
          <w:sz w:val="32"/>
          <w:szCs w:val="32"/>
          <w:highlight w:val="none"/>
          <w:lang w:val="zh-CN"/>
        </w:rPr>
      </w:pPr>
    </w:p>
    <w:p>
      <w:pPr>
        <w:widowControl/>
        <w:kinsoku/>
        <w:wordWrap w:val="0"/>
        <w:overflowPunct/>
        <w:topLinePunct w:val="0"/>
        <w:bidi w:val="0"/>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kinsoku/>
        <w:wordWrap w:val="0"/>
        <w:overflowPunct/>
        <w:topLinePunct w:val="0"/>
        <w:bidi w:val="0"/>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_GB2312" w:hAnsi="仿宋" w:eastAsia="仿宋_GB2312" w:cs="仿宋"/>
          <w:szCs w:val="24"/>
          <w:u w:val="single"/>
          <w:lang w:eastAsia="zh-CN"/>
        </w:rPr>
        <w:t>绍兴市殡仪馆</w:t>
      </w:r>
      <w:r>
        <w:rPr>
          <w:rFonts w:hint="eastAsia" w:ascii="仿宋_GB2312" w:hAnsi="仿宋" w:eastAsia="仿宋_GB2312" w:cs="仿宋"/>
          <w:szCs w:val="24"/>
          <w:u w:val="single"/>
        </w:rPr>
        <w:t>、绍兴市公共资源交易中心</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pPr>
        <w:pStyle w:val="15"/>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pPr>
        <w:pStyle w:val="15"/>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pPr>
        <w:pageBreakBefore/>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pPr>
        <w:kinsoku/>
        <w:wordWrap w:val="0"/>
        <w:overflowPunct/>
        <w:topLinePunct w:val="0"/>
        <w:bidi w:val="0"/>
        <w:jc w:val="center"/>
        <w:rPr>
          <w:rFonts w:hint="eastAsia" w:ascii="仿宋" w:hAnsi="仿宋" w:eastAsia="仿宋" w:cs="仿宋"/>
          <w:b/>
          <w:color w:val="auto"/>
          <w:sz w:val="24"/>
          <w:highlight w:val="none"/>
        </w:rPr>
      </w:pPr>
    </w:p>
    <w:p>
      <w:pPr>
        <w:kinsoku/>
        <w:wordWrap w:val="0"/>
        <w:overflowPunct/>
        <w:topLinePunct w:val="0"/>
        <w:bidi w:val="0"/>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绍兴市殡仪馆、绍兴市公共资源交易中心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绍兴市殡仪馆物业管理服务项目（招标编号:2025-02-0024）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kinsoku/>
        <w:wordWrap w:val="0"/>
        <w:overflowPunct/>
        <w:topLinePunct w:val="0"/>
        <w:bidi w:val="0"/>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kinsoku/>
        <w:wordWrap w:val="0"/>
        <w:overflowPunct/>
        <w:topLinePunct w:val="0"/>
        <w:bidi w:val="0"/>
        <w:snapToGrid w:val="0"/>
        <w:spacing w:line="600" w:lineRule="exact"/>
        <w:jc w:val="lef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kinsoku/>
        <w:wordWrap w:val="0"/>
        <w:overflowPunct/>
        <w:topLinePunct w:val="0"/>
        <w:bidi w:val="0"/>
        <w:spacing w:line="360" w:lineRule="exact"/>
        <w:rPr>
          <w:rFonts w:hint="eastAsia" w:ascii="仿宋" w:hAnsi="仿宋" w:eastAsia="仿宋" w:cs="仿宋"/>
          <w:color w:val="auto"/>
          <w:sz w:val="24"/>
          <w:highlight w:val="none"/>
        </w:rPr>
      </w:pPr>
    </w:p>
    <w:p>
      <w:pPr>
        <w:widowControl/>
        <w:kinsoku/>
        <w:wordWrap w:val="0"/>
        <w:overflowPunct/>
        <w:topLinePunct w:val="0"/>
        <w:bidi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kinsoku/>
        <w:wordWrap w:val="0"/>
        <w:overflowPunct/>
        <w:topLinePunct w:val="0"/>
        <w:bidi w:val="0"/>
        <w:ind w:firstLine="4920" w:firstLineChars="2050"/>
        <w:jc w:val="left"/>
        <w:rPr>
          <w:rFonts w:hint="eastAsia" w:ascii="仿宋" w:hAnsi="仿宋" w:eastAsia="仿宋" w:cs="仿宋"/>
          <w:color w:val="auto"/>
          <w:sz w:val="24"/>
          <w:highlight w:val="none"/>
        </w:rPr>
      </w:pPr>
    </w:p>
    <w:p>
      <w:pPr>
        <w:kinsoku/>
        <w:wordWrap w:val="0"/>
        <w:overflowPunct/>
        <w:topLinePunct w:val="0"/>
        <w:bidi w:val="0"/>
        <w:spacing w:line="800" w:lineRule="exact"/>
        <w:rPr>
          <w:rFonts w:hint="eastAsia" w:ascii="仿宋" w:hAnsi="仿宋" w:eastAsia="仿宋" w:cs="仿宋"/>
          <w:b/>
          <w:color w:val="auto"/>
          <w:sz w:val="24"/>
          <w:highlight w:val="none"/>
        </w:rPr>
      </w:pPr>
    </w:p>
    <w:p>
      <w:pPr>
        <w:pageBreakBefore/>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kinsoku/>
        <w:wordWrap w:val="0"/>
        <w:overflowPunct/>
        <w:topLinePunct w:val="0"/>
        <w:bidi w:val="0"/>
        <w:jc w:val="center"/>
        <w:rPr>
          <w:rFonts w:hint="eastAsia" w:ascii="仿宋" w:hAnsi="仿宋" w:eastAsia="仿宋" w:cs="仿宋"/>
          <w:b/>
          <w:color w:val="auto"/>
          <w:sz w:val="24"/>
          <w:highlight w:val="none"/>
        </w:rPr>
      </w:pPr>
    </w:p>
    <w:p>
      <w:pPr>
        <w:kinsoku/>
        <w:wordWrap w:val="0"/>
        <w:overflowPunct/>
        <w:topLinePunct w:val="0"/>
        <w:bidi w:val="0"/>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kinsoku/>
        <w:wordWrap w:val="0"/>
        <w:overflowPunct/>
        <w:topLinePunct w:val="0"/>
        <w:bidi w:val="0"/>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绍兴市殡仪馆、绍兴市公共资源交易中心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绍兴市殡仪馆物业管理服务项目（招标编号:2025-02-0024）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kinsoku/>
        <w:wordWrap w:val="0"/>
        <w:overflowPunct/>
        <w:topLinePunct w:val="0"/>
        <w:bidi w:val="0"/>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kinsoku/>
        <w:wordWrap w:val="0"/>
        <w:overflowPunct/>
        <w:topLinePunct w:val="0"/>
        <w:bidi w:val="0"/>
        <w:snapToGrid w:val="0"/>
        <w:spacing w:line="600" w:lineRule="exact"/>
        <w:jc w:val="lef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kinsoku/>
        <w:wordWrap w:val="0"/>
        <w:overflowPunct/>
        <w:topLinePunct w:val="0"/>
        <w:bidi w:val="0"/>
        <w:spacing w:line="360" w:lineRule="exact"/>
        <w:rPr>
          <w:rFonts w:hint="eastAsia" w:ascii="仿宋" w:hAnsi="仿宋" w:eastAsia="仿宋" w:cs="仿宋"/>
          <w:color w:val="auto"/>
          <w:sz w:val="24"/>
          <w:highlight w:val="none"/>
        </w:rPr>
      </w:pPr>
    </w:p>
    <w:p>
      <w:pPr>
        <w:widowControl/>
        <w:kinsoku/>
        <w:wordWrap w:val="0"/>
        <w:overflowPunct/>
        <w:topLinePunct w:val="0"/>
        <w:bidi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rPr>
          <w:rFonts w:hint="eastAsia" w:ascii="仿宋" w:hAnsi="仿宋" w:eastAsia="仿宋" w:cs="仿宋"/>
          <w:color w:val="auto"/>
          <w:highlight w:val="none"/>
        </w:rPr>
      </w:pPr>
    </w:p>
    <w:p>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insoku/>
        <w:wordWrap w:val="0"/>
        <w:overflowPunct/>
        <w:topLinePunct w:val="0"/>
        <w:bidi w:val="0"/>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kinsoku/>
        <w:wordWrap w:val="0"/>
        <w:overflowPunct/>
        <w:topLinePunct w:val="0"/>
        <w:bidi w:val="0"/>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kinsoku/>
        <w:wordWrap w:val="0"/>
        <w:overflowPunct/>
        <w:topLinePunct w:val="0"/>
        <w:autoSpaceDE w:val="0"/>
        <w:autoSpaceDN w:val="0"/>
        <w:bidi w:val="0"/>
        <w:spacing w:line="360" w:lineRule="auto"/>
        <w:jc w:val="center"/>
        <w:rPr>
          <w:rFonts w:hint="eastAsia" w:ascii="仿宋" w:hAnsi="仿宋" w:eastAsia="仿宋" w:cs="仿宋"/>
          <w:b/>
          <w:color w:val="auto"/>
          <w:kern w:val="0"/>
          <w:sz w:val="32"/>
          <w:szCs w:val="32"/>
          <w:highlight w:val="none"/>
          <w:lang w:val="zh-CN"/>
        </w:rPr>
      </w:pPr>
    </w:p>
    <w:p>
      <w:pPr>
        <w:kinsoku/>
        <w:wordWrap w:val="0"/>
        <w:overflowPunct/>
        <w:topLinePunct w:val="0"/>
        <w:autoSpaceDE w:val="0"/>
        <w:autoSpaceDN w:val="0"/>
        <w:bidi w:val="0"/>
        <w:spacing w:line="360" w:lineRule="auto"/>
        <w:jc w:val="center"/>
        <w:rPr>
          <w:rFonts w:hint="eastAsia" w:ascii="仿宋" w:hAnsi="仿宋" w:eastAsia="仿宋" w:cs="仿宋"/>
          <w:b/>
          <w:color w:val="auto"/>
          <w:kern w:val="0"/>
          <w:sz w:val="32"/>
          <w:szCs w:val="32"/>
          <w:highlight w:val="none"/>
          <w:lang w:val="zh-CN"/>
        </w:rPr>
      </w:pPr>
    </w:p>
    <w:p>
      <w:pPr>
        <w:kinsoku/>
        <w:wordWrap w:val="0"/>
        <w:overflowPunct/>
        <w:topLinePunct w:val="0"/>
        <w:autoSpaceDE w:val="0"/>
        <w:autoSpaceDN w:val="0"/>
        <w:bidi w:val="0"/>
        <w:spacing w:line="360" w:lineRule="auto"/>
        <w:jc w:val="center"/>
        <w:rPr>
          <w:rFonts w:hint="eastAsia" w:ascii="仿宋" w:hAnsi="仿宋" w:eastAsia="仿宋" w:cs="仿宋"/>
          <w:b/>
          <w:color w:val="auto"/>
          <w:kern w:val="0"/>
          <w:sz w:val="32"/>
          <w:szCs w:val="32"/>
          <w:highlight w:val="none"/>
          <w:lang w:val="zh-CN"/>
        </w:rPr>
      </w:pPr>
    </w:p>
    <w:p>
      <w:pPr>
        <w:pageBreakBefore/>
        <w:kinsoku/>
        <w:wordWrap w:val="0"/>
        <w:overflowPunct/>
        <w:topLinePunct w:val="0"/>
        <w:bidi w:val="0"/>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pPr>
        <w:kinsoku/>
        <w:wordWrap w:val="0"/>
        <w:overflowPunct/>
        <w:topLinePunct w:val="0"/>
        <w:bidi w:val="0"/>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kinsoku/>
        <w:wordWrap w:val="0"/>
        <w:overflowPunct/>
        <w:topLinePunct w:val="0"/>
        <w:bidi w:val="0"/>
        <w:spacing w:line="800" w:lineRule="exact"/>
        <w:rPr>
          <w:rFonts w:hint="eastAsia" w:ascii="仿宋" w:hAnsi="仿宋" w:eastAsia="仿宋" w:cs="仿宋"/>
          <w:b/>
          <w:color w:val="auto"/>
          <w:sz w:val="24"/>
          <w:highlight w:val="none"/>
        </w:rPr>
      </w:pPr>
    </w:p>
    <w:p>
      <w:pPr>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pPr>
        <w:kinsoku/>
        <w:wordWrap w:val="0"/>
        <w:overflowPunct/>
        <w:topLinePunct w:val="0"/>
        <w:bidi w:val="0"/>
        <w:spacing w:line="800" w:lineRule="exact"/>
        <w:rPr>
          <w:rFonts w:hint="eastAsia" w:ascii="仿宋" w:hAnsi="仿宋" w:eastAsia="仿宋" w:cs="仿宋"/>
          <w:b/>
          <w:color w:val="auto"/>
          <w:sz w:val="24"/>
          <w:highlight w:val="none"/>
        </w:rPr>
      </w:pPr>
    </w:p>
    <w:p>
      <w:pPr>
        <w:kinsoku/>
        <w:wordWrap w:val="0"/>
        <w:overflowPunct/>
        <w:topLinePunct w:val="0"/>
        <w:bidi w:val="0"/>
        <w:spacing w:line="800" w:lineRule="exact"/>
        <w:rPr>
          <w:rFonts w:hint="eastAsia" w:ascii="仿宋" w:hAnsi="仿宋" w:eastAsia="仿宋" w:cs="仿宋"/>
          <w:b/>
          <w:color w:val="auto"/>
          <w:sz w:val="24"/>
          <w:highlight w:val="none"/>
        </w:rPr>
      </w:pPr>
    </w:p>
    <w:p>
      <w:pPr>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kinsoku/>
        <w:wordWrap w:val="0"/>
        <w:overflowPunct/>
        <w:topLinePunct w:val="0"/>
        <w:bidi w:val="0"/>
        <w:spacing w:line="440" w:lineRule="exact"/>
        <w:rPr>
          <w:rFonts w:hint="eastAsia" w:ascii="仿宋" w:hAnsi="仿宋" w:eastAsia="仿宋" w:cs="仿宋"/>
          <w:color w:val="auto"/>
          <w:sz w:val="24"/>
          <w:highlight w:val="none"/>
        </w:rPr>
      </w:pP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pPr>
        <w:kinsoku/>
        <w:wordWrap w:val="0"/>
        <w:overflowPunct/>
        <w:topLinePunct w:val="0"/>
        <w:bidi w:val="0"/>
        <w:spacing w:line="440" w:lineRule="exact"/>
        <w:ind w:right="480"/>
        <w:rPr>
          <w:rFonts w:hint="eastAsia" w:ascii="仿宋" w:hAnsi="仿宋" w:eastAsia="仿宋" w:cs="仿宋"/>
          <w:color w:val="auto"/>
          <w:sz w:val="24"/>
          <w:highlight w:val="none"/>
        </w:rPr>
      </w:pPr>
    </w:p>
    <w:p>
      <w:pPr>
        <w:kinsoku/>
        <w:wordWrap w:val="0"/>
        <w:overflowPunct/>
        <w:topLinePunct w:val="0"/>
        <w:bidi w:val="0"/>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both"/>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r>
    </w:tbl>
    <w:p>
      <w:pPr>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pPr>
        <w:widowControl/>
        <w:kinsoku/>
        <w:wordWrap w:val="0"/>
        <w:overflowPunct/>
        <w:topLinePunct w:val="0"/>
        <w:bidi w:val="0"/>
        <w:adjustRightInd/>
        <w:jc w:val="left"/>
        <w:rPr>
          <w:rFonts w:hint="eastAsia" w:ascii="仿宋" w:hAnsi="仿宋" w:eastAsia="仿宋" w:cs="仿宋"/>
          <w:b/>
          <w:bCs/>
          <w:color w:val="auto"/>
          <w:sz w:val="32"/>
          <w:szCs w:val="32"/>
          <w:highlight w:val="none"/>
          <w:lang w:eastAsia="zh-CN"/>
        </w:rPr>
      </w:pPr>
    </w:p>
    <w:p>
      <w:pPr>
        <w:keepNext w:val="0"/>
        <w:keepLines w:val="0"/>
        <w:pageBreakBefore/>
        <w:widowControl/>
        <w:kinsoku/>
        <w:wordWrap w:val="0"/>
        <w:overflowPunct/>
        <w:topLinePunct w:val="0"/>
        <w:autoSpaceDE/>
        <w:autoSpaceDN/>
        <w:bidi w:val="0"/>
        <w:adjustRightInd/>
        <w:snapToGrid/>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kinsoku/>
        <w:wordWrap w:val="0"/>
        <w:overflowPunct/>
        <w:topLinePunct w:val="0"/>
        <w:bidi w:val="0"/>
        <w:snapToGrid w:val="0"/>
        <w:spacing w:line="360" w:lineRule="auto"/>
        <w:rPr>
          <w:rFonts w:hint="eastAsia" w:ascii="仿宋" w:hAnsi="仿宋" w:eastAsia="仿宋" w:cs="仿宋"/>
          <w:color w:val="auto"/>
          <w:sz w:val="24"/>
          <w:highlight w:val="none"/>
        </w:rPr>
      </w:pPr>
    </w:p>
    <w:p>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绍兴市殡仪馆</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绍兴市公共资源交易中心</w:t>
      </w:r>
      <w:r>
        <w:rPr>
          <w:rFonts w:hint="eastAsia" w:ascii="仿宋" w:hAnsi="仿宋" w:eastAsia="仿宋" w:cs="仿宋"/>
          <w:color w:val="auto"/>
          <w:kern w:val="0"/>
          <w:sz w:val="24"/>
          <w:highlight w:val="none"/>
          <w:lang w:val="zh-CN"/>
        </w:rPr>
        <w:t>：</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kinsoku/>
        <w:wordWrap w:val="0"/>
        <w:overflowPunct/>
        <w:topLinePunct w:val="0"/>
        <w:autoSpaceDE w:val="0"/>
        <w:autoSpaceDN w:val="0"/>
        <w:bidi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kinsoku/>
        <w:wordWrap w:val="0"/>
        <w:overflowPunct/>
        <w:topLinePunct w:val="0"/>
        <w:autoSpaceDE w:val="0"/>
        <w:autoSpaceDN w:val="0"/>
        <w:bidi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kinsoku/>
        <w:wordWrap w:val="0"/>
        <w:overflowPunct/>
        <w:topLinePunct w:val="0"/>
        <w:autoSpaceDE w:val="0"/>
        <w:autoSpaceDN w:val="0"/>
        <w:bidi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kinsoku/>
        <w:wordWrap w:val="0"/>
        <w:overflowPunct/>
        <w:topLinePunct w:val="0"/>
        <w:autoSpaceDE w:val="0"/>
        <w:autoSpaceDN w:val="0"/>
        <w:bidi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kinsoku/>
        <w:wordWrap w:val="0"/>
        <w:overflowPunct/>
        <w:topLinePunct w:val="0"/>
        <w:autoSpaceDE w:val="0"/>
        <w:autoSpaceDN w:val="0"/>
        <w:bidi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pPr>
        <w:kinsoku/>
        <w:wordWrap w:val="0"/>
        <w:overflowPunct/>
        <w:topLinePunct w:val="0"/>
        <w:autoSpaceDE w:val="0"/>
        <w:autoSpaceDN w:val="0"/>
        <w:bidi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kinsoku/>
        <w:wordWrap w:val="0"/>
        <w:overflowPunct/>
        <w:topLinePunct w:val="0"/>
        <w:bidi w:val="0"/>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kinsoku/>
        <w:wordWrap w:val="0"/>
        <w:overflowPunct/>
        <w:topLinePunct w:val="0"/>
        <w:bidi w:val="0"/>
        <w:spacing w:line="360" w:lineRule="auto"/>
        <w:jc w:val="center"/>
        <w:rPr>
          <w:rFonts w:hint="eastAsia" w:ascii="仿宋" w:hAnsi="仿宋" w:eastAsia="仿宋" w:cs="仿宋"/>
          <w:b/>
          <w:bCs/>
          <w:color w:val="auto"/>
          <w:sz w:val="24"/>
          <w:highlight w:val="none"/>
        </w:rPr>
      </w:pPr>
    </w:p>
    <w:p>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wordWrap w:val="0"/>
        <w:overflowPunct/>
        <w:topLinePunct w:val="0"/>
        <w:bidi w:val="0"/>
        <w:spacing w:line="360" w:lineRule="auto"/>
        <w:jc w:val="center"/>
        <w:rPr>
          <w:rFonts w:hint="eastAsia" w:ascii="仿宋" w:hAnsi="仿宋" w:eastAsia="仿宋" w:cs="仿宋"/>
          <w:b/>
          <w:bCs/>
          <w:color w:val="auto"/>
          <w:sz w:val="24"/>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kinsoku/>
        <w:wordWrap w:val="0"/>
        <w:overflowPunct/>
        <w:topLinePunct w:val="0"/>
        <w:autoSpaceDE w:val="0"/>
        <w:autoSpaceDN w:val="0"/>
        <w:bidi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p>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47"/>
        <w:kinsoku/>
        <w:wordWrap w:val="0"/>
        <w:overflowPunct/>
        <w:topLinePunct w:val="0"/>
        <w:bidi w:val="0"/>
        <w:ind w:firstLine="0"/>
        <w:jc w:val="both"/>
        <w:rPr>
          <w:rFonts w:hAnsi="仿宋_GB2312" w:cs="仿宋_GB2312"/>
          <w:color w:val="auto"/>
          <w:highlight w:val="none"/>
        </w:rPr>
      </w:pPr>
    </w:p>
    <w:p>
      <w:pPr>
        <w:pageBreakBefore/>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p>
      <w:pPr>
        <w:kinsoku/>
        <w:wordWrap w:val="0"/>
        <w:overflowPunct/>
        <w:topLinePunct w:val="0"/>
        <w:bidi w:val="0"/>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kinsoku/>
        <w:wordWrap w:val="0"/>
        <w:overflowPunct/>
        <w:topLinePunct w:val="0"/>
        <w:autoSpaceDE w:val="0"/>
        <w:autoSpaceDN w:val="0"/>
        <w:bidi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kinsoku/>
        <w:wordWrap w:val="0"/>
        <w:overflowPunct/>
        <w:topLinePunct w:val="0"/>
        <w:autoSpaceDE w:val="0"/>
        <w:autoSpaceDN w:val="0"/>
        <w:bidi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pPr>
        <w:kinsoku/>
        <w:wordWrap w:val="0"/>
        <w:overflowPunct/>
        <w:topLinePunct w:val="0"/>
        <w:autoSpaceDE w:val="0"/>
        <w:autoSpaceDN w:val="0"/>
        <w:bidi w:val="0"/>
        <w:spacing w:line="360" w:lineRule="auto"/>
        <w:ind w:firstLine="4560" w:firstLineChars="1900"/>
        <w:rPr>
          <w:rFonts w:ascii="仿宋_GB2312" w:hAnsi="仿宋_GB2312" w:eastAsia="仿宋_GB2312" w:cs="仿宋_GB2312"/>
          <w:color w:val="auto"/>
          <w:kern w:val="0"/>
          <w:sz w:val="24"/>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kinsoku/>
        <w:wordWrap w:val="0"/>
        <w:overflowPunct/>
        <w:topLinePunct w:val="0"/>
        <w:autoSpaceDE w:val="0"/>
        <w:autoSpaceDN w:val="0"/>
        <w:bidi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kinsoku/>
        <w:wordWrap w:val="0"/>
        <w:overflowPunct/>
        <w:topLinePunct w:val="0"/>
        <w:autoSpaceDE w:val="0"/>
        <w:autoSpaceDN w:val="0"/>
        <w:bidi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kinsoku/>
        <w:wordWrap w:val="0"/>
        <w:overflowPunct/>
        <w:topLinePunct w:val="0"/>
        <w:autoSpaceDE w:val="0"/>
        <w:autoSpaceDN w:val="0"/>
        <w:bidi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kinsoku/>
        <w:wordWrap w:val="0"/>
        <w:overflowPunct/>
        <w:topLinePunct w:val="0"/>
        <w:autoSpaceDE w:val="0"/>
        <w:autoSpaceDN w:val="0"/>
        <w:bidi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kinsoku/>
        <w:wordWrap w:val="0"/>
        <w:overflowPunct/>
        <w:topLinePunct w:val="0"/>
        <w:autoSpaceDE w:val="0"/>
        <w:autoSpaceDN w:val="0"/>
        <w:bidi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r>
    </w:tbl>
    <w:p>
      <w:pPr>
        <w:kinsoku/>
        <w:wordWrap w:val="0"/>
        <w:overflowPunct/>
        <w:topLinePunct w:val="0"/>
        <w:bidi w:val="0"/>
        <w:spacing w:line="360" w:lineRule="auto"/>
        <w:ind w:firstLine="480" w:firstLineChars="200"/>
        <w:jc w:val="right"/>
        <w:rPr>
          <w:rFonts w:ascii="仿宋_GB2312" w:hAnsi="仿宋_GB2312" w:eastAsia="仿宋_GB2312" w:cs="仿宋_GB2312"/>
          <w:color w:val="auto"/>
          <w:sz w:val="24"/>
          <w:szCs w:val="20"/>
          <w:highlight w:val="none"/>
        </w:rPr>
      </w:pPr>
    </w:p>
    <w:p>
      <w:pPr>
        <w:kinsoku/>
        <w:wordWrap w:val="0"/>
        <w:overflowPunct/>
        <w:topLinePunct w:val="0"/>
        <w:bidi w:val="0"/>
        <w:spacing w:line="336" w:lineRule="auto"/>
        <w:ind w:firstLine="3600" w:firstLineChars="1500"/>
        <w:jc w:val="right"/>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rPr>
          <w:rFonts w:hint="eastAsia" w:ascii="仿宋_GB2312" w:hAnsi="仿宋_GB2312" w:eastAsia="仿宋_GB2312" w:cs="仿宋_GB2312"/>
          <w:b/>
          <w:color w:val="auto"/>
          <w:sz w:val="30"/>
          <w:szCs w:val="30"/>
          <w:highlight w:val="none"/>
          <w:lang w:eastAsia="zh-CN"/>
        </w:rPr>
      </w:pPr>
    </w:p>
    <w:p>
      <w:pPr>
        <w:pStyle w:val="2"/>
        <w:kinsoku/>
        <w:wordWrap w:val="0"/>
        <w:overflowPunct/>
        <w:topLinePunct w:val="0"/>
        <w:bidi w:val="0"/>
        <w:rPr>
          <w:rFonts w:hint="eastAsia"/>
          <w:color w:val="auto"/>
          <w:highlight w:val="none"/>
          <w:lang w:eastAsia="zh-CN"/>
        </w:rPr>
      </w:pPr>
    </w:p>
    <w:p>
      <w:pPr>
        <w:kinsoku/>
        <w:wordWrap w:val="0"/>
        <w:overflowPunct/>
        <w:topLinePunct w:val="0"/>
        <w:bidi w:val="0"/>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pPr>
        <w:kinsoku/>
        <w:wordWrap w:val="0"/>
        <w:overflowPunct/>
        <w:topLinePunct w:val="0"/>
        <w:bidi w:val="0"/>
        <w:spacing w:line="336" w:lineRule="auto"/>
        <w:ind w:firstLine="3600" w:firstLineChars="1500"/>
        <w:rPr>
          <w:rFonts w:hint="eastAsia" w:ascii="仿宋" w:hAnsi="仿宋" w:eastAsia="仿宋" w:cs="仿宋"/>
          <w:color w:val="auto"/>
          <w:sz w:val="24"/>
          <w:highlight w:val="none"/>
        </w:rPr>
      </w:pPr>
    </w:p>
    <w:p>
      <w:pPr>
        <w:pStyle w:val="2"/>
        <w:kinsoku/>
        <w:wordWrap w:val="0"/>
        <w:overflowPunct/>
        <w:topLinePunct w:val="0"/>
        <w:bidi w:val="0"/>
        <w:rPr>
          <w:rFonts w:hint="eastAsia"/>
          <w:color w:val="auto"/>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2"/>
        <w:kinsoku/>
        <w:wordWrap w:val="0"/>
        <w:overflowPunct/>
        <w:topLinePunct w:val="0"/>
        <w:bidi w:val="0"/>
        <w:rPr>
          <w:color w:val="auto"/>
          <w:highlight w:val="none"/>
        </w:rPr>
      </w:pPr>
    </w:p>
    <w:p>
      <w:pPr>
        <w:pageBreakBefore/>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pPr>
        <w:kinsoku/>
        <w:wordWrap w:val="0"/>
        <w:overflowPunct/>
        <w:topLinePunct w:val="0"/>
        <w:bidi w:val="0"/>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kinsoku/>
        <w:wordWrap w:val="0"/>
        <w:overflowPunct/>
        <w:topLinePunct w:val="0"/>
        <w:autoSpaceDE w:val="0"/>
        <w:autoSpaceDN w:val="0"/>
        <w:bidi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bl>
    <w:p>
      <w:pPr>
        <w:kinsoku/>
        <w:wordWrap w:val="0"/>
        <w:overflowPunct/>
        <w:topLinePunct w:val="0"/>
        <w:bidi w:val="0"/>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kinsoku/>
        <w:wordWrap w:val="0"/>
        <w:overflowPunct/>
        <w:topLinePunct w:val="0"/>
        <w:bidi w:val="0"/>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kinsoku/>
        <w:wordWrap w:val="0"/>
        <w:overflowPunct/>
        <w:topLinePunct w:val="0"/>
        <w:bidi w:val="0"/>
        <w:spacing w:line="360" w:lineRule="auto"/>
        <w:ind w:firstLine="480" w:firstLineChars="200"/>
        <w:rPr>
          <w:rFonts w:ascii="仿宋_GB2312" w:hAnsi="仿宋_GB2312" w:eastAsia="仿宋_GB2312" w:cs="仿宋_GB2312"/>
          <w:color w:val="auto"/>
          <w:sz w:val="24"/>
          <w:szCs w:val="20"/>
          <w:highlight w:val="none"/>
        </w:rPr>
      </w:pP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napToGrid w:val="0"/>
        <w:spacing w:line="360" w:lineRule="auto"/>
        <w:ind w:firstLine="6907" w:firstLineChars="2150"/>
        <w:rPr>
          <w:rFonts w:ascii="仿宋_GB2312" w:hAnsi="仿宋_GB2312" w:eastAsia="仿宋_GB2312" w:cs="仿宋_GB2312"/>
          <w:b/>
          <w:bCs/>
          <w:color w:val="auto"/>
          <w:sz w:val="32"/>
          <w:szCs w:val="32"/>
          <w:highlight w:val="none"/>
        </w:rPr>
      </w:pPr>
    </w:p>
    <w:p>
      <w:pPr>
        <w:kinsoku/>
        <w:wordWrap w:val="0"/>
        <w:overflowPunct/>
        <w:topLinePunct w:val="0"/>
        <w:bidi w:val="0"/>
        <w:snapToGrid w:val="0"/>
        <w:spacing w:line="360" w:lineRule="auto"/>
        <w:ind w:right="960"/>
        <w:jc w:val="both"/>
        <w:rPr>
          <w:rFonts w:hint="eastAsia"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rPr>
          <w:rFonts w:ascii="仿宋_GB2312" w:hAnsi="仿宋_GB2312" w:eastAsia="仿宋_GB2312" w:cs="仿宋_GB2312"/>
          <w:color w:val="auto"/>
          <w:sz w:val="18"/>
          <w:szCs w:val="18"/>
          <w:highlight w:val="none"/>
        </w:rPr>
      </w:pPr>
    </w:p>
    <w:p>
      <w:pPr>
        <w:pStyle w:val="2"/>
        <w:kinsoku/>
        <w:wordWrap w:val="0"/>
        <w:overflowPunct/>
        <w:topLinePunct w:val="0"/>
        <w:bidi w:val="0"/>
        <w:rPr>
          <w:color w:val="auto"/>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rPr>
          <w:rFonts w:ascii="仿宋_GB2312" w:hAnsi="仿宋_GB2312" w:eastAsia="仿宋_GB2312" w:cs="仿宋_GB2312"/>
          <w:b/>
          <w:bCs/>
          <w:color w:val="auto"/>
          <w:sz w:val="18"/>
          <w:szCs w:val="18"/>
          <w:highlight w:val="none"/>
        </w:rPr>
      </w:pPr>
    </w:p>
    <w:p>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pPr>
        <w:kinsoku/>
        <w:wordWrap w:val="0"/>
        <w:overflowPunct/>
        <w:topLinePunct w:val="0"/>
        <w:bidi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napToGrid w:val="0"/>
        <w:spacing w:line="360" w:lineRule="auto"/>
        <w:ind w:right="960"/>
        <w:jc w:val="right"/>
        <w:rPr>
          <w:rFonts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right"/>
        <w:rPr>
          <w:rFonts w:ascii="仿宋_GB2312" w:hAnsi="仿宋_GB2312" w:eastAsia="仿宋_GB2312" w:cs="仿宋_GB2312"/>
          <w:color w:val="auto"/>
          <w:kern w:val="0"/>
          <w:sz w:val="24"/>
          <w:highlight w:val="none"/>
          <w:lang w:val="zh-CN"/>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kinsoku/>
        <w:wordWrap w:val="0"/>
        <w:overflowPunct/>
        <w:topLinePunct w:val="0"/>
        <w:autoSpaceDE w:val="0"/>
        <w:autoSpaceDN w:val="0"/>
        <w:bidi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kinsoku/>
        <w:wordWrap w:val="0"/>
        <w:overflowPunct/>
        <w:topLinePunct w:val="0"/>
        <w:bidi w:val="0"/>
        <w:spacing w:line="360" w:lineRule="auto"/>
        <w:ind w:firstLine="480" w:firstLineChars="200"/>
        <w:rPr>
          <w:rFonts w:ascii="仿宋_GB2312" w:hAnsi="仿宋_GB2312" w:eastAsia="仿宋_GB2312" w:cs="仿宋_GB2312"/>
          <w:color w:val="auto"/>
          <w:sz w:val="24"/>
          <w:szCs w:val="20"/>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jc w:val="center"/>
        <w:rPr>
          <w:rFonts w:ascii="仿宋_GB2312" w:hAnsi="仿宋_GB2312" w:eastAsia="仿宋_GB2312" w:cs="仿宋_GB2312"/>
          <w:b/>
          <w:bCs/>
          <w:color w:val="auto"/>
          <w:sz w:val="30"/>
          <w:szCs w:val="30"/>
          <w:highlight w:val="none"/>
        </w:rPr>
      </w:pPr>
    </w:p>
    <w:p>
      <w:pPr>
        <w:kinsoku/>
        <w:wordWrap w:val="0"/>
        <w:overflowPunct/>
        <w:topLinePunct w:val="0"/>
        <w:bidi w:val="0"/>
        <w:spacing w:line="360" w:lineRule="auto"/>
        <w:jc w:val="center"/>
        <w:rPr>
          <w:rFonts w:ascii="仿宋_GB2312" w:hAnsi="仿宋_GB2312" w:eastAsia="仿宋_GB2312" w:cs="仿宋_GB2312"/>
          <w:b/>
          <w:bCs/>
          <w:color w:val="auto"/>
          <w:sz w:val="30"/>
          <w:szCs w:val="30"/>
          <w:highlight w:val="none"/>
        </w:rPr>
      </w:pPr>
    </w:p>
    <w:p>
      <w:pPr>
        <w:kinsoku/>
        <w:wordWrap w:val="0"/>
        <w:overflowPunct/>
        <w:topLinePunct w:val="0"/>
        <w:bidi w:val="0"/>
        <w:spacing w:line="360" w:lineRule="auto"/>
        <w:jc w:val="center"/>
        <w:rPr>
          <w:rFonts w:ascii="仿宋_GB2312" w:hAnsi="仿宋_GB2312" w:eastAsia="仿宋_GB2312" w:cs="仿宋_GB2312"/>
          <w:b/>
          <w:bCs/>
          <w:color w:val="auto"/>
          <w:sz w:val="24"/>
          <w:highlight w:val="none"/>
        </w:rPr>
      </w:pPr>
    </w:p>
    <w:p>
      <w:pPr>
        <w:kinsoku/>
        <w:wordWrap w:val="0"/>
        <w:overflowPunct/>
        <w:topLinePunct w:val="0"/>
        <w:bidi w:val="0"/>
        <w:spacing w:line="360" w:lineRule="auto"/>
        <w:jc w:val="center"/>
        <w:rPr>
          <w:rFonts w:ascii="仿宋_GB2312" w:hAnsi="仿宋_GB2312" w:eastAsia="仿宋_GB2312" w:cs="仿宋_GB2312"/>
          <w:b/>
          <w:bCs/>
          <w:color w:val="auto"/>
          <w:sz w:val="24"/>
          <w:highlight w:val="none"/>
        </w:rPr>
      </w:pPr>
    </w:p>
    <w:p>
      <w:pPr>
        <w:kinsoku/>
        <w:wordWrap w:val="0"/>
        <w:overflowPunct/>
        <w:topLinePunct w:val="0"/>
        <w:bidi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rPr>
          <w:rFonts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3"/>
        <w:kinsoku/>
        <w:wordWrap w:val="0"/>
        <w:overflowPunct/>
        <w:topLinePunct w:val="0"/>
        <w:bidi w:val="0"/>
        <w:rPr>
          <w:rFonts w:hint="eastAsia"/>
          <w:color w:val="auto"/>
          <w:highlight w:val="none"/>
        </w:rPr>
        <w:sectPr>
          <w:headerReference r:id="rId12" w:type="first"/>
          <w:footerReference r:id="rId14" w:type="first"/>
          <w:footerReference r:id="rId13" w:type="default"/>
          <w:pgSz w:w="11906" w:h="16838"/>
          <w:pgMar w:top="1276" w:right="1418" w:bottom="1247" w:left="1418" w:header="851" w:footer="992" w:gutter="0"/>
          <w:pgNumType w:fmt="decimal"/>
          <w:cols w:space="720" w:num="1"/>
          <w:titlePg/>
          <w:docGrid w:linePitch="312" w:charSpace="0"/>
        </w:sectPr>
      </w:pP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pPr>
        <w:pStyle w:val="25"/>
        <w:numPr>
          <w:ilvl w:val="0"/>
          <w:numId w:val="0"/>
        </w:num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both"/>
        <w:rPr>
          <w:rFonts w:hint="eastAsia" w:ascii="仿宋" w:hAnsi="仿宋" w:eastAsia="仿宋" w:cs="仿宋"/>
          <w:b/>
          <w:color w:val="auto"/>
          <w:kern w:val="0"/>
          <w:sz w:val="32"/>
          <w:szCs w:val="32"/>
          <w:highlight w:val="none"/>
        </w:rPr>
      </w:pPr>
    </w:p>
    <w:p>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sectPr>
          <w:footerReference r:id="rId17" w:type="first"/>
          <w:headerReference r:id="rId15" w:type="default"/>
          <w:footerReference r:id="rId16" w:type="default"/>
          <w:pgSz w:w="11906" w:h="16838"/>
          <w:pgMar w:top="1276" w:right="1418" w:bottom="1247" w:left="1418" w:header="851" w:footer="992" w:gutter="0"/>
          <w:pgNumType w:fmt="decimal"/>
          <w:cols w:space="720" w:num="1"/>
          <w:titlePg/>
          <w:docGrid w:linePitch="312" w:charSpace="0"/>
        </w:sectPr>
      </w:pPr>
    </w:p>
    <w:p>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绍兴市殡仪馆</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绍兴市公共资源交易中心</w:t>
      </w:r>
      <w:r>
        <w:rPr>
          <w:rFonts w:hint="eastAsia" w:ascii="仿宋" w:hAnsi="仿宋" w:eastAsia="仿宋" w:cs="仿宋"/>
          <w:color w:val="auto"/>
          <w:kern w:val="0"/>
          <w:sz w:val="24"/>
          <w:highlight w:val="none"/>
          <w:lang w:val="zh-CN"/>
        </w:rPr>
        <w:t>：</w:t>
      </w:r>
    </w:p>
    <w:p>
      <w:pPr>
        <w:kinsoku/>
        <w:wordWrap w:val="0"/>
        <w:overflowPunct/>
        <w:topLinePunct w:val="0"/>
        <w:bidi w:val="0"/>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绍兴市殡仪馆物业管理服务项目</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lang w:eastAsia="zh-CN"/>
        </w:rPr>
        <w:t>2025-02-0024</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pPr>
        <w:kinsoku/>
        <w:wordWrap w:val="0"/>
        <w:overflowPunct/>
        <w:topLinePunct w:val="0"/>
        <w:bidi w:val="0"/>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4"/>
        <w:tblW w:w="14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834"/>
        <w:gridCol w:w="1909"/>
        <w:gridCol w:w="2031"/>
        <w:gridCol w:w="1909"/>
        <w:gridCol w:w="1787"/>
        <w:gridCol w:w="1790"/>
        <w:gridCol w:w="1790"/>
        <w:gridCol w:w="1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85"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834"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909" w:type="dxa"/>
          </w:tcPr>
          <w:p>
            <w:pPr>
              <w:kinsoku/>
              <w:wordWrap w:val="0"/>
              <w:overflowPunct/>
              <w:topLinePunct w:val="0"/>
              <w:bidi w:val="0"/>
              <w:spacing w:line="360" w:lineRule="auto"/>
              <w:jc w:val="center"/>
              <w:rPr>
                <w:rFonts w:hint="eastAsia" w:ascii="仿宋" w:hAnsi="仿宋" w:eastAsia="仿宋" w:cs="仿宋"/>
                <w:b/>
                <w:color w:val="auto"/>
                <w:sz w:val="24"/>
                <w:highlight w:val="none"/>
              </w:rPr>
            </w:pPr>
          </w:p>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031"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1909"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1787"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1790" w:type="dxa"/>
          </w:tcPr>
          <w:p>
            <w:pPr>
              <w:kinsoku/>
              <w:wordWrap w:val="0"/>
              <w:overflowPunct/>
              <w:topLinePunct w:val="0"/>
              <w:bidi w:val="0"/>
              <w:spacing w:line="360" w:lineRule="auto"/>
              <w:jc w:val="center"/>
              <w:rPr>
                <w:rFonts w:hint="eastAsia" w:ascii="仿宋" w:hAnsi="仿宋" w:eastAsia="仿宋" w:cs="仿宋"/>
                <w:b/>
                <w:color w:val="auto"/>
                <w:sz w:val="24"/>
                <w:highlight w:val="none"/>
              </w:rPr>
            </w:pPr>
          </w:p>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1790"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服务单价</w:t>
            </w:r>
          </w:p>
        </w:tc>
        <w:tc>
          <w:tcPr>
            <w:tcW w:w="1787"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p>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pPr>
              <w:kinsoku/>
              <w:wordWrap w:val="0"/>
              <w:overflowPunct/>
              <w:topLinePunct w:val="0"/>
              <w:bidi w:val="0"/>
              <w:spacing w:line="360" w:lineRule="auto"/>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85"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4"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909"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2031"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909"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787"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790" w:type="dxa"/>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790"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787"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4"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909"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2031"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909"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787"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790" w:type="dxa"/>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790"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787"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834"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909"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2031"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909"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787"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790" w:type="dxa"/>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790"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787"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834"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909"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2031"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909"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787"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790" w:type="dxa"/>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790"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787"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834"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909"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2031"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909"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787"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790" w:type="dxa"/>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790"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787"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5459" w:type="dxa"/>
            <w:gridSpan w:val="4"/>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276" w:type="dxa"/>
            <w:gridSpan w:val="4"/>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787" w:type="dxa"/>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5459" w:type="dxa"/>
            <w:gridSpan w:val="4"/>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276" w:type="dxa"/>
            <w:gridSpan w:val="4"/>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787" w:type="dxa"/>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bl>
    <w:p>
      <w:pPr>
        <w:kinsoku/>
        <w:wordWrap w:val="0"/>
        <w:overflowPunct/>
        <w:topLinePunct w:val="0"/>
        <w:bidi w:val="0"/>
        <w:snapToGrid w:val="0"/>
        <w:spacing w:line="360" w:lineRule="auto"/>
        <w:ind w:left="480"/>
        <w:rPr>
          <w:rFonts w:hint="eastAsia" w:ascii="仿宋" w:hAnsi="仿宋" w:eastAsia="仿宋" w:cs="仿宋"/>
          <w:b/>
          <w:color w:val="auto"/>
          <w:kern w:val="0"/>
          <w:sz w:val="24"/>
          <w:highlight w:val="none"/>
          <w:lang w:val="zh-CN"/>
        </w:rPr>
      </w:pPr>
    </w:p>
    <w:p>
      <w:pPr>
        <w:kinsoku/>
        <w:wordWrap w:val="0"/>
        <w:overflowPunct/>
        <w:topLinePunct w:val="0"/>
        <w:bidi w:val="0"/>
        <w:snapToGrid w:val="0"/>
        <w:spacing w:line="360" w:lineRule="auto"/>
        <w:ind w:left="480" w:firstLine="9120" w:firstLineChars="38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pPr>
        <w:kinsoku/>
        <w:wordWrap w:val="0"/>
        <w:overflowPunct/>
        <w:topLinePunct w:val="0"/>
        <w:bidi w:val="0"/>
        <w:snapToGrid w:val="0"/>
        <w:spacing w:line="360" w:lineRule="auto"/>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pPr>
        <w:kinsoku/>
        <w:wordWrap w:val="0"/>
        <w:overflowPunct/>
        <w:topLinePunct w:val="0"/>
        <w:bidi w:val="0"/>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kinsoku/>
        <w:wordWrap w:val="0"/>
        <w:overflowPunct/>
        <w:topLinePunct w:val="0"/>
        <w:bidi w:val="0"/>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pPr>
        <w:kinsoku/>
        <w:wordWrap w:val="0"/>
        <w:overflowPunct/>
        <w:topLinePunct w:val="0"/>
        <w:bidi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kinsoku/>
        <w:wordWrap w:val="0"/>
        <w:overflowPunct/>
        <w:topLinePunct w:val="0"/>
        <w:bidi w:val="0"/>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pPr>
        <w:kinsoku/>
        <w:wordWrap w:val="0"/>
        <w:overflowPunct/>
        <w:topLinePunct w:val="0"/>
        <w:bidi w:val="0"/>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kinsoku/>
        <w:wordWrap w:val="0"/>
        <w:overflowPunct/>
        <w:topLinePunct w:val="0"/>
        <w:bidi w:val="0"/>
        <w:spacing w:line="360" w:lineRule="auto"/>
        <w:ind w:firstLine="482" w:firstLineChars="200"/>
        <w:rPr>
          <w:rFonts w:hint="eastAsia" w:ascii="仿宋" w:hAnsi="仿宋" w:eastAsia="仿宋" w:cs="仿宋"/>
          <w:b/>
          <w:color w:val="auto"/>
          <w:kern w:val="0"/>
          <w:sz w:val="24"/>
          <w:highlight w:val="none"/>
        </w:rPr>
      </w:pPr>
    </w:p>
    <w:p>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pPr>
    </w:p>
    <w:p>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pPr>
        <w:widowControl/>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2"/>
        <w:kinsoku/>
        <w:wordWrap w:val="0"/>
        <w:overflowPunct/>
        <w:topLinePunct w:val="0"/>
        <w:bidi w:val="0"/>
        <w:rPr>
          <w:rFonts w:hint="eastAsia" w:ascii="仿宋" w:hAnsi="仿宋" w:eastAsia="仿宋" w:cs="仿宋"/>
          <w:b/>
          <w:color w:val="auto"/>
          <w:sz w:val="24"/>
          <w:highlight w:val="none"/>
        </w:rPr>
      </w:pPr>
    </w:p>
    <w:p>
      <w:pPr>
        <w:pStyle w:val="3"/>
        <w:kinsoku/>
        <w:wordWrap w:val="0"/>
        <w:overflowPunct/>
        <w:topLinePunct w:val="0"/>
        <w:bidi w:val="0"/>
        <w:rPr>
          <w:rFonts w:hint="eastAsia" w:ascii="仿宋" w:hAnsi="仿宋" w:eastAsia="仿宋" w:cs="仿宋"/>
          <w:b/>
          <w:color w:val="auto"/>
          <w:sz w:val="24"/>
          <w:highlight w:val="none"/>
        </w:rPr>
      </w:pPr>
    </w:p>
    <w:p>
      <w:pPr>
        <w:kinsoku/>
        <w:wordWrap w:val="0"/>
        <w:overflowPunct/>
        <w:topLinePunct w:val="0"/>
        <w:bidi w:val="0"/>
        <w:rPr>
          <w:rFonts w:hint="eastAsia" w:ascii="仿宋" w:hAnsi="仿宋" w:eastAsia="仿宋" w:cs="仿宋"/>
          <w:b/>
          <w:color w:val="auto"/>
          <w:sz w:val="24"/>
          <w:highlight w:val="none"/>
        </w:rPr>
      </w:pPr>
    </w:p>
    <w:p>
      <w:pPr>
        <w:pStyle w:val="2"/>
        <w:kinsoku/>
        <w:wordWrap w:val="0"/>
        <w:overflowPunct/>
        <w:topLinePunct w:val="0"/>
        <w:bidi w:val="0"/>
        <w:rPr>
          <w:rFonts w:hint="eastAsia" w:ascii="仿宋" w:hAnsi="仿宋" w:eastAsia="仿宋" w:cs="仿宋"/>
          <w:b/>
          <w:color w:val="auto"/>
          <w:sz w:val="24"/>
          <w:highlight w:val="none"/>
        </w:rPr>
      </w:pPr>
    </w:p>
    <w:p>
      <w:pPr>
        <w:pStyle w:val="3"/>
        <w:kinsoku/>
        <w:wordWrap w:val="0"/>
        <w:overflowPunct/>
        <w:topLinePunct w:val="0"/>
        <w:bidi w:val="0"/>
        <w:rPr>
          <w:rFonts w:hint="eastAsia" w:ascii="仿宋" w:hAnsi="仿宋" w:eastAsia="仿宋" w:cs="仿宋"/>
          <w:b/>
          <w:color w:val="auto"/>
          <w:sz w:val="24"/>
          <w:highlight w:val="none"/>
        </w:rPr>
      </w:pPr>
    </w:p>
    <w:p>
      <w:pPr>
        <w:kinsoku/>
        <w:wordWrap w:val="0"/>
        <w:overflowPunct/>
        <w:topLinePunct w:val="0"/>
        <w:bidi w:val="0"/>
        <w:rPr>
          <w:rFonts w:hint="eastAsia"/>
          <w:color w:val="auto"/>
          <w:highlight w:val="none"/>
          <w:lang w:eastAsia="zh-CN"/>
        </w:rPr>
      </w:pPr>
    </w:p>
    <w:p>
      <w:pPr>
        <w:widowControl/>
        <w:kinsoku/>
        <w:wordWrap w:val="0"/>
        <w:overflowPunct/>
        <w:topLinePunct w:val="0"/>
        <w:bidi w:val="0"/>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三、残疾人福利性单位声明函（如有）</w:t>
      </w:r>
    </w:p>
    <w:p>
      <w:pPr>
        <w:pStyle w:val="25"/>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b w:val="0"/>
          <w:color w:val="auto"/>
          <w:sz w:val="32"/>
          <w:szCs w:val="32"/>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pStyle w:val="4"/>
        <w:keepNext w:val="0"/>
        <w:keepLines w:val="0"/>
        <w:pageBreakBefore/>
        <w:widowControl/>
        <w:kinsoku/>
        <w:wordWrap w:val="0"/>
        <w:overflowPunct/>
        <w:topLinePunct w:val="0"/>
        <w:bidi w:val="0"/>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pPr>
        <w:kinsoku/>
        <w:wordWrap w:val="0"/>
        <w:overflowPunct/>
        <w:topLinePunct w:val="0"/>
        <w:bidi w:val="0"/>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kinsoku/>
        <w:wordWrap w:val="0"/>
        <w:overflowPunct/>
        <w:topLinePunct w:val="0"/>
        <w:bidi w:val="0"/>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kinsoku/>
        <w:wordWrap w:val="0"/>
        <w:overflowPunct/>
        <w:topLinePunct w:val="0"/>
        <w:bidi w:val="0"/>
        <w:spacing w:line="360" w:lineRule="auto"/>
        <w:jc w:val="center"/>
        <w:rPr>
          <w:rFonts w:hint="eastAsia" w:ascii="仿宋" w:hAnsi="仿宋" w:eastAsia="仿宋" w:cs="仿宋"/>
          <w:b/>
          <w:bCs/>
          <w:color w:val="auto"/>
          <w:sz w:val="24"/>
          <w:highlight w:val="none"/>
        </w:rPr>
      </w:pPr>
    </w:p>
    <w:p>
      <w:pPr>
        <w:kinsoku/>
        <w:wordWrap w:val="0"/>
        <w:overflowPunct/>
        <w:topLinePunct w:val="0"/>
        <w:bidi w:val="0"/>
        <w:spacing w:line="360" w:lineRule="auto"/>
        <w:rPr>
          <w:rFonts w:hint="eastAsia" w:ascii="仿宋" w:hAnsi="仿宋" w:eastAsia="仿宋" w:cs="仿宋"/>
          <w:b/>
          <w:color w:val="auto"/>
          <w:sz w:val="24"/>
          <w:highlight w:val="none"/>
        </w:rPr>
      </w:pPr>
    </w:p>
    <w:p>
      <w:pPr>
        <w:kinsoku/>
        <w:wordWrap w:val="0"/>
        <w:overflowPunct/>
        <w:topLinePunct w:val="0"/>
        <w:bidi w:val="0"/>
        <w:spacing w:line="360" w:lineRule="auto"/>
        <w:rPr>
          <w:rFonts w:hint="eastAsia" w:ascii="仿宋" w:hAnsi="仿宋" w:eastAsia="仿宋" w:cs="仿宋"/>
          <w:b/>
          <w:color w:val="auto"/>
          <w:sz w:val="24"/>
          <w:highlight w:val="none"/>
        </w:rPr>
      </w:pPr>
    </w:p>
    <w:p>
      <w:pPr>
        <w:kinsoku/>
        <w:wordWrap w:val="0"/>
        <w:overflowPunct/>
        <w:topLinePunct w:val="0"/>
        <w:bidi w:val="0"/>
        <w:spacing w:line="360" w:lineRule="auto"/>
        <w:rPr>
          <w:rFonts w:hint="eastAsia" w:ascii="仿宋" w:hAnsi="仿宋" w:eastAsia="仿宋" w:cs="仿宋"/>
          <w:b/>
          <w:color w:val="auto"/>
          <w:sz w:val="24"/>
          <w:highlight w:val="none"/>
        </w:rPr>
      </w:pPr>
    </w:p>
    <w:p>
      <w:pPr>
        <w:kinsoku/>
        <w:wordWrap w:val="0"/>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kinsoku/>
        <w:wordWrap w:val="0"/>
        <w:overflowPunct/>
        <w:topLinePunct w:val="0"/>
        <w:bidi w:val="0"/>
        <w:spacing w:line="360" w:lineRule="auto"/>
        <w:ind w:firstLine="600" w:firstLineChars="200"/>
        <w:jc w:val="left"/>
        <w:rPr>
          <w:rFonts w:hint="eastAsia" w:ascii="仿宋" w:hAnsi="仿宋" w:eastAsia="仿宋" w:cs="仿宋"/>
          <w:color w:val="auto"/>
          <w:sz w:val="30"/>
          <w:szCs w:val="30"/>
          <w:highlight w:val="none"/>
        </w:rPr>
      </w:pP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jc w:val="left"/>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jc w:val="left"/>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jc w:val="left"/>
        <w:rPr>
          <w:rFonts w:hint="eastAsia" w:ascii="仿宋" w:hAnsi="仿宋" w:eastAsia="仿宋" w:cs="仿宋"/>
          <w:b/>
          <w:color w:val="auto"/>
          <w:spacing w:val="6"/>
          <w:sz w:val="32"/>
          <w:szCs w:val="32"/>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left"/>
        <w:textAlignment w:val="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pPr>
        <w:kinsoku/>
        <w:wordWrap w:val="0"/>
        <w:overflowPunct/>
        <w:topLinePunct w:val="0"/>
        <w:bidi w:val="0"/>
        <w:spacing w:line="360" w:lineRule="auto"/>
        <w:jc w:val="center"/>
        <w:rPr>
          <w:rFonts w:hint="eastAsia" w:ascii="仿宋" w:hAnsi="仿宋" w:eastAsia="仿宋" w:cs="仿宋"/>
          <w:b/>
          <w:color w:val="auto"/>
          <w:sz w:val="24"/>
          <w:highlight w:val="none"/>
        </w:rPr>
      </w:pP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kinsoku/>
        <w:wordWrap w:val="0"/>
        <w:overflowPunct/>
        <w:topLinePunct w:val="0"/>
        <w:bidi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kinsoku/>
        <w:wordWrap w:val="0"/>
        <w:overflowPunct/>
        <w:topLinePunct w:val="0"/>
        <w:bidi w:val="0"/>
        <w:spacing w:line="360" w:lineRule="auto"/>
        <w:rPr>
          <w:rFonts w:hint="eastAsia" w:ascii="仿宋" w:hAnsi="仿宋" w:eastAsia="仿宋" w:cs="仿宋"/>
          <w:b/>
          <w:color w:val="auto"/>
          <w:sz w:val="24"/>
          <w:highlight w:val="none"/>
        </w:rPr>
      </w:pPr>
    </w:p>
    <w:p>
      <w:pPr>
        <w:kinsoku/>
        <w:wordWrap w:val="0"/>
        <w:overflowPunct/>
        <w:topLinePunct w:val="0"/>
        <w:bidi w:val="0"/>
        <w:spacing w:line="360" w:lineRule="auto"/>
        <w:rPr>
          <w:rFonts w:hint="eastAsia" w:ascii="仿宋" w:hAnsi="仿宋" w:eastAsia="仿宋" w:cs="仿宋"/>
          <w:b/>
          <w:color w:val="auto"/>
          <w:sz w:val="24"/>
          <w:highlight w:val="none"/>
        </w:rPr>
      </w:pPr>
    </w:p>
    <w:p>
      <w:pPr>
        <w:kinsoku/>
        <w:wordWrap w:val="0"/>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kinsoku/>
        <w:wordWrap w:val="0"/>
        <w:overflowPunct/>
        <w:topLinePunct w:val="0"/>
        <w:bidi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kinsoku/>
        <w:wordWrap w:val="0"/>
        <w:overflowPunct/>
        <w:topLinePunct w:val="0"/>
        <w:bidi w:val="0"/>
        <w:spacing w:line="360" w:lineRule="auto"/>
        <w:rPr>
          <w:rFonts w:hint="eastAsia" w:ascii="仿宋" w:hAnsi="仿宋" w:eastAsia="仿宋" w:cs="仿宋"/>
          <w:b/>
          <w:color w:val="auto"/>
          <w:sz w:val="24"/>
          <w:highlight w:val="none"/>
        </w:rPr>
      </w:pPr>
    </w:p>
    <w:p>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pPr>
        <w:kinsoku/>
        <w:wordWrap w:val="0"/>
        <w:overflowPunct/>
        <w:topLinePunct w:val="0"/>
        <w:bidi w:val="0"/>
        <w:spacing w:line="360" w:lineRule="auto"/>
        <w:rPr>
          <w:rFonts w:hint="eastAsia" w:ascii="仿宋" w:hAnsi="仿宋" w:eastAsia="仿宋" w:cs="仿宋"/>
          <w:color w:val="auto"/>
          <w:sz w:val="24"/>
          <w:highlight w:val="none"/>
          <w:u w:val="single"/>
        </w:rPr>
      </w:pPr>
    </w:p>
    <w:p>
      <w:pPr>
        <w:keepNext w:val="0"/>
        <w:keepLines w:val="0"/>
        <w:pageBreakBefore w:val="0"/>
        <w:widowControl w:val="0"/>
        <w:kinsoku/>
        <w:wordWrap w:val="0"/>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绍兴市殡仪馆</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绍兴市公共资源交易中心</w:t>
      </w:r>
      <w:r>
        <w:rPr>
          <w:rFonts w:hint="eastAsia" w:ascii="仿宋" w:hAnsi="仿宋" w:eastAsia="仿宋" w:cs="仿宋"/>
          <w:color w:val="auto"/>
          <w:sz w:val="24"/>
          <w:highlight w:val="none"/>
          <w:u w:val="single"/>
        </w:rPr>
        <w:t>：</w:t>
      </w:r>
    </w:p>
    <w:p>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绍兴市殡仪馆物业管理服务项目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2025-02-0024</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kinsoku/>
        <w:wordWrap w:val="0"/>
        <w:overflowPunct/>
        <w:topLinePunct w:val="0"/>
        <w:bidi w:val="0"/>
        <w:spacing w:line="360" w:lineRule="auto"/>
        <w:ind w:firstLine="494"/>
        <w:rPr>
          <w:rFonts w:hint="eastAsia" w:ascii="仿宋" w:hAnsi="仿宋" w:eastAsia="仿宋" w:cs="仿宋"/>
          <w:color w:val="auto"/>
          <w:sz w:val="24"/>
          <w:highlight w:val="none"/>
        </w:rPr>
      </w:pPr>
    </w:p>
    <w:p>
      <w:pPr>
        <w:kinsoku/>
        <w:wordWrap w:val="0"/>
        <w:overflowPunct/>
        <w:topLinePunct w:val="0"/>
        <w:bidi w:val="0"/>
        <w:spacing w:line="360" w:lineRule="auto"/>
        <w:ind w:firstLine="494"/>
        <w:rPr>
          <w:rFonts w:hint="eastAsia" w:ascii="仿宋" w:hAnsi="仿宋" w:eastAsia="仿宋" w:cs="仿宋"/>
          <w:color w:val="auto"/>
          <w:sz w:val="24"/>
          <w:highlight w:val="none"/>
        </w:rPr>
      </w:pPr>
    </w:p>
    <w:p>
      <w:pPr>
        <w:kinsoku/>
        <w:wordWrap w:val="0"/>
        <w:overflowPunct/>
        <w:topLinePunct w:val="0"/>
        <w:bidi w:val="0"/>
        <w:spacing w:line="360" w:lineRule="auto"/>
        <w:ind w:firstLine="494"/>
        <w:rPr>
          <w:rFonts w:hint="eastAsia" w:ascii="仿宋" w:hAnsi="仿宋" w:eastAsia="仿宋" w:cs="仿宋"/>
          <w:color w:val="auto"/>
          <w:sz w:val="24"/>
          <w:highlight w:val="none"/>
        </w:rPr>
      </w:pPr>
    </w:p>
    <w:p>
      <w:pPr>
        <w:kinsoku/>
        <w:wordWrap w:val="0"/>
        <w:overflowPunct/>
        <w:topLinePunct w:val="0"/>
        <w:bidi w:val="0"/>
        <w:spacing w:line="360" w:lineRule="auto"/>
        <w:ind w:firstLine="494"/>
        <w:rPr>
          <w:rFonts w:hint="eastAsia" w:ascii="仿宋" w:hAnsi="仿宋" w:eastAsia="仿宋" w:cs="仿宋"/>
          <w:color w:val="auto"/>
          <w:sz w:val="24"/>
          <w:highlight w:val="none"/>
        </w:rPr>
      </w:pPr>
    </w:p>
    <w:p>
      <w:pPr>
        <w:kinsoku/>
        <w:wordWrap w:val="0"/>
        <w:overflowPunct/>
        <w:topLinePunct w:val="0"/>
        <w:bidi w:val="0"/>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kinsoku/>
        <w:wordWrap w:val="0"/>
        <w:overflowPunct/>
        <w:topLinePunct w:val="0"/>
        <w:bidi w:val="0"/>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kinsoku/>
        <w:wordWrap w:val="0"/>
        <w:overflowPunct/>
        <w:topLinePunct w:val="0"/>
        <w:bidi w:val="0"/>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pPr>
        <w:keepNext w:val="0"/>
        <w:keepLines w:val="0"/>
        <w:pageBreakBefore w:val="0"/>
        <w:widowControl/>
        <w:kinsoku/>
        <w:wordWrap w:val="0"/>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绍兴市殡仪馆物业管理服务项目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2025-02-0024</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投标。 </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2" w:name="_Hlk101131882"/>
      <w:r>
        <w:rPr>
          <w:rFonts w:hint="eastAsia" w:ascii="仿宋" w:hAnsi="仿宋" w:eastAsia="仿宋" w:cs="仿宋"/>
          <w:color w:val="auto"/>
          <w:kern w:val="0"/>
          <w:sz w:val="24"/>
          <w:highlight w:val="none"/>
          <w:u w:val="single"/>
        </w:rPr>
        <w:t>联合体成员X,……</w:t>
      </w:r>
      <w:bookmarkEnd w:id="152"/>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3"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3"/>
      <w:r>
        <w:rPr>
          <w:rFonts w:hint="eastAsia" w:ascii="仿宋" w:hAnsi="仿宋" w:eastAsia="仿宋" w:cs="仿宋"/>
          <w:b/>
          <w:color w:val="auto"/>
          <w:kern w:val="0"/>
          <w:sz w:val="24"/>
          <w:highlight w:val="none"/>
          <w:lang w:val="zh-CN"/>
        </w:rPr>
        <w:t>）</w:t>
      </w:r>
    </w:p>
    <w:p>
      <w:pPr>
        <w:keepNext w:val="0"/>
        <w:keepLines w:val="0"/>
        <w:pageBreakBefore w:val="0"/>
        <w:kinsoku/>
        <w:wordWrap w:val="0"/>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54"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54"/>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keepNext w:val="0"/>
        <w:keepLines w:val="0"/>
        <w:pageBreakBefore w:val="0"/>
        <w:kinsoku/>
        <w:wordWrap w:val="0"/>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val="0"/>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val="0"/>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keepNext w:val="0"/>
        <w:keepLines w:val="0"/>
        <w:pageBreakBefore w:val="0"/>
        <w:kinsoku/>
        <w:wordWrap w:val="0"/>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keepNext w:val="0"/>
        <w:keepLines w:val="0"/>
        <w:pageBreakBefore w:val="0"/>
        <w:kinsoku/>
        <w:wordWrap w:val="0"/>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bidi w:val="0"/>
        <w:snapToGrid w:val="0"/>
        <w:spacing w:line="360" w:lineRule="auto"/>
        <w:ind w:firstLine="3666" w:firstLineChars="1100"/>
        <w:rPr>
          <w:rFonts w:hint="eastAsia" w:ascii="仿宋" w:hAnsi="仿宋" w:eastAsia="仿宋" w:cs="仿宋"/>
          <w:b/>
          <w:color w:val="auto"/>
          <w:spacing w:val="6"/>
          <w:sz w:val="32"/>
          <w:szCs w:val="32"/>
          <w:highlight w:val="none"/>
        </w:rPr>
      </w:pPr>
    </w:p>
    <w:p>
      <w:pPr>
        <w:widowControl/>
        <w:kinsoku/>
        <w:wordWrap w:val="0"/>
        <w:overflowPunct/>
        <w:topLinePunct w:val="0"/>
        <w:bidi w:val="0"/>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pPr>
        <w:pageBreakBefore w:val="0"/>
        <w:widowControl/>
        <w:kinsoku/>
        <w:wordWrap w:val="0"/>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绍兴市殡仪馆物业管理服务项目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2025-02-0024</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5"/>
        <w:pageBreakBefore w:val="0"/>
        <w:kinsoku/>
        <w:wordWrap w:val="0"/>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pPr>
        <w:pageBreakBefore w:val="0"/>
        <w:kinsoku/>
        <w:wordWrap w:val="0"/>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pageBreakBefore w:val="0"/>
        <w:kinsoku/>
        <w:wordWrap w:val="0"/>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pageBreakBefore w:val="0"/>
        <w:kinsoku/>
        <w:wordWrap w:val="0"/>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pPr>
        <w:pageBreakBefore w:val="0"/>
        <w:kinsoku/>
        <w:wordWrap w:val="0"/>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pageBreakBefore w:val="0"/>
        <w:kinsoku/>
        <w:wordWrap w:val="0"/>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pageBreakBefore w:val="0"/>
        <w:kinsoku/>
        <w:wordWrap w:val="0"/>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val="0"/>
        <w:kinsoku/>
        <w:wordWrap w:val="0"/>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pStyle w:val="2"/>
        <w:kinsoku/>
        <w:wordWrap w:val="0"/>
        <w:overflowPunct/>
        <w:topLinePunct w:val="0"/>
        <w:bidi w:val="0"/>
        <w:rPr>
          <w:rFonts w:hint="eastAsia" w:ascii="仿宋" w:hAnsi="仿宋" w:eastAsia="仿宋" w:cs="仿宋"/>
          <w:b/>
          <w:color w:val="auto"/>
          <w:spacing w:val="6"/>
          <w:sz w:val="32"/>
          <w:szCs w:val="32"/>
          <w:highlight w:val="none"/>
        </w:rPr>
      </w:pPr>
    </w:p>
    <w:p>
      <w:pPr>
        <w:pStyle w:val="3"/>
        <w:kinsoku/>
        <w:wordWrap w:val="0"/>
        <w:overflowPunct/>
        <w:topLinePunct w:val="0"/>
        <w:bidi w:val="0"/>
        <w:rPr>
          <w:rFonts w:hint="eastAsia" w:ascii="仿宋" w:hAnsi="仿宋" w:eastAsia="仿宋" w:cs="仿宋"/>
          <w:b/>
          <w:color w:val="auto"/>
          <w:spacing w:val="6"/>
          <w:sz w:val="32"/>
          <w:szCs w:val="32"/>
          <w:highlight w:val="none"/>
        </w:rPr>
      </w:pPr>
    </w:p>
    <w:p>
      <w:pPr>
        <w:kinsoku/>
        <w:wordWrap w:val="0"/>
        <w:overflowPunct/>
        <w:topLinePunct w:val="0"/>
        <w:bidi w:val="0"/>
        <w:rPr>
          <w:rFonts w:hint="eastAsia" w:ascii="仿宋" w:hAnsi="仿宋" w:eastAsia="仿宋" w:cs="仿宋"/>
          <w:b/>
          <w:color w:val="auto"/>
          <w:spacing w:val="6"/>
          <w:sz w:val="32"/>
          <w:szCs w:val="32"/>
          <w:highlight w:val="none"/>
        </w:rPr>
      </w:pPr>
    </w:p>
    <w:p>
      <w:pPr>
        <w:pStyle w:val="2"/>
        <w:kinsoku/>
        <w:wordWrap w:val="0"/>
        <w:overflowPunct/>
        <w:topLinePunct w:val="0"/>
        <w:bidi w:val="0"/>
        <w:rPr>
          <w:rFonts w:hint="eastAsia" w:ascii="仿宋" w:hAnsi="仿宋" w:eastAsia="仿宋" w:cs="仿宋"/>
          <w:b/>
          <w:color w:val="auto"/>
          <w:spacing w:val="6"/>
          <w:sz w:val="32"/>
          <w:szCs w:val="32"/>
          <w:highlight w:val="none"/>
        </w:rPr>
      </w:pPr>
    </w:p>
    <w:p>
      <w:pPr>
        <w:pStyle w:val="3"/>
        <w:kinsoku/>
        <w:wordWrap w:val="0"/>
        <w:overflowPunct/>
        <w:topLinePunct w:val="0"/>
        <w:bidi w:val="0"/>
        <w:rPr>
          <w:rFonts w:hint="eastAsia" w:ascii="仿宋" w:hAnsi="仿宋" w:eastAsia="仿宋" w:cs="仿宋"/>
          <w:b/>
          <w:color w:val="auto"/>
          <w:spacing w:val="6"/>
          <w:sz w:val="32"/>
          <w:szCs w:val="32"/>
          <w:highlight w:val="none"/>
        </w:rPr>
      </w:pPr>
    </w:p>
    <w:p>
      <w:pPr>
        <w:kinsoku/>
        <w:wordWrap w:val="0"/>
        <w:overflowPunct/>
        <w:topLinePunct w:val="0"/>
        <w:bidi w:val="0"/>
        <w:rPr>
          <w:rFonts w:hint="eastAsia" w:ascii="仿宋" w:hAnsi="仿宋" w:eastAsia="仿宋" w:cs="仿宋"/>
          <w:b/>
          <w:color w:val="auto"/>
          <w:spacing w:val="6"/>
          <w:sz w:val="32"/>
          <w:szCs w:val="32"/>
          <w:highlight w:val="none"/>
        </w:rPr>
      </w:pPr>
    </w:p>
    <w:p>
      <w:pPr>
        <w:pStyle w:val="2"/>
        <w:kinsoku/>
        <w:wordWrap w:val="0"/>
        <w:overflowPunct/>
        <w:topLinePunct w:val="0"/>
        <w:bidi w:val="0"/>
        <w:rPr>
          <w:rFonts w:hint="eastAsia" w:ascii="仿宋" w:hAnsi="仿宋" w:eastAsia="仿宋" w:cs="仿宋"/>
          <w:b/>
          <w:color w:val="auto"/>
          <w:spacing w:val="6"/>
          <w:sz w:val="32"/>
          <w:szCs w:val="32"/>
          <w:highlight w:val="none"/>
        </w:rPr>
      </w:pPr>
    </w:p>
    <w:p>
      <w:pPr>
        <w:pStyle w:val="3"/>
        <w:kinsoku/>
        <w:wordWrap w:val="0"/>
        <w:overflowPunct/>
        <w:topLinePunct w:val="0"/>
        <w:bidi w:val="0"/>
        <w:rPr>
          <w:rFonts w:hint="eastAsia" w:ascii="仿宋" w:hAnsi="仿宋" w:eastAsia="仿宋" w:cs="仿宋"/>
          <w:b/>
          <w:color w:val="auto"/>
          <w:spacing w:val="6"/>
          <w:sz w:val="32"/>
          <w:szCs w:val="32"/>
          <w:highlight w:val="none"/>
        </w:rPr>
      </w:pPr>
    </w:p>
    <w:p>
      <w:pPr>
        <w:kinsoku/>
        <w:wordWrap w:val="0"/>
        <w:overflowPunct/>
        <w:topLinePunct w:val="0"/>
        <w:bidi w:val="0"/>
        <w:rPr>
          <w:rFonts w:hint="eastAsia" w:ascii="仿宋" w:hAnsi="仿宋" w:eastAsia="仿宋" w:cs="仿宋"/>
          <w:b/>
          <w:color w:val="auto"/>
          <w:spacing w:val="6"/>
          <w:sz w:val="32"/>
          <w:szCs w:val="32"/>
          <w:highlight w:val="none"/>
        </w:rPr>
      </w:pPr>
    </w:p>
    <w:p>
      <w:pPr>
        <w:pStyle w:val="2"/>
        <w:kinsoku/>
        <w:wordWrap w:val="0"/>
        <w:overflowPunct/>
        <w:topLinePunct w:val="0"/>
        <w:bidi w:val="0"/>
        <w:rPr>
          <w:rFonts w:hint="eastAsia" w:ascii="仿宋" w:hAnsi="仿宋" w:eastAsia="仿宋" w:cs="仿宋"/>
          <w:b/>
          <w:color w:val="auto"/>
          <w:spacing w:val="6"/>
          <w:sz w:val="32"/>
          <w:szCs w:val="32"/>
          <w:highlight w:val="none"/>
        </w:rPr>
      </w:pPr>
    </w:p>
    <w:p>
      <w:pPr>
        <w:pStyle w:val="3"/>
        <w:kinsoku/>
        <w:wordWrap w:val="0"/>
        <w:overflowPunct/>
        <w:topLinePunct w:val="0"/>
        <w:bidi w:val="0"/>
        <w:rPr>
          <w:rFonts w:hint="eastAsia" w:ascii="仿宋" w:hAnsi="仿宋" w:eastAsia="仿宋" w:cs="仿宋"/>
          <w:b/>
          <w:color w:val="auto"/>
          <w:spacing w:val="6"/>
          <w:sz w:val="32"/>
          <w:szCs w:val="32"/>
          <w:highlight w:val="none"/>
        </w:rPr>
      </w:pPr>
    </w:p>
    <w:p>
      <w:pPr>
        <w:kinsoku/>
        <w:wordWrap w:val="0"/>
        <w:overflowPunct/>
        <w:topLinePunct w:val="0"/>
        <w:bidi w:val="0"/>
        <w:rPr>
          <w:rFonts w:hint="eastAsia" w:ascii="仿宋" w:hAnsi="仿宋" w:eastAsia="仿宋" w:cs="仿宋"/>
          <w:b/>
          <w:color w:val="auto"/>
          <w:spacing w:val="6"/>
          <w:sz w:val="32"/>
          <w:szCs w:val="32"/>
          <w:highlight w:val="none"/>
        </w:rPr>
      </w:pPr>
    </w:p>
    <w:p>
      <w:pPr>
        <w:pStyle w:val="2"/>
        <w:kinsoku/>
        <w:wordWrap w:val="0"/>
        <w:overflowPunct/>
        <w:topLinePunct w:val="0"/>
        <w:bidi w:val="0"/>
        <w:rPr>
          <w:rFonts w:hint="eastAsia" w:ascii="仿宋" w:hAnsi="仿宋" w:eastAsia="仿宋" w:cs="仿宋"/>
          <w:b/>
          <w:color w:val="auto"/>
          <w:spacing w:val="6"/>
          <w:sz w:val="32"/>
          <w:szCs w:val="32"/>
          <w:highlight w:val="none"/>
        </w:rPr>
      </w:pPr>
    </w:p>
    <w:p>
      <w:pPr>
        <w:pStyle w:val="3"/>
        <w:kinsoku/>
        <w:wordWrap w:val="0"/>
        <w:overflowPunct/>
        <w:topLinePunct w:val="0"/>
        <w:bidi w:val="0"/>
        <w:rPr>
          <w:rFonts w:hint="eastAsia" w:ascii="仿宋" w:hAnsi="仿宋" w:eastAsia="仿宋" w:cs="仿宋"/>
          <w:b/>
          <w:color w:val="auto"/>
          <w:spacing w:val="6"/>
          <w:sz w:val="32"/>
          <w:szCs w:val="32"/>
          <w:highlight w:val="none"/>
        </w:rPr>
      </w:pPr>
    </w:p>
    <w:p>
      <w:pPr>
        <w:kinsoku/>
        <w:wordWrap w:val="0"/>
        <w:overflowPunct/>
        <w:topLinePunct w:val="0"/>
        <w:bidi w:val="0"/>
        <w:rPr>
          <w:rFonts w:hint="eastAsia" w:ascii="仿宋" w:hAnsi="仿宋" w:eastAsia="仿宋" w:cs="仿宋"/>
          <w:b/>
          <w:color w:val="auto"/>
          <w:spacing w:val="6"/>
          <w:sz w:val="32"/>
          <w:szCs w:val="32"/>
          <w:highlight w:val="none"/>
        </w:rPr>
      </w:pPr>
    </w:p>
    <w:p>
      <w:pPr>
        <w:pStyle w:val="2"/>
        <w:kinsoku/>
        <w:wordWrap w:val="0"/>
        <w:overflowPunct/>
        <w:topLinePunct w:val="0"/>
        <w:bidi w:val="0"/>
        <w:rPr>
          <w:rFonts w:hint="eastAsia" w:ascii="仿宋" w:hAnsi="仿宋" w:eastAsia="仿宋" w:cs="仿宋"/>
          <w:b/>
          <w:color w:val="auto"/>
          <w:spacing w:val="6"/>
          <w:sz w:val="32"/>
          <w:szCs w:val="32"/>
          <w:highlight w:val="none"/>
        </w:rPr>
      </w:pPr>
    </w:p>
    <w:p>
      <w:pPr>
        <w:pStyle w:val="3"/>
        <w:kinsoku/>
        <w:wordWrap w:val="0"/>
        <w:overflowPunct/>
        <w:topLinePunct w:val="0"/>
        <w:bidi w:val="0"/>
        <w:rPr>
          <w:rFonts w:hint="eastAsia" w:ascii="仿宋" w:hAnsi="仿宋" w:eastAsia="仿宋" w:cs="仿宋"/>
          <w:b/>
          <w:color w:val="auto"/>
          <w:spacing w:val="6"/>
          <w:sz w:val="32"/>
          <w:szCs w:val="32"/>
          <w:highlight w:val="none"/>
        </w:rPr>
      </w:pPr>
    </w:p>
    <w:p>
      <w:pPr>
        <w:kinsoku/>
        <w:wordWrap w:val="0"/>
        <w:overflowPunct/>
        <w:topLinePunct w:val="0"/>
        <w:bidi w:val="0"/>
        <w:rPr>
          <w:rFonts w:hint="eastAsia" w:ascii="仿宋" w:hAnsi="仿宋" w:eastAsia="仿宋" w:cs="仿宋"/>
          <w:b/>
          <w:color w:val="auto"/>
          <w:spacing w:val="6"/>
          <w:sz w:val="32"/>
          <w:szCs w:val="32"/>
          <w:highlight w:val="none"/>
        </w:rPr>
      </w:pPr>
    </w:p>
    <w:p>
      <w:pPr>
        <w:pStyle w:val="2"/>
        <w:kinsoku/>
        <w:wordWrap w:val="0"/>
        <w:overflowPunct/>
        <w:topLinePunct w:val="0"/>
        <w:bidi w:val="0"/>
        <w:rPr>
          <w:rFonts w:hint="eastAsia"/>
          <w:color w:val="auto"/>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55" w:name="OLE_LINK14"/>
      <w:bookmarkStart w:id="156" w:name="OLE_LINK13"/>
      <w:r>
        <w:rPr>
          <w:rFonts w:hint="eastAsia" w:ascii="仿宋" w:hAnsi="仿宋" w:eastAsia="仿宋" w:cs="仿宋"/>
          <w:b/>
          <w:color w:val="auto"/>
          <w:spacing w:val="6"/>
          <w:sz w:val="32"/>
          <w:szCs w:val="32"/>
          <w:highlight w:val="none"/>
        </w:rPr>
        <w:t>残疾人福利性单位声明函</w:t>
      </w:r>
    </w:p>
    <w:bookmarkEnd w:id="155"/>
    <w:bookmarkEnd w:id="156"/>
    <w:p>
      <w:pPr>
        <w:kinsoku/>
        <w:wordWrap w:val="0"/>
        <w:overflowPunct/>
        <w:topLinePunct w:val="0"/>
        <w:bidi w:val="0"/>
        <w:spacing w:line="360" w:lineRule="auto"/>
        <w:rPr>
          <w:rFonts w:hint="eastAsia" w:ascii="仿宋" w:hAnsi="仿宋" w:eastAsia="仿宋" w:cs="仿宋"/>
          <w:b/>
          <w:color w:val="auto"/>
          <w:spacing w:val="6"/>
          <w:sz w:val="30"/>
          <w:szCs w:val="30"/>
          <w:highlight w:val="none"/>
        </w:rPr>
      </w:pP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lang w:eastAsia="zh-CN"/>
        </w:rPr>
        <w:t>绍兴市殡仪馆</w:t>
      </w:r>
      <w:r>
        <w:rPr>
          <w:rFonts w:hint="eastAsia" w:ascii="仿宋" w:hAnsi="仿宋" w:eastAsia="仿宋" w:cs="仿宋"/>
          <w:color w:val="auto"/>
          <w:sz w:val="24"/>
          <w:highlight w:val="none"/>
        </w:rPr>
        <w:t>单位的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lang w:eastAsia="zh-CN"/>
        </w:rPr>
        <w:t>绍兴市殡仪馆物业管理服务项目</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none"/>
          <w:lang w:val="en-US" w:eastAsia="zh-CN"/>
        </w:rPr>
        <w:t>项目</w:t>
      </w:r>
      <w:r>
        <w:rPr>
          <w:rFonts w:hint="eastAsia" w:ascii="仿宋" w:hAnsi="仿宋" w:eastAsia="仿宋" w:cs="仿宋"/>
          <w:color w:val="auto"/>
          <w:sz w:val="24"/>
          <w:highlight w:val="none"/>
        </w:rPr>
        <w:t>采购活动提供本单位制造的货物（由本单位承担工程/提供服务），或者提供其他残疾人福利性单位制造的货物（不包括使用非残疾人福利性单位注册商标的货物）。</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pPr>
        <w:tabs>
          <w:tab w:val="left" w:pos="4860"/>
        </w:tabs>
        <w:kinsoku/>
        <w:wordWrap w:val="0"/>
        <w:overflowPunct/>
        <w:topLinePunct w:val="0"/>
        <w:bidi w:val="0"/>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kinsoku/>
        <w:wordWrap w:val="0"/>
        <w:overflowPunct/>
        <w:topLinePunct w:val="0"/>
        <w:bidi w:val="0"/>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pStyle w:val="25"/>
        <w:kinsoku/>
        <w:wordWrap w:val="0"/>
        <w:overflowPunct/>
        <w:topLinePunct w:val="0"/>
        <w:bidi w:val="0"/>
        <w:rPr>
          <w:rFonts w:hint="eastAsia" w:ascii="仿宋" w:hAnsi="仿宋" w:eastAsia="仿宋" w:cs="仿宋"/>
          <w:color w:val="auto"/>
          <w:highlight w:val="none"/>
        </w:rPr>
      </w:pPr>
    </w:p>
    <w:p>
      <w:pPr>
        <w:kinsoku/>
        <w:wordWrap w:val="0"/>
        <w:overflowPunct/>
        <w:topLinePunct w:val="0"/>
        <w:bidi w:val="0"/>
        <w:snapToGrid w:val="0"/>
        <w:spacing w:line="360" w:lineRule="auto"/>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rPr>
          <w:rFonts w:hint="eastAsia" w:ascii="仿宋" w:hAnsi="仿宋" w:eastAsia="仿宋" w:cs="仿宋"/>
          <w:b/>
          <w:color w:val="auto"/>
          <w:kern w:val="0"/>
          <w:sz w:val="32"/>
          <w:szCs w:val="32"/>
          <w:highlight w:val="none"/>
        </w:rPr>
      </w:pPr>
    </w:p>
    <w:p>
      <w:pPr>
        <w:keepNext w:val="0"/>
        <w:keepLines w:val="0"/>
        <w:pageBreakBefore/>
        <w:widowControl w:val="0"/>
        <w:kinsoku/>
        <w:wordWrap w:val="0"/>
        <w:overflowPunct/>
        <w:topLinePunct w:val="0"/>
        <w:autoSpaceDE/>
        <w:autoSpaceDN/>
        <w:bidi w:val="0"/>
        <w:adjustRightInd w:val="0"/>
        <w:snapToGrid w:val="0"/>
        <w:spacing w:line="360" w:lineRule="auto"/>
        <w:textAlignment w:val="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pPr>
        <w:kinsoku/>
        <w:wordWrap w:val="0"/>
        <w:overflowPunct/>
        <w:topLinePunct w:val="0"/>
        <w:bidi w:val="0"/>
        <w:spacing w:line="360" w:lineRule="auto"/>
        <w:jc w:val="center"/>
        <w:rPr>
          <w:rFonts w:hint="eastAsia" w:ascii="仿宋" w:hAnsi="仿宋" w:eastAsia="仿宋" w:cs="仿宋"/>
          <w:color w:val="auto"/>
          <w:sz w:val="24"/>
          <w:highlight w:val="none"/>
          <w:u w:val="single"/>
        </w:rPr>
      </w:pPr>
    </w:p>
    <w:p>
      <w:pPr>
        <w:kinsoku/>
        <w:wordWrap w:val="0"/>
        <w:overflowPunct/>
        <w:topLinePunct w:val="0"/>
        <w:bidi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lang w:eastAsia="zh-CN"/>
        </w:rPr>
        <w:t>绍兴市殡仪馆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绍兴市殡仪馆物业管理服务项目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kinsoku/>
        <w:wordWrap w:val="0"/>
        <w:overflowPunct/>
        <w:topLinePunct w:val="0"/>
        <w:bidi w:val="0"/>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kinsoku/>
        <w:wordWrap w:val="0"/>
        <w:overflowPunct/>
        <w:topLinePunct w:val="0"/>
        <w:bidi w:val="0"/>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pPr>
        <w:kinsoku/>
        <w:wordWrap w:val="0"/>
        <w:overflowPunct/>
        <w:topLinePunct w:val="0"/>
        <w:bidi w:val="0"/>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pPr>
        <w:kinsoku/>
        <w:wordWrap w:val="0"/>
        <w:overflowPunct/>
        <w:topLinePunct w:val="0"/>
        <w:bidi w:val="0"/>
        <w:spacing w:line="360" w:lineRule="auto"/>
        <w:ind w:right="420"/>
        <w:rPr>
          <w:rFonts w:hint="eastAsia" w:ascii="仿宋" w:hAnsi="仿宋" w:eastAsia="仿宋" w:cs="仿宋"/>
          <w:color w:val="auto"/>
          <w:sz w:val="24"/>
          <w:highlight w:val="none"/>
        </w:rPr>
      </w:pPr>
    </w:p>
    <w:p>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pPr>
        <w:kinsoku/>
        <w:wordWrap w:val="0"/>
        <w:overflowPunct/>
        <w:topLinePunct w:val="0"/>
        <w:bidi w:val="0"/>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kinsoku/>
        <w:wordWrap w:val="0"/>
        <w:overflowPunct/>
        <w:topLinePunct w:val="0"/>
        <w:bidi w:val="0"/>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5"/>
        <w:kinsoku/>
        <w:wordWrap w:val="0"/>
        <w:overflowPunct/>
        <w:topLinePunct w:val="0"/>
        <w:bidi w:val="0"/>
        <w:rPr>
          <w:rFonts w:hint="eastAsia" w:ascii="仿宋" w:hAnsi="仿宋" w:eastAsia="仿宋" w:cs="仿宋"/>
          <w:color w:val="auto"/>
          <w:highlight w:val="none"/>
          <w:lang w:val="en-US"/>
        </w:rPr>
      </w:pPr>
    </w:p>
    <w:p>
      <w:pPr>
        <w:pageBreakBefore/>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kinsoku/>
        <w:wordWrap w:val="0"/>
        <w:overflowPunct/>
        <w:topLinePunct w:val="0"/>
        <w:bidi w:val="0"/>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kinsoku/>
        <w:wordWrap w:val="0"/>
        <w:overflowPunct/>
        <w:topLinePunct w:val="0"/>
        <w:bidi w:val="0"/>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kinsoku/>
        <w:wordWrap w:val="0"/>
        <w:overflowPunct/>
        <w:topLinePunct w:val="0"/>
        <w:bidi w:val="0"/>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5"/>
        <w:kinsoku/>
        <w:wordWrap w:val="0"/>
        <w:overflowPunct/>
        <w:topLinePunct w:val="0"/>
        <w:bidi w:val="0"/>
        <w:rPr>
          <w:rFonts w:hint="eastAsia"/>
          <w:color w:val="auto"/>
          <w:highlight w:val="none"/>
          <w:lang w:val="en-US" w:eastAsia="zh-CN"/>
        </w:rPr>
      </w:pP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kinsoku/>
        <w:wordWrap w:val="0"/>
        <w:overflowPunct/>
        <w:topLinePunct w:val="0"/>
        <w:bidi w:val="0"/>
        <w:jc w:val="left"/>
        <w:rPr>
          <w:rFonts w:hint="eastAsia" w:ascii="仿宋" w:hAnsi="仿宋" w:eastAsia="仿宋" w:cs="仿宋"/>
          <w:color w:val="auto"/>
          <w:kern w:val="0"/>
          <w:sz w:val="24"/>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kinsoku/>
        <w:wordWrap w:val="0"/>
        <w:overflowPunct/>
        <w:topLinePunct w:val="0"/>
        <w:bidi w:val="0"/>
        <w:jc w:val="left"/>
        <w:rPr>
          <w:rFonts w:hint="eastAsia" w:ascii="仿宋" w:hAnsi="仿宋" w:eastAsia="仿宋" w:cs="仿宋"/>
          <w:color w:val="auto"/>
          <w:kern w:val="0"/>
          <w:sz w:val="24"/>
          <w:highlight w:val="none"/>
        </w:rPr>
      </w:pPr>
    </w:p>
    <w:p>
      <w:pPr>
        <w:widowControl/>
        <w:kinsoku/>
        <w:wordWrap w:val="0"/>
        <w:overflowPunct/>
        <w:topLinePunct w:val="0"/>
        <w:bidi w:val="0"/>
        <w:jc w:val="left"/>
        <w:rPr>
          <w:rFonts w:hint="eastAsia" w:ascii="仿宋" w:hAnsi="仿宋" w:eastAsia="仿宋" w:cs="仿宋"/>
          <w:color w:val="auto"/>
          <w:kern w:val="0"/>
          <w:sz w:val="24"/>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kinsoku/>
        <w:wordWrap w:val="0"/>
        <w:overflowPunct/>
        <w:topLinePunct w:val="0"/>
        <w:bidi w:val="0"/>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kinsoku/>
        <w:wordWrap w:val="0"/>
        <w:overflowPunct/>
        <w:topLinePunct w:val="0"/>
        <w:bidi w:val="0"/>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pPr>
        <w:widowControl/>
        <w:kinsoku/>
        <w:wordWrap w:val="0"/>
        <w:overflowPunct/>
        <w:topLinePunct w:val="0"/>
        <w:bidi w:val="0"/>
        <w:jc w:val="left"/>
        <w:rPr>
          <w:rFonts w:hint="eastAsia" w:ascii="仿宋" w:hAnsi="仿宋" w:eastAsia="仿宋" w:cs="仿宋"/>
          <w:color w:val="auto"/>
          <w:kern w:val="0"/>
          <w:sz w:val="18"/>
          <w:szCs w:val="18"/>
          <w:highlight w:val="none"/>
        </w:rPr>
      </w:pPr>
    </w:p>
    <w:p>
      <w:pPr>
        <w:widowControl/>
        <w:kinsoku/>
        <w:wordWrap w:val="0"/>
        <w:overflowPunct/>
        <w:topLinePunct w:val="0"/>
        <w:bidi w:val="0"/>
        <w:jc w:val="left"/>
        <w:rPr>
          <w:rFonts w:hint="eastAsia" w:ascii="仿宋" w:hAnsi="仿宋" w:eastAsia="仿宋" w:cs="仿宋"/>
          <w:color w:val="auto"/>
          <w:kern w:val="0"/>
          <w:sz w:val="18"/>
          <w:szCs w:val="18"/>
          <w:highlight w:val="none"/>
        </w:rPr>
      </w:pPr>
    </w:p>
    <w:p>
      <w:pPr>
        <w:widowControl/>
        <w:kinsoku/>
        <w:wordWrap w:val="0"/>
        <w:overflowPunct/>
        <w:topLinePunct w:val="0"/>
        <w:bidi w:val="0"/>
        <w:jc w:val="left"/>
        <w:rPr>
          <w:rFonts w:hint="eastAsia" w:ascii="仿宋" w:hAnsi="仿宋" w:eastAsia="仿宋" w:cs="仿宋"/>
          <w:color w:val="auto"/>
          <w:kern w:val="0"/>
          <w:sz w:val="18"/>
          <w:szCs w:val="18"/>
          <w:highlight w:val="none"/>
        </w:rPr>
      </w:pPr>
    </w:p>
    <w:p>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kinsoku/>
        <w:wordWrap w:val="0"/>
        <w:overflowPunct/>
        <w:topLinePunct w:val="0"/>
        <w:bidi w:val="0"/>
        <w:rPr>
          <w:rFonts w:hint="eastAsia" w:ascii="仿宋" w:hAnsi="仿宋" w:eastAsia="仿宋" w:cs="仿宋"/>
          <w:color w:val="auto"/>
          <w:sz w:val="24"/>
          <w:highlight w:val="none"/>
        </w:rPr>
      </w:pPr>
    </w:p>
    <w:p>
      <w:pPr>
        <w:kinsoku/>
        <w:wordWrap w:val="0"/>
        <w:overflowPunct/>
        <w:topLinePunct w:val="0"/>
        <w:bidi w:val="0"/>
        <w:ind w:firstLine="420" w:firstLineChars="200"/>
        <w:rPr>
          <w:rFonts w:hint="eastAsia" w:ascii="仿宋" w:hAnsi="仿宋" w:eastAsia="仿宋" w:cs="仿宋"/>
          <w:color w:val="auto"/>
          <w:highlight w:val="none"/>
        </w:rPr>
      </w:pPr>
    </w:p>
    <w:p>
      <w:pPr>
        <w:kinsoku/>
        <w:wordWrap w:val="0"/>
        <w:overflowPunct/>
        <w:topLinePunct w:val="0"/>
        <w:bidi w:val="0"/>
        <w:spacing w:line="360" w:lineRule="auto"/>
        <w:ind w:right="420"/>
        <w:rPr>
          <w:rFonts w:hint="eastAsia" w:ascii="仿宋" w:hAnsi="仿宋" w:eastAsia="仿宋" w:cs="仿宋"/>
          <w:color w:val="auto"/>
          <w:highlight w:val="none"/>
        </w:rPr>
      </w:pPr>
    </w:p>
    <w:p>
      <w:pPr>
        <w:kinsoku/>
        <w:wordWrap w:val="0"/>
        <w:overflowPunct/>
        <w:topLinePunct w:val="0"/>
        <w:bidi w:val="0"/>
        <w:spacing w:line="360" w:lineRule="auto"/>
        <w:rPr>
          <w:rFonts w:ascii="宋体" w:hAnsi="宋体" w:cs="宋体"/>
          <w:bCs/>
          <w:color w:val="auto"/>
          <w:sz w:val="24"/>
          <w:highlight w:val="none"/>
        </w:rPr>
      </w:pPr>
    </w:p>
    <w:sectPr>
      <w:footerReference r:id="rId20" w:type="first"/>
      <w:footerReference r:id="rId18" w:type="default"/>
      <w:footerReference r:id="rId19"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hakuyoxingshu7000"/>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Times New Roman"/>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hakuyoxingshu7000"/>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Arial"/>
    <w:panose1 w:val="020B0502020202020204"/>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hakuyoxingshu7000"/>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4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3"/>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43"/>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framePr w:wrap="around" w:vAnchor="text" w:hAnchor="margin" w:xAlign="right" w:y="1"/>
      <w:rPr>
        <w:rStyle w:val="74"/>
      </w:rPr>
    </w:pPr>
    <w:r>
      <w:fldChar w:fldCharType="begin"/>
    </w:r>
    <w:r>
      <w:rPr>
        <w:rStyle w:val="74"/>
      </w:rPr>
      <w:instrText xml:space="preserve">PAGE  </w:instrText>
    </w:r>
    <w:r>
      <w:fldChar w:fldCharType="end"/>
    </w:r>
  </w:p>
  <w:p>
    <w:pPr>
      <w:pStyle w:val="43"/>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3"/>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43"/>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framePr w:wrap="around" w:vAnchor="text" w:hAnchor="margin" w:xAlign="right" w:y="1"/>
      <w:rPr>
        <w:rStyle w:val="74"/>
      </w:rPr>
    </w:pPr>
    <w:r>
      <w:fldChar w:fldCharType="begin"/>
    </w:r>
    <w:r>
      <w:rPr>
        <w:rStyle w:val="74"/>
      </w:rPr>
      <w:instrText xml:space="preserve">PAGE  </w:instrText>
    </w:r>
    <w:r>
      <w:fldChar w:fldCharType="end"/>
    </w:r>
  </w:p>
  <w:p>
    <w:pPr>
      <w:pStyle w:val="4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4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4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3"/>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43"/>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3"/>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43"/>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3"/>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43"/>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3"/>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43"/>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center"/>
      <w:rPr>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招标编号:2025-02-0024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Bdr>
        <w:bottom w:val="none" w:color="auto" w:sz="0" w:space="0"/>
      </w:pBdr>
      <w:tabs>
        <w:tab w:val="clear" w:pos="4153"/>
        <w:tab w:val="clear" w:pos="8306"/>
      </w:tabs>
      <w:jc w:val="both"/>
    </w:pP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center"/>
      <w:rPr>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招标编号:2025-02-0024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Bdr>
        <w:bottom w:val="none" w:color="auto" w:sz="0" w:space="0"/>
      </w:pBdr>
      <w:tabs>
        <w:tab w:val="clear" w:pos="4153"/>
        <w:tab w:val="clear" w:pos="8306"/>
      </w:tabs>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center"/>
      <w:rPr>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招标编号:2025-02-0024</w:t>
    </w:r>
  </w:p>
  <w:p>
    <w:pPr>
      <w:pStyle w:val="44"/>
      <w:pBdr>
        <w:bottom w:val="none" w:color="auto" w:sz="0" w:space="0"/>
      </w:pBdr>
      <w:tabs>
        <w:tab w:val="clear" w:pos="4153"/>
        <w:tab w:val="clear" w:pos="8306"/>
      </w:tabs>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center"/>
      <w:rPr>
        <w:rFonts w:ascii="仿宋_GB2312" w:eastAsia="仿宋_GB2312"/>
        <w:b/>
        <w:i/>
        <w:sz w:val="18"/>
        <w:u w:val="single"/>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招标编号:2025-02-0024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35BEF8B"/>
    <w:rsid w:val="0DEE7464"/>
    <w:rsid w:val="0F096B8F"/>
    <w:rsid w:val="0F63063F"/>
    <w:rsid w:val="18E60774"/>
    <w:rsid w:val="1A9C7DEC"/>
    <w:rsid w:val="1C1A178C"/>
    <w:rsid w:val="1D2F1C3B"/>
    <w:rsid w:val="1FBFFEB0"/>
    <w:rsid w:val="24C55E1C"/>
    <w:rsid w:val="254D0F43"/>
    <w:rsid w:val="275DFFED"/>
    <w:rsid w:val="278C66AF"/>
    <w:rsid w:val="2F0C0A43"/>
    <w:rsid w:val="30CD01D9"/>
    <w:rsid w:val="326F4556"/>
    <w:rsid w:val="341B541D"/>
    <w:rsid w:val="3E6DF6DC"/>
    <w:rsid w:val="3ED55407"/>
    <w:rsid w:val="3FCFDA4A"/>
    <w:rsid w:val="427E60E8"/>
    <w:rsid w:val="4E094F21"/>
    <w:rsid w:val="4F4B3D85"/>
    <w:rsid w:val="4F981E95"/>
    <w:rsid w:val="5B73EE39"/>
    <w:rsid w:val="5CFAC9C4"/>
    <w:rsid w:val="5F561B6F"/>
    <w:rsid w:val="5F57E5CA"/>
    <w:rsid w:val="62F24B60"/>
    <w:rsid w:val="637177B0"/>
    <w:rsid w:val="64AFCBD0"/>
    <w:rsid w:val="669C35D3"/>
    <w:rsid w:val="66BB07E1"/>
    <w:rsid w:val="6A1A2717"/>
    <w:rsid w:val="6AFF2A6C"/>
    <w:rsid w:val="6EBAEEF7"/>
    <w:rsid w:val="6FC37AD4"/>
    <w:rsid w:val="6FFB4D4A"/>
    <w:rsid w:val="740D2C23"/>
    <w:rsid w:val="778CFDC4"/>
    <w:rsid w:val="77EDE09C"/>
    <w:rsid w:val="78AD1F79"/>
    <w:rsid w:val="78BB59A6"/>
    <w:rsid w:val="7DFF3A1B"/>
    <w:rsid w:val="7F2A5316"/>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EFFFB3A6"/>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qFormat/>
    <w:uiPriority w:val="1"/>
  </w:style>
  <w:style w:type="table" w:default="1" w:styleId="64">
    <w:name w:val="Normal Table"/>
    <w:qFormat/>
    <w:uiPriority w:val="99"/>
    <w:tblPr>
      <w:tblCellMar>
        <w:top w:w="0" w:type="dxa"/>
        <w:left w:w="108" w:type="dxa"/>
        <w:bottom w:w="0" w:type="dxa"/>
        <w:right w:w="108" w:type="dxa"/>
      </w:tblCellMar>
    </w:tblPr>
  </w:style>
  <w:style w:type="paragraph" w:customStyle="1" w:styleId="2">
    <w:name w:val="Default"/>
    <w:next w:val="3"/>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styleId="7">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28"/>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1"/>
    <w:qFormat/>
    <w:uiPriority w:val="0"/>
    <w:pPr>
      <w:shd w:val="clear" w:color="auto" w:fill="000080"/>
    </w:pPr>
  </w:style>
  <w:style w:type="paragraph" w:styleId="21">
    <w:name w:val="annotation text"/>
    <w:basedOn w:val="1"/>
    <w:link w:val="342"/>
    <w:qFormat/>
    <w:uiPriority w:val="99"/>
    <w:pPr>
      <w:jc w:val="left"/>
    </w:pPr>
  </w:style>
  <w:style w:type="paragraph" w:styleId="22">
    <w:name w:val="Salutation"/>
    <w:basedOn w:val="1"/>
    <w:next w:val="1"/>
    <w:link w:val="296"/>
    <w:qFormat/>
    <w:uiPriority w:val="0"/>
    <w:rPr>
      <w:rFonts w:ascii="仿宋_GB2312" w:eastAsia="仿宋_GB2312"/>
      <w:sz w:val="28"/>
      <w:szCs w:val="20"/>
    </w:rPr>
  </w:style>
  <w:style w:type="paragraph" w:styleId="23">
    <w:name w:val="Body Text 3"/>
    <w:basedOn w:val="1"/>
    <w:link w:val="328"/>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next w:val="26"/>
    <w:link w:val="428"/>
    <w:qFormat/>
    <w:uiPriority w:val="0"/>
    <w:pPr>
      <w:autoSpaceDE w:val="0"/>
      <w:autoSpaceDN w:val="0"/>
      <w:spacing w:line="360" w:lineRule="auto"/>
    </w:pPr>
    <w:rPr>
      <w:rFonts w:ascii="宋体" w:hAnsi="Arial" w:cs="Arial"/>
      <w:snapToGrid w:val="0"/>
      <w:sz w:val="24"/>
      <w:szCs w:val="21"/>
      <w:lang w:val="zh-CN"/>
    </w:rPr>
  </w:style>
  <w:style w:type="paragraph" w:styleId="26">
    <w:name w:val="Body Text First Indent"/>
    <w:basedOn w:val="25"/>
    <w:next w:val="27"/>
    <w:link w:val="319"/>
    <w:qFormat/>
    <w:uiPriority w:val="0"/>
    <w:pPr>
      <w:ind w:firstLine="420"/>
    </w:pPr>
    <w:rPr>
      <w:rFonts w:hAnsi="Calibri" w:cs="Times New Roman"/>
      <w:snapToGrid/>
      <w:szCs w:val="20"/>
    </w:rPr>
  </w:style>
  <w:style w:type="paragraph" w:styleId="27">
    <w:name w:val="toc 6"/>
    <w:basedOn w:val="1"/>
    <w:next w:val="1"/>
    <w:qFormat/>
    <w:uiPriority w:val="0"/>
    <w:pPr>
      <w:ind w:left="2100" w:leftChars="1000"/>
    </w:pPr>
  </w:style>
  <w:style w:type="paragraph" w:styleId="28">
    <w:name w:val="Body Text Indent"/>
    <w:basedOn w:val="1"/>
    <w:link w:val="263"/>
    <w:qFormat/>
    <w:uiPriority w:val="0"/>
    <w:pPr>
      <w:spacing w:line="480" w:lineRule="exact"/>
      <w:ind w:firstLine="480" w:firstLineChars="200"/>
    </w:pPr>
    <w:rPr>
      <w:rFonts w:ascii="宋体" w:hAnsi="宋体"/>
      <w:sz w:val="24"/>
    </w:rPr>
  </w:style>
  <w:style w:type="paragraph" w:styleId="29">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30">
    <w:name w:val="List 2"/>
    <w:basedOn w:val="1"/>
    <w:qFormat/>
    <w:uiPriority w:val="0"/>
    <w:pPr>
      <w:adjustRightInd/>
      <w:spacing w:line="360" w:lineRule="auto"/>
      <w:ind w:left="100" w:leftChars="200" w:hanging="200" w:hangingChars="200"/>
    </w:pPr>
    <w:rPr>
      <w:rFonts w:eastAsia="微软雅黑"/>
    </w:rPr>
  </w:style>
  <w:style w:type="paragraph" w:styleId="31">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2">
    <w:name w:val="List Bullet 2"/>
    <w:basedOn w:val="1"/>
    <w:qFormat/>
    <w:uiPriority w:val="0"/>
    <w:pPr>
      <w:autoSpaceDE w:val="0"/>
      <w:autoSpaceDN w:val="0"/>
      <w:ind w:left="420"/>
      <w:jc w:val="left"/>
    </w:pPr>
    <w:rPr>
      <w:rFonts w:ascii="宋体" w:hAnsi="宋体"/>
      <w:color w:val="000000"/>
      <w:kern w:val="0"/>
      <w:sz w:val="24"/>
      <w:szCs w:val="20"/>
    </w:rPr>
  </w:style>
  <w:style w:type="paragraph" w:styleId="33">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4">
    <w:name w:val="toc 5"/>
    <w:basedOn w:val="1"/>
    <w:next w:val="1"/>
    <w:qFormat/>
    <w:uiPriority w:val="0"/>
    <w:pPr>
      <w:ind w:left="1680" w:leftChars="800"/>
    </w:pPr>
  </w:style>
  <w:style w:type="paragraph" w:styleId="35">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6">
    <w:name w:val="Plain Text"/>
    <w:basedOn w:val="1"/>
    <w:link w:val="124"/>
    <w:qFormat/>
    <w:uiPriority w:val="0"/>
    <w:rPr>
      <w:rFonts w:ascii="宋体" w:hAnsi="Courier New" w:cs="Arial"/>
      <w:snapToGrid w:val="0"/>
      <w:szCs w:val="21"/>
    </w:rPr>
  </w:style>
  <w:style w:type="paragraph" w:styleId="37">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8">
    <w:name w:val="toc 8"/>
    <w:basedOn w:val="1"/>
    <w:next w:val="1"/>
    <w:qFormat/>
    <w:uiPriority w:val="0"/>
    <w:pPr>
      <w:ind w:left="2940" w:leftChars="1400"/>
    </w:pPr>
  </w:style>
  <w:style w:type="paragraph" w:styleId="39">
    <w:name w:val="Date"/>
    <w:basedOn w:val="1"/>
    <w:next w:val="1"/>
    <w:link w:val="180"/>
    <w:qFormat/>
    <w:uiPriority w:val="0"/>
    <w:pPr>
      <w:ind w:left="100" w:leftChars="2500"/>
    </w:pPr>
    <w:rPr>
      <w:rFonts w:ascii="宋体"/>
      <w:sz w:val="24"/>
      <w:szCs w:val="21"/>
      <w:lang w:val="zh-CN"/>
    </w:rPr>
  </w:style>
  <w:style w:type="paragraph" w:styleId="40">
    <w:name w:val="Body Text Indent 2"/>
    <w:basedOn w:val="1"/>
    <w:link w:val="306"/>
    <w:qFormat/>
    <w:uiPriority w:val="0"/>
    <w:pPr>
      <w:spacing w:line="360" w:lineRule="auto"/>
      <w:ind w:firstLine="601"/>
      <w:textAlignment w:val="baseline"/>
    </w:pPr>
    <w:rPr>
      <w:rFonts w:ascii="宋体"/>
      <w:kern w:val="0"/>
      <w:sz w:val="28"/>
      <w:szCs w:val="20"/>
    </w:rPr>
  </w:style>
  <w:style w:type="paragraph" w:styleId="41">
    <w:name w:val="endnote text"/>
    <w:basedOn w:val="1"/>
    <w:link w:val="930"/>
    <w:qFormat/>
    <w:uiPriority w:val="0"/>
    <w:rPr>
      <w:lang w:val="zh-CN"/>
    </w:rPr>
  </w:style>
  <w:style w:type="paragraph" w:styleId="42">
    <w:name w:val="Balloon Text"/>
    <w:basedOn w:val="1"/>
    <w:link w:val="187"/>
    <w:qFormat/>
    <w:uiPriority w:val="0"/>
    <w:rPr>
      <w:sz w:val="18"/>
      <w:szCs w:val="18"/>
    </w:rPr>
  </w:style>
  <w:style w:type="paragraph" w:styleId="43">
    <w:name w:val="footer"/>
    <w:basedOn w:val="1"/>
    <w:link w:val="381"/>
    <w:qFormat/>
    <w:uiPriority w:val="99"/>
    <w:pPr>
      <w:tabs>
        <w:tab w:val="center" w:pos="4153"/>
        <w:tab w:val="right" w:pos="8306"/>
      </w:tabs>
      <w:snapToGrid w:val="0"/>
      <w:jc w:val="left"/>
    </w:pPr>
    <w:rPr>
      <w:sz w:val="18"/>
      <w:szCs w:val="18"/>
    </w:rPr>
  </w:style>
  <w:style w:type="paragraph" w:styleId="44">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5">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6">
    <w:name w:val="toc 1"/>
    <w:basedOn w:val="1"/>
    <w:next w:val="1"/>
    <w:qFormat/>
    <w:uiPriority w:val="0"/>
  </w:style>
  <w:style w:type="paragraph" w:styleId="47">
    <w:name w:val="toc 4"/>
    <w:basedOn w:val="1"/>
    <w:next w:val="1"/>
    <w:qFormat/>
    <w:uiPriority w:val="0"/>
    <w:pPr>
      <w:ind w:left="1260" w:leftChars="600"/>
    </w:pPr>
  </w:style>
  <w:style w:type="paragraph" w:styleId="48">
    <w:name w:val="index heading"/>
    <w:basedOn w:val="1"/>
    <w:next w:val="49"/>
    <w:qFormat/>
    <w:uiPriority w:val="0"/>
    <w:pPr>
      <w:adjustRightInd/>
      <w:ind w:firstLine="200" w:firstLineChars="200"/>
    </w:pPr>
  </w:style>
  <w:style w:type="paragraph" w:styleId="49">
    <w:name w:val="index 1"/>
    <w:basedOn w:val="1"/>
    <w:next w:val="1"/>
    <w:qFormat/>
    <w:uiPriority w:val="0"/>
    <w:pPr>
      <w:adjustRightInd/>
      <w:spacing w:line="360" w:lineRule="auto"/>
      <w:ind w:firstLine="200" w:firstLineChars="200"/>
      <w:jc w:val="center"/>
    </w:pPr>
    <w:rPr>
      <w:sz w:val="24"/>
      <w:szCs w:val="20"/>
    </w:rPr>
  </w:style>
  <w:style w:type="paragraph" w:styleId="50">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1">
    <w:name w:val="List Number 5"/>
    <w:basedOn w:val="1"/>
    <w:qFormat/>
    <w:uiPriority w:val="0"/>
    <w:pPr>
      <w:tabs>
        <w:tab w:val="left" w:pos="902"/>
      </w:tabs>
      <w:adjustRightInd/>
      <w:spacing w:line="400" w:lineRule="exact"/>
      <w:ind w:left="902" w:hanging="420"/>
    </w:pPr>
    <w:rPr>
      <w:sz w:val="24"/>
      <w:szCs w:val="20"/>
    </w:rPr>
  </w:style>
  <w:style w:type="paragraph" w:styleId="52">
    <w:name w:val="List"/>
    <w:basedOn w:val="1"/>
    <w:qFormat/>
    <w:uiPriority w:val="0"/>
    <w:pPr>
      <w:ind w:left="200" w:hanging="200" w:hangingChars="200"/>
    </w:pPr>
  </w:style>
  <w:style w:type="paragraph" w:styleId="53">
    <w:name w:val="footnote text"/>
    <w:basedOn w:val="7"/>
    <w:link w:val="308"/>
    <w:qFormat/>
    <w:uiPriority w:val="0"/>
    <w:pPr>
      <w:adjustRightInd/>
      <w:snapToGrid/>
      <w:spacing w:before="60" w:after="60" w:line="300" w:lineRule="exact"/>
      <w:ind w:firstLine="0"/>
    </w:pPr>
    <w:rPr>
      <w:rFonts w:ascii="Calibri"/>
      <w:snapToGrid/>
      <w:color w:val="0000FF"/>
      <w:kern w:val="0"/>
      <w:sz w:val="21"/>
    </w:rPr>
  </w:style>
  <w:style w:type="paragraph" w:styleId="54">
    <w:name w:val="List 5"/>
    <w:basedOn w:val="1"/>
    <w:qFormat/>
    <w:uiPriority w:val="0"/>
    <w:pPr>
      <w:adjustRightInd/>
      <w:ind w:left="100" w:leftChars="800" w:hanging="200" w:hangingChars="200"/>
    </w:pPr>
  </w:style>
  <w:style w:type="paragraph" w:styleId="55">
    <w:name w:val="Body Text Indent 3"/>
    <w:basedOn w:val="1"/>
    <w:link w:val="373"/>
    <w:qFormat/>
    <w:uiPriority w:val="0"/>
    <w:pPr>
      <w:spacing w:line="360" w:lineRule="auto"/>
      <w:ind w:firstLine="420"/>
    </w:pPr>
    <w:rPr>
      <w:sz w:val="24"/>
      <w:szCs w:val="20"/>
    </w:rPr>
  </w:style>
  <w:style w:type="paragraph" w:styleId="56">
    <w:name w:val="toc 2"/>
    <w:basedOn w:val="1"/>
    <w:next w:val="1"/>
    <w:qFormat/>
    <w:uiPriority w:val="0"/>
    <w:pPr>
      <w:ind w:left="420" w:leftChars="200"/>
    </w:pPr>
  </w:style>
  <w:style w:type="paragraph" w:styleId="57">
    <w:name w:val="toc 9"/>
    <w:basedOn w:val="1"/>
    <w:next w:val="1"/>
    <w:qFormat/>
    <w:uiPriority w:val="0"/>
    <w:pPr>
      <w:ind w:left="3360" w:leftChars="1600"/>
    </w:pPr>
  </w:style>
  <w:style w:type="paragraph" w:styleId="58">
    <w:name w:val="Body Text 2"/>
    <w:basedOn w:val="1"/>
    <w:link w:val="300"/>
    <w:qFormat/>
    <w:uiPriority w:val="0"/>
    <w:pPr>
      <w:spacing w:after="120" w:line="480" w:lineRule="auto"/>
    </w:pPr>
  </w:style>
  <w:style w:type="paragraph" w:styleId="59">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21"/>
    <w:next w:val="21"/>
    <w:link w:val="95"/>
    <w:qFormat/>
    <w:uiPriority w:val="0"/>
    <w:rPr>
      <w:b/>
      <w:bCs/>
    </w:rPr>
  </w:style>
  <w:style w:type="paragraph" w:styleId="63">
    <w:name w:val="Body Text First Indent 2"/>
    <w:basedOn w:val="28"/>
    <w:link w:val="120"/>
    <w:qFormat/>
    <w:uiPriority w:val="0"/>
    <w:pPr>
      <w:adjustRightInd/>
      <w:spacing w:after="120" w:line="240" w:lineRule="auto"/>
      <w:ind w:left="420" w:leftChars="200" w:firstLine="210"/>
    </w:pPr>
    <w:rPr>
      <w:sz w:val="21"/>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2"/>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3"/>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71"/>
    <w:qFormat/>
    <w:uiPriority w:val="0"/>
    <w:rPr>
      <w:rFonts w:ascii="Arial" w:hAnsi="Arial" w:eastAsia="黑体" w:cs="Arial"/>
      <w:snapToGrid w:val="0"/>
      <w:kern w:val="0"/>
      <w:szCs w:val="21"/>
    </w:rPr>
  </w:style>
  <w:style w:type="character" w:customStyle="1" w:styleId="124">
    <w:name w:val="纯文本 Char"/>
    <w:link w:val="36"/>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50"/>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10"/>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9"/>
    <w:qFormat/>
    <w:uiPriority w:val="0"/>
    <w:rPr>
      <w:rFonts w:ascii="宋体"/>
      <w:kern w:val="2"/>
      <w:sz w:val="24"/>
      <w:szCs w:val="21"/>
      <w:lang w:val="zh-CN"/>
    </w:rPr>
  </w:style>
  <w:style w:type="character" w:customStyle="1" w:styleId="181">
    <w:name w:val="标题 9 Char"/>
    <w:link w:val="13"/>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42"/>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7"/>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20"/>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71"/>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3"/>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8"/>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8"/>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2"/>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8"/>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61"/>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9"/>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2"/>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9"/>
    <w:qFormat/>
    <w:uiPriority w:val="0"/>
    <w:rPr>
      <w:rFonts w:ascii="黑体" w:hAnsi="Courier New" w:eastAsia="黑体"/>
    </w:rPr>
  </w:style>
  <w:style w:type="character" w:customStyle="1" w:styleId="300">
    <w:name w:val="正文文本 2 Char1"/>
    <w:link w:val="58"/>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8"/>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1"/>
    <w:qFormat/>
    <w:uiPriority w:val="0"/>
    <w:rPr>
      <w:b/>
      <w:bCs/>
      <w:kern w:val="2"/>
      <w:sz w:val="24"/>
      <w:szCs w:val="24"/>
    </w:rPr>
  </w:style>
  <w:style w:type="character" w:customStyle="1" w:styleId="306">
    <w:name w:val="正文文本缩进 2 Char"/>
    <w:link w:val="40"/>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3"/>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6"/>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8"/>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3"/>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1"/>
    <w:qFormat/>
    <w:uiPriority w:val="99"/>
    <w:rPr>
      <w:kern w:val="2"/>
      <w:sz w:val="21"/>
      <w:szCs w:val="24"/>
    </w:rPr>
  </w:style>
  <w:style w:type="character" w:customStyle="1" w:styleId="343">
    <w:name w:val="签名 Char"/>
    <w:link w:val="45"/>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2"/>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5"/>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3"/>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4"/>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71"/>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7"/>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29">
    <w:name w:val="gray6"/>
    <w:basedOn w:val="71"/>
    <w:qFormat/>
    <w:uiPriority w:val="0"/>
    <w:rPr>
      <w:rFonts w:ascii="Arial" w:hAnsi="Arial" w:eastAsia="黑体" w:cs="Arial"/>
      <w:snapToGrid w:val="0"/>
      <w:kern w:val="0"/>
      <w:szCs w:val="21"/>
    </w:rPr>
  </w:style>
  <w:style w:type="character" w:customStyle="1" w:styleId="430">
    <w:name w:val="hui"/>
    <w:basedOn w:val="71"/>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8"/>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8"/>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6"/>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9"/>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6"/>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6"/>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8"/>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2"/>
    <w:next w:val="2"/>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2"/>
    <w:next w:val="2"/>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8"/>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6"/>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8"/>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8"/>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2"/>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8"/>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8"/>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40"/>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6"/>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61"/>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8"/>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6"/>
    <w:next w:val="55"/>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40"/>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5"/>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8"/>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41"/>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1"/>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character" w:customStyle="1" w:styleId="964">
    <w:name w:val="rili11"/>
    <w:qFormat/>
    <w:uiPriority w:val="0"/>
    <w:rPr>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86</Pages>
  <Words>40152</Words>
  <Characters>42752</Characters>
  <Paragraphs>1943</Paragraphs>
  <TotalTime>8</TotalTime>
  <ScaleCrop>false</ScaleCrop>
  <LinksUpToDate>false</LinksUpToDate>
  <CharactersWithSpaces>50218</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2021-08-04T00:22:00Z</dcterms:created>
  <dc:creator>玥</dc:creator>
  <cp:lastModifiedBy>Administrator</cp:lastModifiedBy>
  <cp:lastPrinted>2022-01-01T03:06:00Z</cp:lastPrinted>
  <dcterms:modified xsi:type="dcterms:W3CDTF">2025-02-27T06:40:53Z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