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val="0"/>
        <w:autoSpaceDE/>
        <w:autoSpaceDN/>
        <w:bidi w:val="0"/>
        <w:adjustRightInd/>
        <w:snapToGrid/>
        <w:spacing w:line="800" w:lineRule="exact"/>
        <w:jc w:val="center"/>
        <w:textAlignment w:val="auto"/>
        <w:rPr>
          <w:rFonts w:hint="eastAsia" w:ascii="隶书" w:hAnsi="隶书" w:eastAsia="隶书" w:cs="隶书"/>
          <w:b/>
          <w:bCs/>
          <w:color w:val="auto"/>
          <w:sz w:val="56"/>
          <w:szCs w:val="56"/>
          <w:highlight w:val="none"/>
          <w:lang w:eastAsia="zh-CN"/>
        </w:rPr>
      </w:pPr>
      <w:r>
        <w:rPr>
          <w:rFonts w:hint="eastAsia" w:ascii="隶书" w:hAnsi="隶书" w:eastAsia="隶书" w:cs="隶书"/>
          <w:b/>
          <w:bCs/>
          <w:color w:val="auto"/>
          <w:sz w:val="56"/>
          <w:szCs w:val="56"/>
          <w:highlight w:val="none"/>
          <w:lang w:eastAsia="zh-CN"/>
        </w:rPr>
        <w:t xml:space="preserve">绍兴市人力资源和社会保障局2025年绍兴市人力资源和社会保障局“互联网+绍兴人社”云资源租赁项目 </w:t>
      </w:r>
    </w:p>
    <w:p>
      <w:pPr>
        <w:kinsoku/>
        <w:wordWrap w:val="0"/>
        <w:overflowPunct/>
        <w:topLinePunct w:val="0"/>
        <w:bidi w:val="0"/>
        <w:jc w:val="center"/>
        <w:outlineLvl w:val="0"/>
        <w:rPr>
          <w:rFonts w:hint="eastAsia" w:ascii="隶书" w:hAnsi="隶书" w:eastAsia="隶书" w:cs="隶书"/>
          <w:b/>
          <w:color w:val="auto"/>
          <w:sz w:val="72"/>
          <w:szCs w:val="72"/>
          <w:highlight w:val="none"/>
        </w:rPr>
      </w:pPr>
      <w:r>
        <w:rPr>
          <w:rFonts w:hint="eastAsia" w:ascii="隶书" w:hAnsi="隶书" w:eastAsia="隶书" w:cs="隶书"/>
          <w:b/>
          <w:color w:val="auto"/>
          <w:sz w:val="72"/>
          <w:szCs w:val="72"/>
          <w:highlight w:val="none"/>
        </w:rPr>
        <w:t>公</w:t>
      </w:r>
    </w:p>
    <w:p>
      <w:pPr>
        <w:kinsoku/>
        <w:wordWrap w:val="0"/>
        <w:overflowPunct/>
        <w:topLinePunct w:val="0"/>
        <w:bidi w:val="0"/>
        <w:jc w:val="center"/>
        <w:outlineLvl w:val="0"/>
        <w:rPr>
          <w:rFonts w:hint="eastAsia" w:ascii="隶书" w:hAnsi="隶书" w:eastAsia="隶书" w:cs="隶书"/>
          <w:b/>
          <w:color w:val="auto"/>
          <w:sz w:val="72"/>
          <w:szCs w:val="72"/>
          <w:highlight w:val="none"/>
        </w:rPr>
      </w:pPr>
      <w:r>
        <w:rPr>
          <w:rFonts w:hint="eastAsia" w:ascii="隶书" w:hAnsi="隶书" w:eastAsia="隶书" w:cs="隶书"/>
          <w:b/>
          <w:color w:val="auto"/>
          <w:sz w:val="72"/>
          <w:szCs w:val="72"/>
          <w:highlight w:val="none"/>
        </w:rPr>
        <w:t>开</w:t>
      </w:r>
    </w:p>
    <w:p>
      <w:pPr>
        <w:kinsoku/>
        <w:wordWrap w:val="0"/>
        <w:overflowPunct/>
        <w:topLinePunct w:val="0"/>
        <w:bidi w:val="0"/>
        <w:jc w:val="center"/>
        <w:outlineLvl w:val="0"/>
        <w:rPr>
          <w:rFonts w:hint="eastAsia" w:ascii="隶书" w:hAnsi="隶书" w:eastAsia="隶书" w:cs="隶书"/>
          <w:b/>
          <w:color w:val="auto"/>
          <w:sz w:val="72"/>
          <w:szCs w:val="72"/>
          <w:highlight w:val="none"/>
        </w:rPr>
      </w:pPr>
      <w:r>
        <w:rPr>
          <w:rFonts w:hint="eastAsia" w:ascii="隶书" w:hAnsi="隶书" w:eastAsia="隶书" w:cs="隶书"/>
          <w:b/>
          <w:color w:val="auto"/>
          <w:sz w:val="72"/>
          <w:szCs w:val="72"/>
          <w:highlight w:val="none"/>
        </w:rPr>
        <w:t>招</w:t>
      </w:r>
    </w:p>
    <w:p>
      <w:pPr>
        <w:kinsoku/>
        <w:wordWrap w:val="0"/>
        <w:overflowPunct/>
        <w:topLinePunct w:val="0"/>
        <w:bidi w:val="0"/>
        <w:jc w:val="center"/>
        <w:outlineLvl w:val="0"/>
        <w:rPr>
          <w:rFonts w:hint="eastAsia" w:ascii="隶书" w:hAnsi="隶书" w:eastAsia="隶书" w:cs="隶书"/>
          <w:b/>
          <w:color w:val="auto"/>
          <w:sz w:val="72"/>
          <w:szCs w:val="72"/>
          <w:highlight w:val="none"/>
        </w:rPr>
      </w:pPr>
      <w:r>
        <w:rPr>
          <w:rFonts w:hint="eastAsia" w:ascii="隶书" w:hAnsi="隶书" w:eastAsia="隶书" w:cs="隶书"/>
          <w:b/>
          <w:color w:val="auto"/>
          <w:sz w:val="72"/>
          <w:szCs w:val="72"/>
          <w:highlight w:val="none"/>
        </w:rPr>
        <w:t>标</w:t>
      </w:r>
    </w:p>
    <w:p>
      <w:pPr>
        <w:kinsoku/>
        <w:wordWrap w:val="0"/>
        <w:overflowPunct/>
        <w:topLinePunct w:val="0"/>
        <w:bidi w:val="0"/>
        <w:jc w:val="center"/>
        <w:outlineLvl w:val="0"/>
        <w:rPr>
          <w:rFonts w:hint="eastAsia" w:ascii="隶书" w:hAnsi="隶书" w:eastAsia="隶书" w:cs="隶书"/>
          <w:b/>
          <w:color w:val="auto"/>
          <w:sz w:val="72"/>
          <w:szCs w:val="72"/>
          <w:highlight w:val="none"/>
        </w:rPr>
      </w:pPr>
      <w:r>
        <w:rPr>
          <w:rFonts w:hint="eastAsia" w:ascii="隶书" w:hAnsi="隶书" w:eastAsia="隶书" w:cs="隶书"/>
          <w:b/>
          <w:color w:val="auto"/>
          <w:sz w:val="72"/>
          <w:szCs w:val="72"/>
          <w:highlight w:val="none"/>
        </w:rPr>
        <w:t>文</w:t>
      </w:r>
    </w:p>
    <w:p>
      <w:pPr>
        <w:kinsoku/>
        <w:wordWrap w:val="0"/>
        <w:overflowPunct/>
        <w:topLinePunct w:val="0"/>
        <w:bidi w:val="0"/>
        <w:jc w:val="center"/>
        <w:outlineLvl w:val="0"/>
        <w:rPr>
          <w:rFonts w:hint="eastAsia" w:ascii="隶书" w:hAnsi="隶书" w:eastAsia="隶书" w:cs="隶书"/>
          <w:color w:val="auto"/>
          <w:sz w:val="44"/>
          <w:highlight w:val="none"/>
        </w:rPr>
      </w:pPr>
      <w:r>
        <w:rPr>
          <w:rFonts w:hint="eastAsia" w:ascii="隶书" w:hAnsi="隶书" w:eastAsia="隶书" w:cs="隶书"/>
          <w:b/>
          <w:color w:val="auto"/>
          <w:sz w:val="72"/>
          <w:szCs w:val="72"/>
          <w:highlight w:val="none"/>
        </w:rPr>
        <w:t>件</w:t>
      </w:r>
    </w:p>
    <w:p>
      <w:pPr>
        <w:kinsoku/>
        <w:wordWrap w:val="0"/>
        <w:overflowPunct/>
        <w:topLinePunct w:val="0"/>
        <w:bidi w:val="0"/>
        <w:adjustRightInd/>
        <w:spacing w:line="360" w:lineRule="auto"/>
        <w:jc w:val="center"/>
        <w:rPr>
          <w:rFonts w:hint="eastAsia" w:ascii="隶书" w:hAnsi="隶书" w:eastAsia="隶书" w:cs="隶书"/>
          <w:b/>
          <w:color w:val="auto"/>
          <w:sz w:val="44"/>
          <w:szCs w:val="44"/>
          <w:highlight w:val="none"/>
        </w:rPr>
      </w:pPr>
      <w:r>
        <w:rPr>
          <w:rFonts w:hint="eastAsia" w:ascii="隶书" w:hAnsi="隶书" w:eastAsia="隶书" w:cs="隶书"/>
          <w:b/>
          <w:color w:val="auto"/>
          <w:sz w:val="44"/>
          <w:szCs w:val="44"/>
          <w:highlight w:val="none"/>
        </w:rPr>
        <w:t>（电子招投标）</w:t>
      </w:r>
    </w:p>
    <w:p>
      <w:pPr>
        <w:pStyle w:val="7"/>
        <w:kinsoku/>
        <w:wordWrap w:val="0"/>
        <w:overflowPunct/>
        <w:topLinePunct w:val="0"/>
        <w:bidi w:val="0"/>
        <w:rPr>
          <w:rFonts w:hint="eastAsia" w:ascii="隶书" w:hAnsi="隶书" w:eastAsia="隶书" w:cs="隶书"/>
          <w:b/>
          <w:color w:val="auto"/>
          <w:sz w:val="44"/>
          <w:szCs w:val="44"/>
          <w:highlight w:val="none"/>
        </w:rPr>
      </w:pPr>
    </w:p>
    <w:p>
      <w:pPr>
        <w:kinsoku/>
        <w:wordWrap w:val="0"/>
        <w:overflowPunct/>
        <w:topLinePunct w:val="0"/>
        <w:bidi w:val="0"/>
        <w:rPr>
          <w:rFonts w:hint="eastAsia" w:ascii="隶书" w:hAnsi="隶书" w:eastAsia="隶书" w:cs="隶书"/>
          <w:color w:val="auto"/>
          <w:highlight w:val="none"/>
        </w:rPr>
      </w:pPr>
    </w:p>
    <w:p>
      <w:pPr>
        <w:kinsoku/>
        <w:wordWrap w:val="0"/>
        <w:overflowPunct/>
        <w:topLinePunct w:val="0"/>
        <w:bidi w:val="0"/>
        <w:jc w:val="center"/>
        <w:rPr>
          <w:rFonts w:hint="eastAsia" w:ascii="隶书" w:hAnsi="隶书" w:eastAsia="隶书" w:cs="隶书"/>
          <w:b w:val="0"/>
          <w:bCs/>
          <w:color w:val="auto"/>
          <w:sz w:val="28"/>
          <w:szCs w:val="28"/>
          <w:highlight w:val="none"/>
          <w:lang w:val="en-US" w:eastAsia="zh-CN"/>
        </w:rPr>
      </w:pPr>
      <w:r>
        <w:rPr>
          <w:rFonts w:hint="eastAsia" w:ascii="隶书" w:hAnsi="隶书" w:eastAsia="隶书" w:cs="隶书"/>
          <w:b/>
          <w:color w:val="auto"/>
          <w:sz w:val="44"/>
          <w:szCs w:val="44"/>
          <w:highlight w:val="none"/>
        </w:rPr>
        <w:t xml:space="preserve"> </w:t>
      </w:r>
      <w:r>
        <w:rPr>
          <w:rFonts w:hint="eastAsia" w:ascii="隶书" w:hAnsi="隶书" w:eastAsia="隶书" w:cs="隶书"/>
          <w:b w:val="0"/>
          <w:bCs/>
          <w:color w:val="auto"/>
          <w:sz w:val="28"/>
          <w:szCs w:val="28"/>
          <w:highlight w:val="none"/>
          <w:lang w:eastAsia="zh-CN"/>
        </w:rPr>
        <w:t>招标编号:</w:t>
      </w:r>
      <w:r>
        <w:rPr>
          <w:rFonts w:hint="eastAsia" w:ascii="隶书" w:hAnsi="隶书" w:eastAsia="隶书" w:cs="隶书"/>
          <w:b/>
          <w:bCs w:val="0"/>
          <w:color w:val="auto"/>
          <w:sz w:val="28"/>
          <w:szCs w:val="28"/>
          <w:highlight w:val="none"/>
          <w:lang w:eastAsia="zh-CN"/>
        </w:rPr>
        <w:t>2025-03-0028</w:t>
      </w:r>
    </w:p>
    <w:tbl>
      <w:tblPr>
        <w:tblStyle w:val="63"/>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pacing w:val="93"/>
                <w:kern w:val="0"/>
                <w:sz w:val="28"/>
                <w:szCs w:val="28"/>
                <w:highlight w:val="none"/>
              </w:rPr>
              <w:t>采购单</w:t>
            </w:r>
            <w:r>
              <w:rPr>
                <w:rFonts w:hint="eastAsia" w:ascii="隶书" w:hAnsi="隶书" w:eastAsia="隶书" w:cs="隶书"/>
                <w:color w:val="auto"/>
                <w:spacing w:val="1"/>
                <w:kern w:val="0"/>
                <w:sz w:val="28"/>
                <w:szCs w:val="28"/>
                <w:highlight w:val="none"/>
              </w:rPr>
              <w:t>位</w:t>
            </w:r>
            <w:r>
              <w:rPr>
                <w:rFonts w:hint="eastAsia" w:ascii="隶书" w:hAnsi="隶书" w:eastAsia="隶书" w:cs="隶书"/>
                <w:color w:val="auto"/>
                <w:sz w:val="28"/>
                <w:szCs w:val="28"/>
                <w:highlight w:val="none"/>
              </w:rPr>
              <w:t>：</w:t>
            </w:r>
          </w:p>
        </w:tc>
        <w:tc>
          <w:tcPr>
            <w:tcW w:w="5445" w:type="dxa"/>
            <w:vAlign w:val="center"/>
          </w:tcPr>
          <w:p>
            <w:pPr>
              <w:kinsoku/>
              <w:wordWrap w:val="0"/>
              <w:overflowPunct/>
              <w:topLinePunct w:val="0"/>
              <w:bidi w:val="0"/>
              <w:spacing w:line="320" w:lineRule="exact"/>
              <w:outlineLvl w:val="0"/>
              <w:rPr>
                <w:rFonts w:hint="eastAsia" w:ascii="隶书" w:hAnsi="隶书" w:eastAsia="隶书" w:cs="隶书"/>
                <w:color w:val="auto"/>
                <w:sz w:val="28"/>
                <w:szCs w:val="28"/>
                <w:highlight w:val="none"/>
                <w:lang w:eastAsia="zh-CN"/>
              </w:rPr>
            </w:pPr>
            <w:r>
              <w:rPr>
                <w:rFonts w:hint="eastAsia" w:ascii="隶书" w:hAnsi="隶书" w:eastAsia="隶书" w:cs="隶书"/>
                <w:color w:val="auto"/>
                <w:sz w:val="28"/>
                <w:szCs w:val="28"/>
                <w:highlight w:val="none"/>
                <w:lang w:eastAsia="zh-CN"/>
              </w:rPr>
              <w:t>绍兴市人力资源和社会保障局</w:t>
            </w:r>
          </w:p>
        </w:tc>
      </w:tr>
      <w:tr>
        <w:tblPrEx>
          <w:tblCellMar>
            <w:top w:w="0" w:type="dxa"/>
            <w:left w:w="108" w:type="dxa"/>
            <w:bottom w:w="0" w:type="dxa"/>
            <w:right w:w="108" w:type="dxa"/>
          </w:tblCellMar>
        </w:tblPrEx>
        <w:trPr>
          <w:trHeight w:val="494" w:hRule="atLeast"/>
          <w:jc w:val="center"/>
        </w:trPr>
        <w:tc>
          <w:tcPr>
            <w:tcW w:w="2356" w:type="dxa"/>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pacing w:val="0"/>
                <w:w w:val="100"/>
                <w:kern w:val="0"/>
                <w:sz w:val="28"/>
                <w:szCs w:val="28"/>
                <w:highlight w:val="none"/>
                <w:fitText w:val="1680" w:id="1811156363"/>
              </w:rPr>
              <w:t>采购代理机构</w:t>
            </w:r>
            <w:r>
              <w:rPr>
                <w:rFonts w:hint="eastAsia" w:ascii="隶书" w:hAnsi="隶书" w:eastAsia="隶书" w:cs="隶书"/>
                <w:color w:val="auto"/>
                <w:sz w:val="28"/>
                <w:szCs w:val="28"/>
                <w:highlight w:val="none"/>
              </w:rPr>
              <w:t>：</w:t>
            </w:r>
          </w:p>
        </w:tc>
        <w:tc>
          <w:tcPr>
            <w:tcW w:w="5445" w:type="dxa"/>
            <w:vAlign w:val="top"/>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z w:val="28"/>
                <w:szCs w:val="28"/>
                <w:highlight w:val="none"/>
              </w:rPr>
              <w:t>绍兴市公共资源交易中心</w:t>
            </w:r>
          </w:p>
        </w:tc>
      </w:tr>
      <w:tr>
        <w:tblPrEx>
          <w:tblCellMar>
            <w:top w:w="0" w:type="dxa"/>
            <w:left w:w="108" w:type="dxa"/>
            <w:bottom w:w="0" w:type="dxa"/>
            <w:right w:w="108" w:type="dxa"/>
          </w:tblCellMar>
        </w:tblPrEx>
        <w:trPr>
          <w:trHeight w:val="397" w:hRule="atLeast"/>
          <w:jc w:val="center"/>
        </w:trPr>
        <w:tc>
          <w:tcPr>
            <w:tcW w:w="2356" w:type="dxa"/>
            <w:vMerge w:val="restart"/>
            <w:vAlign w:val="center"/>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pacing w:val="93"/>
                <w:kern w:val="0"/>
                <w:sz w:val="28"/>
                <w:szCs w:val="28"/>
                <w:highlight w:val="none"/>
                <w:fitText w:val="1680" w:id="652623389"/>
              </w:rPr>
              <w:t>监督单</w:t>
            </w:r>
            <w:r>
              <w:rPr>
                <w:rFonts w:hint="eastAsia" w:ascii="隶书" w:hAnsi="隶书" w:eastAsia="隶书" w:cs="隶书"/>
                <w:color w:val="auto"/>
                <w:spacing w:val="1"/>
                <w:kern w:val="0"/>
                <w:sz w:val="28"/>
                <w:szCs w:val="28"/>
                <w:highlight w:val="none"/>
                <w:fitText w:val="1680" w:id="652623389"/>
              </w:rPr>
              <w:t>位</w:t>
            </w:r>
            <w:r>
              <w:rPr>
                <w:rFonts w:hint="eastAsia" w:ascii="隶书" w:hAnsi="隶书" w:eastAsia="隶书" w:cs="隶书"/>
                <w:color w:val="auto"/>
                <w:sz w:val="28"/>
                <w:szCs w:val="28"/>
                <w:highlight w:val="none"/>
              </w:rPr>
              <w:t>：</w:t>
            </w:r>
          </w:p>
        </w:tc>
        <w:tc>
          <w:tcPr>
            <w:tcW w:w="5445" w:type="dxa"/>
            <w:vAlign w:val="top"/>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z w:val="28"/>
                <w:szCs w:val="28"/>
                <w:highlight w:val="none"/>
              </w:rPr>
              <w:t>绍兴市财政局</w:t>
            </w:r>
          </w:p>
        </w:tc>
      </w:tr>
      <w:tr>
        <w:tblPrEx>
          <w:tblCellMar>
            <w:top w:w="0" w:type="dxa"/>
            <w:left w:w="108" w:type="dxa"/>
            <w:bottom w:w="0" w:type="dxa"/>
            <w:right w:w="108" w:type="dxa"/>
          </w:tblCellMar>
        </w:tblPrEx>
        <w:trPr>
          <w:trHeight w:val="397" w:hRule="atLeast"/>
          <w:jc w:val="center"/>
        </w:trPr>
        <w:tc>
          <w:tcPr>
            <w:tcW w:w="2356" w:type="dxa"/>
            <w:vMerge w:val="continue"/>
            <w:vAlign w:val="center"/>
          </w:tcPr>
          <w:p>
            <w:pPr>
              <w:kinsoku/>
              <w:wordWrap w:val="0"/>
              <w:overflowPunct/>
              <w:topLinePunct w:val="0"/>
              <w:bidi w:val="0"/>
              <w:spacing w:after="100" w:afterAutospacing="1" w:line="440" w:lineRule="exact"/>
              <w:rPr>
                <w:rFonts w:hint="eastAsia" w:ascii="隶书" w:hAnsi="隶书" w:eastAsia="隶书" w:cs="隶书"/>
                <w:color w:val="auto"/>
                <w:spacing w:val="1400"/>
                <w:kern w:val="0"/>
                <w:sz w:val="28"/>
                <w:szCs w:val="28"/>
                <w:highlight w:val="none"/>
                <w:fitText w:val="1680" w:id="1"/>
              </w:rPr>
            </w:pPr>
          </w:p>
        </w:tc>
        <w:tc>
          <w:tcPr>
            <w:tcW w:w="5445" w:type="dxa"/>
            <w:vAlign w:val="top"/>
          </w:tcPr>
          <w:p>
            <w:pPr>
              <w:kinsoku/>
              <w:wordWrap w:val="0"/>
              <w:overflowPunct/>
              <w:topLinePunct w:val="0"/>
              <w:bidi w:val="0"/>
              <w:spacing w:after="100" w:afterAutospacing="1" w:line="440" w:lineRule="exact"/>
              <w:rPr>
                <w:rFonts w:hint="eastAsia" w:ascii="隶书" w:hAnsi="隶书" w:eastAsia="隶书" w:cs="隶书"/>
                <w:color w:val="auto"/>
                <w:sz w:val="28"/>
                <w:szCs w:val="28"/>
                <w:highlight w:val="none"/>
              </w:rPr>
            </w:pPr>
            <w:r>
              <w:rPr>
                <w:rFonts w:hint="eastAsia" w:ascii="隶书" w:hAnsi="隶书" w:eastAsia="隶书" w:cs="隶书"/>
                <w:color w:val="auto"/>
                <w:sz w:val="28"/>
                <w:szCs w:val="28"/>
                <w:highlight w:val="none"/>
              </w:rPr>
              <w:t>绍兴市政务服务办公室</w:t>
            </w:r>
          </w:p>
        </w:tc>
      </w:tr>
      <w:tr>
        <w:tblPrEx>
          <w:tblCellMar>
            <w:top w:w="0" w:type="dxa"/>
            <w:left w:w="108" w:type="dxa"/>
            <w:bottom w:w="0" w:type="dxa"/>
            <w:right w:w="108" w:type="dxa"/>
          </w:tblCellMar>
        </w:tblPrEx>
        <w:trPr>
          <w:trHeight w:val="333" w:hRule="atLeast"/>
          <w:jc w:val="center"/>
        </w:trPr>
        <w:tc>
          <w:tcPr>
            <w:tcW w:w="7801" w:type="dxa"/>
            <w:gridSpan w:val="2"/>
          </w:tcPr>
          <w:p>
            <w:pPr>
              <w:kinsoku/>
              <w:wordWrap w:val="0"/>
              <w:overflowPunct/>
              <w:topLinePunct w:val="0"/>
              <w:bidi w:val="0"/>
              <w:spacing w:after="100" w:afterAutospacing="1" w:line="440" w:lineRule="exact"/>
              <w:jc w:val="center"/>
              <w:rPr>
                <w:rFonts w:hint="eastAsia" w:ascii="隶书" w:hAnsi="隶书" w:eastAsia="隶书" w:cs="隶书"/>
                <w:color w:val="auto"/>
                <w:sz w:val="28"/>
                <w:szCs w:val="28"/>
                <w:highlight w:val="none"/>
              </w:rPr>
            </w:pPr>
            <w:r>
              <w:rPr>
                <w:rFonts w:hint="eastAsia" w:ascii="隶书" w:hAnsi="隶书" w:eastAsia="隶书" w:cs="隶书"/>
                <w:color w:val="auto"/>
                <w:sz w:val="28"/>
                <w:szCs w:val="28"/>
                <w:highlight w:val="none"/>
              </w:rPr>
              <w:t>二○二</w:t>
            </w:r>
            <w:r>
              <w:rPr>
                <w:rFonts w:hint="eastAsia" w:ascii="隶书" w:hAnsi="隶书" w:eastAsia="隶书" w:cs="隶书"/>
                <w:color w:val="auto"/>
                <w:sz w:val="28"/>
                <w:szCs w:val="28"/>
                <w:highlight w:val="none"/>
                <w:lang w:val="en-US" w:eastAsia="zh-CN"/>
              </w:rPr>
              <w:t>五</w:t>
            </w:r>
            <w:r>
              <w:rPr>
                <w:rFonts w:hint="eastAsia" w:ascii="隶书" w:hAnsi="隶书" w:eastAsia="隶书" w:cs="隶书"/>
                <w:color w:val="auto"/>
                <w:sz w:val="28"/>
                <w:szCs w:val="28"/>
                <w:highlight w:val="none"/>
              </w:rPr>
              <w:t>年</w:t>
            </w:r>
            <w:r>
              <w:rPr>
                <w:rFonts w:hint="eastAsia" w:ascii="隶书" w:hAnsi="隶书" w:eastAsia="隶书" w:cs="隶书"/>
                <w:color w:val="auto"/>
                <w:sz w:val="28"/>
                <w:szCs w:val="28"/>
                <w:highlight w:val="none"/>
                <w:lang w:val="en-US" w:eastAsia="zh-CN"/>
              </w:rPr>
              <w:t>三</w:t>
            </w:r>
            <w:r>
              <w:rPr>
                <w:rFonts w:hint="eastAsia" w:ascii="隶书" w:hAnsi="隶书" w:eastAsia="隶书" w:cs="隶书"/>
                <w:color w:val="auto"/>
                <w:sz w:val="28"/>
                <w:szCs w:val="28"/>
                <w:highlight w:val="none"/>
              </w:rPr>
              <w:t>月</w:t>
            </w:r>
          </w:p>
        </w:tc>
      </w:tr>
    </w:tbl>
    <w:p>
      <w:pPr>
        <w:pStyle w:val="636"/>
        <w:kinsoku/>
        <w:wordWrap w:val="0"/>
        <w:overflowPunct/>
        <w:topLinePunct w:val="0"/>
        <w:bidi w:val="0"/>
        <w:rPr>
          <w:rFonts w:hint="eastAsia" w:ascii="仿宋_GB2312" w:hAnsi="仿宋_GB2312" w:eastAsia="仿宋_GB2312" w:cs="仿宋_GB2312"/>
          <w:color w:val="auto"/>
          <w:highlight w:val="none"/>
        </w:rPr>
        <w:sectPr>
          <w:headerReference r:id="rId4" w:type="first"/>
          <w:headerReference r:id="rId3" w:type="default"/>
          <w:footerReference r:id="rId5" w:type="default"/>
          <w:footerReference r:id="rId6" w:type="even"/>
          <w:pgSz w:w="11906" w:h="16838"/>
          <w:pgMar w:top="1474" w:right="1814" w:bottom="1474" w:left="1814" w:header="851" w:footer="992" w:gutter="0"/>
          <w:pgNumType w:fmt="decimal" w:start="1"/>
          <w:cols w:space="720" w:num="1"/>
          <w:titlePg/>
          <w:docGrid w:linePitch="312" w:charSpace="0"/>
        </w:sectPr>
      </w:pPr>
    </w:p>
    <w:p>
      <w:pPr>
        <w:pStyle w:val="636"/>
        <w:pageBreakBefore w:val="0"/>
        <w:widowControl w:val="0"/>
        <w:kinsoku/>
        <w:wordWrap w:val="0"/>
        <w:overflowPunct/>
        <w:topLinePunct w:val="0"/>
        <w:autoSpaceDE/>
        <w:autoSpaceDN/>
        <w:bidi w:val="0"/>
        <w:spacing w:before="0" w:after="0" w:line="360" w:lineRule="auto"/>
        <w:ind w:left="0" w:firstLine="0" w:firstLineChars="0"/>
        <w:textAlignment w:val="auto"/>
        <w:rPr>
          <w:rFonts w:hint="eastAsia" w:ascii="仿宋_GB2312" w:hAnsi="仿宋_GB2312" w:eastAsia="仿宋_GB2312" w:cs="仿宋_GB2312"/>
          <w:color w:val="auto"/>
          <w:highlight w:val="none"/>
        </w:rPr>
      </w:pP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b/>
          <w:color w:val="auto"/>
          <w:sz w:val="44"/>
          <w:szCs w:val="44"/>
          <w:highlight w:val="none"/>
        </w:rPr>
      </w:pPr>
      <w:bookmarkStart w:id="0" w:name="_Hlt91233176"/>
      <w:bookmarkEnd w:id="0"/>
      <w:bookmarkStart w:id="1" w:name="_Toc91899869"/>
      <w:r>
        <w:rPr>
          <w:rFonts w:hint="eastAsia" w:ascii="仿宋_GB2312" w:hAnsi="仿宋_GB2312" w:eastAsia="仿宋_GB2312" w:cs="仿宋_GB2312"/>
          <w:b/>
          <w:color w:val="auto"/>
          <w:sz w:val="44"/>
          <w:szCs w:val="44"/>
          <w:highlight w:val="none"/>
        </w:rPr>
        <w:t>目录</w:t>
      </w: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b/>
          <w:color w:val="auto"/>
          <w:sz w:val="44"/>
          <w:szCs w:val="44"/>
          <w:highlight w:val="none"/>
        </w:rPr>
      </w:pPr>
    </w:p>
    <w:p>
      <w:pPr>
        <w:pageBreakBefore w:val="0"/>
        <w:widowControl w:val="0"/>
        <w:kinsoku/>
        <w:wordWrap w:val="0"/>
        <w:overflowPunct/>
        <w:topLinePunct w:val="0"/>
        <w:autoSpaceDE/>
        <w:autoSpaceDN/>
        <w:bidi w:val="0"/>
        <w:spacing w:line="360" w:lineRule="auto"/>
        <w:ind w:left="0" w:firstLine="0" w:firstLineChars="0"/>
        <w:jc w:val="center"/>
        <w:textAlignment w:val="auto"/>
        <w:rPr>
          <w:rFonts w:hint="eastAsia" w:ascii="仿宋_GB2312" w:hAnsi="仿宋_GB2312" w:eastAsia="仿宋_GB2312" w:cs="仿宋_GB2312"/>
          <w:color w:val="auto"/>
          <w:highlight w:val="none"/>
        </w:rPr>
      </w:pP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第一部分    招标公告</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 xml:space="preserve">第二部分   </w:t>
      </w:r>
      <w:r>
        <w:rPr>
          <w:rFonts w:hint="eastAsia" w:ascii="仿宋_GB2312" w:hAnsi="仿宋_GB2312" w:eastAsia="仿宋_GB2312" w:cs="仿宋_GB2312"/>
          <w:b/>
          <w:color w:val="auto"/>
          <w:sz w:val="36"/>
          <w:szCs w:val="36"/>
          <w:highlight w:val="none"/>
          <w:lang w:val="en-US" w:eastAsia="zh-CN"/>
        </w:rPr>
        <w:t xml:space="preserve"> </w:t>
      </w:r>
      <w:r>
        <w:rPr>
          <w:rFonts w:hint="eastAsia" w:ascii="仿宋_GB2312" w:hAnsi="仿宋_GB2312" w:eastAsia="仿宋_GB2312" w:cs="仿宋_GB2312"/>
          <w:b/>
          <w:color w:val="auto"/>
          <w:sz w:val="36"/>
          <w:szCs w:val="36"/>
          <w:highlight w:val="none"/>
        </w:rPr>
        <w:t>投标须知</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第三部分    招标项目范围及要求</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第四部分    合同的主要条款</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第五部分    评标方法及标准</w:t>
      </w:r>
    </w:p>
    <w:p>
      <w:pPr>
        <w:keepNext w:val="0"/>
        <w:keepLines w:val="0"/>
        <w:pageBreakBefore w:val="0"/>
        <w:widowControl w:val="0"/>
        <w:kinsoku/>
        <w:wordWrap w:val="0"/>
        <w:overflowPunct/>
        <w:topLinePunct w:val="0"/>
        <w:autoSpaceDE/>
        <w:autoSpaceDN/>
        <w:bidi w:val="0"/>
        <w:adjustRightInd w:val="0"/>
        <w:snapToGrid w:val="0"/>
        <w:spacing w:line="360" w:lineRule="auto"/>
        <w:ind w:left="0" w:firstLine="1807" w:firstLineChars="500"/>
        <w:jc w:val="lef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第六部分    投标文件及其附件格式</w:t>
      </w: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549" w:firstLineChars="229"/>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bookmarkEnd w:id="1"/>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bookmarkStart w:id="2" w:name="第二部分"/>
      <w:bookmarkStart w:id="3" w:name="_Toc91899870"/>
      <w:bookmarkStart w:id="4" w:name="_Toc91899871"/>
    </w:p>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p>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sectPr>
          <w:headerReference r:id="rId8" w:type="first"/>
          <w:footerReference r:id="rId10" w:type="first"/>
          <w:headerReference r:id="rId7" w:type="default"/>
          <w:footerReference r:id="rId9" w:type="default"/>
          <w:pgSz w:w="11906" w:h="16838"/>
          <w:pgMar w:top="1474" w:right="1814" w:bottom="1474" w:left="1814" w:header="851" w:footer="992" w:gutter="0"/>
          <w:pgNumType w:fmt="decimal"/>
          <w:cols w:space="720" w:num="1"/>
          <w:titlePg/>
          <w:docGrid w:linePitch="312" w:charSpace="0"/>
        </w:sectPr>
      </w:pPr>
    </w:p>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第一部分 招标公告</w:t>
      </w:r>
    </w:p>
    <w:p>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项目概况</w:t>
      </w:r>
      <w:r>
        <w:rPr>
          <w:rFonts w:hint="eastAsia" w:ascii="仿宋_GB2312" w:hAnsi="仿宋_GB2312" w:eastAsia="仿宋_GB2312" w:cs="仿宋_GB2312"/>
          <w:color w:val="auto"/>
          <w:sz w:val="24"/>
          <w:highlight w:val="none"/>
          <w:lang w:eastAsia="zh-CN"/>
        </w:rPr>
        <w:t>：</w:t>
      </w:r>
    </w:p>
    <w:p>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u w:val="single"/>
          <w:lang w:val="en-US" w:eastAsia="zh-CN"/>
        </w:rPr>
        <w:t xml:space="preserve"> 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rPr>
        <w:t>招标项目的潜在投标人应在政采云平台（</w:t>
      </w:r>
      <w:r>
        <w:rPr>
          <w:rFonts w:hint="eastAsia" w:ascii="仿宋_GB2312" w:hAnsi="仿宋_GB2312" w:eastAsia="仿宋_GB2312" w:cs="仿宋_GB2312"/>
          <w:color w:val="auto"/>
          <w:highlight w:val="none"/>
        </w:rPr>
        <w:fldChar w:fldCharType="begin"/>
      </w:r>
      <w:r>
        <w:rPr>
          <w:rFonts w:hint="eastAsia" w:ascii="仿宋_GB2312" w:hAnsi="仿宋_GB2312" w:eastAsia="仿宋_GB2312" w:cs="仿宋_GB2312"/>
          <w:color w:val="auto"/>
          <w:highlight w:val="none"/>
        </w:rPr>
        <w:instrText xml:space="preserve"> HYPERLINK "https://www.zcygov.cn/）获取（下载）招标文件，并于202%20年%20月%20日%20点%20分00秒" </w:instrText>
      </w:r>
      <w:r>
        <w:rPr>
          <w:rFonts w:hint="eastAsia" w:ascii="仿宋_GB2312" w:hAnsi="仿宋_GB2312" w:eastAsia="仿宋_GB2312" w:cs="仿宋_GB2312"/>
          <w:color w:val="auto"/>
          <w:highlight w:val="none"/>
        </w:rPr>
        <w:fldChar w:fldCharType="separate"/>
      </w:r>
      <w:r>
        <w:rPr>
          <w:rStyle w:val="77"/>
          <w:rFonts w:hint="eastAsia" w:ascii="仿宋_GB2312" w:hAnsi="仿宋_GB2312" w:eastAsia="仿宋_GB2312" w:cs="仿宋_GB2312"/>
          <w:snapToGrid/>
          <w:color w:val="auto"/>
          <w:kern w:val="2"/>
          <w:sz w:val="24"/>
          <w:szCs w:val="24"/>
          <w:highlight w:val="none"/>
        </w:rPr>
        <w:t>https://www.zcygov.cn/）获取（下载）招标文件，并于202</w:t>
      </w:r>
      <w:r>
        <w:rPr>
          <w:rStyle w:val="77"/>
          <w:rFonts w:hint="eastAsia" w:ascii="仿宋_GB2312" w:hAnsi="仿宋_GB2312" w:eastAsia="仿宋_GB2312" w:cs="仿宋_GB2312"/>
          <w:snapToGrid/>
          <w:color w:val="auto"/>
          <w:kern w:val="2"/>
          <w:sz w:val="24"/>
          <w:szCs w:val="24"/>
          <w:highlight w:val="none"/>
          <w:lang w:val="en-US" w:eastAsia="zh-CN"/>
        </w:rPr>
        <w:t>5</w:t>
      </w:r>
      <w:r>
        <w:rPr>
          <w:rStyle w:val="77"/>
          <w:rFonts w:hint="eastAsia" w:ascii="仿宋_GB2312" w:hAnsi="仿宋_GB2312" w:eastAsia="仿宋_GB2312" w:cs="仿宋_GB2312"/>
          <w:snapToGrid/>
          <w:color w:val="auto"/>
          <w:kern w:val="2"/>
          <w:sz w:val="24"/>
          <w:szCs w:val="24"/>
          <w:highlight w:val="none"/>
        </w:rPr>
        <w:t>年 月 日 点 分</w:t>
      </w:r>
      <w:r>
        <w:rPr>
          <w:rStyle w:val="77"/>
          <w:rFonts w:hint="eastAsia" w:ascii="仿宋_GB2312" w:hAnsi="仿宋_GB2312" w:eastAsia="仿宋_GB2312" w:cs="仿宋_GB2312"/>
          <w:bCs/>
          <w:snapToGrid/>
          <w:color w:val="auto"/>
          <w:kern w:val="2"/>
          <w:sz w:val="24"/>
          <w:szCs w:val="24"/>
          <w:highlight w:val="none"/>
        </w:rPr>
        <w:t>00秒</w:t>
      </w:r>
      <w:r>
        <w:rPr>
          <w:rStyle w:val="77"/>
          <w:rFonts w:hint="eastAsia" w:ascii="仿宋_GB2312" w:hAnsi="仿宋_GB2312" w:eastAsia="仿宋_GB2312" w:cs="仿宋_GB2312"/>
          <w:bCs/>
          <w:snapToGrid/>
          <w:color w:val="auto"/>
          <w:kern w:val="2"/>
          <w:sz w:val="24"/>
          <w:szCs w:val="24"/>
          <w:highlight w:val="none"/>
        </w:rPr>
        <w:fldChar w:fldCharType="end"/>
      </w:r>
      <w:r>
        <w:rPr>
          <w:rFonts w:hint="eastAsia" w:ascii="仿宋_GB2312" w:hAnsi="仿宋_GB2312" w:eastAsia="仿宋_GB2312" w:cs="仿宋_GB2312"/>
          <w:bCs/>
          <w:color w:val="auto"/>
          <w:sz w:val="24"/>
          <w:highlight w:val="none"/>
        </w:rPr>
        <w:t>（北京时间）前</w:t>
      </w:r>
      <w:r>
        <w:rPr>
          <w:rFonts w:hint="eastAsia" w:ascii="仿宋_GB2312" w:hAnsi="仿宋_GB2312" w:eastAsia="仿宋_GB2312" w:cs="仿宋_GB2312"/>
          <w:color w:val="auto"/>
          <w:sz w:val="24"/>
          <w:highlight w:val="none"/>
        </w:rPr>
        <w:t>递交（上传）投标文件。</w:t>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val="0"/>
          <w:bCs/>
          <w:color w:val="auto"/>
          <w:sz w:val="24"/>
          <w:highlight w:val="none"/>
        </w:rPr>
        <w:t xml:space="preserve">一、项目基本情况  </w:t>
      </w:r>
      <w:r>
        <w:rPr>
          <w:rFonts w:hint="eastAsia" w:ascii="仿宋_GB2312" w:hAnsi="仿宋_GB2312" w:eastAsia="仿宋_GB2312" w:cs="仿宋_GB2312"/>
          <w:b/>
          <w:color w:val="auto"/>
          <w:sz w:val="24"/>
          <w:highlight w:val="none"/>
        </w:rPr>
        <w:t xml:space="preserve">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rPr>
        <w:t>项目编号：</w:t>
      </w:r>
      <w:r>
        <w:rPr>
          <w:rFonts w:hint="eastAsia" w:ascii="仿宋_GB2312" w:hAnsi="仿宋_GB2312" w:eastAsia="仿宋_GB2312" w:cs="仿宋_GB2312"/>
          <w:color w:val="auto"/>
          <w:sz w:val="24"/>
          <w:highlight w:val="none"/>
          <w:lang w:eastAsia="zh-CN"/>
        </w:rPr>
        <w:t>2025-03-0028</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rPr>
        <w:t>项目名称：</w:t>
      </w:r>
      <w:r>
        <w:rPr>
          <w:rFonts w:hint="eastAsia" w:ascii="仿宋_GB2312" w:hAnsi="仿宋_GB2312" w:eastAsia="仿宋_GB2312" w:cs="仿宋_GB2312"/>
          <w:bCs/>
          <w:color w:val="auto"/>
          <w:sz w:val="24"/>
          <w:highlight w:val="none"/>
          <w:lang w:eastAsia="zh-CN"/>
        </w:rPr>
        <w:t xml:space="preserve">绍兴市人力资源和社会保障局2025年绍兴市人力资源和社会保障局“互联网+绍兴人社”云资源租赁项目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rPr>
        <w:t>预算金额（元）：</w:t>
      </w:r>
      <w:r>
        <w:rPr>
          <w:rFonts w:hint="eastAsia" w:ascii="仿宋_GB2312" w:hAnsi="仿宋_GB2312" w:eastAsia="仿宋_GB2312" w:cs="仿宋_GB2312"/>
          <w:b/>
          <w:color w:val="auto"/>
          <w:sz w:val="24"/>
          <w:highlight w:val="none"/>
          <w:lang w:eastAsia="zh-CN"/>
        </w:rPr>
        <w:t>11360000</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rPr>
        <w:t>最高限价（元）：</w:t>
      </w:r>
      <w:r>
        <w:rPr>
          <w:rFonts w:hint="eastAsia" w:ascii="仿宋_GB2312" w:hAnsi="仿宋_GB2312" w:eastAsia="仿宋_GB2312" w:cs="仿宋_GB2312"/>
          <w:b/>
          <w:color w:val="auto"/>
          <w:sz w:val="24"/>
          <w:highlight w:val="none"/>
          <w:lang w:eastAsia="zh-CN"/>
        </w:rPr>
        <w:t>11360000</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采购需求：</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标项一：</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 xml:space="preserve">标项名称：2025年绍兴市人力资源和社会保障局“互联网+绍兴人社”云资源租赁项目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数量：1</w:t>
      </w:r>
    </w:p>
    <w:p>
      <w:pPr>
        <w:pageBreakBefore w:val="0"/>
        <w:widowControl w:val="0"/>
        <w:kinsoku/>
        <w:wordWrap w:val="0"/>
        <w:overflowPunct/>
        <w:topLinePunct w:val="0"/>
        <w:autoSpaceDE/>
        <w:autoSpaceDN/>
        <w:bidi w:val="0"/>
        <w:spacing w:line="360" w:lineRule="auto"/>
        <w:ind w:left="0" w:firstLine="480" w:firstLineChars="200"/>
        <w:textAlignment w:val="auto"/>
        <w:rPr>
          <w:rFonts w:hint="default" w:ascii="仿宋_GB2312" w:hAnsi="仿宋_GB2312" w:eastAsia="仿宋_GB2312" w:cs="仿宋_GB2312"/>
          <w:bCs/>
          <w:color w:val="auto"/>
          <w:sz w:val="24"/>
          <w:highlight w:val="none"/>
          <w:lang w:val="en-US" w:eastAsia="zh-CN"/>
        </w:rPr>
      </w:pPr>
      <w:r>
        <w:rPr>
          <w:rFonts w:hint="eastAsia" w:ascii="仿宋_GB2312" w:hAnsi="仿宋_GB2312" w:eastAsia="仿宋_GB2312" w:cs="仿宋_GB2312"/>
          <w:bCs/>
          <w:color w:val="auto"/>
          <w:sz w:val="24"/>
          <w:highlight w:val="none"/>
          <w:lang w:val="en-US" w:eastAsia="zh-CN"/>
        </w:rPr>
        <w:t>预算金额：</w:t>
      </w:r>
      <w:r>
        <w:rPr>
          <w:rFonts w:hint="eastAsia" w:ascii="仿宋_GB2312" w:hAnsi="仿宋_GB2312" w:eastAsia="仿宋_GB2312" w:cs="仿宋_GB2312"/>
          <w:b/>
          <w:bCs w:val="0"/>
          <w:color w:val="auto"/>
          <w:sz w:val="24"/>
          <w:highlight w:val="none"/>
          <w:lang w:val="en-US" w:eastAsia="zh-CN"/>
        </w:rPr>
        <w:t>11360000</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Cs/>
          <w:color w:val="auto"/>
          <w:sz w:val="24"/>
          <w:highlight w:val="none"/>
        </w:rPr>
        <w:t>主要内容： 简要规格描述或项目基本概况介绍、用途，详见采购文件</w:t>
      </w:r>
      <w:r>
        <w:rPr>
          <w:rFonts w:hint="eastAsia" w:ascii="仿宋_GB2312" w:hAnsi="仿宋_GB2312" w:eastAsia="仿宋_GB2312" w:cs="仿宋_GB2312"/>
          <w:b w:val="0"/>
          <w:bCs/>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合同履行期限</w:t>
      </w:r>
      <w:r>
        <w:rPr>
          <w:rFonts w:hint="eastAsia" w:ascii="仿宋_GB2312" w:hAnsi="仿宋_GB2312" w:eastAsia="仿宋_GB2312" w:cs="仿宋_GB2312"/>
          <w:color w:val="auto"/>
          <w:sz w:val="24"/>
          <w:highlight w:val="none"/>
        </w:rPr>
        <w:t>：按双方合同约定条款执行。</w:t>
      </w:r>
    </w:p>
    <w:p>
      <w:pPr>
        <w:keepNext w:val="0"/>
        <w:keepLines w:val="0"/>
        <w:pageBreakBefore w:val="0"/>
        <w:widowControl w:val="0"/>
        <w:kinsoku/>
        <w:wordWrap w:val="0"/>
        <w:overflowPunct/>
        <w:topLinePunct w:val="0"/>
        <w:autoSpaceDE/>
        <w:autoSpaceDN/>
        <w:bidi w:val="0"/>
        <w:adjustRightInd w:val="0"/>
        <w:snapToGrid/>
        <w:spacing w:line="440" w:lineRule="exact"/>
        <w:ind w:left="0" w:firstLine="482" w:firstLineChars="200"/>
        <w:textAlignment w:val="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sz w:val="24"/>
          <w:highlight w:val="none"/>
        </w:rPr>
        <w:t>本项目接受联合体投标：</w:t>
      </w:r>
      <w:sdt>
        <w:sdtPr>
          <w:rPr>
            <w:rFonts w:hint="eastAsia" w:ascii="仿宋_GB2312" w:hAnsi="仿宋_GB2312" w:eastAsia="仿宋_GB2312" w:cs="仿宋_GB2312"/>
            <w:color w:val="auto"/>
            <w:highlight w:val="none"/>
          </w:rPr>
          <w:id w:val="337506595"/>
        </w:sdtPr>
        <w:sdtEndPr>
          <w:rPr>
            <w:rFonts w:hint="eastAsia" w:ascii="仿宋_GB2312" w:hAnsi="仿宋_GB2312" w:eastAsia="仿宋_GB2312" w:cs="仿宋_GB2312"/>
            <w:color w:val="auto"/>
            <w:highlight w:val="none"/>
          </w:rPr>
        </w:sdtEndPr>
        <w:sdtContent>
          <w:r>
            <w:rPr>
              <w:rFonts w:hint="eastAsia" w:ascii="仿宋_GB2312" w:hAnsi="仿宋_GB2312" w:eastAsia="仿宋_GB2312" w:cs="仿宋_GB2312"/>
              <w:color w:val="auto"/>
              <w:highlight w:val="none"/>
            </w:rPr>
            <w:sym w:font="Wingdings" w:char="F0FE"/>
          </w:r>
        </w:sdtContent>
      </w:sdt>
      <w:r>
        <w:rPr>
          <w:rFonts w:hint="eastAsia" w:ascii="仿宋_GB2312" w:hAnsi="仿宋_GB2312" w:eastAsia="仿宋_GB2312" w:cs="仿宋_GB2312"/>
          <w:b/>
          <w:color w:val="auto"/>
          <w:sz w:val="24"/>
          <w:highlight w:val="none"/>
        </w:rPr>
        <w:t>是，</w:t>
      </w:r>
      <w:r>
        <w:rPr>
          <w:rFonts w:hint="eastAsia" w:ascii="仿宋_GB2312" w:hAnsi="仿宋_GB2312" w:eastAsia="仿宋_GB2312" w:cs="仿宋_GB2312"/>
          <w:color w:val="auto"/>
          <w:szCs w:val="24"/>
          <w:highlight w:val="none"/>
        </w:rPr>
        <w:t>☐</w:t>
      </w:r>
      <w:r>
        <w:rPr>
          <w:rFonts w:hint="eastAsia" w:ascii="仿宋_GB2312" w:hAnsi="仿宋_GB2312" w:eastAsia="仿宋_GB2312" w:cs="仿宋_GB2312"/>
          <w:b/>
          <w:color w:val="auto"/>
          <w:sz w:val="24"/>
          <w:highlight w:val="none"/>
        </w:rPr>
        <w:t>否。</w:t>
      </w:r>
    </w:p>
    <w:p>
      <w:pPr>
        <w:keepNext w:val="0"/>
        <w:keepLines w:val="0"/>
        <w:pageBreakBefore w:val="0"/>
        <w:widowControl w:val="0"/>
        <w:kinsoku/>
        <w:wordWrap w:val="0"/>
        <w:overflowPunct/>
        <w:topLinePunct w:val="0"/>
        <w:autoSpaceDE/>
        <w:autoSpaceDN/>
        <w:bidi w:val="0"/>
        <w:adjustRightInd w:val="0"/>
        <w:snapToGrid/>
        <w:spacing w:line="440" w:lineRule="exact"/>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二、申请人的资格要求</w:t>
      </w:r>
    </w:p>
    <w:p>
      <w:pPr>
        <w:keepNext w:val="0"/>
        <w:keepLines w:val="0"/>
        <w:pageBreakBefore w:val="0"/>
        <w:widowControl w:val="0"/>
        <w:kinsoku/>
        <w:wordWrap w:val="0"/>
        <w:overflowPunct/>
        <w:topLinePunct w:val="0"/>
        <w:autoSpaceDE/>
        <w:autoSpaceDN/>
        <w:bidi w:val="0"/>
        <w:adjustRightInd w:val="0"/>
        <w:snapToGrid/>
        <w:spacing w:line="440" w:lineRule="exact"/>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2.</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snapToGrid w:val="0"/>
          <w:color w:val="auto"/>
          <w:kern w:val="28"/>
          <w:sz w:val="24"/>
          <w:szCs w:val="20"/>
          <w:highlight w:val="none"/>
        </w:rPr>
        <w:t>以联合体形式投标的，提供联合协议(本项目不接受联合体投标或者投标人不以联合体形式投标的，则不需要提供)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snapToGrid w:val="0"/>
          <w:color w:val="auto"/>
          <w:kern w:val="28"/>
          <w:sz w:val="24"/>
          <w:szCs w:val="20"/>
          <w:highlight w:val="none"/>
        </w:rPr>
      </w:pPr>
      <w:r>
        <w:rPr>
          <w:rFonts w:hint="eastAsia" w:ascii="仿宋_GB2312" w:hAnsi="仿宋_GB2312" w:eastAsia="仿宋_GB2312" w:cs="仿宋_GB2312"/>
          <w:snapToGrid w:val="0"/>
          <w:color w:val="auto"/>
          <w:kern w:val="28"/>
          <w:sz w:val="24"/>
          <w:szCs w:val="20"/>
          <w:highlight w:val="none"/>
        </w:rPr>
        <w:t>3.落实政府采购政策需满足的资格要求：</w:t>
      </w:r>
    </w:p>
    <w:p>
      <w:pPr>
        <w:pageBreakBefore w:val="0"/>
        <w:widowControl w:val="0"/>
        <w:kinsoku/>
        <w:wordWrap w:val="0"/>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253497051"/>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FE"/>
          </w:r>
        </w:sdtContent>
      </w:sdt>
      <w:r>
        <w:rPr>
          <w:rFonts w:hint="eastAsia" w:ascii="仿宋_GB2312" w:hAnsi="仿宋_GB2312" w:eastAsia="仿宋_GB2312" w:cs="仿宋_GB2312"/>
          <w:color w:val="auto"/>
          <w:sz w:val="24"/>
          <w:highlight w:val="none"/>
        </w:rPr>
        <w:t>无；</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253497051"/>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A8"/>
          </w:r>
        </w:sdtContent>
      </w:sdt>
      <w:r>
        <w:rPr>
          <w:rFonts w:hint="eastAsia" w:ascii="仿宋_GB2312" w:hAnsi="仿宋_GB2312" w:eastAsia="仿宋_GB2312" w:cs="仿宋_GB2312"/>
          <w:color w:val="auto"/>
          <w:kern w:val="0"/>
          <w:sz w:val="24"/>
          <w:highlight w:val="none"/>
        </w:rPr>
        <w:t>专</w:t>
      </w:r>
      <w:r>
        <w:rPr>
          <w:rFonts w:hint="eastAsia" w:ascii="仿宋_GB2312" w:hAnsi="仿宋_GB2312" w:eastAsia="仿宋_GB2312" w:cs="仿宋_GB2312"/>
          <w:color w:val="auto"/>
          <w:sz w:val="24"/>
          <w:highlight w:val="none"/>
        </w:rPr>
        <w:t>门面向中小企业</w:t>
      </w:r>
    </w:p>
    <w:p>
      <w:pPr>
        <w:keepNext w:val="0"/>
        <w:keepLines w:val="0"/>
        <w:pageBreakBefore w:val="0"/>
        <w:widowControl w:val="0"/>
        <w:kinsoku/>
        <w:wordWrap w:val="0"/>
        <w:overflowPunct/>
        <w:topLinePunct w:val="0"/>
        <w:autoSpaceDE/>
        <w:autoSpaceDN/>
        <w:bidi w:val="0"/>
        <w:adjustRightInd w:val="0"/>
        <w:snapToGrid/>
        <w:spacing w:line="360" w:lineRule="auto"/>
        <w:ind w:left="0" w:firstLine="960" w:firstLineChars="400"/>
        <w:textAlignment w:val="auto"/>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253497051"/>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A8"/>
          </w:r>
        </w:sdtContent>
      </w:sdt>
      <w:r>
        <w:rPr>
          <w:rFonts w:hint="eastAsia" w:ascii="仿宋_GB2312" w:hAnsi="仿宋_GB2312" w:eastAsia="仿宋_GB2312" w:cs="仿宋_GB2312"/>
          <w:color w:val="auto"/>
          <w:sz w:val="24"/>
          <w:highlight w:val="none"/>
        </w:rPr>
        <w:t>服务全部由符合政策要求的中小企业承接，提供中小企业声明函；</w:t>
      </w:r>
    </w:p>
    <w:p>
      <w:pPr>
        <w:keepNext w:val="0"/>
        <w:keepLines w:val="0"/>
        <w:pageBreakBefore w:val="0"/>
        <w:widowControl w:val="0"/>
        <w:kinsoku/>
        <w:wordWrap w:val="0"/>
        <w:overflowPunct/>
        <w:topLinePunct w:val="0"/>
        <w:autoSpaceDE/>
        <w:autoSpaceDN/>
        <w:bidi w:val="0"/>
        <w:adjustRightInd w:val="0"/>
        <w:snapToGrid/>
        <w:spacing w:line="360" w:lineRule="auto"/>
        <w:ind w:left="0" w:firstLine="960" w:firstLineChars="4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szCs w:val="24"/>
          <w:highlight w:val="none"/>
          <w:lang w:val="en-US" w:eastAsia="zh-CN" w:bidi="ar-SA"/>
        </w:rPr>
        <w:t>☐</w:t>
      </w:r>
      <w:r>
        <w:rPr>
          <w:rFonts w:hint="eastAsia" w:ascii="仿宋_GB2312" w:hAnsi="仿宋_GB2312" w:eastAsia="仿宋_GB2312" w:cs="仿宋_GB2312"/>
          <w:color w:val="auto"/>
          <w:sz w:val="24"/>
          <w:highlight w:val="none"/>
        </w:rPr>
        <w:t>服务全部由符合政策要求的小微企业承接，提供中小企业声明函；</w:t>
      </w:r>
    </w:p>
    <w:p>
      <w:pPr>
        <w:keepNext w:val="0"/>
        <w:keepLines w:val="0"/>
        <w:pageBreakBefore w:val="0"/>
        <w:widowControl w:val="0"/>
        <w:kinsoku/>
        <w:wordWrap w:val="0"/>
        <w:overflowPunct/>
        <w:topLinePunct w:val="0"/>
        <w:autoSpaceDE/>
        <w:autoSpaceDN/>
        <w:bidi w:val="0"/>
        <w:adjustRightInd w:val="0"/>
        <w:snapToGrid/>
        <w:spacing w:line="360" w:lineRule="auto"/>
        <w:ind w:left="0" w:firstLine="960" w:firstLineChars="4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rPr>
        <w:t>要求以联合体形式参加，提供联合协议和中小企业声明函，联合协议中中小企业合同金额应当达到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%，其中小微企业合同金额应当达到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spacing w:line="360" w:lineRule="auto"/>
        <w:ind w:left="0" w:firstLine="960" w:firstLineChars="4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rPr>
        <w:t>要求合同分包，提供分包意向协议和中小企业声明函，分包意向协议中中小企业合同金额应当达到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，其中小微企业合同金额应当达到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 ;</w:t>
      </w:r>
      <w:r>
        <w:rPr>
          <w:rFonts w:hint="eastAsia" w:ascii="仿宋_GB2312" w:hAnsi="仿宋_GB2312" w:eastAsia="仿宋_GB2312" w:cs="仿宋_GB2312"/>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_GB2312" w:hAnsi="仿宋_GB2312" w:eastAsia="仿宋_GB2312" w:cs="仿宋_GB2312"/>
          <w:color w:val="auto"/>
          <w:sz w:val="24"/>
          <w:highlight w:val="none"/>
        </w:rPr>
        <w:t>；</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4.本项目的特定资格要求：</w:t>
      </w:r>
      <w:r>
        <w:rPr>
          <w:rFonts w:hint="eastAsia" w:ascii="仿宋_GB2312" w:hAnsi="仿宋_GB2312" w:eastAsia="仿宋_GB2312" w:cs="仿宋_GB2312"/>
          <w:color w:val="auto"/>
          <w:sz w:val="24"/>
          <w:highlight w:val="none"/>
          <w:lang w:val="en-US" w:eastAsia="zh-CN"/>
        </w:rPr>
        <w:t>无</w:t>
      </w:r>
      <w:r>
        <w:rPr>
          <w:rFonts w:hint="eastAsia" w:ascii="仿宋_GB2312" w:hAnsi="仿宋_GB2312" w:eastAsia="仿宋_GB2312" w:cs="仿宋_GB2312"/>
          <w:color w:val="auto"/>
          <w:sz w:val="24"/>
          <w:highlight w:val="none"/>
        </w:rPr>
        <w:t>；</w:t>
      </w:r>
    </w:p>
    <w:p>
      <w:pPr>
        <w:pageBreakBefore w:val="0"/>
        <w:widowControl w:val="0"/>
        <w:kinsoku/>
        <w:wordWrap w:val="0"/>
        <w:overflowPunct/>
        <w:topLinePunct w:val="0"/>
        <w:autoSpaceDE/>
        <w:autoSpaceDN/>
        <w:bidi w:val="0"/>
        <w:snapToGrid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 xml:space="preserve">三、获取招标文件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时间：</w:t>
      </w:r>
      <w:r>
        <w:rPr>
          <w:rFonts w:hint="eastAsia" w:ascii="仿宋_GB2312" w:hAnsi="仿宋_GB2312" w:eastAsia="仿宋_GB2312" w:cs="仿宋_GB2312"/>
          <w:color w:val="auto"/>
          <w:sz w:val="24"/>
          <w:highlight w:val="none"/>
        </w:rPr>
        <w:t>/至</w:t>
      </w:r>
      <w:r>
        <w:rPr>
          <w:rFonts w:hint="eastAsia" w:ascii="仿宋_GB2312" w:hAnsi="仿宋_GB2312" w:eastAsia="仿宋_GB2312" w:cs="仿宋_GB2312"/>
          <w:color w:val="auto"/>
          <w:sz w:val="24"/>
          <w:highlight w:val="none"/>
          <w:u w:val="single"/>
        </w:rPr>
        <w:t>202 年 月 日</w:t>
      </w:r>
      <w:r>
        <w:rPr>
          <w:rFonts w:hint="eastAsia" w:ascii="仿宋_GB2312" w:hAnsi="仿宋_GB2312" w:eastAsia="仿宋_GB2312" w:cs="仿宋_GB2312"/>
          <w:color w:val="auto"/>
          <w:sz w:val="24"/>
          <w:highlight w:val="none"/>
        </w:rPr>
        <w:t>，每天上午00:00至12:00 ，下午12:00至23:59（北京时间，线上获取法定节假日均可，线下获取文件法定节假日除外）</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地点（网址）：</w:t>
      </w:r>
      <w:r>
        <w:rPr>
          <w:rFonts w:hint="eastAsia" w:ascii="仿宋_GB2312" w:hAnsi="仿宋_GB2312" w:eastAsia="仿宋_GB2312" w:cs="仿宋_GB2312"/>
          <w:color w:val="auto"/>
          <w:sz w:val="24"/>
          <w:highlight w:val="none"/>
        </w:rPr>
        <w:t xml:space="preserve">政采云平台（https://www.zcygov.cn/）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方式：</w:t>
      </w:r>
      <w:r>
        <w:rPr>
          <w:rFonts w:hint="eastAsia" w:ascii="仿宋_GB2312" w:hAnsi="仿宋_GB2312" w:eastAsia="仿宋_GB2312" w:cs="仿宋_GB2312"/>
          <w:color w:val="auto"/>
          <w:sz w:val="24"/>
          <w:highlight w:val="none"/>
        </w:rPr>
        <w:t xml:space="preserve">供应商登录政采云平台https://www.zcygov.cn/在线申请获取采购文件（进入“项目采购”应用，在获取采购文件菜单中选择项目，申请获取采购文件）。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售价（元）：</w:t>
      </w:r>
      <w:r>
        <w:rPr>
          <w:rFonts w:hint="eastAsia" w:ascii="仿宋_GB2312" w:hAnsi="仿宋_GB2312" w:eastAsia="仿宋_GB2312" w:cs="仿宋_GB2312"/>
          <w:color w:val="auto"/>
          <w:sz w:val="24"/>
          <w:highlight w:val="none"/>
        </w:rPr>
        <w:t xml:space="preserve">0 </w:t>
      </w:r>
      <w:r>
        <w:rPr>
          <w:rFonts w:hint="eastAsia" w:ascii="仿宋_GB2312" w:hAnsi="仿宋_GB2312" w:eastAsia="仿宋_GB2312" w:cs="仿宋_GB2312"/>
          <w:color w:val="auto"/>
          <w:sz w:val="24"/>
          <w:highlight w:val="none"/>
        </w:rPr>
        <w:tab/>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四、提交投标文件截止时间、开标时间和地点</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提交投标文件截止时间：</w:t>
      </w:r>
      <w:r>
        <w:rPr>
          <w:rFonts w:hint="eastAsia" w:ascii="仿宋_GB2312" w:hAnsi="仿宋_GB2312" w:eastAsia="仿宋_GB2312" w:cs="仿宋_GB2312"/>
          <w:color w:val="auto"/>
          <w:sz w:val="24"/>
          <w:highlight w:val="none"/>
          <w:u w:val="single"/>
        </w:rPr>
        <w:t xml:space="preserve"> 202 年 月 日 点 分00秒</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color w:val="auto"/>
          <w:sz w:val="24"/>
          <w:highlight w:val="none"/>
        </w:rPr>
        <w:t>（北京时间）</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投标地点（网址）：</w:t>
      </w:r>
      <w:r>
        <w:rPr>
          <w:rFonts w:hint="eastAsia" w:ascii="仿宋_GB2312" w:hAnsi="仿宋_GB2312" w:eastAsia="仿宋_GB2312" w:cs="仿宋_GB2312"/>
          <w:color w:val="auto"/>
          <w:sz w:val="24"/>
          <w:highlight w:val="none"/>
        </w:rPr>
        <w:t xml:space="preserve">政采云平台（https://www.zcygov.cn/）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bCs/>
          <w:color w:val="auto"/>
          <w:sz w:val="24"/>
          <w:highlight w:val="none"/>
          <w:u w:val="single"/>
        </w:rPr>
      </w:pPr>
      <w:r>
        <w:rPr>
          <w:rFonts w:hint="eastAsia" w:ascii="仿宋_GB2312" w:hAnsi="仿宋_GB2312" w:eastAsia="仿宋_GB2312" w:cs="仿宋_GB2312"/>
          <w:b/>
          <w:color w:val="auto"/>
          <w:sz w:val="24"/>
          <w:highlight w:val="none"/>
        </w:rPr>
        <w:t>开标时间：</w:t>
      </w:r>
      <w:r>
        <w:rPr>
          <w:rFonts w:hint="eastAsia" w:ascii="仿宋_GB2312" w:hAnsi="仿宋_GB2312" w:eastAsia="仿宋_GB2312" w:cs="仿宋_GB2312"/>
          <w:color w:val="auto"/>
          <w:sz w:val="24"/>
          <w:highlight w:val="none"/>
          <w:u w:val="single"/>
        </w:rPr>
        <w:t>202 年 月 日 点 分00秒</w:t>
      </w:r>
      <w:r>
        <w:rPr>
          <w:rFonts w:hint="eastAsia" w:ascii="仿宋_GB2312" w:hAnsi="仿宋_GB2312" w:eastAsia="仿宋_GB2312" w:cs="仿宋_GB2312"/>
          <w:bCs/>
          <w:color w:val="auto"/>
          <w:sz w:val="24"/>
          <w:highlight w:val="none"/>
          <w:u w:val="single"/>
        </w:rPr>
        <w:t xml:space="preserve">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开标地点（网址）：</w:t>
      </w:r>
      <w:r>
        <w:rPr>
          <w:rFonts w:hint="eastAsia" w:ascii="仿宋_GB2312" w:hAnsi="仿宋_GB2312" w:eastAsia="仿宋_GB2312" w:cs="仿宋_GB2312"/>
          <w:color w:val="auto"/>
          <w:sz w:val="24"/>
          <w:highlight w:val="none"/>
        </w:rPr>
        <w:t>政采云平台（https://www.zcygov.cn/）</w:t>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 xml:space="preserve">五、公告期限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自本公告发布之日起5个工作日。</w:t>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六、其他补充事宜</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1.《浙江省财政厅关于进一步发挥政府采购政策功能全力推动经济稳进提质的通知》 （浙财采监〔2022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3号）、《浙江省财政厅关于进一步促进政府采购公平竞争打造最优营商环境的通知》（浙财采监〔2021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22号））、《浙江省财政厅关于进一步加大政府采购支持中小企业力度助力扎实稳住经济的通知》 （浙财采监〔2022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8号）已分别于2022年1月29日、2022年2月1日和2022年7月1日开始实施，此前有关规定与上述文件内容不一致的，按上述文件要求执行。</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2.根据《浙江省财政厅关于进一步促进政府采购公平竞争打造最优营商环境的通知》（浙财采监〔2021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_GB2312" w:hAnsi="仿宋_GB2312" w:eastAsia="仿宋_GB2312" w:cs="仿宋_GB2312"/>
          <w:color w:val="auto"/>
          <w:sz w:val="24"/>
          <w:highlight w:val="none"/>
          <w:lang w:eastAsia="zh-CN"/>
        </w:rPr>
        <w:t>政务</w:t>
      </w:r>
      <w:r>
        <w:rPr>
          <w:rFonts w:hint="eastAsia" w:ascii="仿宋_GB2312" w:hAnsi="仿宋_GB2312" w:eastAsia="仿宋_GB2312" w:cs="仿宋_GB2312"/>
          <w:color w:val="auto"/>
          <w:sz w:val="24"/>
          <w:highlight w:val="none"/>
        </w:rPr>
        <w:t>服务网-政府采购投诉处理-在线办理。</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pPr>
        <w:pageBreakBefore w:val="0"/>
        <w:widowControl w:val="0"/>
        <w:kinsoku/>
        <w:wordWrap w:val="0"/>
        <w:overflowPunct/>
        <w:topLinePunct w:val="0"/>
        <w:autoSpaceDE/>
        <w:autoSpaceDN/>
        <w:bidi w:val="0"/>
        <w:spacing w:line="360" w:lineRule="auto"/>
        <w:ind w:firstLine="480" w:firstLineChars="200"/>
        <w:textAlignment w:val="auto"/>
        <w:rPr>
          <w:rFonts w:hint="eastAsia" w:ascii="仿宋_GB2312" w:hAnsi="仿宋_GB2312" w:eastAsia="仿宋_GB2312" w:cs="仿宋_GB2312"/>
          <w:b w:val="0"/>
          <w:bCs/>
          <w:color w:val="auto"/>
          <w:sz w:val="24"/>
          <w:highlight w:val="none"/>
        </w:rPr>
      </w:pPr>
      <w:r>
        <w:rPr>
          <w:rFonts w:hint="eastAsia" w:ascii="仿宋_GB2312" w:hAnsi="仿宋_GB2312" w:eastAsia="仿宋_GB2312" w:cs="仿宋_GB2312"/>
          <w:b w:val="0"/>
          <w:bCs/>
          <w:color w:val="auto"/>
          <w:sz w:val="24"/>
          <w:highlight w:val="none"/>
        </w:rPr>
        <w:t>七、对本次采购提出询问、质疑、投诉，请按以下方式联系</w:t>
      </w:r>
    </w:p>
    <w:p>
      <w:pPr>
        <w:pStyle w:val="7"/>
        <w:pageBreakBefore w:val="0"/>
        <w:widowControl w:val="0"/>
        <w:numPr>
          <w:ilvl w:val="0"/>
          <w:numId w:val="0"/>
        </w:numPr>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szCs w:val="24"/>
          <w:highlight w:val="none"/>
        </w:rPr>
      </w:pPr>
      <w:bookmarkStart w:id="5" w:name="_Toc35393637"/>
      <w:bookmarkStart w:id="6" w:name="_Toc28359019"/>
      <w:bookmarkStart w:id="7" w:name="_Toc35393806"/>
      <w:bookmarkStart w:id="8" w:name="_Toc28359096"/>
      <w:r>
        <w:rPr>
          <w:rFonts w:hint="eastAsia" w:ascii="仿宋_GB2312" w:hAnsi="仿宋_GB2312" w:eastAsia="仿宋_GB2312" w:cs="仿宋_GB2312"/>
          <w:color w:val="auto"/>
          <w:sz w:val="24"/>
          <w:szCs w:val="24"/>
          <w:highlight w:val="none"/>
        </w:rPr>
        <w:t>1.采购人信息</w:t>
      </w:r>
      <w:bookmarkEnd w:id="5"/>
      <w:bookmarkEnd w:id="6"/>
      <w:bookmarkEnd w:id="7"/>
      <w:bookmarkEnd w:id="8"/>
      <w:r>
        <w:rPr>
          <w:rFonts w:hint="eastAsia" w:ascii="仿宋_GB2312" w:hAnsi="仿宋_GB2312" w:eastAsia="仿宋_GB2312" w:cs="仿宋_GB2312"/>
          <w:color w:val="auto"/>
          <w:sz w:val="24"/>
          <w:szCs w:val="24"/>
          <w:highlight w:val="none"/>
        </w:rPr>
        <w:t>：</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名    称：</w:t>
      </w:r>
      <w:r>
        <w:rPr>
          <w:rFonts w:hint="eastAsia" w:ascii="仿宋_GB2312" w:hAnsi="仿宋_GB2312" w:eastAsia="仿宋_GB2312" w:cs="仿宋_GB2312"/>
          <w:color w:val="auto"/>
          <w:sz w:val="24"/>
          <w:highlight w:val="none"/>
          <w:lang w:eastAsia="zh-CN"/>
        </w:rPr>
        <w:t>绍兴市人力资源和社会保障局</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址：绍兴市曲屯路368号</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传    真：0575-81505373</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项目联系人（询问）：陈建明</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项目联系方式（询问）：</w:t>
      </w:r>
      <w:bookmarkStart w:id="183" w:name="_GoBack"/>
      <w:bookmarkEnd w:id="183"/>
      <w:r>
        <w:rPr>
          <w:rFonts w:hint="eastAsia" w:ascii="仿宋_GB2312" w:hAnsi="仿宋_GB2312" w:eastAsia="仿宋_GB2312" w:cs="仿宋_GB2312"/>
          <w:color w:val="auto"/>
          <w:sz w:val="24"/>
          <w:highlight w:val="none"/>
        </w:rPr>
        <w:t>0575-81505373</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质疑联系人：傅政晨</w:t>
      </w:r>
    </w:p>
    <w:p>
      <w:pPr>
        <w:pStyle w:val="7"/>
        <w:pageBreakBefore w:val="0"/>
        <w:widowControl w:val="0"/>
        <w:numPr>
          <w:ilvl w:val="0"/>
          <w:numId w:val="0"/>
        </w:numPr>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质疑联系方式：</w:t>
      </w:r>
      <w:bookmarkStart w:id="9" w:name="_Toc28359020"/>
      <w:bookmarkStart w:id="10" w:name="_Toc28359097"/>
      <w:bookmarkStart w:id="11" w:name="_Toc35393807"/>
      <w:bookmarkStart w:id="12" w:name="_Toc35393638"/>
      <w:r>
        <w:rPr>
          <w:rFonts w:hint="eastAsia" w:ascii="仿宋_GB2312" w:hAnsi="仿宋_GB2312" w:eastAsia="仿宋_GB2312" w:cs="仿宋_GB2312"/>
          <w:b w:val="0"/>
          <w:bCs w:val="0"/>
          <w:color w:val="auto"/>
          <w:sz w:val="24"/>
          <w:highlight w:val="none"/>
        </w:rPr>
        <w:t xml:space="preserve">0575-89118014 </w:t>
      </w:r>
    </w:p>
    <w:p>
      <w:pPr>
        <w:pStyle w:val="7"/>
        <w:pageBreakBefore w:val="0"/>
        <w:widowControl w:val="0"/>
        <w:numPr>
          <w:ilvl w:val="0"/>
          <w:numId w:val="0"/>
        </w:numPr>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szCs w:val="24"/>
          <w:highlight w:val="none"/>
        </w:rPr>
        <w:t>2.采购代理机构信息</w:t>
      </w:r>
      <w:bookmarkEnd w:id="9"/>
      <w:bookmarkEnd w:id="10"/>
      <w:bookmarkEnd w:id="11"/>
      <w:bookmarkEnd w:id="12"/>
      <w:r>
        <w:rPr>
          <w:rFonts w:hint="eastAsia" w:ascii="仿宋_GB2312" w:hAnsi="仿宋_GB2312" w:eastAsia="仿宋_GB2312" w:cs="仿宋_GB2312"/>
          <w:color w:val="auto"/>
          <w:sz w:val="24"/>
          <w:szCs w:val="24"/>
          <w:highlight w:val="none"/>
        </w:rPr>
        <w:t>：</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bookmarkStart w:id="13" w:name="_Toc28359021"/>
      <w:bookmarkStart w:id="14" w:name="_Toc35393808"/>
      <w:bookmarkStart w:id="15" w:name="_Toc28359098"/>
      <w:bookmarkStart w:id="16" w:name="_Toc35393639"/>
      <w:r>
        <w:rPr>
          <w:rFonts w:hint="eastAsia" w:ascii="仿宋_GB2312" w:hAnsi="仿宋_GB2312" w:eastAsia="仿宋_GB2312" w:cs="仿宋_GB2312"/>
          <w:color w:val="auto"/>
          <w:sz w:val="24"/>
          <w:highlight w:val="none"/>
        </w:rPr>
        <w:t>名    称：绍兴市公共资源交易中心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址：绍兴市越城区迪荡新城鼎盛时代大厦431室</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传    真：0575-88307029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项目联系人（询问）：黄世杰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项目联系方式（询问）：0575-88307028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质疑联系人：顾梁杰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color w:val="auto"/>
          <w:sz w:val="24"/>
          <w:highlight w:val="none"/>
        </w:rPr>
        <w:t>质疑联系方式：0575-88307026 </w:t>
      </w:r>
    </w:p>
    <w:p>
      <w:pPr>
        <w:pageBreakBefore w:val="0"/>
        <w:widowControl w:val="0"/>
        <w:kinsoku/>
        <w:wordWrap w:val="0"/>
        <w:overflowPunct/>
        <w:topLinePunct w:val="0"/>
        <w:autoSpaceDE/>
        <w:autoSpaceDN/>
        <w:bidi w:val="0"/>
        <w:spacing w:line="360" w:lineRule="auto"/>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kern w:val="2"/>
          <w:sz w:val="24"/>
          <w:szCs w:val="24"/>
          <w:highlight w:val="none"/>
          <w:lang w:val="zh-CN" w:eastAsia="zh-CN" w:bidi="ar-SA"/>
        </w:rPr>
        <w:t xml:space="preserve">3. 同级政府采购监督管理部门： </w:t>
      </w:r>
      <w:r>
        <w:rPr>
          <w:rFonts w:hint="eastAsia" w:ascii="仿宋_GB2312" w:hAnsi="仿宋_GB2312" w:eastAsia="仿宋_GB2312" w:cs="仿宋_GB2312"/>
          <w:color w:val="auto"/>
          <w:sz w:val="24"/>
          <w:highlight w:val="none"/>
        </w:rPr>
        <w:t xml:space="preserve">           </w:t>
      </w:r>
    </w:p>
    <w:bookmarkEnd w:id="13"/>
    <w:bookmarkEnd w:id="14"/>
    <w:bookmarkEnd w:id="15"/>
    <w:bookmarkEnd w:id="16"/>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名</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称：绍兴市财政局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地</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址：绍兴市越城区凤林西路151号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传</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真：0575-85209697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联 系 人 ：张婷婷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 xml:space="preserve">监督投诉电话：0575-85209697 </w:t>
      </w:r>
      <w:r>
        <w:rPr>
          <w:rFonts w:hint="eastAsia" w:ascii="仿宋_GB2312" w:hAnsi="仿宋_GB2312" w:eastAsia="仿宋_GB2312" w:cs="仿宋_GB2312"/>
          <w:color w:val="auto"/>
          <w:sz w:val="24"/>
          <w:highlight w:val="none"/>
        </w:rPr>
        <w:t xml:space="preserve">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若对项目采购电子交易系统操作有疑问，可登录政采云（https://www.zcygov.cn/），点击右侧咨询小采，获取采小蜜智能服务管家帮助，或拨打政采云服务热线95763获取热线服务帮助。        </w:t>
      </w:r>
    </w:p>
    <w:p>
      <w:pPr>
        <w:pageBreakBefore w:val="0"/>
        <w:widowControl w:val="0"/>
        <w:kinsoku/>
        <w:wordWrap w:val="0"/>
        <w:overflowPunct/>
        <w:topLinePunct w:val="0"/>
        <w:autoSpaceDE/>
        <w:autoSpaceDN/>
        <w:bidi w:val="0"/>
        <w:spacing w:line="360" w:lineRule="auto"/>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CA问题联系电话（人工）：汇信CA 400-888-4636；天谷CA 400-087-8198。</w:t>
      </w:r>
    </w:p>
    <w:p>
      <w:pPr>
        <w:widowControl/>
        <w:kinsoku/>
        <w:wordWrap w:val="0"/>
        <w:overflowPunct/>
        <w:topLinePunct w:val="0"/>
        <w:bidi w:val="0"/>
        <w:adjustRightInd/>
        <w:jc w:val="left"/>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br w:type="page"/>
      </w:r>
    </w:p>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第二部分</w:t>
      </w:r>
      <w:bookmarkEnd w:id="2"/>
      <w:r>
        <w:rPr>
          <w:rFonts w:hint="eastAsia" w:ascii="仿宋_GB2312" w:hAnsi="仿宋_GB2312" w:eastAsia="仿宋_GB2312" w:cs="仿宋_GB2312"/>
          <w:b/>
          <w:color w:val="auto"/>
          <w:sz w:val="36"/>
          <w:szCs w:val="20"/>
          <w:highlight w:val="none"/>
        </w:rPr>
        <w:t xml:space="preserve"> 投标须知</w:t>
      </w:r>
      <w:bookmarkEnd w:id="3"/>
    </w:p>
    <w:p>
      <w:pPr>
        <w:kinsoku/>
        <w:wordWrap w:val="0"/>
        <w:overflowPunct/>
        <w:topLinePunct w:val="0"/>
        <w:bidi w:val="0"/>
        <w:adjustRightInd/>
        <w:spacing w:line="360" w:lineRule="auto"/>
        <w:ind w:firstLine="3845" w:firstLineChars="1197"/>
        <w:outlineLvl w:val="0"/>
        <w:rPr>
          <w:rFonts w:hint="eastAsia" w:ascii="仿宋_GB2312" w:hAnsi="仿宋_GB2312" w:eastAsia="仿宋_GB2312" w:cs="仿宋_GB2312"/>
          <w:b/>
          <w:color w:val="auto"/>
          <w:sz w:val="32"/>
          <w:szCs w:val="20"/>
          <w:highlight w:val="none"/>
        </w:rPr>
      </w:pPr>
      <w:r>
        <w:rPr>
          <w:rFonts w:hint="eastAsia" w:ascii="仿宋_GB2312" w:hAnsi="仿宋_GB2312" w:eastAsia="仿宋_GB2312" w:cs="仿宋_GB2312"/>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8370"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8370"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投标人按照项目要求特许资格、资信证明文件（如有）：</w:t>
            </w:r>
          </w:p>
          <w:p>
            <w:pPr>
              <w:keepNext w:val="0"/>
              <w:keepLines w:val="0"/>
              <w:pageBreakBefore w:val="0"/>
              <w:widowControl w:val="0"/>
              <w:kinsoku/>
              <w:wordWrap w:val="0"/>
              <w:overflowPunct/>
              <w:topLinePunct w:val="0"/>
              <w:bidi w:val="0"/>
              <w:adjustRightInd w:val="0"/>
              <w:spacing w:line="440" w:lineRule="exact"/>
              <w:ind w:left="0" w:leftChars="0" w:right="0" w:rightChars="0" w:firstLine="480"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8370"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资格审查方式：</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1.资格后审。</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8370" w:type="dxa"/>
            <w:gridSpan w:val="2"/>
            <w:vAlign w:val="center"/>
          </w:tcPr>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textAlignment w:val="bottom"/>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投标有效期：</w:t>
            </w:r>
            <w:r>
              <w:rPr>
                <w:rFonts w:hint="eastAsia" w:ascii="仿宋_GB2312" w:hAnsi="仿宋_GB2312" w:eastAsia="仿宋_GB2312" w:cs="仿宋_GB2312"/>
                <w:color w:val="auto"/>
                <w:sz w:val="24"/>
                <w:highlight w:val="none"/>
              </w:rPr>
              <w:t>投标有效期为从提交投标文件的截止之日起90天。</w:t>
            </w:r>
            <w:r>
              <w:rPr>
                <w:rFonts w:hint="eastAsia" w:ascii="仿宋_GB2312" w:hAnsi="仿宋_GB2312" w:eastAsia="仿宋_GB2312" w:cs="仿宋_GB2312"/>
                <w:b/>
                <w:color w:val="auto"/>
                <w:sz w:val="24"/>
                <w:highlight w:val="none"/>
              </w:rPr>
              <w:t>投标人的投标文件中承</w:t>
            </w:r>
            <w:r>
              <w:rPr>
                <w:rFonts w:hint="eastAsia" w:ascii="仿宋_GB2312" w:hAnsi="仿宋_GB2312" w:eastAsia="仿宋_GB2312" w:cs="仿宋_GB2312"/>
                <w:b/>
                <w:color w:val="auto"/>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8370"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转包：</w:t>
            </w:r>
            <w:r>
              <w:rPr>
                <w:rFonts w:hint="eastAsia" w:ascii="仿宋_GB2312" w:hAnsi="仿宋_GB2312" w:eastAsia="仿宋_GB2312" w:cs="仿宋_GB2312"/>
                <w:color w:val="auto"/>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8370" w:type="dxa"/>
            <w:gridSpan w:val="2"/>
            <w:vAlign w:val="center"/>
          </w:tcPr>
          <w:p>
            <w:pPr>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分包：</w:t>
            </w:r>
            <w:r>
              <w:rPr>
                <w:rFonts w:hint="eastAsia" w:ascii="仿宋_GB2312" w:hAnsi="仿宋_GB2312" w:eastAsia="仿宋_GB2312" w:cs="仿宋_GB2312"/>
                <w:color w:val="auto"/>
                <w:kern w:val="0"/>
                <w:sz w:val="24"/>
                <w:highlight w:val="none"/>
              </w:rPr>
              <w:sym w:font="Wingdings" w:char="00A8"/>
            </w:r>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同意将非主体、非关键性的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工作分包。</w:t>
            </w:r>
          </w:p>
          <w:p>
            <w:pPr>
              <w:keepNext w:val="0"/>
              <w:keepLines w:val="0"/>
              <w:pageBreakBefore w:val="0"/>
              <w:widowControl w:val="0"/>
              <w:kinsoku/>
              <w:wordWrap w:val="0"/>
              <w:overflowPunct/>
              <w:topLinePunct w:val="0"/>
              <w:bidi w:val="0"/>
              <w:adjustRightInd w:val="0"/>
              <w:spacing w:line="440" w:lineRule="exact"/>
              <w:ind w:right="0" w:rightChars="0" w:firstLine="720" w:firstLineChars="3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kern w:val="0"/>
                <w:sz w:val="24"/>
                <w:highlight w:val="none"/>
              </w:rPr>
              <w:sym w:font="Wingdings" w:char="00FE"/>
            </w:r>
            <w:r>
              <w:rPr>
                <w:rFonts w:hint="eastAsia" w:ascii="仿宋_GB2312" w:hAnsi="仿宋_GB2312" w:eastAsia="仿宋_GB2312" w:cs="仿宋_GB2312"/>
                <w:color w:val="auto"/>
                <w:kern w:val="0"/>
                <w:sz w:val="24"/>
                <w:highlight w:val="none"/>
              </w:rPr>
              <w:t>B</w:t>
            </w:r>
            <w:r>
              <w:rPr>
                <w:rFonts w:hint="eastAsia" w:ascii="仿宋_GB2312" w:hAnsi="仿宋_GB2312" w:eastAsia="仿宋_GB2312" w:cs="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8370"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投标文件份数：</w:t>
            </w:r>
            <w:r>
              <w:rPr>
                <w:rFonts w:hint="eastAsia" w:ascii="仿宋_GB2312" w:hAnsi="仿宋_GB2312" w:eastAsia="仿宋_GB2312" w:cs="仿宋_GB2312"/>
                <w:color w:val="auto"/>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8370" w:type="dxa"/>
            <w:gridSpan w:val="2"/>
            <w:vAlign w:val="center"/>
          </w:tcPr>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textAlignment w:val="bottom"/>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开标前答疑会或现场考察：</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109"/>
                <w:showingPlcHdr/>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FE"/>
                </w:r>
              </w:sdtContent>
            </w:sdt>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不组织。</w:t>
            </w:r>
          </w:p>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textAlignment w:val="bottom"/>
              <w:rPr>
                <w:rFonts w:hint="eastAsia" w:ascii="仿宋_GB2312" w:hAnsi="仿宋_GB2312" w:eastAsia="仿宋_GB2312" w:cs="仿宋_GB2312"/>
                <w:b/>
                <w:color w:val="auto"/>
                <w:sz w:val="24"/>
                <w:highlight w:val="none"/>
              </w:rPr>
            </w:pPr>
            <w:sdt>
              <w:sdtPr>
                <w:rPr>
                  <w:rFonts w:hint="eastAsia" w:ascii="仿宋_GB2312" w:hAnsi="仿宋_GB2312" w:eastAsia="仿宋_GB2312" w:cs="仿宋_GB2312"/>
                  <w:color w:val="auto"/>
                  <w:kern w:val="0"/>
                  <w:sz w:val="24"/>
                  <w:highlight w:val="none"/>
                </w:rPr>
                <w:id w:val="109"/>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t>☐</w:t>
                </w:r>
              </w:sdtContent>
            </w:sdt>
            <w:r>
              <w:rPr>
                <w:rFonts w:hint="eastAsia" w:ascii="仿宋_GB2312" w:hAnsi="仿宋_GB2312" w:eastAsia="仿宋_GB2312" w:cs="仿宋_GB2312"/>
                <w:color w:val="auto"/>
                <w:kern w:val="0"/>
                <w:sz w:val="24"/>
                <w:highlight w:val="none"/>
              </w:rPr>
              <w:t>B组织，</w:t>
            </w:r>
            <w:r>
              <w:rPr>
                <w:rFonts w:hint="eastAsia" w:ascii="仿宋_GB2312" w:hAnsi="仿宋_GB2312" w:eastAsia="仿宋_GB2312" w:cs="仿宋_GB2312"/>
                <w:color w:val="auto"/>
                <w:sz w:val="24"/>
                <w:highlight w:val="none"/>
              </w:rPr>
              <w:t>时间：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,地点：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，联系方式：</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8370"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样品提供：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109"/>
                <w:showingPlcHdr/>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FE"/>
                </w:r>
              </w:sdtContent>
            </w:sdt>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不要求提供。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B要求提供，</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w:t>
            </w:r>
            <w:r>
              <w:rPr>
                <w:rFonts w:hint="eastAsia" w:ascii="仿宋_GB2312" w:hAnsi="仿宋_GB2312" w:eastAsia="仿宋_GB2312" w:cs="仿宋_GB2312"/>
                <w:snapToGrid w:val="0"/>
                <w:color w:val="auto"/>
                <w:kern w:val="28"/>
                <w:sz w:val="24"/>
                <w:highlight w:val="none"/>
              </w:rPr>
              <w:t>样品：</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snapToGrid w:val="0"/>
                <w:color w:val="auto"/>
                <w:kern w:val="28"/>
                <w:sz w:val="24"/>
                <w:highlight w:val="none"/>
              </w:rPr>
              <w:t>样品制作的标准和要求：</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（3）样品的评审方法以及评审标准</w:t>
            </w:r>
            <w:r>
              <w:rPr>
                <w:rFonts w:hint="eastAsia" w:ascii="仿宋_GB2312" w:hAnsi="仿宋_GB2312" w:eastAsia="仿宋_GB2312" w:cs="仿宋_GB2312"/>
                <w:snapToGrid w:val="0"/>
                <w:color w:val="auto"/>
                <w:kern w:val="28"/>
                <w:sz w:val="24"/>
                <w:highlight w:val="none"/>
              </w:rPr>
              <w:t>：详见</w:t>
            </w:r>
            <w:r>
              <w:rPr>
                <w:rFonts w:hint="eastAsia" w:ascii="仿宋_GB2312" w:hAnsi="仿宋_GB2312" w:eastAsia="仿宋_GB2312" w:cs="仿宋_GB2312"/>
                <w:color w:val="auto"/>
                <w:sz w:val="24"/>
                <w:highlight w:val="none"/>
                <w:u w:val="single"/>
              </w:rPr>
              <w:t>评标办法</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（4）是否需要随样品提交检测报告：</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否；□是，检测机构的要求</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；检测内容</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（5）提供样品的时间：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；地点：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kern w:val="0"/>
                <w:sz w:val="24"/>
                <w:highlight w:val="none"/>
              </w:rPr>
              <w:t>；联系人</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28"/>
                <w:sz w:val="24"/>
                <w:highlight w:val="none"/>
              </w:rPr>
              <w:t>联系电话：</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rPr>
              <w:t>6</w:t>
            </w:r>
            <w:r>
              <w:rPr>
                <w:rFonts w:hint="eastAsia" w:ascii="仿宋_GB2312" w:hAnsi="仿宋_GB2312" w:eastAsia="仿宋_GB2312" w:cs="仿宋_GB2312"/>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（7）制作、运输、安装和保管样品所发生的一切费用由投标人自理。</w:t>
            </w:r>
          </w:p>
          <w:p>
            <w:pPr>
              <w:keepNext w:val="0"/>
              <w:keepLines w:val="0"/>
              <w:pageBreakBefore w:val="0"/>
              <w:widowControl w:val="0"/>
              <w:kinsoku/>
              <w:wordWrap w:val="0"/>
              <w:overflowPunct/>
              <w:topLinePunct w:val="0"/>
              <w:autoSpaceDE w:val="0"/>
              <w:autoSpaceDN w:val="0"/>
              <w:bidi w:val="0"/>
              <w:adjustRightInd w:val="0"/>
              <w:spacing w:line="440" w:lineRule="exact"/>
              <w:ind w:left="0" w:leftChars="0" w:right="0" w:rightChars="0"/>
              <w:jc w:val="left"/>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b w:val="0"/>
                <w:bCs w:val="0"/>
                <w:color w:val="auto"/>
                <w:sz w:val="24"/>
                <w:highlight w:val="none"/>
              </w:rPr>
              <w:t>（</w:t>
            </w:r>
            <w:r>
              <w:rPr>
                <w:rFonts w:hint="eastAsia" w:ascii="仿宋_GB2312" w:hAnsi="仿宋_GB2312" w:eastAsia="仿宋_GB2312" w:cs="仿宋_GB2312"/>
                <w:b w:val="0"/>
                <w:bCs w:val="0"/>
                <w:color w:val="auto"/>
                <w:sz w:val="24"/>
                <w:highlight w:val="none"/>
                <w:lang w:val="en-US"/>
              </w:rPr>
              <w:t>8</w:t>
            </w:r>
            <w:r>
              <w:rPr>
                <w:rFonts w:hint="eastAsia" w:ascii="仿宋_GB2312" w:hAnsi="仿宋_GB2312" w:eastAsia="仿宋_GB2312" w:cs="仿宋_GB2312"/>
                <w:b w:val="0"/>
                <w:bCs w:val="0"/>
                <w:color w:val="auto"/>
                <w:sz w:val="24"/>
                <w:highlight w:val="none"/>
              </w:rPr>
              <w:t>）未按招标文件要求提供样品或提供样品不满足采购需求实质性条件的，投标无效。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8370" w:type="dxa"/>
            <w:gridSpan w:val="2"/>
            <w:vAlign w:val="center"/>
          </w:tcPr>
          <w:p>
            <w:pPr>
              <w:kinsoku/>
              <w:wordWrap w:val="0"/>
              <w:overflowPunct/>
              <w:topLinePunct w:val="0"/>
              <w:bidi w:val="0"/>
              <w:spacing w:beforeLines="0" w:afterLines="0" w:line="440" w:lineRule="exac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方案讲解演示：</w:t>
            </w:r>
          </w:p>
          <w:p>
            <w:pPr>
              <w:spacing w:line="440" w:lineRule="exact"/>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801731539"/>
              </w:sdtPr>
              <w:sdtEndPr>
                <w:rPr>
                  <w:rFonts w:hint="eastAsia" w:ascii="仿宋_GB2312" w:hAnsi="仿宋_GB2312" w:eastAsia="仿宋_GB2312" w:cs="仿宋_GB2312"/>
                  <w:color w:val="auto"/>
                  <w:kern w:val="0"/>
                  <w:sz w:val="24"/>
                  <w:highlight w:val="none"/>
                </w:rPr>
              </w:sdtEndPr>
              <w:sdtContent>
                <w:sdt>
                  <w:sdtPr>
                    <w:rPr>
                      <w:rFonts w:hint="eastAsia" w:ascii="仿宋_GB2312" w:hAnsi="仿宋_GB2312" w:eastAsia="仿宋_GB2312" w:cs="仿宋_GB2312"/>
                      <w:color w:val="auto"/>
                      <w:kern w:val="0"/>
                      <w:sz w:val="24"/>
                      <w:highlight w:val="none"/>
                    </w:rPr>
                    <w:id w:val="118"/>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00FE"/>
                    </w:r>
                  </w:sdtContent>
                </w:sdt>
              </w:sdtContent>
            </w:sdt>
            <w:r>
              <w:rPr>
                <w:rFonts w:hint="eastAsia" w:ascii="仿宋_GB2312" w:hAnsi="仿宋_GB2312" w:eastAsia="仿宋_GB2312" w:cs="仿宋_GB2312"/>
                <w:color w:val="auto"/>
                <w:kern w:val="0"/>
                <w:sz w:val="24"/>
                <w:highlight w:val="none"/>
              </w:rPr>
              <w:t>A</w:t>
            </w:r>
            <w:r>
              <w:rPr>
                <w:rFonts w:hint="eastAsia" w:ascii="仿宋_GB2312" w:hAnsi="仿宋_GB2312" w:eastAsia="仿宋_GB2312" w:cs="仿宋_GB2312"/>
                <w:color w:val="auto"/>
                <w:sz w:val="24"/>
                <w:highlight w:val="none"/>
              </w:rPr>
              <w:t>无方案讲解演示。</w:t>
            </w:r>
          </w:p>
          <w:p>
            <w:pPr>
              <w:kinsoku/>
              <w:wordWrap w:val="0"/>
              <w:overflowPunct/>
              <w:topLinePunct w:val="0"/>
              <w:bidi w:val="0"/>
              <w:spacing w:beforeLines="0" w:afterLines="0" w:line="440" w:lineRule="exac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□B有方案讲解演示：</w:t>
            </w:r>
          </w:p>
          <w:p>
            <w:pPr>
              <w:kinsoku/>
              <w:wordWrap w:val="0"/>
              <w:overflowPunct/>
              <w:topLinePunct w:val="0"/>
              <w:bidi w:val="0"/>
              <w:spacing w:beforeLines="0" w:afterLines="0" w:line="440" w:lineRule="exact"/>
              <w:ind w:left="240" w:hanging="240" w:hangingChars="100"/>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lang w:val="zh-CN"/>
              </w:rPr>
              <w:t>（1）在评标时安排每个供应商进行方案讲解演示。每个供应商时间不超过</w:t>
            </w:r>
            <w:r>
              <w:rPr>
                <w:rFonts w:hint="eastAsia" w:ascii="仿宋_GB2312" w:hAnsi="仿宋_GB2312" w:eastAsia="仿宋_GB2312" w:cs="仿宋_GB2312"/>
                <w:color w:val="auto"/>
                <w:sz w:val="24"/>
                <w:szCs w:val="24"/>
                <w:highlight w:val="none"/>
                <w:u w:val="single"/>
                <w:lang w:val="en-US" w:eastAsia="zh-CN"/>
              </w:rPr>
              <w:t xml:space="preserve"> 20</w:t>
            </w:r>
            <w:r>
              <w:rPr>
                <w:rFonts w:hint="eastAsia" w:ascii="仿宋_GB2312" w:hAnsi="仿宋_GB2312" w:eastAsia="仿宋_GB2312" w:cs="仿宋_GB2312"/>
                <w:color w:val="auto"/>
                <w:sz w:val="24"/>
                <w:szCs w:val="24"/>
                <w:highlight w:val="none"/>
                <w:lang w:val="zh-CN"/>
              </w:rPr>
              <w:t>分钟，讲解次序以投标文件解密时间先后次序为准。讲解演示结束后按要求解答评标委员会提问。</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lang w:val="zh-CN"/>
              </w:rPr>
              <w:t>（2）方案讲解演示可选择以下其中一种方式：</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zh-CN"/>
              </w:rPr>
              <w:t>方式一：政采云平台在线讲解演示。政采云平台在线讲解需供应商根据政采云平台操作要求做好准备工作，提前完善软硬件配置环境。</w:t>
            </w:r>
          </w:p>
          <w:p>
            <w:pPr>
              <w:kinsoku/>
              <w:wordWrap w:val="0"/>
              <w:overflowPunct/>
              <w:topLinePunct w:val="0"/>
              <w:bidi w:val="0"/>
              <w:spacing w:beforeLines="0" w:afterLines="0" w:line="440" w:lineRule="exact"/>
              <w:rPr>
                <w:rFonts w:hint="eastAsia" w:ascii="仿宋_GB2312" w:hAnsi="仿宋_GB2312" w:eastAsia="仿宋_GB2312" w:cs="仿宋_GB2312"/>
                <w:color w:val="auto"/>
                <w:sz w:val="24"/>
                <w:szCs w:val="24"/>
                <w:highlight w:val="none"/>
                <w:lang w:val="zh-CN"/>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zh-CN"/>
              </w:rPr>
              <w:t>方式二：现场讲解演示。现场讲解地点为</w:t>
            </w:r>
            <w:r>
              <w:rPr>
                <w:rFonts w:hint="eastAsia" w:ascii="仿宋_GB2312" w:hAnsi="仿宋_GB2312" w:eastAsia="仿宋_GB2312" w:cs="仿宋_GB2312"/>
                <w:color w:val="auto"/>
                <w:sz w:val="24"/>
                <w:szCs w:val="24"/>
                <w:highlight w:val="none"/>
                <w:u w:val="single"/>
                <w:lang w:val="zh-CN"/>
              </w:rPr>
              <w:t xml:space="preserve">     </w:t>
            </w:r>
            <w:r>
              <w:rPr>
                <w:rFonts w:hint="eastAsia" w:ascii="仿宋_GB2312" w:hAnsi="仿宋_GB2312" w:eastAsia="仿宋_GB2312" w:cs="仿宋_GB2312"/>
                <w:color w:val="auto"/>
                <w:sz w:val="24"/>
                <w:szCs w:val="24"/>
                <w:highlight w:val="none"/>
                <w:lang w:val="zh-CN"/>
              </w:rPr>
              <w:t>，</w:t>
            </w:r>
            <w:r>
              <w:rPr>
                <w:rFonts w:hint="eastAsia" w:ascii="仿宋_GB2312" w:hAnsi="仿宋_GB2312" w:eastAsia="仿宋_GB2312" w:cs="仿宋_GB2312"/>
                <w:color w:val="auto"/>
                <w:kern w:val="0"/>
                <w:sz w:val="24"/>
                <w:highlight w:val="none"/>
                <w:lang w:val="zh-CN"/>
              </w:rPr>
              <w:t>讲解演示人员不超过</w:t>
            </w:r>
            <w:r>
              <w:rPr>
                <w:rFonts w:hint="eastAsia" w:ascii="仿宋_GB2312" w:hAnsi="仿宋_GB2312" w:eastAsia="仿宋_GB2312" w:cs="仿宋_GB2312"/>
                <w:color w:val="auto"/>
                <w:kern w:val="0"/>
                <w:sz w:val="24"/>
                <w:highlight w:val="none"/>
                <w:u w:val="single"/>
                <w:lang w:val="en-US" w:eastAsia="zh-CN"/>
              </w:rPr>
              <w:t>3</w:t>
            </w:r>
            <w:r>
              <w:rPr>
                <w:rFonts w:hint="eastAsia" w:ascii="仿宋_GB2312" w:hAnsi="仿宋_GB2312" w:eastAsia="仿宋_GB2312" w:cs="仿宋_GB2312"/>
                <w:color w:val="auto"/>
                <w:kern w:val="0"/>
                <w:sz w:val="24"/>
                <w:highlight w:val="none"/>
                <w:lang w:val="zh-CN"/>
              </w:rPr>
              <w:t>人。</w:t>
            </w:r>
            <w:r>
              <w:rPr>
                <w:rFonts w:hint="eastAsia" w:ascii="仿宋_GB2312" w:hAnsi="仿宋_GB2312" w:eastAsia="仿宋_GB2312" w:cs="仿宋_GB2312"/>
                <w:color w:val="auto"/>
                <w:sz w:val="24"/>
                <w:szCs w:val="24"/>
                <w:highlight w:val="none"/>
                <w:lang w:val="zh-CN"/>
              </w:rPr>
              <w:t>讲解演示所用电脑等设备由供应商自备。现场讲解演示人员进场时提供讲解人员名单（加盖公章或授权代表签名）及身份证明，否则不得讲解演示。</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进口产品</w:t>
            </w:r>
          </w:p>
        </w:tc>
        <w:tc>
          <w:tcPr>
            <w:tcW w:w="7515" w:type="dxa"/>
            <w:vAlign w:val="center"/>
          </w:tcPr>
          <w:p>
            <w:pPr>
              <w:keepNext w:val="0"/>
              <w:keepLines w:val="0"/>
              <w:pageBreakBefore w:val="0"/>
              <w:widowControl w:val="0"/>
              <w:kinsoku/>
              <w:overflowPunct/>
              <w:topLinePunct w:val="0"/>
              <w:autoSpaceDE/>
              <w:autoSpaceDN/>
              <w:bidi w:val="0"/>
              <w:adjustRightInd w:val="0"/>
              <w:spacing w:line="440" w:lineRule="exact"/>
              <w:textAlignment w:val="auto"/>
              <w:rPr>
                <w:rFonts w:hint="eastAsia" w:ascii="仿宋_GB2312" w:hAnsi="仿宋_GB2312" w:eastAsia="仿宋_GB2312" w:cs="仿宋_GB2312"/>
                <w:color w:val="auto"/>
                <w:kern w:val="0"/>
                <w:sz w:val="24"/>
                <w:highlight w:val="none"/>
              </w:rPr>
            </w:pPr>
            <w:sdt>
              <w:sdtPr>
                <w:rPr>
                  <w:rFonts w:hint="eastAsia" w:ascii="仿宋_GB2312" w:hAnsi="仿宋_GB2312" w:eastAsia="仿宋_GB2312" w:cs="仿宋_GB2312"/>
                  <w:color w:val="auto"/>
                  <w:kern w:val="0"/>
                  <w:sz w:val="24"/>
                  <w:highlight w:val="none"/>
                </w:rPr>
                <w:id w:val="120"/>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F0FE"/>
                </w:r>
              </w:sdtContent>
            </w:sdt>
            <w:r>
              <w:rPr>
                <w:rFonts w:hint="eastAsia" w:ascii="仿宋_GB2312" w:hAnsi="仿宋_GB2312" w:eastAsia="仿宋_GB2312" w:cs="仿宋_GB2312"/>
                <w:color w:val="auto"/>
                <w:kern w:val="0"/>
                <w:sz w:val="24"/>
                <w:highlight w:val="none"/>
              </w:rPr>
              <w:t>本项目不允许采购进口产品。</w:t>
            </w:r>
          </w:p>
          <w:p>
            <w:pPr>
              <w:keepNext w:val="0"/>
              <w:keepLines w:val="0"/>
              <w:pageBreakBefore w:val="0"/>
              <w:widowControl w:val="0"/>
              <w:kinsoku/>
              <w:wordWrap w:val="0"/>
              <w:overflowPunct/>
              <w:topLinePunct w:val="0"/>
              <w:autoSpaceDE/>
              <w:autoSpaceDN/>
              <w:bidi w:val="0"/>
              <w:adjustRightInd w:val="0"/>
              <w:snapToGrid w:val="0"/>
              <w:spacing w:line="440" w:lineRule="exact"/>
              <w:ind w:left="0" w:leftChars="0" w:right="0" w:rightChars="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14" w:leftChars="0" w:right="0" w:rightChars="0" w:hanging="14" w:hangingChars="7"/>
              <w:rPr>
                <w:rFonts w:hint="eastAsia"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项目属性与核心产品</w:t>
            </w:r>
          </w:p>
        </w:tc>
        <w:tc>
          <w:tcPr>
            <w:tcW w:w="751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☐A货物类。</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sdt>
              <w:sdtPr>
                <w:rPr>
                  <w:rFonts w:hint="eastAsia" w:ascii="仿宋_GB2312" w:hAnsi="仿宋_GB2312" w:eastAsia="仿宋_GB2312" w:cs="仿宋_GB2312"/>
                  <w:color w:val="auto"/>
                  <w:kern w:val="0"/>
                  <w:sz w:val="24"/>
                  <w:highlight w:val="none"/>
                </w:rPr>
                <w:id w:val="120"/>
              </w:sdtPr>
              <w:sdtEndPr>
                <w:rPr>
                  <w:rFonts w:hint="eastAsia" w:ascii="仿宋_GB2312" w:hAnsi="仿宋_GB2312" w:eastAsia="仿宋_GB2312" w:cs="仿宋_GB2312"/>
                  <w:color w:val="auto"/>
                  <w:kern w:val="0"/>
                  <w:sz w:val="24"/>
                  <w:highlight w:val="none"/>
                </w:rPr>
              </w:sdtEndPr>
              <w:sdtContent>
                <w:r>
                  <w:rPr>
                    <w:rFonts w:hint="eastAsia" w:ascii="仿宋_GB2312" w:hAnsi="仿宋_GB2312" w:eastAsia="仿宋_GB2312" w:cs="仿宋_GB2312"/>
                    <w:color w:val="auto"/>
                    <w:kern w:val="0"/>
                    <w:sz w:val="24"/>
                    <w:highlight w:val="none"/>
                  </w:rPr>
                  <w:sym w:font="Wingdings" w:char="F0FE"/>
                </w:r>
              </w:sdtContent>
            </w:sdt>
            <w:r>
              <w:rPr>
                <w:rFonts w:hint="eastAsia" w:ascii="仿宋_GB2312" w:hAnsi="仿宋_GB2312" w:eastAsia="仿宋_GB2312" w:cs="仿宋_GB2312"/>
                <w:color w:val="auto"/>
                <w:sz w:val="24"/>
                <w:highlight w:val="none"/>
              </w:rPr>
              <w:t>B服务类，单一产品或核心产品为：</w:t>
            </w:r>
            <w:r>
              <w:rPr>
                <w:rFonts w:hint="eastAsia" w:ascii="仿宋_GB2312" w:hAnsi="仿宋_GB2312" w:eastAsia="仿宋_GB2312" w:cs="仿宋_GB2312"/>
                <w:color w:val="auto"/>
                <w:sz w:val="24"/>
                <w:highlight w:val="none"/>
                <w:u w:val="single"/>
              </w:rPr>
              <w:t xml:space="preserve">  </w:t>
            </w:r>
            <w:r>
              <w:rPr>
                <w:rFonts w:hint="eastAsia" w:ascii="仿宋_GB2312" w:hAnsi="仿宋" w:eastAsia="仿宋_GB2312"/>
                <w:sz w:val="24"/>
                <w:u w:val="single"/>
              </w:rPr>
              <w:t>云主机</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85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hanging="1"/>
              <w:jc w:val="center"/>
              <w:rPr>
                <w:rFonts w:hint="eastAsia"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采购标的对应的中小企业划分标准所属行业</w:t>
            </w:r>
          </w:p>
        </w:tc>
        <w:tc>
          <w:tcPr>
            <w:tcW w:w="751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rPr>
              <w:t>（1）标的：</w:t>
            </w:r>
            <w:r>
              <w:rPr>
                <w:rFonts w:hint="eastAsia" w:ascii="仿宋_GB2312" w:hAnsi="仿宋_GB2312" w:eastAsia="仿宋_GB2312" w:cs="仿宋_GB2312"/>
                <w:color w:val="auto"/>
                <w:kern w:val="0"/>
                <w:sz w:val="24"/>
                <w:highlight w:val="none"/>
                <w:u w:val="single"/>
              </w:rPr>
              <w:t xml:space="preserve"> 01标 </w:t>
            </w:r>
            <w:r>
              <w:rPr>
                <w:rFonts w:hint="eastAsia" w:ascii="仿宋_GB2312" w:hAnsi="仿宋_GB2312" w:eastAsia="仿宋_GB2312" w:cs="仿宋_GB2312"/>
                <w:color w:val="auto"/>
                <w:kern w:val="0"/>
                <w:sz w:val="24"/>
                <w:highlight w:val="none"/>
              </w:rPr>
              <w:t>，属于</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 w:eastAsia="仿宋_GB2312" w:cs="Arial"/>
                <w:kern w:val="0"/>
                <w:sz w:val="24"/>
                <w:u w:val="single"/>
              </w:rPr>
              <w:t>软件和信息技术服务业</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行业；</w:t>
            </w:r>
            <w:r>
              <w:rPr>
                <w:rFonts w:hint="eastAsia" w:ascii="仿宋_GB2312" w:hAnsi="仿宋_GB2312" w:eastAsia="仿宋_GB2312" w:cs="仿宋_GB2312"/>
                <w:color w:val="auto"/>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855" w:type="dxa"/>
            <w:vMerge w:val="restart"/>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投标人信用信息事项</w:t>
            </w:r>
          </w:p>
        </w:tc>
        <w:tc>
          <w:tcPr>
            <w:tcW w:w="751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信用信息查询渠道及截止时间：</w:t>
            </w:r>
            <w:r>
              <w:rPr>
                <w:rFonts w:hint="eastAsia" w:ascii="仿宋_GB2312" w:hAnsi="仿宋_GB2312" w:eastAsia="仿宋_GB2312" w:cs="仿宋_GB2312"/>
                <w:color w:val="auto"/>
                <w:sz w:val="24"/>
                <w:highlight w:val="none"/>
              </w:rPr>
              <w:t>采购人或采购人委托的评审小组或采购代理机构将通过“信用中国”网站(www.creditchina.gov.cn)、中国政府采购网(www.ccgp.gov.cn)渠道查询投标人</w:t>
            </w:r>
            <w:r>
              <w:rPr>
                <w:rFonts w:hint="eastAsia" w:ascii="仿宋_GB2312" w:hAnsi="仿宋_GB2312" w:eastAsia="仿宋_GB2312" w:cs="仿宋_GB2312"/>
                <w:b/>
                <w:color w:val="auto"/>
                <w:sz w:val="24"/>
                <w:highlight w:val="none"/>
              </w:rPr>
              <w:t>开标当天</w:t>
            </w:r>
            <w:r>
              <w:rPr>
                <w:rFonts w:hint="eastAsia" w:ascii="仿宋_GB2312" w:hAnsi="仿宋_GB2312" w:eastAsia="仿宋_GB2312" w:cs="仿宋_GB2312"/>
                <w:color w:val="auto"/>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p>
        </w:tc>
        <w:tc>
          <w:tcPr>
            <w:tcW w:w="855" w:type="dxa"/>
            <w:vMerge w:val="continue"/>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p>
        </w:tc>
        <w:tc>
          <w:tcPr>
            <w:tcW w:w="751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信用信息查询记录和证据留存的具体方式：</w:t>
            </w:r>
            <w:r>
              <w:rPr>
                <w:rFonts w:hint="eastAsia" w:ascii="仿宋_GB2312" w:hAnsi="仿宋_GB2312" w:eastAsia="仿宋_GB2312" w:cs="仿宋_GB2312"/>
                <w:color w:val="auto"/>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p>
        </w:tc>
        <w:tc>
          <w:tcPr>
            <w:tcW w:w="855" w:type="dxa"/>
            <w:vMerge w:val="continue"/>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p>
        </w:tc>
        <w:tc>
          <w:tcPr>
            <w:tcW w:w="7515" w:type="dxa"/>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信用信息的使用规则：</w:t>
            </w:r>
            <w:r>
              <w:rPr>
                <w:rFonts w:hint="eastAsia" w:ascii="仿宋_GB2312" w:hAnsi="仿宋_GB2312" w:eastAsia="仿宋_GB2312" w:cs="仿宋_GB2312"/>
                <w:color w:val="auto"/>
                <w:sz w:val="24"/>
                <w:highlight w:val="none"/>
              </w:rPr>
              <w:t>经查询列入失信被执行人名单、重大税收违法案件当事人名单、政府采购严重违法失信行为记录名单的投标人将被拒绝参与政府采购活动。</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rPr>
              <w:t>4</w:t>
            </w:r>
          </w:p>
        </w:tc>
        <w:tc>
          <w:tcPr>
            <w:tcW w:w="8370"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rPr>
              <w:t>5</w:t>
            </w:r>
          </w:p>
        </w:tc>
        <w:tc>
          <w:tcPr>
            <w:tcW w:w="8370"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16</w:t>
            </w:r>
          </w:p>
        </w:tc>
        <w:tc>
          <w:tcPr>
            <w:tcW w:w="8370" w:type="dxa"/>
            <w:gridSpan w:val="2"/>
            <w:vAlign w:val="center"/>
          </w:tcPr>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投标与开标注意事项：</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1.本项目实行网上投标，采用电子投标文件。若供应商参与投标，自行承担投标一切费用。</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注：供应商CA相关操作可参考政采云平台</w:t>
            </w:r>
            <w:r>
              <w:rPr>
                <w:rFonts w:hint="eastAsia" w:ascii="仿宋_GB2312" w:hAnsi="仿宋_GB2312" w:eastAsia="仿宋_GB2312" w:cs="仿宋_GB2312"/>
                <w:color w:val="auto"/>
                <w:highlight w:val="none"/>
              </w:rPr>
              <w:t>https://www.zcygov.cn/</w:t>
            </w:r>
            <w:r>
              <w:rPr>
                <w:rFonts w:hint="eastAsia" w:ascii="仿宋_GB2312" w:hAnsi="仿宋_GB2312" w:eastAsia="仿宋_GB2312" w:cs="仿宋_GB2312"/>
                <w:color w:val="auto"/>
                <w:sz w:val="24"/>
                <w:highlight w:val="none"/>
              </w:rPr>
              <w:t>《CA申领操作指南》和《CA管理操作指南》。完成CA数字证书办理在资料齐全的情况下预计7个工作日左右，建议供应商获取招标文件后立即办理。</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3.投标文件制作、递交、解密：</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3.2投标人通过“政采云”平台制作电子投标文件，投标文件制作详见“供应商-政府采购项目电子交易操作指南。</w:t>
            </w:r>
          </w:p>
          <w:p>
            <w:pPr>
              <w:keepNext w:val="0"/>
              <w:keepLines w:val="0"/>
              <w:pageBreakBefore w:val="0"/>
              <w:widowControl w:val="0"/>
              <w:kinsoku/>
              <w:wordWrap w:val="0"/>
              <w:overflowPunct/>
              <w:topLinePunct w:val="0"/>
              <w:bidi w:val="0"/>
              <w:adjustRightInd w:val="0"/>
              <w:snapToGri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3.3开标时间后30分钟内供应商可以登录“政采云”平台，用“项目采购-开标评标”功能进行解密投标文件。若供应商</w:t>
            </w:r>
            <w:r>
              <w:rPr>
                <w:rFonts w:hint="eastAsia" w:ascii="仿宋_GB2312" w:hAnsi="仿宋_GB2312" w:eastAsia="仿宋_GB2312" w:cs="仿宋_GB2312"/>
                <w:b/>
                <w:color w:val="auto"/>
                <w:sz w:val="24"/>
                <w:highlight w:val="none"/>
                <w:u w:val="single"/>
              </w:rPr>
              <w:t>未按时解密的</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u w:val="single"/>
              </w:rPr>
              <w:t>视为投标文件撤回</w:t>
            </w: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jc w:val="center"/>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rPr>
              <w:t>7</w:t>
            </w:r>
          </w:p>
        </w:tc>
        <w:tc>
          <w:tcPr>
            <w:tcW w:w="8370" w:type="dxa"/>
            <w:gridSpan w:val="2"/>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特别说明：</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仿宋_GB2312" w:eastAsia="仿宋_GB2312" w:cs="仿宋_GB2312"/>
                <w:b/>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p>
        </w:tc>
        <w:tc>
          <w:tcPr>
            <w:tcW w:w="8370" w:type="dxa"/>
            <w:gridSpan w:val="2"/>
            <w:vAlign w:val="center"/>
          </w:tcPr>
          <w:p>
            <w:pPr>
              <w:adjustRightInd w:val="0"/>
              <w:spacing w:line="440" w:lineRule="exact"/>
              <w:rPr>
                <w:rFonts w:hint="eastAsia" w:ascii="仿宋_GB2312" w:hAnsi="仿宋_GB2312" w:eastAsia="仿宋_GB2312" w:cs="仿宋_GB2312"/>
                <w:snapToGrid w:val="0"/>
                <w:color w:val="auto"/>
                <w:kern w:val="28"/>
                <w:sz w:val="24"/>
                <w:highlight w:val="none"/>
              </w:rPr>
            </w:pPr>
            <w:sdt>
              <w:sdtPr>
                <w:rPr>
                  <w:rFonts w:hint="eastAsia" w:ascii="仿宋_GB2312" w:hAnsi="仿宋_GB2312" w:eastAsia="仿宋_GB2312" w:cs="仿宋_GB2312"/>
                  <w:color w:val="auto"/>
                  <w:kern w:val="0"/>
                  <w:sz w:val="24"/>
                  <w:szCs w:val="21"/>
                  <w:highlight w:val="none"/>
                </w:rPr>
                <w:id w:val="124"/>
              </w:sdtPr>
              <w:sdtEndPr>
                <w:rPr>
                  <w:rFonts w:hint="eastAsia" w:ascii="仿宋_GB2312" w:hAnsi="仿宋_GB2312" w:eastAsia="仿宋_GB2312" w:cs="仿宋_GB2312"/>
                  <w:color w:val="auto"/>
                  <w:kern w:val="0"/>
                  <w:sz w:val="24"/>
                  <w:szCs w:val="21"/>
                  <w:highlight w:val="none"/>
                </w:rPr>
              </w:sdtEndPr>
              <w:sdtContent>
                <w:r>
                  <w:rPr>
                    <w:rFonts w:hint="eastAsia" w:ascii="仿宋_GB2312" w:hAnsi="仿宋_GB2312" w:eastAsia="仿宋_GB2312" w:cs="仿宋_GB2312"/>
                    <w:color w:val="auto"/>
                    <w:kern w:val="0"/>
                    <w:sz w:val="24"/>
                    <w:highlight w:val="none"/>
                  </w:rPr>
                  <w:sym w:font="Wingdings" w:char="F0FE"/>
                </w:r>
              </w:sdtContent>
            </w:sdt>
            <w:r>
              <w:rPr>
                <w:rFonts w:hint="eastAsia" w:ascii="仿宋_GB2312" w:hAnsi="仿宋_GB2312" w:eastAsia="仿宋_GB2312" w:cs="仿宋_GB2312"/>
                <w:snapToGrid w:val="0"/>
                <w:color w:val="auto"/>
                <w:kern w:val="28"/>
                <w:sz w:val="24"/>
                <w:highlight w:val="none"/>
              </w:rPr>
              <w:t>联合体投标的，联合体各方均需按招标文件第五部分评标标准要求提供资信证明文件，否则视为不符合相关要求。</w:t>
            </w:r>
          </w:p>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sdt>
              <w:sdtPr>
                <w:rPr>
                  <w:rFonts w:hint="eastAsia" w:ascii="仿宋_GB2312" w:hAnsi="仿宋_GB2312" w:eastAsia="仿宋_GB2312" w:cs="仿宋_GB2312"/>
                  <w:color w:val="auto"/>
                  <w:kern w:val="0"/>
                  <w:sz w:val="24"/>
                  <w:szCs w:val="21"/>
                  <w:highlight w:val="none"/>
                </w:rPr>
                <w:id w:val="125"/>
              </w:sdtPr>
              <w:sdtEndPr>
                <w:rPr>
                  <w:rFonts w:hint="eastAsia" w:ascii="仿宋_GB2312" w:hAnsi="仿宋_GB2312" w:eastAsia="仿宋_GB2312" w:cs="仿宋_GB2312"/>
                  <w:color w:val="auto"/>
                  <w:kern w:val="0"/>
                  <w:sz w:val="24"/>
                  <w:szCs w:val="21"/>
                  <w:highlight w:val="none"/>
                </w:rPr>
              </w:sdtEndPr>
              <w:sdtContent>
                <w:r>
                  <w:rPr>
                    <w:rFonts w:hint="eastAsia" w:ascii="仿宋_GB2312" w:hAnsi="仿宋_GB2312" w:eastAsia="仿宋_GB2312" w:cs="仿宋_GB2312"/>
                    <w:color w:val="auto"/>
                    <w:kern w:val="0"/>
                    <w:sz w:val="24"/>
                    <w:highlight w:val="none"/>
                  </w:rPr>
                  <w:t>☐</w:t>
                </w:r>
              </w:sdtContent>
            </w:sdt>
            <w:r>
              <w:rPr>
                <w:rFonts w:hint="eastAsia" w:ascii="仿宋_GB2312" w:hAnsi="仿宋_GB2312" w:eastAsia="仿宋_GB2312" w:cs="仿宋_GB2312"/>
                <w:snapToGrid w:val="0"/>
                <w:color w:val="auto"/>
                <w:kern w:val="28"/>
                <w:sz w:val="24"/>
                <w:highlight w:val="none"/>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kinsoku/>
              <w:wordWrap w:val="0"/>
              <w:overflowPunct/>
              <w:topLinePunct w:val="0"/>
              <w:bidi w:val="0"/>
              <w:snapToGrid w:val="0"/>
              <w:spacing w:line="336" w:lineRule="auto"/>
              <w:jc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highlight w:val="none"/>
                <w:lang w:val="en-US" w:eastAsia="zh-CN"/>
              </w:rPr>
              <w:t>18</w:t>
            </w:r>
          </w:p>
        </w:tc>
        <w:tc>
          <w:tcPr>
            <w:tcW w:w="8370" w:type="dxa"/>
            <w:gridSpan w:val="2"/>
            <w:vAlign w:val="center"/>
          </w:tcPr>
          <w:p>
            <w:pPr>
              <w:kinsoku/>
              <w:wordWrap w:val="0"/>
              <w:overflowPunct/>
              <w:topLinePunct w:val="0"/>
              <w:bidi w:val="0"/>
              <w:spacing w:line="336" w:lineRule="auto"/>
              <w:rPr>
                <w:rFonts w:hint="eastAsia" w:ascii="仿宋_GB2312" w:hAnsi="仿宋_GB2312" w:eastAsia="仿宋_GB2312" w:cs="仿宋_GB2312"/>
                <w:color w:val="auto"/>
                <w:kern w:val="2"/>
                <w:sz w:val="21"/>
                <w:szCs w:val="24"/>
                <w:highlight w:val="none"/>
                <w:lang w:val="en-US" w:eastAsia="zh-CN" w:bidi="ar-SA"/>
              </w:rPr>
            </w:pPr>
            <w:r>
              <w:rPr>
                <w:rFonts w:hint="eastAsia" w:ascii="仿宋_GB2312" w:hAnsi="仿宋_GB2312" w:eastAsia="仿宋_GB2312" w:cs="仿宋_GB2312"/>
                <w:b/>
                <w:color w:val="auto"/>
                <w:sz w:val="24"/>
                <w:highlight w:val="none"/>
              </w:rPr>
              <w:t>采购代理服务费：</w:t>
            </w:r>
            <w:r>
              <w:rPr>
                <w:rFonts w:hint="eastAsia" w:ascii="仿宋_GB2312" w:hAnsi="仿宋_GB2312" w:eastAsia="仿宋_GB2312" w:cs="仿宋_GB2312"/>
                <w:b/>
                <w:color w:val="auto"/>
                <w:sz w:val="24"/>
                <w:highlight w:val="no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val="0"/>
              <w:overflowPunct/>
              <w:topLinePunct w:val="0"/>
              <w:bidi w:val="0"/>
              <w:adjustRightInd w:val="0"/>
              <w:spacing w:line="440" w:lineRule="exact"/>
              <w:ind w:left="0" w:leftChars="0" w:right="0" w:rightChars="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注：中标人放弃中标资格或因质疑、投诉被取消中标资格或不能履行合同的，本项目重新组织采购。</w:t>
            </w:r>
          </w:p>
        </w:tc>
      </w:tr>
      <w:bookmarkEnd w:id="4"/>
    </w:tbl>
    <w:p>
      <w:pPr>
        <w:keepNext w:val="0"/>
        <w:keepLines w:val="0"/>
        <w:pageBreakBefore w:val="0"/>
        <w:widowControl w:val="0"/>
        <w:kinsoku/>
        <w:wordWrap w:val="0"/>
        <w:overflowPunct/>
        <w:topLinePunct w:val="0"/>
        <w:autoSpaceDE/>
        <w:autoSpaceDN/>
        <w:bidi w:val="0"/>
        <w:adjustRightInd/>
        <w:snapToGrid/>
        <w:spacing w:line="360" w:lineRule="auto"/>
        <w:jc w:val="center"/>
        <w:textAlignment w:val="auto"/>
        <w:outlineLvl w:val="0"/>
        <w:rPr>
          <w:rFonts w:hint="eastAsia" w:ascii="仿宋_GB2312" w:hAnsi="仿宋_GB2312" w:eastAsia="仿宋_GB2312" w:cs="仿宋_GB2312"/>
          <w:b/>
          <w:color w:val="auto"/>
          <w:sz w:val="32"/>
          <w:szCs w:val="32"/>
          <w:highlight w:val="none"/>
        </w:rPr>
      </w:pPr>
      <w:bookmarkStart w:id="17" w:name="第三部分"/>
      <w:bookmarkStart w:id="18" w:name="_Toc164416483"/>
      <w:r>
        <w:rPr>
          <w:rFonts w:hint="eastAsia" w:ascii="仿宋_GB2312" w:hAnsi="仿宋_GB2312" w:eastAsia="仿宋_GB2312" w:cs="仿宋_GB2312"/>
          <w:b/>
          <w:color w:val="auto"/>
          <w:sz w:val="32"/>
          <w:szCs w:val="32"/>
          <w:highlight w:val="none"/>
        </w:rPr>
        <w:t>一、总则</w:t>
      </w:r>
    </w:p>
    <w:p>
      <w:pPr>
        <w:keepNext w:val="0"/>
        <w:keepLines w:val="0"/>
        <w:pageBreakBefore w:val="0"/>
        <w:kinsoku/>
        <w:wordWrap w:val="0"/>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1.适用范围</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val="0"/>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2.定义</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 “采购人”系指招标公告中载明的本项目的采购人。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 “</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”系指招标公告中载明的本项目的</w:t>
      </w:r>
      <w:r>
        <w:rPr>
          <w:rFonts w:hint="eastAsia" w:ascii="仿宋_GB2312" w:hAnsi="仿宋_GB2312" w:eastAsia="仿宋_GB2312" w:cs="仿宋_GB2312"/>
          <w:color w:val="auto"/>
          <w:sz w:val="24"/>
          <w:highlight w:val="none"/>
          <w:lang w:eastAsia="zh-CN"/>
        </w:rPr>
        <w:t>采购代理机构</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 “投标人”“供应商”系指是指响应招标、参加投标竞争的法人、其他组织或者自然人。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2.4</w:t>
      </w:r>
      <w:r>
        <w:rPr>
          <w:rFonts w:hint="eastAsia" w:ascii="仿宋_GB2312" w:hAnsi="仿宋_GB2312" w:eastAsia="仿宋_GB2312" w:cs="仿宋_GB2312"/>
          <w:color w:val="auto"/>
          <w:sz w:val="24"/>
          <w:highlight w:val="none"/>
        </w:rPr>
        <w:t>“监督单位”系指政府采购法定义监督管理部门</w:t>
      </w:r>
      <w:r>
        <w:rPr>
          <w:rFonts w:hint="eastAsia" w:ascii="仿宋_GB2312" w:hAnsi="仿宋_GB2312" w:eastAsia="仿宋_GB2312" w:cs="仿宋_GB2312"/>
          <w:color w:val="auto"/>
          <w:sz w:val="24"/>
          <w:highlight w:val="none"/>
          <w:lang w:val="en-US" w:eastAsia="zh-CN"/>
        </w:rPr>
        <w:t>。</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 xml:space="preserve"> “负责人”系指法人企业的法定负责人，或其他组织为法律、行政法规规定代表单位行使职权的主要负责人，或自然人本人。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6</w:t>
      </w:r>
      <w:r>
        <w:rPr>
          <w:rFonts w:hint="eastAsia" w:ascii="仿宋_GB2312" w:hAnsi="仿宋_GB2312" w:eastAsia="仿宋_GB2312" w:cs="仿宋_GB2312"/>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“电子交易平台”</w:t>
      </w:r>
      <w:r>
        <w:rPr>
          <w:rFonts w:hint="eastAsia" w:ascii="仿宋_GB2312" w:hAnsi="仿宋_GB2312" w:eastAsia="仿宋_GB2312" w:cs="仿宋_GB2312"/>
          <w:color w:val="auto"/>
          <w:sz w:val="24"/>
          <w:highlight w:val="none"/>
          <w:lang w:val="en-US" w:eastAsia="zh-CN"/>
        </w:rPr>
        <w:t>系</w:t>
      </w:r>
      <w:r>
        <w:rPr>
          <w:rFonts w:hint="eastAsia" w:ascii="仿宋_GB2312" w:hAnsi="仿宋_GB2312" w:eastAsia="仿宋_GB2312" w:cs="仿宋_GB2312"/>
          <w:color w:val="auto"/>
          <w:sz w:val="24"/>
          <w:highlight w:val="none"/>
        </w:rPr>
        <w:t>指本项目政府采购活动所依托的政府采购云平台（https://www.zcygov.cn/）。</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8</w:t>
      </w:r>
      <w:r>
        <w:rPr>
          <w:rFonts w:hint="eastAsia" w:ascii="仿宋_GB2312" w:hAnsi="仿宋_GB2312" w:eastAsia="仿宋_GB2312" w:cs="仿宋_GB2312"/>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sz w:val="24"/>
          <w:highlight w:val="none"/>
        </w:rPr>
        <w:t>”系指适用本项目的要求，“☐”系指不适用本项目的要求。</w:t>
      </w:r>
    </w:p>
    <w:p>
      <w:pPr>
        <w:kinsoku/>
        <w:wordWrap w:val="0"/>
        <w:overflowPunct/>
        <w:topLinePunct w:val="0"/>
        <w:bidi w:val="0"/>
        <w:spacing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3.采购项目需要落实的政府采购政策</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 支持绿色发展</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kinsoku/>
        <w:wordWrap w:val="0"/>
        <w:overflowPunct/>
        <w:topLinePunct w:val="0"/>
        <w:bidi w:val="0"/>
        <w:spacing w:line="440" w:lineRule="exact"/>
        <w:ind w:firstLine="480"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★3.2.2</w:t>
      </w:r>
      <w:r>
        <w:rPr>
          <w:rFonts w:hint="eastAsia" w:ascii="仿宋_GB2312" w:hAnsi="仿宋_GB2312" w:eastAsia="仿宋_GB2312" w:cs="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3.2.3 纳入政府采购管理的修缮、装修类项目采购建材的，采购单位</w:t>
      </w:r>
      <w:r>
        <w:rPr>
          <w:rFonts w:hint="eastAsia" w:ascii="仿宋_GB2312" w:hAnsi="仿宋_GB2312" w:eastAsia="仿宋_GB2312" w:cs="仿宋_GB2312"/>
          <w:color w:val="auto"/>
          <w:sz w:val="24"/>
          <w:highlight w:val="none"/>
          <w:lang w:eastAsia="zh-CN"/>
        </w:rPr>
        <w:t>应</w:t>
      </w:r>
      <w:r>
        <w:rPr>
          <w:rFonts w:hint="eastAsia" w:ascii="仿宋_GB2312" w:hAnsi="仿宋_GB2312" w:eastAsia="仿宋_GB2312" w:cs="仿宋_GB2312"/>
          <w:color w:val="auto"/>
          <w:sz w:val="24"/>
          <w:highlight w:val="none"/>
        </w:rPr>
        <w:t>将绿色建材性能、指标等作为实质性条件纳入采购文件和合同，具体性能指标要求</w:t>
      </w:r>
      <w:r>
        <w:rPr>
          <w:rFonts w:hint="eastAsia" w:ascii="仿宋_GB2312" w:hAnsi="仿宋_GB2312" w:eastAsia="仿宋_GB2312" w:cs="仿宋_GB2312"/>
          <w:color w:val="auto"/>
          <w:sz w:val="24"/>
          <w:highlight w:val="none"/>
          <w:lang w:eastAsia="zh-CN"/>
        </w:rPr>
        <w:t>按照</w:t>
      </w:r>
      <w:r>
        <w:rPr>
          <w:rFonts w:hint="eastAsia" w:ascii="仿宋_GB2312" w:hAnsi="仿宋_GB2312" w:eastAsia="仿宋_GB2312" w:cs="仿宋_GB2312"/>
          <w:color w:val="auto"/>
          <w:sz w:val="24"/>
          <w:highlight w:val="none"/>
        </w:rPr>
        <w:t>相关绿色建材政府采购需求标准</w:t>
      </w:r>
      <w:r>
        <w:rPr>
          <w:rFonts w:hint="eastAsia" w:ascii="仿宋_GB2312" w:hAnsi="仿宋_GB2312" w:eastAsia="仿宋_GB2312" w:cs="仿宋_GB2312"/>
          <w:color w:val="auto"/>
          <w:sz w:val="24"/>
          <w:highlight w:val="none"/>
          <w:lang w:eastAsia="zh-CN"/>
        </w:rPr>
        <w:t>执行</w:t>
      </w:r>
      <w:r>
        <w:rPr>
          <w:rFonts w:hint="eastAsia" w:ascii="仿宋_GB2312" w:hAnsi="仿宋_GB2312" w:eastAsia="仿宋_GB2312" w:cs="仿宋_GB2312"/>
          <w:color w:val="auto"/>
          <w:sz w:val="24"/>
          <w:highlight w:val="none"/>
        </w:rPr>
        <w:t>。</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3.2.5</w:t>
      </w:r>
      <w:r>
        <w:rPr>
          <w:rFonts w:hint="eastAsia" w:ascii="仿宋_GB2312" w:hAnsi="仿宋_GB2312" w:eastAsia="仿宋_GB2312" w:cs="仿宋_GB2312"/>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_GB2312" w:hAnsi="仿宋_GB2312" w:eastAsia="仿宋_GB2312" w:cs="仿宋_GB2312"/>
          <w:color w:val="auto"/>
          <w:sz w:val="24"/>
          <w:highlight w:val="none"/>
          <w:lang w:eastAsia="zh-CN"/>
        </w:rPr>
        <w:t>采购人</w:t>
      </w:r>
      <w:r>
        <w:rPr>
          <w:rFonts w:hint="eastAsia" w:ascii="仿宋_GB2312" w:hAnsi="仿宋_GB2312" w:eastAsia="仿宋_GB2312" w:cs="仿宋_GB2312"/>
          <w:color w:val="auto"/>
          <w:sz w:val="24"/>
          <w:highlight w:val="none"/>
        </w:rPr>
        <w:t>登记报备绿色编码，未申领绿色编码的柴油动力移动源不得进入作业现场施工。</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w:t>
      </w:r>
      <w:r>
        <w:rPr>
          <w:rFonts w:hint="eastAsia" w:ascii="仿宋_GB2312" w:hAnsi="仿宋_GB2312" w:eastAsia="仿宋_GB2312" w:cs="仿宋_GB2312"/>
          <w:bCs/>
          <w:color w:val="auto"/>
          <w:sz w:val="24"/>
          <w:highlight w:val="none"/>
        </w:rPr>
        <w:t>小微</w:t>
      </w:r>
      <w:r>
        <w:rPr>
          <w:rFonts w:hint="eastAsia" w:ascii="仿宋_GB2312" w:hAnsi="仿宋_GB2312" w:eastAsia="仿宋_GB2312" w:cs="仿宋_GB2312"/>
          <w:color w:val="auto"/>
          <w:sz w:val="24"/>
          <w:highlight w:val="none"/>
        </w:rPr>
        <w:t>企业价格扣除</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color w:val="auto"/>
          <w:sz w:val="24"/>
          <w:highlight w:val="none"/>
        </w:rPr>
        <w:t>3.3.1小微企业是指</w:t>
      </w:r>
      <w:r>
        <w:rPr>
          <w:rFonts w:hint="eastAsia" w:ascii="仿宋_GB2312" w:hAnsi="仿宋_GB2312" w:eastAsia="仿宋_GB2312" w:cs="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符合中小企业划分标准的个体工商户，在政府采购活动中视同中小企业。</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3.3.2在货物采购项目中，货物由小微企业制造，即货物由小微企业生产且使用该小微企业商号或者注册商标。</w:t>
      </w:r>
      <w:r>
        <w:rPr>
          <w:rFonts w:hint="eastAsia" w:ascii="仿宋_GB2312" w:hAnsi="仿宋_GB2312" w:eastAsia="仿宋_GB2312" w:cs="仿宋_GB2312"/>
          <w:b/>
          <w:bCs/>
          <w:color w:val="auto"/>
          <w:sz w:val="24"/>
          <w:highlight w:val="none"/>
        </w:rPr>
        <w:t>供应商提供的货物既有中小企业制造货物，也有大型企业制造货物的，不享受中小企业扶持政策。</w:t>
      </w:r>
    </w:p>
    <w:p>
      <w:pPr>
        <w:kinsoku/>
        <w:wordWrap w:val="0"/>
        <w:overflowPunct/>
        <w:topLinePunct w:val="0"/>
        <w:bidi w:val="0"/>
        <w:spacing w:line="440" w:lineRule="exact"/>
        <w:ind w:firstLine="480" w:firstLineChars="200"/>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3.3.3在服务采购项目中，服务由小微企业承接，即提供服务的人员为小微企业依照《中华人民共和国劳动合同法》订立劳动合同的从业人员。</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3.3.4小微企业应按照招标文件格式要求提供《中小企业声明函》。</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的扣除，用扣除后的价格参加评审。</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kinsoku/>
        <w:wordWrap w:val="0"/>
        <w:overflowPunct/>
        <w:topLinePunct w:val="0"/>
        <w:bidi w:val="0"/>
        <w:spacing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以联合体形式参加政府采购活动， 联合体各方均为中小企业的，联合体视同中小企业。其中，联合体各方均为小微企业的，联合体视同小微企业。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3.3.7符合《关于促进残疾人就业政府采购政策的通知》（财库〔2017〕141号）规定的条件并提供《残疾人福利性单位声明函》的残疾人福利性单位视同小微企业；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3.4</w:t>
      </w:r>
      <w:r>
        <w:rPr>
          <w:rFonts w:hint="eastAsia" w:ascii="仿宋_GB2312" w:hAnsi="仿宋_GB2312" w:eastAsia="仿宋_GB2312" w:cs="仿宋_GB2312"/>
          <w:bCs/>
          <w:color w:val="auto"/>
          <w:sz w:val="24"/>
          <w:highlight w:val="none"/>
        </w:rPr>
        <w:t>支持科技创新发展</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对省级以上主管部门认定的首台套产品，自纳入《省推广应用指导目录》起三年内参加政府采购活动，视同已具备相应销售业绩，业绩分为满分。</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3.5平等对待内外资企业和符合条件的破产重整企业</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平等对待内外资企业和符合条件的破产重整企业，切实保障企业公平竞争，平等维护企业的合法利益。</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★4.特别说明：</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4.1供应商投标所使用的资格、信誉、荣誉与企业认证必须为投标单位所拥有。供应商投标所使用的采购项目实施人员必须为投标单位正式员工。</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4.2供应商应仔细阅读招标文件的所有内容，按照招标文件的要求提交投标文件，并对所提供的全部资料的真实性承担法律责任。</w:t>
      </w:r>
    </w:p>
    <w:p>
      <w:pPr>
        <w:kinsoku/>
        <w:wordWrap w:val="0"/>
        <w:overflowPunct/>
        <w:topLinePunct w:val="0"/>
        <w:bidi w:val="0"/>
        <w:spacing w:line="440" w:lineRule="exact"/>
        <w:ind w:firstLine="48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keepNext w:val="0"/>
        <w:keepLines w:val="0"/>
        <w:pageBreakBefore w:val="0"/>
        <w:widowControl w:val="0"/>
        <w:kinsoku/>
        <w:wordWrap w:val="0"/>
        <w:overflowPunct/>
        <w:topLinePunct w:val="0"/>
        <w:autoSpaceDE/>
        <w:autoSpaceDN/>
        <w:bidi w:val="0"/>
        <w:adjustRightInd/>
        <w:snapToGrid/>
        <w:spacing w:beforeAutospacing="0" w:line="360" w:lineRule="auto"/>
        <w:ind w:left="0" w:leftChars="0"/>
        <w:jc w:val="center"/>
        <w:textAlignment w:val="auto"/>
        <w:outlineLvl w:val="0"/>
        <w:rPr>
          <w:rFonts w:hint="eastAsia" w:ascii="仿宋_GB2312" w:hAnsi="仿宋_GB2312" w:eastAsia="仿宋_GB2312" w:cs="仿宋_GB2312"/>
          <w:b/>
          <w:color w:val="auto"/>
          <w:sz w:val="32"/>
          <w:szCs w:val="32"/>
          <w:highlight w:val="none"/>
        </w:rPr>
      </w:pPr>
    </w:p>
    <w:p>
      <w:pPr>
        <w:keepNext w:val="0"/>
        <w:keepLines w:val="0"/>
        <w:pageBreakBefore w:val="0"/>
        <w:widowControl w:val="0"/>
        <w:kinsoku/>
        <w:wordWrap w:val="0"/>
        <w:overflowPunct/>
        <w:topLinePunct w:val="0"/>
        <w:autoSpaceDE/>
        <w:autoSpaceDN/>
        <w:bidi w:val="0"/>
        <w:adjustRightInd/>
        <w:snapToGrid/>
        <w:spacing w:beforeAutospacing="0" w:line="360" w:lineRule="auto"/>
        <w:ind w:left="0" w:leftChars="0"/>
        <w:jc w:val="center"/>
        <w:textAlignment w:val="auto"/>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二、招标文件</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1．招标方式</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 本次招标采用公开招标方式进行。</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 如某一标项投标人或实质性响应招标文件的投标人不足三家时，由采购人重新组织招标或按有关规定实施。</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 本次招标设定限价，即招标公告中公布的各标项预算金额或最高限价（各标项之间的预算金额不能互相调整）。</w:t>
      </w:r>
    </w:p>
    <w:p>
      <w:pPr>
        <w:pStyle w:val="3"/>
        <w:keepNext w:val="0"/>
        <w:keepLines w:val="0"/>
        <w:pageBreakBefore w:val="0"/>
        <w:kinsoku/>
        <w:wordWrap w:val="0"/>
        <w:overflowPunct/>
        <w:topLinePunct w:val="0"/>
        <w:autoSpaceDE/>
        <w:autoSpaceDN/>
        <w:bidi w:val="0"/>
        <w:snapToGrid w:val="0"/>
        <w:spacing w:line="440" w:lineRule="exact"/>
        <w:ind w:left="0" w:leftChars="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2.授权委托</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本项目为电子投标项目，投标人的法定代表人或其授权代表或个体工商户不需要参加现场投标和开标。</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3.投标费用</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投标人应自行承担编制投标文件及参加本次投标所涉及的一切费用。不管投标结果如何，招标人对上述费用不负任何责任。</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4.招标文件的修改</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4.1招标文件包括本招标文件及所有的招标答疑记录（澄清、修改）和发出的补充通知。</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4.2招标文件的澄清 </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4.3招标文件的修改</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5.参考品牌</w:t>
      </w:r>
    </w:p>
    <w:p>
      <w:pPr>
        <w:keepNext w:val="0"/>
        <w:keepLines w:val="0"/>
        <w:pageBreakBefore w:val="0"/>
        <w:widowControl w:val="0"/>
        <w:kinsoku/>
        <w:wordWrap w:val="0"/>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pPr>
        <w:pStyle w:val="4"/>
        <w:keepNext w:val="0"/>
        <w:keepLines w:val="0"/>
        <w:pageBreakBefore w:val="0"/>
        <w:widowControl w:val="0"/>
        <w:kinsoku/>
        <w:wordWrap w:val="0"/>
        <w:overflowPunct/>
        <w:topLinePunct w:val="0"/>
        <w:bidi w:val="0"/>
        <w:snapToGrid/>
        <w:spacing w:beforeAutospacing="0" w:line="360" w:lineRule="auto"/>
        <w:ind w:left="0" w:leftChars="0"/>
        <w:textAlignment w:val="auto"/>
        <w:rPr>
          <w:rFonts w:hint="eastAsia" w:ascii="仿宋_GB2312" w:hAnsi="仿宋_GB2312" w:eastAsia="仿宋_GB2312" w:cs="仿宋_GB2312"/>
          <w:color w:val="auto"/>
          <w:sz w:val="32"/>
          <w:szCs w:val="32"/>
          <w:highlight w:val="none"/>
          <w:lang w:val="en-US"/>
        </w:rPr>
      </w:pPr>
      <w:r>
        <w:rPr>
          <w:rFonts w:hint="eastAsia" w:ascii="仿宋_GB2312" w:hAnsi="仿宋_GB2312" w:eastAsia="仿宋_GB2312" w:cs="仿宋_GB2312"/>
          <w:color w:val="auto"/>
          <w:szCs w:val="24"/>
          <w:highlight w:val="none"/>
          <w:lang w:val="en-US"/>
        </w:rPr>
        <w:t xml:space="preserve">  </w:t>
      </w:r>
      <w:r>
        <w:rPr>
          <w:rFonts w:hint="eastAsia" w:ascii="仿宋_GB2312" w:hAnsi="仿宋_GB2312" w:eastAsia="仿宋_GB2312" w:cs="仿宋_GB2312"/>
          <w:color w:val="auto"/>
          <w:sz w:val="32"/>
          <w:szCs w:val="32"/>
          <w:highlight w:val="none"/>
          <w:lang w:val="en-US"/>
        </w:rPr>
        <w:t xml:space="preserve">  </w:t>
      </w:r>
    </w:p>
    <w:p>
      <w:pPr>
        <w:keepNext w:val="0"/>
        <w:keepLines w:val="0"/>
        <w:pageBreakBefore w:val="0"/>
        <w:widowControl w:val="0"/>
        <w:kinsoku/>
        <w:wordWrap w:val="0"/>
        <w:overflowPunct/>
        <w:topLinePunct w:val="0"/>
        <w:autoSpaceDE/>
        <w:autoSpaceDN/>
        <w:bidi w:val="0"/>
        <w:adjustRightInd/>
        <w:snapToGrid/>
        <w:spacing w:beforeAutospacing="0" w:line="360" w:lineRule="auto"/>
        <w:ind w:left="0" w:leftChars="0"/>
        <w:jc w:val="center"/>
        <w:textAlignment w:val="auto"/>
        <w:outlineLvl w:val="0"/>
        <w:rPr>
          <w:rFonts w:hint="eastAsia" w:ascii="仿宋_GB2312" w:hAnsi="仿宋_GB2312" w:eastAsia="仿宋_GB2312" w:cs="仿宋_GB2312"/>
          <w:b/>
          <w:color w:val="auto"/>
          <w:sz w:val="32"/>
          <w:szCs w:val="32"/>
          <w:highlight w:val="none"/>
          <w:lang w:eastAsia="zh-CN"/>
        </w:rPr>
      </w:pPr>
      <w:r>
        <w:rPr>
          <w:rFonts w:hint="eastAsia" w:ascii="仿宋_GB2312" w:hAnsi="仿宋_GB2312" w:eastAsia="仿宋_GB2312" w:cs="仿宋_GB2312"/>
          <w:b/>
          <w:color w:val="auto"/>
          <w:sz w:val="32"/>
          <w:szCs w:val="32"/>
          <w:highlight w:val="none"/>
        </w:rPr>
        <w:t>三、投标</w:t>
      </w:r>
      <w:r>
        <w:rPr>
          <w:rFonts w:hint="eastAsia" w:ascii="仿宋_GB2312" w:hAnsi="仿宋_GB2312" w:eastAsia="仿宋_GB2312" w:cs="仿宋_GB2312"/>
          <w:b/>
          <w:color w:val="auto"/>
          <w:sz w:val="32"/>
          <w:szCs w:val="32"/>
          <w:highlight w:val="none"/>
          <w:lang w:eastAsia="zh-CN"/>
        </w:rPr>
        <w:t>文件</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1.</w:t>
      </w:r>
      <w:r>
        <w:rPr>
          <w:rFonts w:hint="eastAsia" w:ascii="仿宋_GB2312" w:hAnsi="仿宋_GB2312" w:eastAsia="仿宋_GB2312" w:cs="仿宋_GB2312"/>
          <w:b/>
          <w:bCs/>
          <w:color w:val="auto"/>
          <w:sz w:val="24"/>
          <w:highlight w:val="none"/>
        </w:rPr>
        <w:t>投标文件的语言、计量单位、形式及效力</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1.1投标人应仔细阅读招标文件中的所有内容，按照招标文件要求，详细编制投标文件，并保证投标文件的正确性和真实性。</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 投标文件以及投标方与招标方就有关投标事宜的所有来往函电，均应以中文书写（技术术语除外）。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 投标计量单位，除招标文件中有特殊要求外，应采用中华人民共和国法定计量单位，货币单位：人民币元。</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1.4不按招标文件的要求提供的投标文件可能导致被拒绝。</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1.5投标文件的形式和效力</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1.5.1投标文件为电子投标文件，电子投标文件按“政采云供应商项目采购-电子招投标操作指南”及本招标文件要求制作、加密传输。</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u w:val="single"/>
        </w:rPr>
      </w:pPr>
      <w:r>
        <w:rPr>
          <w:rFonts w:hint="eastAsia" w:ascii="仿宋_GB2312" w:hAnsi="仿宋_GB2312" w:eastAsia="仿宋_GB2312" w:cs="仿宋_GB2312"/>
          <w:b/>
          <w:color w:val="auto"/>
          <w:sz w:val="24"/>
          <w:highlight w:val="none"/>
          <w:u w:val="single"/>
        </w:rPr>
        <w:t>1.5.2投标文件的效力：</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u w:val="single"/>
        </w:rPr>
      </w:pPr>
      <w:r>
        <w:rPr>
          <w:rFonts w:hint="eastAsia" w:ascii="仿宋_GB2312" w:hAnsi="仿宋_GB2312" w:eastAsia="仿宋_GB2312" w:cs="仿宋_GB2312"/>
          <w:b/>
          <w:color w:val="auto"/>
          <w:sz w:val="24"/>
          <w:highlight w:val="none"/>
          <w:u w:val="single"/>
        </w:rPr>
        <w:t>投标文件未在投标截止时间前完成传输的，视为投标文件撤回；投标文件未按时解密，亦视为投标文件撤回。</w:t>
      </w:r>
    </w:p>
    <w:p>
      <w:pPr>
        <w:pStyle w:val="34"/>
        <w:keepNext w:val="0"/>
        <w:keepLines w:val="0"/>
        <w:pageBreakBefore w:val="0"/>
        <w:widowControl w:val="0"/>
        <w:kinsoku/>
        <w:wordWrap w:val="0"/>
        <w:overflowPunct/>
        <w:topLinePunct w:val="0"/>
        <w:autoSpaceDE/>
        <w:autoSpaceDN/>
        <w:bidi w:val="0"/>
        <w:adjustRightInd w:val="0"/>
        <w:spacing w:beforeAutospacing="0" w:line="440" w:lineRule="exact"/>
        <w:ind w:firstLine="482" w:firstLineChars="200"/>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lang w:val="en-US" w:eastAsia="zh-CN"/>
        </w:rPr>
        <w:t>2</w:t>
      </w:r>
      <w:r>
        <w:rPr>
          <w:rFonts w:hint="eastAsia" w:ascii="仿宋_GB2312" w:hAnsi="仿宋_GB2312" w:eastAsia="仿宋_GB2312" w:cs="仿宋_GB2312"/>
          <w:b/>
          <w:color w:val="auto"/>
          <w:sz w:val="24"/>
          <w:szCs w:val="24"/>
          <w:highlight w:val="none"/>
        </w:rPr>
        <w:t>.投标文件的组成</w:t>
      </w:r>
    </w:p>
    <w:p>
      <w:pPr>
        <w:kinsoku/>
        <w:wordWrap w:val="0"/>
        <w:overflowPunct/>
        <w:topLinePunct w:val="0"/>
        <w:bidi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投标文件由</w:t>
      </w:r>
      <w:r>
        <w:rPr>
          <w:rFonts w:hint="eastAsia" w:ascii="仿宋_GB2312" w:hAnsi="仿宋_GB2312" w:eastAsia="仿宋_GB2312" w:cs="仿宋_GB2312"/>
          <w:color w:val="auto"/>
          <w:sz w:val="24"/>
          <w:highlight w:val="none"/>
          <w:lang w:eastAsia="zh-CN"/>
        </w:rPr>
        <w:t>“资格文件”、“商务技术文件资料”、</w:t>
      </w:r>
      <w:r>
        <w:rPr>
          <w:rFonts w:hint="eastAsia" w:ascii="仿宋_GB2312" w:hAnsi="仿宋_GB2312" w:eastAsia="仿宋_GB2312" w:cs="仿宋_GB2312"/>
          <w:color w:val="auto"/>
          <w:sz w:val="24"/>
          <w:highlight w:val="none"/>
        </w:rPr>
        <w:t>“报价文件资料”</w:t>
      </w:r>
      <w:r>
        <w:rPr>
          <w:rFonts w:hint="eastAsia" w:ascii="仿宋_GB2312" w:hAnsi="仿宋_GB2312" w:eastAsia="仿宋_GB2312" w:cs="仿宋_GB2312"/>
          <w:color w:val="auto"/>
          <w:sz w:val="24"/>
          <w:highlight w:val="none"/>
          <w:lang w:eastAsia="zh-CN"/>
        </w:rPr>
        <w:t>三</w:t>
      </w:r>
      <w:r>
        <w:rPr>
          <w:rFonts w:hint="eastAsia" w:ascii="仿宋_GB2312" w:hAnsi="仿宋_GB2312" w:eastAsia="仿宋_GB2312" w:cs="仿宋_GB2312"/>
          <w:color w:val="auto"/>
          <w:sz w:val="24"/>
          <w:highlight w:val="none"/>
        </w:rPr>
        <w:t>部分组成，其中</w:t>
      </w:r>
      <w:r>
        <w:rPr>
          <w:rFonts w:hint="eastAsia" w:ascii="仿宋_GB2312" w:hAnsi="仿宋_GB2312" w:eastAsia="仿宋_GB2312" w:cs="仿宋_GB2312"/>
          <w:b/>
          <w:color w:val="auto"/>
          <w:sz w:val="24"/>
          <w:highlight w:val="none"/>
        </w:rPr>
        <w:t>电子投标文件中所须加盖公章部分均应采用电子签章。</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rPr>
      </w:pPr>
      <w:r>
        <w:rPr>
          <w:rFonts w:hint="eastAsia" w:ascii="仿宋_GB2312" w:hAnsi="仿宋_GB2312" w:eastAsia="仿宋_GB2312" w:cs="仿宋_GB2312"/>
          <w:b/>
          <w:color w:val="auto"/>
          <w:sz w:val="24"/>
          <w:highlight w:val="none"/>
          <w:lang w:val="en-US" w:eastAsia="zh-CN"/>
        </w:rPr>
        <w:t>2</w:t>
      </w:r>
      <w:r>
        <w:rPr>
          <w:rFonts w:hint="eastAsia" w:ascii="仿宋_GB2312" w:hAnsi="仿宋_GB2312" w:eastAsia="仿宋_GB2312" w:cs="仿宋_GB2312"/>
          <w:b/>
          <w:color w:val="auto"/>
          <w:sz w:val="24"/>
          <w:highlight w:val="none"/>
          <w:lang w:val="zh-CN"/>
        </w:rPr>
        <w:t>.1资格文件：</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lang w:eastAsia="zh-CN"/>
        </w:rPr>
        <w:t>.1.1符合参加政府采购活动应当具备的一般条件的承诺函；</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2.1.2联合协议（如果有)；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sz w:val="24"/>
          <w:highlight w:val="none"/>
          <w:lang w:eastAsia="zh-CN"/>
        </w:rPr>
        <w:t>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分包意向协议</w:t>
      </w:r>
      <w:r>
        <w:rPr>
          <w:rFonts w:hint="eastAsia" w:ascii="仿宋_GB2312" w:hAnsi="仿宋_GB2312" w:eastAsia="仿宋_GB2312" w:cs="仿宋_GB2312"/>
          <w:snapToGrid w:val="0"/>
          <w:color w:val="auto"/>
          <w:kern w:val="28"/>
          <w:sz w:val="24"/>
          <w:szCs w:val="20"/>
          <w:highlight w:val="none"/>
        </w:rPr>
        <w:t>（如果有)</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lang w:eastAsia="zh-CN"/>
        </w:rPr>
        <w:t>落实政府采购政策需满足的资格要求（如果有)；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2.1.</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lang w:eastAsia="zh-CN"/>
        </w:rPr>
        <w:t>本项目的特定资格要求（如果有)。</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eastAsia="zh-CN"/>
        </w:rPr>
      </w:pPr>
      <w:r>
        <w:rPr>
          <w:rFonts w:hint="eastAsia" w:ascii="仿宋_GB2312" w:hAnsi="仿宋_GB2312" w:eastAsia="仿宋_GB2312" w:cs="仿宋_GB2312"/>
          <w:b/>
          <w:color w:val="auto"/>
          <w:sz w:val="24"/>
          <w:highlight w:val="none"/>
          <w:lang w:val="zh-CN" w:eastAsia="zh-CN"/>
        </w:rPr>
        <w:t>2.</w:t>
      </w:r>
      <w:r>
        <w:rPr>
          <w:rFonts w:hint="eastAsia" w:ascii="仿宋_GB2312" w:hAnsi="仿宋_GB2312" w:eastAsia="仿宋_GB2312" w:cs="仿宋_GB2312"/>
          <w:b/>
          <w:color w:val="auto"/>
          <w:sz w:val="24"/>
          <w:highlight w:val="none"/>
          <w:lang w:val="en-US" w:eastAsia="zh-CN"/>
        </w:rPr>
        <w:t>2商务技术</w:t>
      </w:r>
      <w:r>
        <w:rPr>
          <w:rFonts w:hint="eastAsia" w:ascii="仿宋_GB2312" w:hAnsi="仿宋_GB2312" w:eastAsia="仿宋_GB2312" w:cs="仿宋_GB2312"/>
          <w:b/>
          <w:color w:val="auto"/>
          <w:sz w:val="24"/>
          <w:highlight w:val="none"/>
          <w:lang w:val="zh-CN" w:eastAsia="zh-CN"/>
        </w:rPr>
        <w:t>文件：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2.2.1投标函；</w:t>
      </w:r>
      <w:r>
        <w:rPr>
          <w:rFonts w:hint="eastAsia" w:ascii="仿宋_GB2312" w:hAnsi="仿宋_GB2312" w:eastAsia="仿宋_GB2312" w:cs="仿宋_GB2312"/>
          <w:color w:val="auto"/>
          <w:sz w:val="24"/>
          <w:highlight w:val="none"/>
          <w:lang w:val="zh-CN" w:eastAsia="zh-CN"/>
        </w:rPr>
        <w:t xml:space="preserve"> </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2.2.2法定代表人授权委托书；</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2.2.3法定代表人及其授权代表身份证复印件；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2.2.4授权代表社保证明；</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2.2.5法定代表人身份证明书；</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2.2.7廉政承诺书（格式见第六部分附件）；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2.2.9供应商应提供针对项目的完整技术解决方案：</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2.2.12供应商售后服务证明材料：由供应商根据本项目要求提供相应的售后服务证明材料或售后服务承诺；</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2.2.16培训计划（如有）；</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2.2.17验收方案；</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u w:val="wave"/>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18</w:t>
      </w:r>
      <w:r>
        <w:rPr>
          <w:rFonts w:hint="eastAsia" w:ascii="仿宋_GB2312" w:hAnsi="仿宋_GB2312" w:eastAsia="仿宋_GB2312" w:cs="仿宋_GB2312"/>
          <w:color w:val="auto"/>
          <w:sz w:val="24"/>
          <w:highlight w:val="none"/>
          <w:u w:val="wave"/>
        </w:rPr>
        <w:t>未尽事宜请各投标单位按评分标准和相对应标项相关要求制作；</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highlight w:val="none"/>
          <w:lang w:val="zh-CN" w:eastAsia="zh-CN"/>
        </w:rPr>
      </w:pPr>
      <w:r>
        <w:rPr>
          <w:rFonts w:hint="eastAsia" w:ascii="仿宋_GB2312" w:hAnsi="仿宋_GB2312" w:eastAsia="仿宋_GB2312" w:cs="仿宋_GB2312"/>
          <w:color w:val="auto"/>
          <w:sz w:val="24"/>
          <w:highlight w:val="none"/>
        </w:rPr>
        <w:t>2.2.</w:t>
      </w:r>
      <w:r>
        <w:rPr>
          <w:rFonts w:hint="eastAsia" w:ascii="仿宋_GB2312" w:hAnsi="仿宋_GB2312" w:eastAsia="仿宋_GB2312" w:cs="仿宋_GB2312"/>
          <w:color w:val="auto"/>
          <w:sz w:val="24"/>
          <w:highlight w:val="none"/>
          <w:lang w:val="en-US" w:eastAsia="zh-CN"/>
        </w:rPr>
        <w:t>19</w:t>
      </w:r>
      <w:r>
        <w:rPr>
          <w:rFonts w:hint="eastAsia" w:ascii="仿宋_GB2312" w:hAnsi="仿宋_GB2312" w:eastAsia="仿宋_GB2312" w:cs="仿宋_GB2312"/>
          <w:color w:val="auto"/>
          <w:sz w:val="24"/>
          <w:highlight w:val="none"/>
        </w:rPr>
        <w:t>投标人需要说明的其他文件和说明（格式自拟）。</w:t>
      </w:r>
    </w:p>
    <w:p>
      <w:pPr>
        <w:keepNext w:val="0"/>
        <w:keepLines w:val="0"/>
        <w:pageBreakBefore w:val="0"/>
        <w:widowControl w:val="0"/>
        <w:kinsoku/>
        <w:wordWrap w:val="0"/>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_GB2312" w:hAnsi="仿宋_GB2312" w:eastAsia="仿宋_GB2312" w:cs="仿宋_GB2312"/>
          <w:b/>
          <w:color w:val="auto"/>
          <w:sz w:val="24"/>
          <w:highlight w:val="none"/>
          <w:lang w:val="zh-CN"/>
        </w:rPr>
      </w:pPr>
      <w:r>
        <w:rPr>
          <w:rFonts w:hint="eastAsia" w:ascii="仿宋_GB2312" w:hAnsi="仿宋_GB2312" w:eastAsia="仿宋_GB2312" w:cs="仿宋_GB2312"/>
          <w:b/>
          <w:color w:val="auto"/>
          <w:sz w:val="24"/>
          <w:highlight w:val="none"/>
          <w:lang w:val="zh-CN"/>
        </w:rPr>
        <w:t xml:space="preserve">2.3报价文件： </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2.3.1开标一览表（报价表）；</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2.3.2云服务项目清单；</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2.3.</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lang w:eastAsia="zh-CN"/>
        </w:rPr>
        <w:t>中小企业声明函（如有）；</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2.3.</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lang w:eastAsia="zh-CN"/>
        </w:rPr>
        <w:t xml:space="preserve"> 残疾人福利性单位声明函（如有）。</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2" w:firstLineChars="200"/>
        <w:textAlignment w:val="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rPr>
        <w:t>3.</w:t>
      </w:r>
      <w:r>
        <w:rPr>
          <w:rFonts w:hint="eastAsia" w:ascii="仿宋_GB2312" w:hAnsi="仿宋_GB2312" w:eastAsia="仿宋_GB2312" w:cs="仿宋_GB2312"/>
          <w:b/>
          <w:bCs/>
          <w:color w:val="auto"/>
          <w:sz w:val="24"/>
          <w:highlight w:val="none"/>
          <w:lang w:val="en-US" w:eastAsia="zh-CN"/>
        </w:rPr>
        <w:t>投标报价</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3.1供应商应按招标文件中《开标一览表》等附表要求填写。</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3.2报价为采购人可以合格使用产品的价格，包括货款、包装、运输、保险、货到就位以及安装、调试、培训、保修及产品知识产权等一切费用。</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3.3招标文件未列明，而供应商认为必需的费用也需列入报价。</w:t>
      </w:r>
    </w:p>
    <w:p>
      <w:pPr>
        <w:pStyle w:val="62"/>
        <w:keepNext w:val="0"/>
        <w:keepLines w:val="0"/>
        <w:pageBreakBefore w:val="0"/>
        <w:widowControl w:val="0"/>
        <w:numPr>
          <w:ilvl w:val="0"/>
          <w:numId w:val="0"/>
        </w:numPr>
        <w:kinsoku/>
        <w:wordWrap w:val="0"/>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bCs/>
          <w:color w:val="auto"/>
          <w:sz w:val="24"/>
          <w:highlight w:val="none"/>
          <w:lang w:val="en-US" w:eastAsia="zh-CN"/>
        </w:rPr>
        <w:t>3.4投标报价只允许有一个报价，有选择的报价将不予接受（除指定外）</w:t>
      </w:r>
      <w:r>
        <w:rPr>
          <w:rFonts w:hint="eastAsia" w:ascii="仿宋_GB2312" w:hAnsi="仿宋_GB2312" w:eastAsia="仿宋_GB2312" w:cs="仿宋_GB2312"/>
          <w:b/>
          <w:bCs/>
          <w:color w:val="auto"/>
          <w:sz w:val="24"/>
          <w:highlight w:val="none"/>
          <w:lang w:val="en-US"/>
        </w:rPr>
        <w:t>。</w:t>
      </w:r>
      <w:r>
        <w:rPr>
          <w:rFonts w:hint="eastAsia" w:ascii="仿宋_GB2312" w:hAnsi="仿宋_GB2312" w:eastAsia="仿宋_GB2312" w:cs="仿宋_GB2312"/>
          <w:b/>
          <w:color w:val="auto"/>
          <w:kern w:val="0"/>
          <w:szCs w:val="24"/>
          <w:highlight w:val="none"/>
        </w:rPr>
        <w:t>4.</w:t>
      </w:r>
      <w:r>
        <w:rPr>
          <w:rFonts w:hint="eastAsia" w:ascii="仿宋_GB2312" w:hAnsi="仿宋_GB2312" w:eastAsia="仿宋_GB2312" w:cs="仿宋_GB2312"/>
          <w:b/>
          <w:color w:val="auto"/>
          <w:szCs w:val="24"/>
          <w:highlight w:val="none"/>
        </w:rPr>
        <w:t>投标文件的编制</w:t>
      </w:r>
      <w:r>
        <w:rPr>
          <w:rFonts w:hint="eastAsia" w:ascii="仿宋_GB2312" w:hAnsi="仿宋_GB2312" w:eastAsia="仿宋_GB2312" w:cs="仿宋_GB2312"/>
          <w:b/>
          <w:color w:val="auto"/>
          <w:szCs w:val="24"/>
          <w:highlight w:val="none"/>
          <w:lang w:eastAsia="zh-CN"/>
        </w:rPr>
        <w:t>和</w:t>
      </w:r>
      <w:r>
        <w:rPr>
          <w:rFonts w:hint="eastAsia" w:ascii="仿宋_GB2312" w:hAnsi="仿宋_GB2312" w:eastAsia="仿宋_GB2312" w:cs="仿宋_GB2312"/>
          <w:b/>
          <w:color w:val="auto"/>
          <w:sz w:val="24"/>
          <w:highlight w:val="none"/>
        </w:rPr>
        <w:t>签署</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zh-CN"/>
        </w:rPr>
        <w:t>.3使用“政采云电子交易客户端”需要提前申领CA数字证书，申领流程请自行前往“浙江政府采购网-下载专区-电子交易客户端-CA驱动和申领流程”进行查阅。</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4.4</w:t>
      </w:r>
      <w:r>
        <w:rPr>
          <w:rFonts w:hint="eastAsia" w:ascii="仿宋_GB2312" w:hAnsi="仿宋_GB2312" w:eastAsia="仿宋_GB2312" w:cs="仿宋_GB2312"/>
          <w:color w:val="auto"/>
          <w:sz w:val="24"/>
          <w:highlight w:val="none"/>
          <w:lang w:val="zh-CN"/>
        </w:rPr>
        <w:t>投标文件按照招标文件第六部分格式要求进行签署、盖章。投标人的投标文件未按照招标文件要求签署、盖章的，其投标无效。</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4.5</w:t>
      </w:r>
      <w:r>
        <w:rPr>
          <w:rFonts w:hint="eastAsia" w:ascii="仿宋_GB2312" w:hAnsi="仿宋_GB2312" w:eastAsia="仿宋_GB2312" w:cs="仿宋_GB2312"/>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4.6</w:t>
      </w:r>
      <w:r>
        <w:rPr>
          <w:rFonts w:hint="eastAsia" w:ascii="仿宋_GB2312" w:hAnsi="仿宋_GB2312" w:eastAsia="仿宋_GB2312" w:cs="仿宋_GB2312"/>
          <w:color w:val="auto"/>
          <w:sz w:val="24"/>
          <w:highlight w:val="none"/>
          <w:lang w:val="zh-CN"/>
        </w:rPr>
        <w:t>招标文件对投标文件签署、盖章的要求适用于电子签名。</w:t>
      </w:r>
    </w:p>
    <w:p>
      <w:pPr>
        <w:pStyle w:val="131"/>
        <w:kinsoku/>
        <w:wordWrap w:val="0"/>
        <w:overflowPunct/>
        <w:topLinePunct w:val="0"/>
        <w:bidi w:val="0"/>
        <w:spacing w:before="0" w:line="440" w:lineRule="exact"/>
        <w:ind w:firstLine="482" w:firstLineChars="200"/>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lang w:val="en-US" w:eastAsia="zh-CN"/>
        </w:rPr>
        <w:t>5</w:t>
      </w:r>
      <w:r>
        <w:rPr>
          <w:rFonts w:hint="eastAsia" w:ascii="仿宋_GB2312" w:hAnsi="仿宋_GB2312" w:eastAsia="仿宋_GB2312" w:cs="仿宋_GB2312"/>
          <w:b/>
          <w:color w:val="auto"/>
          <w:szCs w:val="24"/>
          <w:highlight w:val="none"/>
        </w:rPr>
        <w:t>.投标文件的提交、补充、修改、撤回</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pPr>
        <w:kinsoku/>
        <w:wordWrap w:val="0"/>
        <w:overflowPunct/>
        <w:topLinePunct w:val="0"/>
        <w:bidi w:val="0"/>
        <w:snapToGrid w:val="0"/>
        <w:spacing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pPr>
        <w:kinsoku/>
        <w:wordWrap w:val="0"/>
        <w:overflowPunct/>
        <w:topLinePunct w:val="0"/>
        <w:bidi w:val="0"/>
        <w:adjustRightInd w:val="0"/>
        <w:spacing w:line="440" w:lineRule="exact"/>
        <w:ind w:left="0" w:leftChars="0" w:firstLine="482" w:firstLineChars="200"/>
        <w:jc w:val="both"/>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6.投标有效期</w:t>
      </w:r>
    </w:p>
    <w:p>
      <w:pPr>
        <w:kinsoku/>
        <w:wordWrap w:val="0"/>
        <w:overflowPunct/>
        <w:topLinePunct w:val="0"/>
        <w:bidi w:val="0"/>
        <w:adjustRightInd w:val="0"/>
        <w:snapToGrid w:val="0"/>
        <w:spacing w:line="440" w:lineRule="exact"/>
        <w:ind w:firstLine="480" w:firstLineChars="200"/>
        <w:jc w:val="left"/>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pPr>
        <w:kinsoku/>
        <w:wordWrap w:val="0"/>
        <w:overflowPunct/>
        <w:topLinePunct w:val="0"/>
        <w:bidi w:val="0"/>
        <w:adjustRightInd w:val="0"/>
        <w:snapToGrid w:val="0"/>
        <w:spacing w:line="440" w:lineRule="exact"/>
        <w:ind w:firstLine="480" w:firstLineChars="200"/>
        <w:jc w:val="left"/>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6.2投标文件合格投递后，自投标截止日期起，在投标有效期内有效。</w:t>
      </w:r>
    </w:p>
    <w:p>
      <w:pPr>
        <w:kinsoku/>
        <w:wordWrap w:val="0"/>
        <w:overflowPunct/>
        <w:topLinePunct w:val="0"/>
        <w:bidi w:val="0"/>
        <w:adjustRightInd w:val="0"/>
        <w:snapToGrid w:val="0"/>
        <w:spacing w:line="440" w:lineRule="exact"/>
        <w:ind w:firstLine="480" w:firstLineChars="200"/>
        <w:jc w:val="left"/>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pPr>
        <w:pStyle w:val="131"/>
        <w:keepNext w:val="0"/>
        <w:keepLines w:val="0"/>
        <w:pageBreakBefore w:val="0"/>
        <w:widowControl w:val="0"/>
        <w:kinsoku/>
        <w:wordWrap w:val="0"/>
        <w:overflowPunct/>
        <w:topLinePunct w:val="0"/>
        <w:autoSpaceDE/>
        <w:autoSpaceDN/>
        <w:bidi w:val="0"/>
        <w:adjustRightInd w:val="0"/>
        <w:snapToGrid/>
        <w:spacing w:before="0" w:beforeAutospacing="0" w:line="360" w:lineRule="auto"/>
        <w:ind w:left="0" w:leftChars="0" w:firstLine="643"/>
        <w:textAlignment w:val="auto"/>
        <w:rPr>
          <w:rFonts w:hint="eastAsia" w:ascii="仿宋_GB2312" w:hAnsi="仿宋_GB2312" w:eastAsia="仿宋_GB2312" w:cs="仿宋_GB2312"/>
          <w:b/>
          <w:color w:val="auto"/>
          <w:sz w:val="32"/>
          <w:highlight w:val="none"/>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2"/>
          <w:szCs w:val="32"/>
          <w:highlight w:val="none"/>
        </w:rPr>
      </w:pPr>
      <w:bookmarkStart w:id="19" w:name="_Toc91899903"/>
      <w:r>
        <w:rPr>
          <w:rFonts w:hint="eastAsia" w:ascii="仿宋_GB2312" w:hAnsi="仿宋_GB2312" w:eastAsia="仿宋_GB2312" w:cs="仿宋_GB2312"/>
          <w:b/>
          <w:color w:val="auto"/>
          <w:sz w:val="32"/>
          <w:szCs w:val="32"/>
          <w:highlight w:val="none"/>
        </w:rPr>
        <w:t>四、开标和评标</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1．电子招投标开标及评审程序</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1.1投标截止时间后，主持人宣布开标会开始。</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1.2投标人登录政采云平台，用“项目采购-开标评标”功能对电子投标文件进行在线解密。在线解密电子投标文件时间为开标时间起30分钟内。</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1.3评标委员会对资格和商务技术响应文件进行评审。</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1.4主持人宣布商务技术得分及无效（废）投标情形（如有），公布经商务技术（资信）评审符合招标文件要求的投标人名单及其商务技术得分。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1.6评标委员会对投标文件报价文件资料进行评审，核准投标报价及计算价格分，汇总商务技术分、价格分，根据得分排序确定中标候选人。</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1.7主持人公布评标结果。</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特别说明：政采云公司如对电子化开标及评审程序有调整的，按调整后的程序操作。</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2.1电子交易平台发生故障而无法登录访问的；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2.2电子交易平台应用或数据库出现错误，不能进行正常操作的；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2.3电子交易平台发现严重安全漏洞，有潜在泄密危险的；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2.4病毒发作导致不能进行正常操作的；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2.5其他无法保证电子交易的公平、公正和安全的情况。</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3．评标</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3.1评标委员会由招标采购单位依法组建，负责评标活动。评标委员会遵循公开、公平、公正、科学合理、竞争择优的原则。</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3.2评标委员会由采购人代表和有关方面的专家组成，成员人数为五人以上单数。</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3.3评标委员会负责对投标人资格的最终审定。</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供应商通过政采云平台交换的数据电文必须进行电子签章。</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3.6评标委员会对投标文件的判定，只依据投标文件和招标文件内容本身，不依据任何外来证明。</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val="en-US" w:eastAsia="zh-CN"/>
        </w:rPr>
        <w:t>3.7评标委员会不向落标方解释落标的原因。</w:t>
      </w:r>
    </w:p>
    <w:p>
      <w:pPr>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4．投标文件的初审鉴定</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4.1资格性审查</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4.1.1依据法律、法规和招标文件规定，采购人或采购人代表对投标人进行资格审查，以确定投标人是否具备投标资格。</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4.2符合性审查</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val="0"/>
        <w:overflowPunct/>
        <w:topLinePunct w:val="0"/>
        <w:autoSpaceDE/>
        <w:autoSpaceDN/>
        <w:bidi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 xml:space="preserve">5. </w:t>
      </w:r>
      <w:r>
        <w:rPr>
          <w:rFonts w:hint="eastAsia" w:ascii="仿宋_GB2312" w:hAnsi="仿宋_GB2312" w:eastAsia="仿宋_GB2312" w:cs="仿宋_GB2312"/>
          <w:b/>
          <w:color w:val="auto"/>
          <w:sz w:val="24"/>
          <w:highlight w:val="none"/>
        </w:rPr>
        <w:t>投标文件报价出现前后不一致的，按照下列规定修正：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5.1投标文件中开标一览表（报价表）内容与投标文件中相应内容不一致的，以开标一览表（报价表）为准；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5.2大写金额和小写金额不一致的，以大写金额为准；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5.3单价金额小数点或者百分比有明显错位的，以开标一览表的总价为准，并修改单价；</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5.4总价金额与按单价汇总金额不一致的，以单价金额计算结果为准。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kinsoku/>
        <w:wordWrap w:val="0"/>
        <w:overflowPunct/>
        <w:topLinePunct w:val="0"/>
        <w:autoSpaceDE/>
        <w:autoSpaceDN/>
        <w:bidi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6.投标文件的评审、比较和否决</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6.1评标委员会将对在实质上响应招标文件要求的投标文件进行评估和比较。</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6.3在评标过程中，如发现与招标文件要求相偏离的，评标委员会可对其偏离情形进行必要的核实。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6.5比较与评价。评标委员会应当按照评标标准，对符合性审查合格的投标文件进行商务和技术评估，综合比较与评价。</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6.6汇总（商务技术得分情况）。评标委员会各成员应当独立对每个投标人的商务技术文件进行评价，并汇总商务技术得分情况。</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 报价审核。对符合采购需求且通过商务技术（资信）评审的投标人的报价的合理性、准确性等进行审查核实。</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6.7.3如需投标价格修正，按财政部87号令第五十九条的规定对投标价格进行修正。</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pPr>
        <w:pStyle w:val="19"/>
        <w:keepNext w:val="0"/>
        <w:keepLines w:val="0"/>
        <w:pageBreakBefore w:val="0"/>
        <w:widowControl w:val="0"/>
        <w:tabs>
          <w:tab w:val="clear" w:pos="390"/>
          <w:tab w:val="clear" w:pos="454"/>
        </w:tabs>
        <w:kinsoku/>
        <w:wordWrap w:val="0"/>
        <w:overflowPunct/>
        <w:topLinePunct w:val="0"/>
        <w:autoSpaceDE/>
        <w:autoSpaceDN/>
        <w:bidi w:val="0"/>
        <w:spacing w:after="0" w:line="440" w:lineRule="exact"/>
        <w:ind w:left="0" w:firstLine="482" w:firstLineChars="200"/>
        <w:textAlignment w:val="auto"/>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7.投标文件的澄清</w:t>
      </w:r>
    </w:p>
    <w:p>
      <w:pPr>
        <w:pStyle w:val="19"/>
        <w:keepNext w:val="0"/>
        <w:keepLines w:val="0"/>
        <w:pageBreakBefore w:val="0"/>
        <w:widowControl w:val="0"/>
        <w:tabs>
          <w:tab w:val="clear" w:pos="390"/>
          <w:tab w:val="clear" w:pos="454"/>
        </w:tabs>
        <w:kinsoku/>
        <w:wordWrap w:val="0"/>
        <w:overflowPunct/>
        <w:topLinePunct w:val="0"/>
        <w:autoSpaceDE/>
        <w:autoSpaceDN/>
        <w:bidi w:val="0"/>
        <w:spacing w:after="0" w:line="440" w:lineRule="exact"/>
        <w:ind w:left="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keepNext w:val="0"/>
        <w:keepLines w:val="0"/>
        <w:pageBreakBefore w:val="0"/>
        <w:kinsoku/>
        <w:wordWrap w:val="0"/>
        <w:overflowPunct/>
        <w:topLinePunct w:val="0"/>
        <w:autoSpaceDE/>
        <w:autoSpaceDN/>
        <w:bidi w:val="0"/>
        <w:snapToGrid w:val="0"/>
        <w:spacing w:line="440" w:lineRule="exact"/>
        <w:ind w:firstLine="482" w:firstLineChars="200"/>
        <w:jc w:val="left"/>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8.无效投标的情形</w:t>
      </w:r>
    </w:p>
    <w:p>
      <w:pPr>
        <w:keepNext w:val="0"/>
        <w:keepLines w:val="0"/>
        <w:pageBreakBefore w:val="0"/>
        <w:tabs>
          <w:tab w:val="left" w:pos="4085"/>
        </w:tabs>
        <w:kinsoku/>
        <w:wordWrap w:val="0"/>
        <w:overflowPunct/>
        <w:topLinePunct w:val="0"/>
        <w:autoSpaceDE/>
        <w:autoSpaceDN/>
        <w:bidi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投标文件有下列情形之一的作无效投标处理：</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8.1未按照招标文件规定要求电子签章、签字或盖章的；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8.2单位负责人为同一人或者存在直接控股、管理关系的不同供应商参加同一合同项下的政府采购活动的（均无效）；</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 xml:space="preserve">8.3为采购项目提供整体设计、规范编制或者项目管理、监理、检测等服务的供应商参加该采购项目的其他采购活动的； </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8.4投标人未提供招标文件中规定的基本资格条件书面承诺函的，或投标人未提供有效的特定资格证明文件的，视为投标人不具备招标文件中规定的资格要求；</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8.5《法定代表人身份证明书》与提供的身份证复印件信息不符的；《法定代表人授权委托书》与提供的身份证复印件信息不符的；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8.6《法定代表人授权委托书》或《法定代表人身份证明书》填写不全、错误、未电子签章(《法定代表人授权委托书》要求“电子签章”和“签字或盖章”缺一不可）的；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8.7授权代表非投标单位正式职工的（以社保证明为准，如授权代表为离退休返聘人员的，需提供退休证明及单位聘用证明），法定代表人及个体工商户除外；</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8.8投标文件中的投标函无投标人的电子签章或填写不全的；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8.9报价一经涂改，未在涂改处加盖投标单位公章或者未经法定代表人或其授权代表签字或盖章的；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8.10未按招标文件规定的格式填写，或对招标服务或技术或产品等要求未详细应答或应答内容不全、有缺失的,经评标委员会认定为无法评审的；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8.12《技术偏离说明表》不真实填写或弄虚作假的；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8.13投标文件含有采购人不能接受的附加条件；</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8.15报价超过招标文件中规定的预算金额或最高限价的；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8.16投标文件“商务技术文件资料”部分中出现《开标一览表》相关内容的；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8.18《开标一览表》填写不完整或字迹不能辨认或有漏项的，经评标委员会认定属于重大偏差的；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8.19投标人对根据修正原则修正后的报价不确认的；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8.20投标人提供虚假材料投标的（包括但不限于以下情节）；</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8.20.1使用伪造、变造的许可证件；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8.20.2提供虚假的财务状况或者业绩；</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8.20.3提供虚假的项目负责人或者主要技术人员简历、劳动关系证明；</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8.20.4提供虚假的信用状况；</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8.20.5其他弄虚作假的行为。</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8.21下列情形之一的，视为投标人串通投标，其投标无效：</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8.21.1不同投标人的投标文件由同一单位或者个人编制；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8.21.2不同投标人委托同一单位或者个人办理投标事宜；</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8.21.3不同投标人的投标文件载明的项目管理成员或者联系人员为同一人；</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8.21.4不同投标人的投标文件异常一致或者投标报价呈规律性差异；</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8.21.5不同投标人的投标文件相互混装；</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8.22有下列情形之一的，属于恶意串通，其投标无效：</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8.22.1供应商直接或者间接从采购人或者采购机构处获得其他供应商的相关情况并修改其投标文件或者响应文件；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8.22.2供应商按照采购人或者采购机构的授意撤换、修改投标文件或者响应文件；</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8.22.3供应商之间协商报价、技术方案等投标文件或者响应文件的实质性内容；</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8.22.4属于同一集团、协会、商会等组织成员的供应商按照该组织要求协同参加政府采购活动；</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8.22.5供应商之间事先约定由某一特定供应商中标、成交；</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8.22.6供应商之间商定部分供应商放弃参加政府采购活动或者放弃中标、成交；</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8.22.7供应商与采购人或者采购机构之间、供应商相互之间，为谋求特定供应商中标、成交或者排斥其他供应商的其他串通行为。</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8.23评标委员会认定有重大偏差或实质性不响应招标文件要求的；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8.24投标文件出现不是唯一的、有选择性投标报价的；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8.25 未按招标文件要求提供样品或提供样品不满足采购需求实质性条件的；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2" w:firstLineChars="200"/>
        <w:jc w:val="left"/>
        <w:textAlignment w:val="auto"/>
        <w:rPr>
          <w:rFonts w:hint="eastAsia" w:ascii="仿宋_GB2312" w:hAnsi="仿宋_GB2312" w:eastAsia="仿宋_GB2312" w:cs="仿宋_GB2312"/>
          <w:b/>
          <w:bCs/>
          <w:color w:val="auto"/>
          <w:sz w:val="24"/>
          <w:highlight w:val="none"/>
          <w:lang w:val="en-US"/>
        </w:rPr>
      </w:pPr>
      <w:r>
        <w:rPr>
          <w:rFonts w:hint="eastAsia" w:ascii="仿宋_GB2312" w:hAnsi="仿宋_GB2312" w:eastAsia="仿宋_GB2312" w:cs="仿宋_GB2312"/>
          <w:b/>
          <w:bCs/>
          <w:color w:val="auto"/>
          <w:sz w:val="24"/>
          <w:highlight w:val="none"/>
        </w:rPr>
        <w:t>8.2</w:t>
      </w:r>
      <w:r>
        <w:rPr>
          <w:rFonts w:hint="eastAsia" w:ascii="仿宋_GB2312" w:hAnsi="仿宋_GB2312" w:eastAsia="仿宋_GB2312" w:cs="仿宋_GB2312"/>
          <w:b/>
          <w:bCs/>
          <w:color w:val="auto"/>
          <w:sz w:val="24"/>
          <w:highlight w:val="none"/>
          <w:lang w:val="en-US"/>
        </w:rPr>
        <w:t>6参与同一个采购包(标段)的供应商存在下列情形之一的其投标(响应)文件无效:</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rPr>
      </w:pPr>
      <w:r>
        <w:rPr>
          <w:rFonts w:hint="eastAsia" w:ascii="仿宋_GB2312" w:hAnsi="仿宋_GB2312" w:eastAsia="仿宋_GB2312" w:cs="仿宋_GB2312"/>
          <w:b w:val="0"/>
          <w:bCs w:val="0"/>
          <w:color w:val="auto"/>
          <w:sz w:val="24"/>
          <w:highlight w:val="none"/>
          <w:lang w:val="en-US" w:eastAsia="zh-CN"/>
        </w:rPr>
        <w:t>8.26.1</w:t>
      </w:r>
      <w:r>
        <w:rPr>
          <w:rFonts w:hint="eastAsia" w:ascii="仿宋_GB2312" w:hAnsi="仿宋_GB2312" w:eastAsia="仿宋_GB2312" w:cs="仿宋_GB2312"/>
          <w:b w:val="0"/>
          <w:bCs w:val="0"/>
          <w:color w:val="auto"/>
          <w:sz w:val="24"/>
          <w:highlight w:val="none"/>
          <w:lang w:val="en-US"/>
        </w:rPr>
        <w:t>不同供应商的电子投标(响应)文件上传计算机的网卡MAC地址、CPU序列号和硬盘序列号等硬件信息相同的;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rPr>
      </w:pPr>
      <w:r>
        <w:rPr>
          <w:rFonts w:hint="eastAsia" w:ascii="仿宋_GB2312" w:hAnsi="仿宋_GB2312" w:eastAsia="仿宋_GB2312" w:cs="仿宋_GB2312"/>
          <w:b w:val="0"/>
          <w:bCs w:val="0"/>
          <w:color w:val="auto"/>
          <w:sz w:val="24"/>
          <w:highlight w:val="none"/>
          <w:lang w:val="en-US" w:eastAsia="zh-CN"/>
        </w:rPr>
        <w:t>8.26.2</w:t>
      </w:r>
      <w:r>
        <w:rPr>
          <w:rFonts w:hint="eastAsia" w:ascii="仿宋_GB2312" w:hAnsi="仿宋_GB2312" w:eastAsia="仿宋_GB2312" w:cs="仿宋_GB2312"/>
          <w:b w:val="0"/>
          <w:bCs w:val="0"/>
          <w:color w:val="auto"/>
          <w:sz w:val="24"/>
          <w:highlight w:val="none"/>
          <w:lang w:val="en-US"/>
        </w:rPr>
        <w:t>上传的电子投标(响应)文件若出现使用本项目其他投标(响应)供应商的数字证书加密的，或者加盖本项目其他投标(响应)供应商的电子印章的;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rPr>
      </w:pPr>
      <w:r>
        <w:rPr>
          <w:rFonts w:hint="eastAsia" w:ascii="仿宋_GB2312" w:hAnsi="仿宋_GB2312" w:eastAsia="仿宋_GB2312" w:cs="仿宋_GB2312"/>
          <w:b w:val="0"/>
          <w:bCs w:val="0"/>
          <w:color w:val="auto"/>
          <w:sz w:val="24"/>
          <w:highlight w:val="none"/>
          <w:lang w:val="en-US" w:eastAsia="zh-CN"/>
        </w:rPr>
        <w:t>8.26.3</w:t>
      </w:r>
      <w:r>
        <w:rPr>
          <w:rFonts w:hint="eastAsia" w:ascii="仿宋_GB2312" w:hAnsi="仿宋_GB2312" w:eastAsia="仿宋_GB2312" w:cs="仿宋_GB2312"/>
          <w:b w:val="0"/>
          <w:bCs w:val="0"/>
          <w:color w:val="auto"/>
          <w:sz w:val="24"/>
          <w:highlight w:val="none"/>
          <w:lang w:val="en-US"/>
        </w:rPr>
        <w:t>不同供应商的投标(响应)文件的内容存在三处(含)以上错误一致，且无法合理解释的;</w:t>
      </w:r>
    </w:p>
    <w:p>
      <w:pPr>
        <w:keepNext w:val="0"/>
        <w:keepLines w:val="0"/>
        <w:pageBreakBefore w:val="0"/>
        <w:widowControl w:val="0"/>
        <w:tabs>
          <w:tab w:val="left" w:pos="3870"/>
          <w:tab w:val="left" w:pos="4085"/>
        </w:tabs>
        <w:kinsoku/>
        <w:wordWrap w:val="0"/>
        <w:overflowPunct/>
        <w:topLinePunct w:val="0"/>
        <w:autoSpaceDE/>
        <w:autoSpaceDN/>
        <w:bidi w:val="0"/>
        <w:adjustRightInd w:val="0"/>
        <w:snapToGrid w:val="0"/>
        <w:spacing w:line="440" w:lineRule="exact"/>
        <w:ind w:firstLine="480" w:firstLineChars="200"/>
        <w:jc w:val="left"/>
        <w:textAlignment w:val="auto"/>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8.26.4</w:t>
      </w:r>
      <w:r>
        <w:rPr>
          <w:rFonts w:hint="eastAsia" w:ascii="仿宋_GB2312" w:hAnsi="仿宋_GB2312" w:eastAsia="仿宋_GB2312" w:cs="仿宋_GB2312"/>
          <w:b w:val="0"/>
          <w:bCs w:val="0"/>
          <w:color w:val="auto"/>
          <w:sz w:val="24"/>
          <w:highlight w:val="none"/>
          <w:lang w:val="en-US"/>
        </w:rPr>
        <w:t>不同供应商联系人为同一人或不同联系人的联系电话一致，且无法合理解释的。</w:t>
      </w:r>
    </w:p>
    <w:p>
      <w:pPr>
        <w:keepNext w:val="0"/>
        <w:keepLines w:val="0"/>
        <w:pageBreakBefore w:val="0"/>
        <w:widowControl w:val="0"/>
        <w:kinsoku/>
        <w:wordWrap w:val="0"/>
        <w:overflowPunct/>
        <w:topLinePunct w:val="0"/>
        <w:autoSpaceDE/>
        <w:autoSpaceDN/>
        <w:bidi w:val="0"/>
        <w:adjustRightInd w:val="0"/>
        <w:snapToGrid w:val="0"/>
        <w:spacing w:line="440" w:lineRule="exact"/>
        <w:ind w:left="0" w:firstLine="482" w:firstLineChars="200"/>
        <w:jc w:val="left"/>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sz w:val="24"/>
          <w:highlight w:val="none"/>
        </w:rPr>
        <w:t>8.2</w:t>
      </w:r>
      <w:r>
        <w:rPr>
          <w:rFonts w:hint="eastAsia" w:ascii="仿宋_GB2312" w:hAnsi="仿宋_GB2312" w:eastAsia="仿宋_GB2312" w:cs="仿宋_GB2312"/>
          <w:b/>
          <w:color w:val="auto"/>
          <w:sz w:val="24"/>
          <w:highlight w:val="none"/>
          <w:lang w:val="en-US"/>
        </w:rPr>
        <w:t>7</w:t>
      </w:r>
      <w:r>
        <w:rPr>
          <w:rFonts w:hint="eastAsia" w:ascii="仿宋_GB2312" w:hAnsi="仿宋_GB2312" w:eastAsia="仿宋_GB2312" w:cs="仿宋_GB2312"/>
          <w:b/>
          <w:color w:val="auto"/>
          <w:sz w:val="24"/>
          <w:highlight w:val="none"/>
        </w:rPr>
        <w:t>其他违反法律、法规的情形。</w:t>
      </w:r>
    </w:p>
    <w:p>
      <w:pPr>
        <w:keepNext w:val="0"/>
        <w:keepLines w:val="0"/>
        <w:pageBreakBefore w:val="0"/>
        <w:kinsoku/>
        <w:wordWrap w:val="0"/>
        <w:overflowPunct/>
        <w:topLinePunct w:val="0"/>
        <w:autoSpaceDE/>
        <w:autoSpaceDN/>
        <w:bidi w:val="0"/>
        <w:snapToGrid w:val="0"/>
        <w:spacing w:line="440" w:lineRule="exact"/>
        <w:ind w:firstLine="482" w:firstLineChars="200"/>
        <w:textAlignment w:val="auto"/>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9.评标过程保密</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9.1</w:t>
      </w:r>
      <w:r>
        <w:rPr>
          <w:rFonts w:hint="eastAsia" w:ascii="仿宋_GB2312" w:hAnsi="仿宋_GB2312" w:eastAsia="仿宋_GB2312" w:cs="仿宋_GB2312"/>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9.2 在评标期间，投标人企图影响招标人或</w:t>
      </w:r>
      <w:r>
        <w:rPr>
          <w:rFonts w:hint="eastAsia" w:ascii="仿宋_GB2312" w:hAnsi="仿宋_GB2312" w:eastAsia="仿宋_GB2312" w:cs="仿宋_GB2312"/>
          <w:color w:val="auto"/>
          <w:sz w:val="24"/>
          <w:highlight w:val="none"/>
        </w:rPr>
        <w:t>评标委员会</w:t>
      </w:r>
      <w:r>
        <w:rPr>
          <w:rFonts w:hint="eastAsia" w:ascii="仿宋_GB2312" w:hAnsi="仿宋_GB2312" w:eastAsia="仿宋_GB2312" w:cs="仿宋_GB2312"/>
          <w:color w:val="auto"/>
          <w:kern w:val="0"/>
          <w:sz w:val="24"/>
          <w:highlight w:val="none"/>
        </w:rPr>
        <w:t>的任何活动，都将导致投标被拒绝，并由其承担相应的法律责任。</w:t>
      </w:r>
    </w:p>
    <w:p>
      <w:pPr>
        <w:keepNext w:val="0"/>
        <w:keepLines w:val="0"/>
        <w:pageBreakBefore w:val="0"/>
        <w:widowControl w:val="0"/>
        <w:kinsoku/>
        <w:wordWrap w:val="0"/>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_GB2312" w:hAnsi="仿宋_GB2312" w:eastAsia="仿宋_GB2312" w:cs="仿宋_GB2312"/>
          <w:b/>
          <w:color w:val="auto"/>
          <w:sz w:val="32"/>
          <w:highlight w:val="none"/>
        </w:rPr>
      </w:pPr>
    </w:p>
    <w:bookmarkEnd w:id="19"/>
    <w:p>
      <w:pPr>
        <w:pStyle w:val="34"/>
        <w:keepNext w:val="0"/>
        <w:keepLines w:val="0"/>
        <w:pageBreakBefore w:val="0"/>
        <w:widowControl w:val="0"/>
        <w:kinsoku/>
        <w:wordWrap w:val="0"/>
        <w:overflowPunct/>
        <w:topLinePunct w:val="0"/>
        <w:autoSpaceDE/>
        <w:autoSpaceDN/>
        <w:bidi w:val="0"/>
        <w:adjustRightInd w:val="0"/>
        <w:spacing w:line="360" w:lineRule="auto"/>
        <w:ind w:firstLine="726"/>
        <w:jc w:val="center"/>
        <w:textAlignment w:val="auto"/>
        <w:rPr>
          <w:rFonts w:hint="eastAsia" w:ascii="仿宋_GB2312" w:hAnsi="仿宋_GB2312" w:eastAsia="仿宋_GB2312" w:cs="仿宋_GB2312"/>
          <w:b/>
          <w:color w:val="auto"/>
          <w:sz w:val="32"/>
          <w:szCs w:val="32"/>
          <w:highlight w:val="none"/>
        </w:rPr>
      </w:pPr>
      <w:bookmarkStart w:id="20" w:name="_Hlt75236290"/>
      <w:bookmarkEnd w:id="20"/>
      <w:bookmarkStart w:id="21" w:name="_Hlt74730295"/>
      <w:bookmarkEnd w:id="21"/>
      <w:bookmarkStart w:id="22" w:name="_Hlt68073093"/>
      <w:bookmarkEnd w:id="22"/>
      <w:bookmarkStart w:id="23" w:name="_Hlt75236101"/>
      <w:bookmarkEnd w:id="23"/>
      <w:bookmarkStart w:id="24" w:name="_Hlt74707468"/>
      <w:bookmarkEnd w:id="24"/>
      <w:bookmarkStart w:id="25" w:name="_Hlt68403820"/>
      <w:bookmarkEnd w:id="25"/>
      <w:bookmarkStart w:id="26" w:name="_Hlt68072998"/>
      <w:bookmarkEnd w:id="26"/>
      <w:bookmarkStart w:id="27" w:name="_Hlt68057669"/>
      <w:bookmarkEnd w:id="27"/>
      <w:bookmarkStart w:id="28" w:name="_Hlt75236011"/>
      <w:bookmarkEnd w:id="28"/>
      <w:bookmarkStart w:id="29" w:name="_Hlt74729768"/>
      <w:bookmarkEnd w:id="29"/>
      <w:bookmarkStart w:id="30" w:name="_Hlt74714665"/>
      <w:bookmarkEnd w:id="30"/>
      <w:bookmarkStart w:id="31" w:name="_Hlt68072990"/>
      <w:bookmarkEnd w:id="31"/>
      <w:bookmarkStart w:id="32" w:name="_Toc84325929"/>
      <w:bookmarkStart w:id="33" w:name="_Toc81372776"/>
      <w:bookmarkStart w:id="34" w:name="_Toc81372953"/>
      <w:r>
        <w:rPr>
          <w:rFonts w:hint="eastAsia" w:ascii="仿宋_GB2312" w:hAnsi="仿宋_GB2312" w:eastAsia="仿宋_GB2312" w:cs="仿宋_GB2312"/>
          <w:b/>
          <w:color w:val="auto"/>
          <w:sz w:val="32"/>
          <w:szCs w:val="32"/>
          <w:highlight w:val="none"/>
        </w:rPr>
        <w:t>五、授予合同</w:t>
      </w:r>
    </w:p>
    <w:bookmarkEnd w:id="32"/>
    <w:bookmarkEnd w:id="33"/>
    <w:bookmarkEnd w:id="34"/>
    <w:p>
      <w:pPr>
        <w:pStyle w:val="19"/>
        <w:keepNext w:val="0"/>
        <w:keepLines w:val="0"/>
        <w:pageBreakBefore w:val="0"/>
        <w:tabs>
          <w:tab w:val="clear" w:pos="390"/>
          <w:tab w:val="clear" w:pos="454"/>
        </w:tabs>
        <w:kinsoku/>
        <w:wordWrap w:val="0"/>
        <w:overflowPunct/>
        <w:topLinePunct w:val="0"/>
        <w:autoSpaceDE/>
        <w:autoSpaceDN/>
        <w:bidi w:val="0"/>
        <w:snapToGrid/>
        <w:spacing w:after="0" w:line="440" w:lineRule="exact"/>
        <w:ind w:left="0" w:firstLine="482" w:firstLineChars="200"/>
        <w:textAlignment w:val="auto"/>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1.中标条件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1.1投标文件基本符合招标文件要求；</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1.2投标人有很好的执行合同的能力；</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1.3实施方案最合理并对招标人最为有利，最大限度满足招标文件的要求；</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1.4投标人能够提供质量技术、商务经济占综合优势的系统及服务。</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1.5招标人将把中标通知书授予最佳投标者，但最低价不是中标的绝对保证。</w:t>
      </w:r>
    </w:p>
    <w:p>
      <w:pPr>
        <w:keepNext w:val="0"/>
        <w:keepLines w:val="0"/>
        <w:pageBreakBefore w:val="0"/>
        <w:kinsoku/>
        <w:wordWrap w:val="0"/>
        <w:overflowPunct/>
        <w:topLinePunct w:val="0"/>
        <w:autoSpaceDE/>
        <w:autoSpaceDN/>
        <w:bidi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2.中标确认</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2.1采购人应当自收到评标报告之日起５个工作日内，在评标报告确定的中标候选人名单中按顺序确定中标人。</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2.2采购人在收到评标报告5个工作日内未按评标报告推荐的中标候选人顺序确定中标人，视同按评标报告推荐的顺序确定的中标候选人为中标人。</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2.3采购人应在确认中标人前再次对资格条件和相关证件材料进一步查验核实。</w:t>
      </w:r>
    </w:p>
    <w:p>
      <w:pPr>
        <w:keepNext w:val="0"/>
        <w:keepLines w:val="0"/>
        <w:pageBreakBefore w:val="0"/>
        <w:kinsoku/>
        <w:wordWrap w:val="0"/>
        <w:overflowPunct/>
        <w:topLinePunct w:val="0"/>
        <w:autoSpaceDE/>
        <w:autoSpaceDN/>
        <w:bidi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3．中标通知</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3.1采购代理机构对中标结果在指定媒体（浙江政府采购网</w:t>
      </w:r>
      <w:r>
        <w:rPr>
          <w:rFonts w:hint="eastAsia" w:ascii="仿宋_GB2312" w:hAnsi="仿宋_GB2312" w:eastAsia="仿宋_GB2312" w:cs="仿宋_GB2312"/>
          <w:color w:val="auto"/>
          <w:sz w:val="24"/>
          <w:highlight w:val="none"/>
        </w:rPr>
        <w:fldChar w:fldCharType="begin"/>
      </w:r>
      <w:r>
        <w:rPr>
          <w:rFonts w:hint="eastAsia" w:ascii="仿宋_GB2312" w:hAnsi="仿宋_GB2312" w:eastAsia="仿宋_GB2312" w:cs="仿宋_GB2312"/>
          <w:color w:val="auto"/>
          <w:sz w:val="24"/>
          <w:highlight w:val="none"/>
        </w:rPr>
        <w:instrText xml:space="preserve"> HYPERLINK "http://www.zjzfcg.gov.cn" </w:instrText>
      </w:r>
      <w:r>
        <w:rPr>
          <w:rFonts w:hint="eastAsia" w:ascii="仿宋_GB2312" w:hAnsi="仿宋_GB2312" w:eastAsia="仿宋_GB2312" w:cs="仿宋_GB2312"/>
          <w:color w:val="auto"/>
          <w:sz w:val="24"/>
          <w:highlight w:val="none"/>
        </w:rPr>
        <w:fldChar w:fldCharType="separate"/>
      </w:r>
      <w:r>
        <w:rPr>
          <w:rFonts w:hint="eastAsia" w:ascii="仿宋_GB2312" w:hAnsi="仿宋_GB2312" w:eastAsia="仿宋_GB2312" w:cs="仿宋_GB2312"/>
          <w:color w:val="auto"/>
          <w:sz w:val="24"/>
          <w:highlight w:val="none"/>
        </w:rPr>
        <w:t>http://zfcg.czt.zj.gov.cn/</w:t>
      </w:r>
      <w:r>
        <w:rPr>
          <w:rFonts w:hint="eastAsia" w:ascii="仿宋_GB2312" w:hAnsi="仿宋_GB2312" w:eastAsia="仿宋_GB2312" w:cs="仿宋_GB2312"/>
          <w:color w:val="auto"/>
          <w:sz w:val="24"/>
          <w:highlight w:val="none"/>
        </w:rPr>
        <w:fldChar w:fldCharType="end"/>
      </w:r>
      <w:r>
        <w:rPr>
          <w:rFonts w:hint="eastAsia" w:ascii="仿宋_GB2312" w:hAnsi="仿宋_GB2312" w:eastAsia="仿宋_GB2312" w:cs="仿宋_GB2312"/>
          <w:color w:val="auto"/>
          <w:sz w:val="24"/>
          <w:highlight w:val="none"/>
        </w:rPr>
        <w:t>、绍兴公共资源交易网</w:t>
      </w:r>
      <w:r>
        <w:rPr>
          <w:rFonts w:hint="eastAsia" w:ascii="仿宋_GB2312" w:hAnsi="仿宋_GB2312" w:eastAsia="仿宋_GB2312" w:cs="仿宋_GB2312"/>
          <w:color w:val="auto"/>
          <w:sz w:val="24"/>
          <w:highlight w:val="none"/>
        </w:rPr>
        <w:fldChar w:fldCharType="begin"/>
      </w:r>
      <w:r>
        <w:rPr>
          <w:rFonts w:hint="eastAsia" w:ascii="仿宋_GB2312" w:hAnsi="仿宋_GB2312" w:eastAsia="仿宋_GB2312" w:cs="仿宋_GB2312"/>
          <w:color w:val="auto"/>
          <w:sz w:val="24"/>
          <w:highlight w:val="none"/>
        </w:rPr>
        <w:instrText xml:space="preserve"> HYPERLINK "http://ggb.sx.gov.cn" </w:instrText>
      </w:r>
      <w:r>
        <w:rPr>
          <w:rFonts w:hint="eastAsia" w:ascii="仿宋_GB2312" w:hAnsi="仿宋_GB2312" w:eastAsia="仿宋_GB2312" w:cs="仿宋_GB2312"/>
          <w:color w:val="auto"/>
          <w:sz w:val="24"/>
          <w:highlight w:val="none"/>
        </w:rPr>
        <w:fldChar w:fldCharType="separate"/>
      </w:r>
      <w:r>
        <w:rPr>
          <w:rFonts w:hint="eastAsia" w:ascii="仿宋_GB2312" w:hAnsi="仿宋_GB2312" w:eastAsia="仿宋_GB2312" w:cs="仿宋_GB2312"/>
          <w:color w:val="auto"/>
          <w:sz w:val="24"/>
          <w:highlight w:val="none"/>
        </w:rPr>
        <w:t>http://ggb.sx.gov.cn</w:t>
      </w:r>
      <w:r>
        <w:rPr>
          <w:rFonts w:hint="eastAsia" w:ascii="仿宋_GB2312" w:hAnsi="仿宋_GB2312" w:eastAsia="仿宋_GB2312" w:cs="仿宋_GB2312"/>
          <w:color w:val="auto"/>
          <w:sz w:val="24"/>
          <w:highlight w:val="none"/>
        </w:rPr>
        <w:fldChar w:fldCharType="end"/>
      </w:r>
      <w:r>
        <w:rPr>
          <w:rFonts w:hint="eastAsia" w:ascii="仿宋_GB2312" w:hAnsi="仿宋_GB2312" w:eastAsia="仿宋_GB2312" w:cs="仿宋_GB2312"/>
          <w:color w:val="auto"/>
          <w:sz w:val="24"/>
          <w:highlight w:val="none"/>
        </w:rPr>
        <w:t>）发布中标公告，中标公告期限为1个工作日。</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_GB2312" w:hAnsi="仿宋_GB2312" w:eastAsia="仿宋_GB2312" w:cs="仿宋_GB2312"/>
          <w:color w:val="auto"/>
          <w:sz w:val="24"/>
          <w:highlight w:val="none"/>
          <w:lang w:val="zh-CN"/>
        </w:rPr>
        <w:t>。</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3.3采购代理机构对中标结果不作任何说明和解释，也不回答任何提问。</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4</w:t>
      </w:r>
      <w:r>
        <w:rPr>
          <w:rFonts w:hint="eastAsia" w:ascii="仿宋_GB2312" w:hAnsi="仿宋_GB2312" w:eastAsia="仿宋_GB2312" w:cs="仿宋_GB2312"/>
          <w:b/>
          <w:color w:val="auto"/>
          <w:sz w:val="24"/>
          <w:highlight w:val="none"/>
        </w:rPr>
        <w:t>．履约保证金</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4.2项目验收结束后，采购人应及时退还履约保证金。</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4.3供应商以银行、保险公司出具保函形式提交履约保证金的，采购人不得拒收。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4.4政府采购货物和服务项目不得收取质量保证金。</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5</w:t>
      </w:r>
      <w:r>
        <w:rPr>
          <w:rFonts w:hint="eastAsia" w:ascii="仿宋_GB2312" w:hAnsi="仿宋_GB2312" w:eastAsia="仿宋_GB2312" w:cs="仿宋_GB2312"/>
          <w:b/>
          <w:color w:val="auto"/>
          <w:sz w:val="24"/>
          <w:highlight w:val="none"/>
        </w:rPr>
        <w:t>．合同签订及备案</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5.1中标人应当在中标通知书发出之日起30天内与采购人签订合同，自采购合同签订之日起2个工作日内，通过电子交易平台进行备案。</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5.2如中标人为联合体的，由联合体成员各方法定代表人或其授权代表与采购人代表签订合同。</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6</w:t>
      </w:r>
      <w:r>
        <w:rPr>
          <w:rFonts w:hint="eastAsia" w:ascii="仿宋_GB2312" w:hAnsi="仿宋_GB2312" w:eastAsia="仿宋_GB2312" w:cs="仿宋_GB2312"/>
          <w:b/>
          <w:color w:val="auto"/>
          <w:sz w:val="24"/>
          <w:highlight w:val="none"/>
        </w:rPr>
        <w:t>.验收</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pPr>
        <w:keepNext w:val="0"/>
        <w:keepLines w:val="0"/>
        <w:pageBreakBefore w:val="0"/>
        <w:kinsoku/>
        <w:wordWrap w:val="0"/>
        <w:overflowPunct/>
        <w:topLinePunct w:val="0"/>
        <w:autoSpaceDE/>
        <w:autoSpaceDN/>
        <w:bidi w:val="0"/>
        <w:adjustRightInd w:val="0"/>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val="en-US" w:eastAsia="zh-CN"/>
        </w:rPr>
        <w:t>7</w:t>
      </w:r>
      <w:r>
        <w:rPr>
          <w:rFonts w:hint="eastAsia" w:ascii="仿宋_GB2312" w:hAnsi="仿宋_GB2312" w:eastAsia="仿宋_GB2312" w:cs="仿宋_GB2312"/>
          <w:b/>
          <w:color w:val="auto"/>
          <w:sz w:val="24"/>
          <w:highlight w:val="none"/>
        </w:rPr>
        <w:t>.售后服务考核</w:t>
      </w:r>
    </w:p>
    <w:p>
      <w:pPr>
        <w:keepNext w:val="0"/>
        <w:keepLines w:val="0"/>
        <w:pageBreakBefore w:val="0"/>
        <w:widowControl w:val="0"/>
        <w:kinsoku/>
        <w:wordWrap w:val="0"/>
        <w:overflowPunct/>
        <w:topLinePunct w:val="0"/>
        <w:autoSpaceDE/>
        <w:autoSpaceDN/>
        <w:bidi w:val="0"/>
        <w:adjustRightInd w:val="0"/>
        <w:snapToGrid w:val="0"/>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pPr>
        <w:keepNext w:val="0"/>
        <w:keepLines w:val="0"/>
        <w:pageBreakBefore w:val="0"/>
        <w:widowControl w:val="0"/>
        <w:tabs>
          <w:tab w:val="left" w:pos="0"/>
        </w:tabs>
        <w:kinsoku/>
        <w:wordWrap w:val="0"/>
        <w:overflowPunct/>
        <w:topLinePunct w:val="0"/>
        <w:autoSpaceDE/>
        <w:autoSpaceDN/>
        <w:bidi w:val="0"/>
        <w:adjustRightInd w:val="0"/>
        <w:spacing w:line="360" w:lineRule="auto"/>
        <w:ind w:firstLine="480"/>
        <w:textAlignment w:val="auto"/>
        <w:rPr>
          <w:rFonts w:hint="eastAsia" w:ascii="仿宋_GB2312" w:hAnsi="仿宋_GB2312" w:eastAsia="仿宋_GB2312" w:cs="仿宋_GB2312"/>
          <w:color w:val="auto"/>
          <w:kern w:val="0"/>
          <w:sz w:val="24"/>
          <w:highlight w:val="none"/>
        </w:rPr>
      </w:pPr>
    </w:p>
    <w:p>
      <w:pPr>
        <w:kinsoku/>
        <w:wordWrap w:val="0"/>
        <w:overflowPunct/>
        <w:topLinePunct w:val="0"/>
        <w:bidi w:val="0"/>
        <w:adjustRightInd/>
        <w:spacing w:line="336" w:lineRule="auto"/>
        <w:jc w:val="center"/>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六、</w:t>
      </w:r>
      <w:r>
        <w:rPr>
          <w:rFonts w:hint="eastAsia" w:ascii="仿宋_GB2312" w:hAnsi="仿宋_GB2312" w:eastAsia="仿宋_GB2312" w:cs="仿宋_GB2312"/>
          <w:b/>
          <w:bCs/>
          <w:i w:val="0"/>
          <w:iCs w:val="0"/>
          <w:color w:val="auto"/>
          <w:kern w:val="2"/>
          <w:sz w:val="32"/>
          <w:szCs w:val="20"/>
          <w:highlight w:val="none"/>
          <w:vertAlign w:val="baseline"/>
          <w:lang w:val="en-US" w:eastAsia="zh-CN" w:bidi="ar-SA"/>
        </w:rPr>
        <w:t>询问、质疑与投诉</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1.在线询问、质疑、投诉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_GB2312" w:hAnsi="仿宋_GB2312" w:eastAsia="仿宋_GB2312" w:cs="仿宋_GB2312"/>
          <w:color w:val="auto"/>
          <w:sz w:val="24"/>
          <w:highlight w:val="none"/>
        </w:rPr>
        <w:t>〔2021</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2. 供应商询问</w:t>
      </w:r>
    </w:p>
    <w:p>
      <w:pPr>
        <w:kinsoku/>
        <w:wordWrap w:val="0"/>
        <w:overflowPunct/>
        <w:topLinePunct w:val="0"/>
        <w:autoSpaceDE w:val="0"/>
        <w:autoSpaceDN w:val="0"/>
        <w:bidi w:val="0"/>
        <w:adjustRightInd w:val="0"/>
        <w:spacing w:line="336" w:lineRule="auto"/>
        <w:ind w:firstLine="480" w:firstLineChars="200"/>
        <w:jc w:val="left"/>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_GB2312" w:hAnsi="仿宋_GB2312" w:eastAsia="仿宋_GB2312" w:cs="仿宋_GB2312"/>
          <w:b w:val="0"/>
          <w:bCs w:val="0"/>
          <w:i w:val="0"/>
          <w:iCs w:val="0"/>
          <w:color w:val="auto"/>
          <w:kern w:val="0"/>
          <w:sz w:val="24"/>
          <w:szCs w:val="24"/>
          <w:highlight w:val="none"/>
          <w:vertAlign w:val="baseline"/>
          <w:lang w:val="en-US" w:eastAsia="zh-CN" w:bidi="ar-SA"/>
        </w:rPr>
        <w:t xml:space="preserve"> </w:t>
      </w:r>
      <w:r>
        <w:rPr>
          <w:rFonts w:hint="eastAsia" w:ascii="仿宋_GB2312" w:hAnsi="仿宋_GB2312" w:eastAsia="仿宋_GB2312" w:cs="仿宋_GB2312"/>
          <w:b w:val="0"/>
          <w:bCs w:val="0"/>
          <w:i w:val="0"/>
          <w:iCs w:val="0"/>
          <w:color w:val="auto"/>
          <w:kern w:val="0"/>
          <w:sz w:val="24"/>
          <w:szCs w:val="24"/>
          <w:highlight w:val="none"/>
          <w:vertAlign w:val="baseline"/>
          <w:lang w:val="zh-CN" w:eastAsia="zh-CN" w:bidi="ar-SA"/>
        </w:rPr>
        <w:t>的，采购代理机构应当告知供应商向采购人提出。</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3. 供应商质疑</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.1质疑提出时效</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widowControl/>
        <w:kinsoku/>
        <w:wordWrap w:val="0"/>
        <w:overflowPunct/>
        <w:topLinePunct w:val="0"/>
        <w:bidi w:val="0"/>
        <w:adjustRightInd w:val="0"/>
        <w:snapToGrid w:val="0"/>
        <w:spacing w:line="336" w:lineRule="auto"/>
        <w:ind w:firstLine="434" w:firstLineChars="181"/>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3.1.2.4对同一采购程序环节的质疑，供应商须一次性提出。</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3.</w:t>
      </w:r>
      <w:r>
        <w:rPr>
          <w:rFonts w:hint="eastAsia" w:ascii="仿宋_GB2312" w:hAnsi="仿宋_GB2312" w:eastAsia="仿宋_GB2312" w:cs="仿宋_GB2312"/>
          <w:b/>
          <w:bCs/>
          <w:i w:val="0"/>
          <w:iCs w:val="0"/>
          <w:color w:val="auto"/>
          <w:kern w:val="0"/>
          <w:sz w:val="24"/>
          <w:szCs w:val="20"/>
          <w:highlight w:val="none"/>
          <w:vertAlign w:val="baseline"/>
          <w:lang w:val="en-US" w:eastAsia="zh-CN" w:bidi="ar-SA"/>
        </w:rPr>
        <w:t>2</w:t>
      </w:r>
      <w:r>
        <w:rPr>
          <w:rFonts w:hint="eastAsia" w:ascii="仿宋_GB2312" w:hAnsi="仿宋_GB2312" w:eastAsia="仿宋_GB2312" w:cs="仿宋_GB2312"/>
          <w:b/>
          <w:bCs/>
          <w:i w:val="0"/>
          <w:iCs w:val="0"/>
          <w:color w:val="auto"/>
          <w:kern w:val="0"/>
          <w:sz w:val="24"/>
          <w:szCs w:val="20"/>
          <w:highlight w:val="none"/>
          <w:vertAlign w:val="baseline"/>
          <w:lang w:val="zh-CN" w:eastAsia="zh-CN" w:bidi="ar-SA"/>
        </w:rPr>
        <w:t>质疑函</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供应商的姓名或者名称、地址、邮编、联系人及联系电话；</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质疑项目的名称、编号；</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具体、明确的质疑事项和与质疑事项相关的请求；</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事实依据；</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必要的法律依据；</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提出质疑的日期。</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质疑函范本及制作说明详见附件1。</w:t>
      </w:r>
    </w:p>
    <w:p>
      <w:pPr>
        <w:kinsoku/>
        <w:wordWrap w:val="0"/>
        <w:overflowPunct/>
        <w:topLinePunct w:val="0"/>
        <w:bidi w:val="0"/>
        <w:adjustRightInd w:val="0"/>
        <w:spacing w:line="336" w:lineRule="auto"/>
        <w:ind w:firstLine="482"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4"/>
          <w:highlight w:val="none"/>
          <w:vertAlign w:val="baseline"/>
          <w:lang w:val="en-US" w:eastAsia="zh-CN" w:bidi="ar-SA"/>
        </w:rPr>
        <w:t>4.供应商投诉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4.3供应商投诉应当有明确的请求和必要的证明材料。</w:t>
      </w:r>
    </w:p>
    <w:p>
      <w:pPr>
        <w:kinsoku/>
        <w:wordWrap w:val="0"/>
        <w:overflowPunct/>
        <w:topLinePunct w:val="0"/>
        <w:bidi w:val="0"/>
        <w:adjustRightInd w:val="0"/>
        <w:spacing w:line="336" w:lineRule="auto"/>
        <w:ind w:firstLine="480" w:firstLineChars="200"/>
        <w:jc w:val="both"/>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2" w:firstLineChars="200"/>
        <w:jc w:val="left"/>
        <w:textAlignment w:val="auto"/>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i w:val="0"/>
          <w:iCs w:val="0"/>
          <w:color w:val="auto"/>
          <w:kern w:val="2"/>
          <w:sz w:val="24"/>
          <w:szCs w:val="20"/>
          <w:highlight w:val="none"/>
          <w:vertAlign w:val="baseline"/>
          <w:lang w:val="en-US" w:eastAsia="zh-CN" w:bidi="ar-SA"/>
        </w:rPr>
        <w:t>投诉书范本及制作说明详见附件2。</w:t>
      </w:r>
    </w:p>
    <w:p>
      <w:pPr>
        <w:pStyle w:val="4"/>
        <w:keepNext w:val="0"/>
        <w:keepLines w:val="0"/>
        <w:pageBreakBefore w:val="0"/>
        <w:widowControl w:val="0"/>
        <w:kinsoku/>
        <w:wordWrap w:val="0"/>
        <w:overflowPunct/>
        <w:topLinePunct w:val="0"/>
        <w:bidi w:val="0"/>
        <w:adjustRightInd w:val="0"/>
        <w:snapToGrid/>
        <w:spacing w:line="440" w:lineRule="exact"/>
        <w:ind w:firstLine="480" w:firstLineChars="200"/>
        <w:textAlignment w:val="auto"/>
        <w:rPr>
          <w:rFonts w:hint="eastAsia" w:ascii="仿宋_GB2312" w:hAnsi="仿宋_GB2312" w:eastAsia="仿宋_GB2312" w:cs="仿宋_GB2312"/>
          <w:color w:val="auto"/>
          <w:highlight w:val="none"/>
        </w:rPr>
        <w:sectPr>
          <w:footerReference r:id="rId11" w:type="default"/>
          <w:pgSz w:w="11906" w:h="16838"/>
          <w:pgMar w:top="1474" w:right="1814" w:bottom="1474" w:left="1814" w:header="851" w:footer="992" w:gutter="0"/>
          <w:pgNumType w:fmt="decimal"/>
          <w:cols w:space="720" w:num="1"/>
          <w:docGrid w:linePitch="312" w:charSpace="0"/>
        </w:sectPr>
      </w:pPr>
    </w:p>
    <w:bookmarkEnd w:id="17"/>
    <w:bookmarkEnd w:id="18"/>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outlineLvl w:val="0"/>
        <w:rPr>
          <w:rFonts w:hint="eastAsia" w:ascii="仿宋_GB2312" w:hAnsi="仿宋_GB2312" w:eastAsia="仿宋_GB2312" w:cs="仿宋_GB2312"/>
          <w:b/>
          <w:color w:val="auto"/>
          <w:sz w:val="36"/>
          <w:szCs w:val="36"/>
          <w:highlight w:val="none"/>
        </w:rPr>
      </w:pPr>
      <w:bookmarkStart w:id="35" w:name="第四部分"/>
      <w:r>
        <w:rPr>
          <w:rFonts w:hint="eastAsia" w:ascii="仿宋_GB2312" w:hAnsi="仿宋_GB2312" w:eastAsia="仿宋_GB2312" w:cs="仿宋_GB2312"/>
          <w:b/>
          <w:color w:val="auto"/>
          <w:sz w:val="36"/>
          <w:szCs w:val="36"/>
          <w:highlight w:val="none"/>
        </w:rPr>
        <w:t>第三部分   招标项目范围及要求</w:t>
      </w:r>
    </w:p>
    <w:bookmarkEnd w:id="35"/>
    <w:p>
      <w:pPr>
        <w:spacing w:line="300" w:lineRule="auto"/>
        <w:ind w:firstLine="482" w:firstLineChars="200"/>
        <w:rPr>
          <w:rFonts w:hint="eastAsia" w:ascii="仿宋_GB2312" w:hAnsi="仿宋_GB2312" w:eastAsia="仿宋_GB2312" w:cs="仿宋_GB2312"/>
          <w:b/>
          <w:bCs/>
          <w:color w:val="auto"/>
          <w:sz w:val="24"/>
          <w:szCs w:val="24"/>
          <w:highlight w:val="none"/>
          <w:lang w:eastAsia="zh-CN"/>
        </w:rPr>
      </w:pPr>
      <w:bookmarkStart w:id="36" w:name="_Toc151354173"/>
      <w:bookmarkStart w:id="37" w:name="第五部分"/>
      <w:bookmarkStart w:id="38" w:name="_Toc86217003"/>
      <w:r>
        <w:rPr>
          <w:rFonts w:hint="eastAsia" w:ascii="仿宋_GB2312" w:hAnsi="仿宋_GB2312" w:eastAsia="仿宋_GB2312" w:cs="仿宋_GB2312"/>
          <w:b/>
          <w:bCs/>
          <w:color w:val="auto"/>
          <w:sz w:val="24"/>
          <w:szCs w:val="24"/>
          <w:highlight w:val="none"/>
          <w:bdr w:val="single" w:color="auto" w:sz="4" w:space="0"/>
        </w:rPr>
        <w:t>01标</w:t>
      </w:r>
      <w:bookmarkStart w:id="39" w:name="_Toc32678"/>
      <w:bookmarkStart w:id="40" w:name="_Toc7206"/>
      <w:r>
        <w:rPr>
          <w:rFonts w:hint="eastAsia" w:ascii="仿宋_GB2312" w:hAnsi="仿宋_GB2312" w:eastAsia="仿宋_GB2312" w:cs="仿宋_GB2312"/>
          <w:b/>
          <w:bCs/>
          <w:color w:val="auto"/>
          <w:sz w:val="24"/>
          <w:szCs w:val="24"/>
          <w:highlight w:val="none"/>
          <w:lang w:eastAsia="zh-CN"/>
        </w:rPr>
        <w:t>2025年绍兴市人力资源和社会保障局“互联网+绍兴人社”云资源租赁项目</w:t>
      </w:r>
    </w:p>
    <w:p>
      <w:pPr>
        <w:spacing w:line="400" w:lineRule="exact"/>
        <w:ind w:firstLine="482" w:firstLineChars="200"/>
        <w:outlineLvl w:val="0"/>
        <w:rPr>
          <w:rFonts w:hint="eastAsia" w:ascii="仿宋_GB2312" w:hAnsi="宋体" w:eastAsia="仿宋_GB2312"/>
          <w:b/>
          <w:bCs/>
          <w:kern w:val="0"/>
          <w:sz w:val="24"/>
        </w:rPr>
      </w:pPr>
      <w:r>
        <w:rPr>
          <w:rFonts w:hint="eastAsia" w:ascii="仿宋_GB2312" w:hAnsi="仿宋_GB2312" w:eastAsia="仿宋_GB2312" w:cs="仿宋_GB2312"/>
          <w:b/>
          <w:bCs/>
          <w:color w:val="auto"/>
          <w:sz w:val="24"/>
          <w:szCs w:val="24"/>
          <w:highlight w:val="none"/>
          <w:lang w:eastAsia="zh-CN"/>
        </w:rPr>
        <w:t xml:space="preserve"> </w:t>
      </w:r>
      <w:r>
        <w:rPr>
          <w:rFonts w:hint="eastAsia" w:ascii="仿宋_GB2312" w:hAnsi="宋体" w:eastAsia="仿宋_GB2312"/>
          <w:b/>
          <w:bCs/>
          <w:kern w:val="0"/>
          <w:sz w:val="24"/>
        </w:rPr>
        <w:t>一、项目介绍</w:t>
      </w:r>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互联网+绍兴人社基础支撑平台是绍兴市人力资源和社会保障局所属各大业务系统的核心支撑平台，支撑着绍兴市人社核心业务的稳定运行。因此，基础支撑平台从高可用性、高可靠性、高性能方面进行总体设计，同时要兼顾便捷的维护、快速的诊断等特性。</w:t>
      </w:r>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互联网+绍兴人社基础支撑平台从高可用性、高可靠性、高性能方面考虑，至少应具备一个主业务处理中心和一个次级业务处理中心，以及一个数据灾备中心。主业务处理中心承担日常的核心人社业务的运行，其资源配备以各大业务系统以自身性能指标为基准根据平均业务服务能力进行配备。次（次级）业务处理中心则以主业务中心的二分之一或三分之一的资源进行配备，主要用于分担主业务处理中心日常业务、弥补高峰期主业务处理中心的处理业务能力的不足。数据灾备中心用于承担核心业务数据的数据灾备，提供当两大业务处理中心出现核心业务数据遭受灾难性损失后的核心业务数据恢复能力。</w:t>
      </w:r>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根据现有实际情况，两大业务处理中心建设方式采用政务云租赁的方式进行，将汇总各大业务系统对基础支撑平台的业务需求、性能需求提出基础支撑平台的总体设计需求。</w:t>
      </w:r>
    </w:p>
    <w:p>
      <w:pPr>
        <w:spacing w:line="400" w:lineRule="exact"/>
        <w:ind w:firstLine="482" w:firstLineChars="200"/>
        <w:outlineLvl w:val="0"/>
        <w:rPr>
          <w:rFonts w:hint="eastAsia" w:ascii="仿宋_GB2312" w:hAnsi="宋体" w:eastAsia="仿宋_GB2312"/>
          <w:b/>
          <w:bCs/>
          <w:sz w:val="24"/>
        </w:rPr>
      </w:pPr>
      <w:bookmarkStart w:id="41" w:name="_Toc57818347"/>
      <w:bookmarkStart w:id="42" w:name="_Toc526754714"/>
      <w:bookmarkStart w:id="43" w:name="_Toc57877835"/>
      <w:r>
        <w:rPr>
          <w:rFonts w:hint="eastAsia" w:ascii="仿宋_GB2312" w:hAnsi="宋体" w:eastAsia="仿宋_GB2312"/>
          <w:b/>
          <w:bCs/>
          <w:sz w:val="24"/>
        </w:rPr>
        <w:t>二、网络</w:t>
      </w:r>
      <w:bookmarkEnd w:id="41"/>
      <w:bookmarkEnd w:id="42"/>
      <w:bookmarkEnd w:id="43"/>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由于两大业务处理中心需要具备同时处理业务的能力，其之间的关系并不是互为备份的关系。因此，两大业务处理中心必须具备业务双活的功能特性；两大业务处理中心之间应该具备高速、可靠的网络互联能力，支持IPv6技术。网络互联能力设计原则：</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1.两个业务中心之间以太网络带宽不低于16Gbps；</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2.两个业务中心之间SAN网络带宽不低于16Gbps</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3.两个业务中心之间网络延时不超过5毫秒。</w:t>
      </w:r>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为了达到业务双活的能力，对于访问者连接业务处理中心也提出了如下的要求：</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1.网络接入双冗余；</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2.多运营商网络接入。</w:t>
      </w:r>
    </w:p>
    <w:p>
      <w:pPr>
        <w:spacing w:line="400" w:lineRule="exact"/>
        <w:ind w:firstLine="482" w:firstLineChars="200"/>
        <w:outlineLvl w:val="0"/>
        <w:rPr>
          <w:rFonts w:hint="eastAsia" w:ascii="仿宋_GB2312" w:hAnsi="宋体" w:eastAsia="仿宋_GB2312"/>
          <w:b/>
          <w:bCs/>
          <w:sz w:val="24"/>
        </w:rPr>
      </w:pPr>
      <w:bookmarkStart w:id="44" w:name="_Toc57818348"/>
      <w:bookmarkStart w:id="45" w:name="_Toc526754715"/>
      <w:bookmarkStart w:id="46" w:name="_Toc57877836"/>
      <w:r>
        <w:rPr>
          <w:rFonts w:hint="eastAsia" w:ascii="仿宋_GB2312" w:hAnsi="宋体" w:eastAsia="仿宋_GB2312"/>
          <w:b/>
          <w:bCs/>
          <w:sz w:val="24"/>
        </w:rPr>
        <w:t>三、数据库</w:t>
      </w:r>
      <w:bookmarkEnd w:id="44"/>
      <w:bookmarkEnd w:id="45"/>
      <w:bookmarkEnd w:id="46"/>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由于两大业务处理中心需要具备同时处理业务的能力，数据库部署架构应该采用两地双活架构，能够同时承担业务处理任务。</w:t>
      </w:r>
    </w:p>
    <w:p>
      <w:pPr>
        <w:spacing w:line="400" w:lineRule="exact"/>
        <w:ind w:firstLine="482" w:firstLineChars="200"/>
        <w:outlineLvl w:val="0"/>
        <w:rPr>
          <w:rFonts w:hint="eastAsia" w:ascii="仿宋_GB2312" w:hAnsi="宋体" w:eastAsia="仿宋_GB2312"/>
          <w:b/>
          <w:bCs/>
          <w:sz w:val="24"/>
        </w:rPr>
      </w:pPr>
      <w:bookmarkStart w:id="47" w:name="_Toc57818349"/>
      <w:bookmarkStart w:id="48" w:name="_Toc526754716"/>
      <w:bookmarkStart w:id="49" w:name="_Toc57877837"/>
      <w:r>
        <w:rPr>
          <w:rFonts w:hint="eastAsia" w:ascii="仿宋_GB2312" w:hAnsi="宋体" w:eastAsia="仿宋_GB2312"/>
          <w:b/>
          <w:bCs/>
          <w:sz w:val="24"/>
        </w:rPr>
        <w:t>四、服务协议水平SLA</w:t>
      </w:r>
      <w:bookmarkEnd w:id="47"/>
      <w:bookmarkEnd w:id="48"/>
      <w:bookmarkEnd w:id="49"/>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从业务处理中心高可用、高可靠性方面，要求基础支撑平台的服务协议水平至少能达到：</w:t>
      </w:r>
    </w:p>
    <w:p>
      <w:pPr>
        <w:spacing w:line="400" w:lineRule="exact"/>
        <w:ind w:firstLine="480" w:firstLineChars="200"/>
        <w:rPr>
          <w:rFonts w:hint="eastAsia" w:ascii="仿宋_GB2312" w:hAnsi="仿宋" w:eastAsia="仿宋_GB2312" w:cs="Arial"/>
          <w:sz w:val="24"/>
        </w:rPr>
      </w:pPr>
      <w:r>
        <w:rPr>
          <w:rFonts w:hint="eastAsia" w:ascii="仿宋_GB2312" w:hAnsi="仿宋" w:eastAsia="仿宋_GB2312" w:cs="Arial"/>
          <w:sz w:val="24"/>
        </w:rPr>
        <w:t>1.月度正常运行时间百分比99.95%（允许故障时间20分钟）；</w:t>
      </w:r>
    </w:p>
    <w:p>
      <w:pPr>
        <w:spacing w:line="400" w:lineRule="exact"/>
        <w:ind w:firstLine="480" w:firstLineChars="200"/>
        <w:outlineLvl w:val="1"/>
        <w:rPr>
          <w:rFonts w:hint="eastAsia" w:ascii="仿宋_GB2312" w:hAnsi="仿宋" w:eastAsia="仿宋_GB2312" w:cs="Arial"/>
          <w:sz w:val="24"/>
        </w:rPr>
      </w:pPr>
      <w:r>
        <w:rPr>
          <w:rFonts w:hint="eastAsia" w:ascii="仿宋_GB2312" w:hAnsi="仿宋" w:eastAsia="仿宋_GB2312" w:cs="Arial"/>
          <w:sz w:val="24"/>
        </w:rPr>
        <w:t>2.核心业务数据零丢失。</w:t>
      </w:r>
    </w:p>
    <w:p>
      <w:pPr>
        <w:spacing w:line="400" w:lineRule="exact"/>
        <w:ind w:firstLine="482" w:firstLineChars="200"/>
        <w:outlineLvl w:val="0"/>
        <w:rPr>
          <w:rFonts w:hint="eastAsia" w:ascii="仿宋_GB2312" w:hAnsi="宋体" w:eastAsia="仿宋_GB2312"/>
          <w:b/>
          <w:bCs/>
          <w:sz w:val="24"/>
        </w:rPr>
      </w:pPr>
      <w:r>
        <w:rPr>
          <w:rFonts w:hint="eastAsia" w:ascii="仿宋_GB2312" w:hAnsi="宋体" w:eastAsia="仿宋_GB2312"/>
          <w:b/>
          <w:bCs/>
          <w:sz w:val="24"/>
        </w:rPr>
        <w:t>五、NTP校时服务</w:t>
      </w:r>
    </w:p>
    <w:p>
      <w:pPr>
        <w:spacing w:line="400" w:lineRule="exact"/>
        <w:ind w:firstLine="480" w:firstLineChars="200"/>
        <w:rPr>
          <w:rFonts w:hint="eastAsia" w:ascii="仿宋_GB2312" w:hAnsi="仿宋" w:eastAsia="仿宋_GB2312"/>
          <w:sz w:val="24"/>
        </w:rPr>
      </w:pPr>
      <w:r>
        <w:rPr>
          <w:rFonts w:hint="eastAsia" w:ascii="仿宋_GB2312" w:hAnsi="仿宋" w:eastAsia="仿宋_GB2312"/>
          <w:sz w:val="24"/>
        </w:rPr>
        <w:t>从提供全网（内网+外网）时钟同步服务。</w:t>
      </w:r>
    </w:p>
    <w:p>
      <w:pPr>
        <w:spacing w:line="400" w:lineRule="exact"/>
        <w:ind w:firstLine="482" w:firstLineChars="200"/>
        <w:outlineLvl w:val="0"/>
        <w:rPr>
          <w:rFonts w:hint="eastAsia" w:ascii="仿宋_GB2312" w:hAnsi="宋体" w:eastAsia="仿宋_GB2312"/>
          <w:b/>
          <w:bCs/>
          <w:sz w:val="24"/>
        </w:rPr>
      </w:pPr>
      <w:bookmarkStart w:id="50" w:name="_Toc526754718"/>
      <w:bookmarkStart w:id="51" w:name="_Toc57818351"/>
      <w:bookmarkStart w:id="52" w:name="_Toc57877839"/>
      <w:r>
        <w:rPr>
          <w:rFonts w:hint="eastAsia" w:ascii="仿宋_GB2312" w:hAnsi="宋体" w:eastAsia="仿宋_GB2312"/>
          <w:b/>
          <w:bCs/>
          <w:sz w:val="24"/>
        </w:rPr>
        <w:t>六、基础能力</w:t>
      </w:r>
      <w:bookmarkEnd w:id="50"/>
      <w:bookmarkEnd w:id="51"/>
      <w:bookmarkEnd w:id="52"/>
    </w:p>
    <w:p>
      <w:pPr>
        <w:spacing w:line="400" w:lineRule="exact"/>
        <w:ind w:firstLine="480" w:firstLineChars="200"/>
        <w:rPr>
          <w:rFonts w:hint="eastAsia" w:ascii="仿宋_GB2312" w:hAnsi="仿宋" w:eastAsia="仿宋_GB2312"/>
          <w:sz w:val="24"/>
        </w:rPr>
      </w:pPr>
      <w:r>
        <w:rPr>
          <w:rFonts w:hint="eastAsia" w:ascii="仿宋_GB2312" w:hAnsi="仿宋" w:eastAsia="仿宋_GB2312"/>
          <w:sz w:val="24"/>
        </w:rPr>
        <w:t>设计原则：</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1.提供高速10Gbps、高质量的内部网络；</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2.具备高冗余、快速恢复的架构；</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3.提供Virtual Private Cloud（VPC）功能；</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4.提供HTTPS协议加速；</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5.具备符合国家信息安全等级保护条例三级标准的网络防护能力；</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6.具备硬件级和软件级负载均衡能力。</w:t>
      </w:r>
    </w:p>
    <w:p>
      <w:pPr>
        <w:spacing w:line="400" w:lineRule="exact"/>
        <w:ind w:firstLine="482" w:firstLineChars="200"/>
        <w:outlineLvl w:val="0"/>
        <w:rPr>
          <w:rFonts w:hint="eastAsia" w:ascii="仿宋_GB2312" w:hAnsi="宋体" w:eastAsia="仿宋_GB2312"/>
          <w:b/>
          <w:bCs/>
          <w:sz w:val="24"/>
        </w:rPr>
      </w:pPr>
      <w:bookmarkStart w:id="53" w:name="_Toc57877840"/>
      <w:bookmarkStart w:id="54" w:name="_Toc526754719"/>
      <w:bookmarkStart w:id="55" w:name="_Toc57818352"/>
      <w:r>
        <w:rPr>
          <w:rFonts w:hint="eastAsia" w:ascii="仿宋_GB2312" w:hAnsi="宋体" w:eastAsia="仿宋_GB2312"/>
          <w:b/>
          <w:bCs/>
          <w:sz w:val="24"/>
        </w:rPr>
        <w:t>七、接入网络</w:t>
      </w:r>
      <w:bookmarkEnd w:id="53"/>
      <w:bookmarkEnd w:id="54"/>
      <w:bookmarkEnd w:id="55"/>
    </w:p>
    <w:p>
      <w:pPr>
        <w:spacing w:line="400" w:lineRule="exact"/>
        <w:ind w:firstLine="480" w:firstLineChars="200"/>
        <w:outlineLvl w:val="1"/>
        <w:rPr>
          <w:rFonts w:hint="eastAsia" w:ascii="仿宋_GB2312" w:hAnsi="仿宋" w:eastAsia="仿宋_GB2312"/>
          <w:sz w:val="24"/>
        </w:rPr>
      </w:pPr>
      <w:bookmarkStart w:id="56" w:name="_Toc57877841"/>
      <w:bookmarkStart w:id="57" w:name="_Toc526754720"/>
      <w:bookmarkStart w:id="58" w:name="_Toc57818353"/>
      <w:r>
        <w:rPr>
          <w:rFonts w:hint="eastAsia" w:ascii="仿宋_GB2312" w:hAnsi="仿宋" w:eastAsia="仿宋_GB2312"/>
          <w:sz w:val="24"/>
        </w:rPr>
        <w:t>设计原则：</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1.互联线路具备多运营商，双冗余接入能力；</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2.各区县人社内部网络至业务中心，具备双线接入能力。接入方式：路由器防火墙（IPS、IDS)负载均衡。</w:t>
      </w:r>
    </w:p>
    <w:p>
      <w:pPr>
        <w:spacing w:line="400" w:lineRule="exact"/>
        <w:ind w:left="840"/>
        <w:outlineLvl w:val="1"/>
        <w:rPr>
          <w:rFonts w:hint="eastAsia" w:ascii="仿宋_GB2312" w:hAnsi="仿宋" w:eastAsia="仿宋_GB2312"/>
          <w:sz w:val="24"/>
        </w:rPr>
      </w:pPr>
      <w:r>
        <w:rPr>
          <w:rFonts w:hint="eastAsia" w:ascii="仿宋_GB2312" w:hAnsi="仿宋" w:eastAsia="仿宋_GB2312"/>
          <w:sz w:val="24"/>
        </w:rPr>
        <w:t>3.满足国家信息安全等级保护条例三级标准的相关条件。</w:t>
      </w:r>
    </w:p>
    <w:p>
      <w:pPr>
        <w:spacing w:line="400" w:lineRule="exact"/>
        <w:ind w:firstLine="482" w:firstLineChars="200"/>
        <w:outlineLvl w:val="0"/>
        <w:rPr>
          <w:rFonts w:hint="eastAsia" w:ascii="仿宋_GB2312" w:hAnsi="宋体" w:eastAsia="仿宋_GB2312"/>
          <w:b/>
          <w:bCs/>
          <w:sz w:val="24"/>
        </w:rPr>
      </w:pPr>
      <w:r>
        <w:rPr>
          <w:rFonts w:hint="eastAsia" w:ascii="仿宋_GB2312" w:hAnsi="宋体" w:eastAsia="仿宋_GB2312"/>
          <w:b/>
          <w:bCs/>
          <w:sz w:val="24"/>
        </w:rPr>
        <w:t>八、业务网络</w:t>
      </w:r>
      <w:bookmarkEnd w:id="56"/>
      <w:bookmarkEnd w:id="57"/>
      <w:bookmarkEnd w:id="58"/>
    </w:p>
    <w:p>
      <w:pPr>
        <w:spacing w:line="400" w:lineRule="exact"/>
        <w:ind w:firstLine="480" w:firstLineChars="200"/>
        <w:rPr>
          <w:rFonts w:hint="eastAsia" w:ascii="仿宋_GB2312" w:hAnsi="仿宋" w:eastAsia="仿宋_GB2312"/>
          <w:sz w:val="24"/>
        </w:rPr>
      </w:pPr>
      <w:r>
        <w:rPr>
          <w:rFonts w:hint="eastAsia" w:ascii="仿宋_GB2312" w:hAnsi="仿宋" w:eastAsia="仿宋_GB2312"/>
          <w:sz w:val="24"/>
        </w:rPr>
        <w:t>需按照业务设计进行规划，相关原则：</w:t>
      </w:r>
    </w:p>
    <w:p>
      <w:pPr>
        <w:spacing w:line="400" w:lineRule="exact"/>
        <w:ind w:firstLine="480" w:firstLineChars="200"/>
        <w:rPr>
          <w:rFonts w:hint="eastAsia" w:ascii="仿宋_GB2312" w:hAnsi="仿宋" w:eastAsia="仿宋_GB2312"/>
          <w:sz w:val="24"/>
        </w:rPr>
      </w:pPr>
      <w:r>
        <w:rPr>
          <w:rFonts w:hint="eastAsia" w:ascii="仿宋_GB2312" w:hAnsi="仿宋" w:eastAsia="仿宋_GB2312"/>
          <w:sz w:val="24"/>
        </w:rPr>
        <w:t>1.按服务器用途进行子网划分，比如数据库服务器、应用服务器、接口服务器等；</w:t>
      </w:r>
    </w:p>
    <w:p>
      <w:pPr>
        <w:spacing w:line="400" w:lineRule="exact"/>
        <w:ind w:firstLine="480" w:firstLineChars="200"/>
        <w:rPr>
          <w:rFonts w:hint="eastAsia" w:ascii="仿宋_GB2312" w:hAnsi="仿宋" w:eastAsia="仿宋_GB2312"/>
          <w:sz w:val="24"/>
          <w:lang w:eastAsia="zh-CN"/>
        </w:rPr>
      </w:pPr>
      <w:r>
        <w:rPr>
          <w:rFonts w:hint="eastAsia" w:ascii="仿宋_GB2312" w:hAnsi="仿宋" w:eastAsia="仿宋_GB2312"/>
          <w:sz w:val="24"/>
        </w:rPr>
        <w:t>2.按核心业务用途进行子网划分，比如社保核心业务等</w:t>
      </w:r>
      <w:r>
        <w:rPr>
          <w:rFonts w:hint="eastAsia" w:ascii="仿宋_GB2312" w:hAnsi="仿宋" w:eastAsia="仿宋_GB2312"/>
          <w:sz w:val="24"/>
          <w:lang w:eastAsia="zh-CN"/>
        </w:rPr>
        <w:t>；</w:t>
      </w:r>
    </w:p>
    <w:p>
      <w:pPr>
        <w:spacing w:line="400" w:lineRule="exact"/>
        <w:ind w:firstLine="480" w:firstLineChars="200"/>
        <w:rPr>
          <w:rFonts w:hint="eastAsia" w:ascii="仿宋_GB2312" w:hAnsi="仿宋" w:eastAsia="仿宋_GB2312"/>
          <w:sz w:val="24"/>
        </w:rPr>
      </w:pPr>
      <w:r>
        <w:rPr>
          <w:rFonts w:hint="eastAsia" w:ascii="仿宋_GB2312" w:hAnsi="仿宋" w:eastAsia="仿宋_GB2312"/>
          <w:sz w:val="24"/>
        </w:rPr>
        <w:t>3.业务终端访问核心业务应用时必须通过负载均衡器进行负载均衡，必须通过防火墙进行端口映射及地址转换；</w:t>
      </w:r>
    </w:p>
    <w:p>
      <w:pPr>
        <w:spacing w:line="400" w:lineRule="exact"/>
        <w:ind w:firstLine="480" w:firstLineChars="200"/>
        <w:rPr>
          <w:rFonts w:hint="eastAsia" w:ascii="仿宋_GB2312" w:hAnsi="仿宋" w:eastAsia="仿宋_GB2312"/>
          <w:sz w:val="24"/>
          <w:lang w:eastAsia="zh-CN"/>
        </w:rPr>
      </w:pPr>
      <w:r>
        <w:rPr>
          <w:rFonts w:hint="eastAsia" w:ascii="仿宋_GB2312" w:hAnsi="仿宋" w:eastAsia="仿宋_GB2312"/>
          <w:sz w:val="24"/>
        </w:rPr>
        <w:t>4.内外网相互之间通信，必须通过网闸安全设备实现信息的物理隔断</w:t>
      </w:r>
      <w:r>
        <w:rPr>
          <w:rFonts w:hint="eastAsia" w:ascii="仿宋_GB2312" w:hAnsi="仿宋" w:eastAsia="仿宋_GB2312"/>
          <w:sz w:val="24"/>
          <w:lang w:eastAsia="zh-CN"/>
        </w:rPr>
        <w:t>。</w:t>
      </w:r>
    </w:p>
    <w:p>
      <w:pPr>
        <w:spacing w:line="400" w:lineRule="exact"/>
        <w:ind w:firstLine="482" w:firstLineChars="200"/>
        <w:outlineLvl w:val="0"/>
        <w:rPr>
          <w:rFonts w:hint="eastAsia" w:ascii="仿宋_GB2312" w:hAnsi="宋体" w:eastAsia="仿宋_GB2312"/>
          <w:b/>
          <w:bCs/>
          <w:kern w:val="0"/>
          <w:sz w:val="24"/>
        </w:rPr>
      </w:pPr>
      <w:bookmarkStart w:id="59" w:name="_Toc57877842"/>
      <w:bookmarkStart w:id="60" w:name="_Toc512977175"/>
      <w:bookmarkStart w:id="61" w:name="_Toc57818354"/>
      <w:bookmarkStart w:id="62" w:name="_Toc526754721"/>
      <w:r>
        <w:rPr>
          <w:rFonts w:hint="eastAsia" w:ascii="仿宋_GB2312" w:hAnsi="宋体" w:eastAsia="仿宋_GB2312"/>
          <w:b/>
          <w:bCs/>
          <w:kern w:val="0"/>
          <w:sz w:val="24"/>
        </w:rPr>
        <w:t>九、安全</w:t>
      </w:r>
      <w:r>
        <w:rPr>
          <w:rFonts w:hint="eastAsia" w:ascii="仿宋_GB2312" w:hAnsi="宋体" w:eastAsia="仿宋_GB2312"/>
          <w:b/>
          <w:bCs/>
          <w:sz w:val="24"/>
        </w:rPr>
        <w:t>设计</w:t>
      </w:r>
      <w:bookmarkEnd w:id="59"/>
      <w:bookmarkEnd w:id="60"/>
      <w:bookmarkEnd w:id="61"/>
      <w:bookmarkEnd w:id="62"/>
    </w:p>
    <w:p>
      <w:pPr>
        <w:spacing w:line="400" w:lineRule="exact"/>
        <w:ind w:firstLine="420"/>
        <w:rPr>
          <w:rFonts w:hint="eastAsia" w:ascii="仿宋_GB2312" w:hAnsi="仿宋" w:eastAsia="仿宋_GB2312"/>
          <w:sz w:val="24"/>
        </w:rPr>
      </w:pPr>
      <w:r>
        <w:rPr>
          <w:rFonts w:hint="eastAsia" w:ascii="仿宋_GB2312" w:hAnsi="仿宋" w:eastAsia="仿宋_GB2312"/>
          <w:sz w:val="24"/>
        </w:rPr>
        <w:t>业务处理中心信息安全设计应满足国家的相关法律法规的规定，以及人力资源和社会保障部关于金保工程的相关安全要求。业务处理中心必须满足国家信息安全等级保护条例中第三等级的相关技术要求和资格认证。相关国家法律法规：</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1.国家安全法</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2.网络安全法</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3.反恐法</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4.信息安全等级保护条例</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5.信息安全产品管理规定</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6.网络安全审查办法</w:t>
      </w:r>
    </w:p>
    <w:p>
      <w:pPr>
        <w:spacing w:line="400" w:lineRule="exact"/>
        <w:ind w:left="420"/>
        <w:outlineLvl w:val="1"/>
        <w:rPr>
          <w:rFonts w:hint="eastAsia" w:ascii="仿宋_GB2312" w:hAnsi="仿宋" w:eastAsia="仿宋_GB2312"/>
          <w:sz w:val="24"/>
        </w:rPr>
      </w:pPr>
      <w:r>
        <w:rPr>
          <w:rFonts w:hint="eastAsia" w:ascii="仿宋_GB2312" w:hAnsi="仿宋" w:eastAsia="仿宋_GB2312"/>
          <w:sz w:val="24"/>
        </w:rPr>
        <w:t>7.商用密码管理条例</w:t>
      </w:r>
    </w:p>
    <w:p>
      <w:pPr>
        <w:spacing w:line="400" w:lineRule="exact"/>
        <w:ind w:firstLine="420"/>
        <w:rPr>
          <w:rFonts w:hint="eastAsia" w:ascii="仿宋_GB2312" w:hAnsi="仿宋" w:eastAsia="仿宋_GB2312"/>
          <w:sz w:val="24"/>
        </w:rPr>
      </w:pPr>
      <w:r>
        <w:rPr>
          <w:rFonts w:hint="eastAsia" w:ascii="仿宋_GB2312" w:hAnsi="仿宋" w:eastAsia="仿宋_GB2312"/>
          <w:sz w:val="24"/>
        </w:rPr>
        <w:t>业务处理中心对应各种原因而替换下来的存储介质，因提供完备的数据清除策略和手段。</w:t>
      </w:r>
    </w:p>
    <w:p>
      <w:pPr>
        <w:spacing w:line="400" w:lineRule="exact"/>
        <w:ind w:firstLine="482" w:firstLineChars="200"/>
        <w:outlineLvl w:val="0"/>
        <w:rPr>
          <w:rFonts w:hint="eastAsia" w:ascii="仿宋_GB2312" w:hAnsi="宋体" w:eastAsia="仿宋_GB2312"/>
          <w:b/>
          <w:bCs/>
          <w:kern w:val="0"/>
          <w:sz w:val="24"/>
        </w:rPr>
      </w:pPr>
      <w:r>
        <w:rPr>
          <w:rFonts w:hint="eastAsia" w:ascii="仿宋_GB2312" w:hAnsi="宋体" w:eastAsia="仿宋_GB2312"/>
          <w:b/>
          <w:bCs/>
          <w:kern w:val="0"/>
          <w:sz w:val="24"/>
        </w:rPr>
        <w:t>十、云服务</w:t>
      </w:r>
      <w:r>
        <w:rPr>
          <w:rFonts w:ascii="仿宋_GB2312" w:hAnsi="宋体" w:eastAsia="仿宋_GB2312"/>
          <w:b/>
          <w:bCs/>
          <w:kern w:val="0"/>
          <w:sz w:val="24"/>
        </w:rPr>
        <w:t>基本要求</w:t>
      </w:r>
    </w:p>
    <w:p>
      <w:pPr>
        <w:spacing w:line="400" w:lineRule="exact"/>
        <w:ind w:firstLine="480" w:firstLineChars="200"/>
        <w:jc w:val="left"/>
        <w:rPr>
          <w:rFonts w:ascii="仿宋_GB2312" w:eastAsia="仿宋_GB2312"/>
          <w:sz w:val="24"/>
        </w:rPr>
      </w:pPr>
      <w:r>
        <w:rPr>
          <w:rFonts w:hint="eastAsia" w:ascii="仿宋_GB2312" w:eastAsia="仿宋_GB2312"/>
          <w:sz w:val="24"/>
        </w:rPr>
        <w:t>互联网+绍兴人社基础支持平台提供多种关系型数据库、非关系型数据库，应对各大业务系统对数据库种类的不同需求。</w:t>
      </w:r>
    </w:p>
    <w:p>
      <w:pPr>
        <w:spacing w:line="400" w:lineRule="exact"/>
        <w:ind w:firstLine="480" w:firstLineChars="200"/>
        <w:rPr>
          <w:rFonts w:ascii="仿宋_GB2312" w:eastAsia="仿宋_GB2312"/>
          <w:sz w:val="24"/>
        </w:rPr>
      </w:pPr>
      <w:r>
        <w:rPr>
          <w:rFonts w:hint="eastAsia" w:ascii="仿宋_GB2312" w:eastAsia="仿宋_GB2312"/>
          <w:sz w:val="24"/>
        </w:rPr>
        <w:t>提供的服务需要同时满足以下基本条件：</w:t>
      </w:r>
    </w:p>
    <w:p>
      <w:pPr>
        <w:spacing w:line="400" w:lineRule="exact"/>
        <w:ind w:firstLine="480" w:firstLineChars="200"/>
        <w:outlineLvl w:val="1"/>
        <w:rPr>
          <w:rFonts w:ascii="仿宋_GB2312" w:eastAsia="仿宋_GB2312"/>
          <w:sz w:val="24"/>
        </w:rPr>
      </w:pPr>
      <w:r>
        <w:rPr>
          <w:rFonts w:hint="eastAsia" w:ascii="仿宋_GB2312" w:eastAsia="仿宋_GB2312"/>
          <w:sz w:val="24"/>
        </w:rPr>
        <w:t>1．信息安全要求</w:t>
      </w:r>
    </w:p>
    <w:p>
      <w:pPr>
        <w:spacing w:line="400" w:lineRule="exact"/>
        <w:ind w:firstLine="480" w:firstLineChars="200"/>
        <w:rPr>
          <w:rFonts w:ascii="仿宋_GB2312"/>
          <w:sz w:val="24"/>
        </w:rPr>
      </w:pPr>
      <w:r>
        <w:rPr>
          <w:rFonts w:hint="eastAsia" w:ascii="仿宋_GB2312" w:hAnsi="仿宋_GB2312" w:eastAsia="仿宋_GB2312" w:cs="仿宋_GB2312"/>
          <w:sz w:val="24"/>
        </w:rPr>
        <w:t>▲</w:t>
      </w:r>
      <w:r>
        <w:rPr>
          <w:rFonts w:hint="eastAsia" w:ascii="仿宋_GB2312" w:eastAsia="仿宋_GB2312"/>
          <w:sz w:val="24"/>
        </w:rPr>
        <w:t>要求云平台应能满足信息系统三级（含）以上安全等级保护要求，需提供符合三级等保要求的安全运维、日志审计、出口防护、流量监控、堡垒机等安全设备，并要求对于核心业务应能实现应用级容灾保护，非关键性业务实现数据级容灾保护。</w:t>
      </w:r>
      <w:r>
        <w:rPr>
          <w:rFonts w:hint="eastAsia" w:ascii="仿宋_GB2312" w:hAnsi="仿宋" w:eastAsia="仿宋_GB2312"/>
          <w:sz w:val="24"/>
        </w:rPr>
        <w:t>在云平台政务外网区域和DMZ区域出口应提供云平台出口防火墙、入侵防护、流量监控以及安全运维管理设备</w:t>
      </w:r>
      <w:r>
        <w:rPr>
          <w:rFonts w:hint="eastAsia" w:ascii="仿宋_GB2312" w:hAnsi="仿宋" w:eastAsia="仿宋_GB2312"/>
          <w:sz w:val="24"/>
          <w:lang w:eastAsia="zh-CN"/>
        </w:rPr>
        <w:t>等</w:t>
      </w:r>
      <w:r>
        <w:rPr>
          <w:rFonts w:hint="eastAsia" w:ascii="仿宋_GB2312" w:hAnsi="仿宋" w:eastAsia="仿宋_GB2312"/>
          <w:sz w:val="24"/>
        </w:rPr>
        <w:t>。</w:t>
      </w:r>
    </w:p>
    <w:p>
      <w:pPr>
        <w:spacing w:line="400" w:lineRule="exact"/>
        <w:ind w:firstLine="480" w:firstLineChars="200"/>
        <w:outlineLvl w:val="1"/>
        <w:rPr>
          <w:rFonts w:ascii="仿宋_GB2312" w:eastAsia="仿宋_GB2312"/>
          <w:sz w:val="24"/>
        </w:rPr>
      </w:pPr>
      <w:r>
        <w:rPr>
          <w:rFonts w:hint="eastAsia" w:ascii="仿宋_GB2312" w:eastAsia="仿宋_GB2312"/>
          <w:sz w:val="24"/>
        </w:rPr>
        <w:t>2．服务支撑要求</w:t>
      </w:r>
    </w:p>
    <w:p>
      <w:pPr>
        <w:spacing w:line="400" w:lineRule="exact"/>
        <w:ind w:firstLine="480" w:firstLineChars="200"/>
        <w:rPr>
          <w:rFonts w:ascii="仿宋_GB2312" w:eastAsia="仿宋_GB2312"/>
          <w:sz w:val="24"/>
        </w:rPr>
      </w:pPr>
      <w:r>
        <w:rPr>
          <w:rFonts w:hint="eastAsia" w:ascii="仿宋_GB2312" w:eastAsia="仿宋_GB2312"/>
          <w:sz w:val="24"/>
        </w:rPr>
        <w:t>为保证政务云稳定可靠运行，投标人须提供且不低于下列服务支撑要求：</w:t>
      </w:r>
    </w:p>
    <w:p>
      <w:pPr>
        <w:spacing w:line="400" w:lineRule="exact"/>
        <w:ind w:firstLine="480" w:firstLineChars="200"/>
        <w:rPr>
          <w:rFonts w:ascii="仿宋_GB2312" w:eastAsia="仿宋_GB2312"/>
          <w:sz w:val="24"/>
        </w:rPr>
      </w:pPr>
      <w:r>
        <w:rPr>
          <w:rFonts w:hint="eastAsia" w:ascii="仿宋_GB2312" w:eastAsia="仿宋_GB2312"/>
          <w:sz w:val="24"/>
        </w:rPr>
        <w:t>（1）要求本期至少2人次驻点服务，主机房提供7*24小时运行值班监控服务。</w:t>
      </w:r>
    </w:p>
    <w:p>
      <w:pPr>
        <w:spacing w:line="400" w:lineRule="exact"/>
        <w:ind w:firstLine="480" w:firstLineChars="200"/>
        <w:rPr>
          <w:rFonts w:ascii="仿宋_GB2312" w:eastAsia="仿宋_GB2312"/>
          <w:sz w:val="24"/>
        </w:rPr>
      </w:pPr>
      <w:r>
        <w:rPr>
          <w:rFonts w:hint="eastAsia" w:ascii="仿宋_GB2312" w:eastAsia="仿宋_GB2312"/>
          <w:sz w:val="24"/>
        </w:rPr>
        <w:t>（2）要求对应用系统上线、迁移、测试进行规划、设计，协助采购人制定建设方案。</w:t>
      </w:r>
    </w:p>
    <w:p>
      <w:pPr>
        <w:spacing w:line="400" w:lineRule="exact"/>
        <w:ind w:firstLine="480" w:firstLineChars="200"/>
        <w:rPr>
          <w:rFonts w:ascii="仿宋_GB2312" w:eastAsia="仿宋_GB2312"/>
          <w:sz w:val="24"/>
        </w:rPr>
      </w:pPr>
      <w:r>
        <w:rPr>
          <w:rFonts w:hint="eastAsia" w:ascii="仿宋_GB2312" w:eastAsia="仿宋_GB2312"/>
          <w:sz w:val="24"/>
        </w:rPr>
        <w:t>（3）免费提供仿真的开发与测试环境，供各级部门应用系统上线前的开发与测试。</w:t>
      </w:r>
    </w:p>
    <w:p>
      <w:pPr>
        <w:spacing w:line="400" w:lineRule="exact"/>
        <w:ind w:firstLine="480" w:firstLineChars="200"/>
        <w:rPr>
          <w:rFonts w:ascii="仿宋_GB2312" w:eastAsia="仿宋_GB2312"/>
          <w:sz w:val="24"/>
        </w:rPr>
      </w:pPr>
      <w:r>
        <w:rPr>
          <w:rFonts w:hint="eastAsia" w:ascii="仿宋_GB2312" w:eastAsia="仿宋_GB2312"/>
          <w:sz w:val="24"/>
        </w:rPr>
        <w:t>（4）要求协助采购人完成相应应用系统的功能、性能、安全等测试，测试未通过严禁系统上线。免费协助采购人进行新开发应用系统部署，并协助完成相关原有应用系统迁移到政务云平台。</w:t>
      </w:r>
    </w:p>
    <w:p>
      <w:pPr>
        <w:spacing w:line="400" w:lineRule="exact"/>
        <w:ind w:firstLine="480" w:firstLineChars="200"/>
        <w:rPr>
          <w:rFonts w:ascii="仿宋_GB2312" w:eastAsia="仿宋_GB2312"/>
          <w:sz w:val="24"/>
        </w:rPr>
      </w:pPr>
      <w:r>
        <w:rPr>
          <w:rFonts w:hint="eastAsia" w:ascii="仿宋_GB2312" w:eastAsia="仿宋_GB2312"/>
          <w:sz w:val="24"/>
        </w:rPr>
        <w:t>（5）要求提供基础的安全服务，相关安全设备特征库更新至最新版本，包括但不限于云主机杀毒软件、操作系统漏洞补丁服务、访问控制、防DDos攻击、使用堡垒机进行运维审计</w:t>
      </w:r>
      <w:r>
        <w:rPr>
          <w:rFonts w:hint="eastAsia" w:ascii="仿宋_GB2312" w:eastAsia="仿宋_GB2312"/>
          <w:sz w:val="24"/>
          <w:lang w:eastAsia="zh-CN"/>
        </w:rPr>
        <w:t>、日志审计</w:t>
      </w:r>
      <w:r>
        <w:rPr>
          <w:rFonts w:hint="eastAsia" w:ascii="仿宋_GB2312" w:eastAsia="仿宋_GB2312"/>
          <w:sz w:val="24"/>
        </w:rPr>
        <w:t>等。</w:t>
      </w:r>
    </w:p>
    <w:p>
      <w:pPr>
        <w:spacing w:line="400" w:lineRule="exact"/>
        <w:ind w:firstLine="480" w:firstLineChars="200"/>
        <w:rPr>
          <w:rFonts w:ascii="仿宋_GB2312" w:eastAsia="仿宋_GB2312"/>
          <w:sz w:val="24"/>
        </w:rPr>
      </w:pPr>
      <w:r>
        <w:rPr>
          <w:rFonts w:hint="eastAsia" w:ascii="仿宋_GB2312" w:hAnsi="仿宋_GB2312" w:eastAsia="仿宋_GB2312" w:cs="仿宋_GB2312"/>
          <w:sz w:val="24"/>
        </w:rPr>
        <w:t>★</w:t>
      </w:r>
      <w:r>
        <w:rPr>
          <w:rFonts w:hint="eastAsia" w:ascii="仿宋_GB2312" w:eastAsia="仿宋_GB2312"/>
          <w:sz w:val="24"/>
        </w:rPr>
        <w:t>（6）要求中标</w:t>
      </w:r>
      <w:r>
        <w:rPr>
          <w:rFonts w:hint="eastAsia" w:ascii="仿宋_GB2312" w:eastAsia="仿宋_GB2312"/>
          <w:sz w:val="24"/>
          <w:lang w:val="en-US" w:eastAsia="zh-CN"/>
        </w:rPr>
        <w:t>人</w:t>
      </w:r>
      <w:r>
        <w:rPr>
          <w:rFonts w:hint="eastAsia" w:ascii="仿宋_GB2312" w:eastAsia="仿宋_GB2312"/>
          <w:sz w:val="24"/>
        </w:rPr>
        <w:t>合同签订后</w:t>
      </w:r>
      <w:r>
        <w:rPr>
          <w:rFonts w:ascii="仿宋_GB2312" w:eastAsia="仿宋_GB2312"/>
          <w:sz w:val="24"/>
        </w:rPr>
        <w:t>15</w:t>
      </w:r>
      <w:r>
        <w:rPr>
          <w:rFonts w:hint="eastAsia" w:ascii="仿宋_GB2312" w:eastAsia="仿宋_GB2312"/>
          <w:sz w:val="24"/>
        </w:rPr>
        <w:t>天（自然日）内提供相应资源、安全服务，完成相关业务迁移，迁移期间保证业务连续性，不得中断原有业务。</w:t>
      </w:r>
      <w:r>
        <w:rPr>
          <w:rFonts w:hint="eastAsia" w:ascii="仿宋_GB2312" w:eastAsia="仿宋_GB2312"/>
          <w:b/>
          <w:sz w:val="24"/>
        </w:rPr>
        <w:t>（需提供承诺函</w:t>
      </w:r>
      <w:r>
        <w:rPr>
          <w:rFonts w:hint="eastAsia" w:ascii="仿宋_GB2312" w:eastAsia="仿宋_GB2312"/>
          <w:b/>
          <w:color w:val="auto"/>
          <w:sz w:val="24"/>
          <w:lang w:eastAsia="zh-CN"/>
        </w:rPr>
        <w:t>，</w:t>
      </w:r>
      <w:r>
        <w:rPr>
          <w:rFonts w:hint="eastAsia" w:ascii="仿宋_GB2312" w:eastAsia="仿宋_GB2312"/>
          <w:b/>
          <w:color w:val="auto"/>
          <w:sz w:val="24"/>
          <w:lang w:val="en-US" w:eastAsia="zh-CN"/>
        </w:rPr>
        <w:t>格式自拟</w:t>
      </w:r>
      <w:r>
        <w:rPr>
          <w:rFonts w:hint="eastAsia" w:ascii="仿宋_GB2312" w:eastAsia="仿宋_GB2312"/>
          <w:b/>
          <w:sz w:val="24"/>
        </w:rPr>
        <w:t>）</w:t>
      </w:r>
    </w:p>
    <w:p>
      <w:pPr>
        <w:spacing w:line="400" w:lineRule="exact"/>
        <w:ind w:firstLine="482" w:firstLineChars="200"/>
        <w:outlineLvl w:val="1"/>
        <w:rPr>
          <w:rFonts w:ascii="仿宋_GB2312" w:eastAsia="仿宋_GB2312"/>
          <w:b/>
          <w:bCs/>
          <w:sz w:val="24"/>
        </w:rPr>
      </w:pPr>
      <w:r>
        <w:rPr>
          <w:rFonts w:hint="eastAsia" w:ascii="仿宋_GB2312" w:eastAsia="仿宋_GB2312"/>
          <w:b/>
          <w:bCs/>
          <w:sz w:val="24"/>
        </w:rPr>
        <w:t>(一)云平台总体要求</w:t>
      </w:r>
    </w:p>
    <w:p>
      <w:pPr>
        <w:spacing w:line="400" w:lineRule="exact"/>
        <w:ind w:firstLine="480" w:firstLineChars="200"/>
        <w:outlineLvl w:val="2"/>
        <w:rPr>
          <w:rFonts w:ascii="仿宋_GB2312" w:eastAsia="仿宋_GB2312"/>
          <w:sz w:val="24"/>
        </w:rPr>
      </w:pPr>
      <w:r>
        <w:rPr>
          <w:rFonts w:hint="eastAsia" w:ascii="仿宋_GB2312" w:eastAsia="仿宋_GB2312"/>
          <w:sz w:val="24"/>
        </w:rPr>
        <w:t>1.云平台相关证书</w:t>
      </w:r>
    </w:p>
    <w:p>
      <w:pPr>
        <w:spacing w:line="400" w:lineRule="exact"/>
        <w:ind w:firstLine="480" w:firstLineChars="200"/>
        <w:rPr>
          <w:rFonts w:ascii="仿宋_GB2312" w:eastAsia="仿宋_GB2312"/>
          <w:sz w:val="24"/>
        </w:rPr>
      </w:pPr>
      <w:r>
        <w:rPr>
          <w:rFonts w:hint="eastAsia" w:ascii="仿宋_GB2312" w:eastAsia="仿宋_GB2312"/>
          <w:sz w:val="24"/>
        </w:rPr>
        <w:t>要求所提供的云平台通过国家标准云评测，并提供</w:t>
      </w:r>
      <w:bookmarkStart w:id="63" w:name="OLE_LINK1"/>
      <w:r>
        <w:rPr>
          <w:rFonts w:hint="eastAsia" w:ascii="仿宋_GB2312" w:eastAsia="仿宋_GB2312"/>
          <w:sz w:val="24"/>
        </w:rPr>
        <w:t>中国电子技术标准化研究院</w:t>
      </w:r>
      <w:bookmarkEnd w:id="63"/>
      <w:r>
        <w:rPr>
          <w:rFonts w:hint="eastAsia" w:ascii="仿宋_GB2312" w:eastAsia="仿宋_GB2312"/>
          <w:sz w:val="24"/>
        </w:rPr>
        <w:t>出具的相关证书。</w:t>
      </w:r>
    </w:p>
    <w:p>
      <w:pPr>
        <w:spacing w:line="400" w:lineRule="exact"/>
        <w:ind w:firstLine="480" w:firstLineChars="200"/>
        <w:outlineLvl w:val="2"/>
        <w:rPr>
          <w:rFonts w:ascii="仿宋_GB2312" w:eastAsia="仿宋_GB2312"/>
          <w:b/>
          <w:sz w:val="24"/>
        </w:rPr>
      </w:pPr>
      <w:r>
        <w:rPr>
          <w:rFonts w:hint="eastAsia" w:ascii="仿宋_GB2312" w:eastAsia="仿宋_GB2312"/>
          <w:sz w:val="24"/>
        </w:rPr>
        <w:t>2.相关服务内容要求</w:t>
      </w:r>
    </w:p>
    <w:p>
      <w:pPr>
        <w:spacing w:line="400" w:lineRule="exact"/>
        <w:ind w:firstLine="480" w:firstLineChars="200"/>
        <w:rPr>
          <w:rFonts w:ascii="仿宋_GB2312" w:eastAsia="仿宋_GB2312"/>
          <w:sz w:val="24"/>
        </w:rPr>
      </w:pPr>
      <w:r>
        <w:rPr>
          <w:rFonts w:hint="eastAsia" w:ascii="仿宋_GB2312" w:eastAsia="仿宋_GB2312"/>
          <w:sz w:val="24"/>
        </w:rPr>
        <w:t>（1）云主机要求支持主流的服务器操作系统，如Windows Server系列、主要Linux发行版和国产操作系统（</w:t>
      </w:r>
      <w:r>
        <w:rPr>
          <w:rFonts w:hint="eastAsia" w:ascii="仿宋_GB2312" w:eastAsia="仿宋_GB2312"/>
          <w:sz w:val="24"/>
          <w:lang w:eastAsia="zh-CN"/>
        </w:rPr>
        <w:t>如</w:t>
      </w:r>
      <w:r>
        <w:rPr>
          <w:rFonts w:hint="eastAsia" w:ascii="仿宋_GB2312" w:eastAsia="仿宋_GB2312"/>
          <w:sz w:val="24"/>
        </w:rPr>
        <w:t>统信U</w:t>
      </w:r>
      <w:r>
        <w:rPr>
          <w:rFonts w:ascii="仿宋_GB2312" w:eastAsia="仿宋_GB2312"/>
          <w:sz w:val="24"/>
        </w:rPr>
        <w:t>OS</w:t>
      </w:r>
      <w:r>
        <w:rPr>
          <w:rFonts w:hint="eastAsia" w:ascii="仿宋_GB2312" w:eastAsia="仿宋_GB2312"/>
          <w:sz w:val="24"/>
        </w:rPr>
        <w:t>和麒麟）；提供相关服务器操作系统的正版授权。支持虚拟CPU绑定物理CPU核，绑定后的云主机不会使用宿主机其它物理CPU核，保证资源独占；支持在线申请-审批-交付、在线管理、远程登录、性能监控等功能；支持对云主机进行全量、增量和差异备份；支持云主机在线迁移；提供云主机流量可控措施，当云主机发生迁移时，保证对应的网络策略和安全策略自动化同步跟随；业务按照常规要求申请云主机资源，有突发业务压力时，自动按需分配云主机资源；业务回归空闲时，自动回收云主机资源；</w:t>
      </w:r>
    </w:p>
    <w:p>
      <w:pPr>
        <w:spacing w:line="400" w:lineRule="exact"/>
        <w:ind w:firstLine="435"/>
        <w:rPr>
          <w:rFonts w:ascii="仿宋_GB2312" w:eastAsia="仿宋_GB2312"/>
          <w:sz w:val="24"/>
        </w:rPr>
      </w:pPr>
      <w:r>
        <w:rPr>
          <w:rFonts w:hint="eastAsia" w:ascii="仿宋_GB2312" w:eastAsia="仿宋_GB2312"/>
          <w:sz w:val="24"/>
        </w:rPr>
        <w:t>（2）云存储（含视频云）支持集群技术，物理存储支持RAID 0/1/5/6/1+0，存储池容量支持在线扩展，为保证云主机存储的灵活扩展且不中断业务应用，要求支持云主机数据盘的热添加。</w:t>
      </w:r>
    </w:p>
    <w:p>
      <w:pPr>
        <w:spacing w:line="400" w:lineRule="exact"/>
        <w:ind w:firstLine="435"/>
        <w:rPr>
          <w:rFonts w:ascii="仿宋_GB2312" w:eastAsia="仿宋_GB2312"/>
          <w:sz w:val="24"/>
        </w:rPr>
      </w:pPr>
      <w:r>
        <w:rPr>
          <w:rFonts w:hint="eastAsia" w:ascii="仿宋_GB2312" w:eastAsia="仿宋_GB2312"/>
          <w:sz w:val="24"/>
        </w:rPr>
        <w:t>（3）云数据库提供MsSqlserver、Mysql、人大金仓、达梦等主流关系型数据库服务，要求云主机上可安装Oracle数据库。单数据库实例内存不少于24G，IOPS不少于12000，并发连接数不少于2000。MsSqlserver单数据库实例可创建的数据库数量不少于20个，用户数不少于20个。Mysql单数据库实例可创建的数据库数量不少于200个，用户数不少于50个。支持数据库在线升级、云内动态迁移、故障自动切换，实现业务秒级无缝切换，不中断用户服务。支持弹性调整数据库规格，包含内存、连接数、IOPS、存储容量等，调整时服务不间断。提供数据导入、导出工具，方便用户进行数据迁移。提供完整的API接口、SDK开发包、文档说明。提供日志记录功能，包括错误日志、操作日志、访问日志等，可追查访问来源以及进行多维度的统计分析。支持IP授权访问。云服务端提供加密用户身份验证，提供不同的访问权限控制。提供数据库存储加密服务。</w:t>
      </w:r>
    </w:p>
    <w:p>
      <w:pPr>
        <w:spacing w:line="400" w:lineRule="exact"/>
        <w:ind w:firstLine="435"/>
        <w:rPr>
          <w:rFonts w:ascii="仿宋_GB2312" w:eastAsia="仿宋_GB2312"/>
          <w:sz w:val="24"/>
        </w:rPr>
      </w:pPr>
      <w:r>
        <w:rPr>
          <w:rFonts w:hint="eastAsia" w:ascii="仿宋_GB2312" w:eastAsia="仿宋_GB2312"/>
          <w:sz w:val="24"/>
        </w:rPr>
        <w:t>（4）云资源抽象与控制层</w:t>
      </w:r>
    </w:p>
    <w:p>
      <w:pPr>
        <w:spacing w:line="400" w:lineRule="exact"/>
        <w:ind w:firstLine="435"/>
        <w:rPr>
          <w:rFonts w:ascii="仿宋_GB2312" w:eastAsia="仿宋_GB2312"/>
          <w:sz w:val="24"/>
        </w:rPr>
      </w:pPr>
      <w:r>
        <w:rPr>
          <w:rFonts w:hint="eastAsia" w:ascii="仿宋_GB2312" w:eastAsia="仿宋_GB2312"/>
          <w:sz w:val="24"/>
        </w:rPr>
        <w:t>资源抽象与控制层能对底层硬件资源进行抽象，对底层故障进行屏蔽，统一管理和调度计算和存储资源；向云服务层提供大规模分布式文件系统访问接口；实现在线和离线计算任务执行的协同调度接口，并提供集群的统一部署和监控。单个集群支持的物理主机数量不低于3000台。单个集群支持的分布式文件系统存储量大于1PB。单个集群支持的并行任务调度数量不低于十万级。集群部署与监控。提供部署、配置、管理、以及服务的自检和自举。支持在线集群扩容。资源弹性调配。根据访问量自动伸缩应用所占的计算、存储、网络带宽等资源；按应用实际的资源使用量进行计费，节约资源费用。</w:t>
      </w:r>
    </w:p>
    <w:p>
      <w:pPr>
        <w:spacing w:line="400" w:lineRule="exact"/>
        <w:ind w:firstLine="435"/>
        <w:rPr>
          <w:rFonts w:ascii="仿宋_GB2312" w:eastAsia="仿宋_GB2312"/>
          <w:sz w:val="24"/>
        </w:rPr>
      </w:pPr>
      <w:r>
        <w:rPr>
          <w:rFonts w:hint="eastAsia" w:ascii="仿宋_GB2312" w:eastAsia="仿宋_GB2312"/>
          <w:sz w:val="24"/>
        </w:rPr>
        <w:t>（5）云服务层</w:t>
      </w:r>
    </w:p>
    <w:p>
      <w:pPr>
        <w:spacing w:line="400" w:lineRule="exact"/>
        <w:ind w:firstLine="435"/>
        <w:rPr>
          <w:rFonts w:ascii="仿宋_GB2312" w:eastAsia="仿宋_GB2312"/>
          <w:sz w:val="24"/>
        </w:rPr>
      </w:pPr>
      <w:r>
        <w:rPr>
          <w:rFonts w:hint="eastAsia" w:ascii="仿宋_GB2312" w:eastAsia="仿宋_GB2312"/>
          <w:sz w:val="24"/>
        </w:rPr>
        <w:t>要求支持不同层级云服务，提供硬件和软件基础设施服务。具体应包括：云主机（含操作系统），云存储，云数据库、支撑软件、工作流，并支持即开即用的软件服务等。</w:t>
      </w:r>
    </w:p>
    <w:p>
      <w:pPr>
        <w:spacing w:line="400" w:lineRule="exact"/>
        <w:ind w:firstLine="435"/>
        <w:outlineLvl w:val="1"/>
        <w:rPr>
          <w:rFonts w:ascii="仿宋_GB2312" w:eastAsia="仿宋_GB2312"/>
          <w:sz w:val="24"/>
        </w:rPr>
      </w:pPr>
      <w:r>
        <w:rPr>
          <w:rFonts w:hint="eastAsia" w:ascii="仿宋_GB2312" w:eastAsia="仿宋_GB2312"/>
          <w:b/>
          <w:sz w:val="24"/>
        </w:rPr>
        <w:t>（二）云平台基本安全要求</w:t>
      </w:r>
    </w:p>
    <w:p>
      <w:pPr>
        <w:spacing w:line="400" w:lineRule="exact"/>
        <w:ind w:firstLine="480" w:firstLineChars="200"/>
        <w:outlineLvl w:val="2"/>
        <w:rPr>
          <w:rFonts w:ascii="仿宋_GB2312" w:eastAsia="仿宋_GB2312"/>
          <w:sz w:val="24"/>
        </w:rPr>
      </w:pPr>
      <w:r>
        <w:rPr>
          <w:rFonts w:hint="eastAsia" w:ascii="仿宋_GB2312" w:eastAsia="仿宋_GB2312"/>
          <w:sz w:val="24"/>
        </w:rPr>
        <w:t>1.防攻击能力</w:t>
      </w:r>
    </w:p>
    <w:p>
      <w:pPr>
        <w:spacing w:line="400" w:lineRule="exact"/>
        <w:ind w:firstLine="480" w:firstLineChars="200"/>
        <w:rPr>
          <w:rFonts w:ascii="仿宋_GB2312" w:eastAsia="仿宋_GB2312"/>
          <w:sz w:val="24"/>
        </w:rPr>
      </w:pPr>
      <w:r>
        <w:rPr>
          <w:rFonts w:hint="eastAsia" w:ascii="仿宋_GB2312" w:eastAsia="仿宋_GB2312"/>
          <w:sz w:val="24"/>
        </w:rPr>
        <w:t>要求提供专业的防DDoS功能，为云平台主机等资源提供有效的DDoS攻击抵御服务，要求能抵御包含网络层、传输层、应用层的所有分布式拒绝服务。应提供10Gbit/s及以上的分布式拒绝服务攻击防御能力。云平台所有用户安全攻击拦截成功率不少于99%，误报率小于5%。</w:t>
      </w:r>
    </w:p>
    <w:p>
      <w:pPr>
        <w:spacing w:line="400" w:lineRule="exact"/>
        <w:ind w:firstLine="480" w:firstLineChars="200"/>
        <w:outlineLvl w:val="2"/>
        <w:rPr>
          <w:rFonts w:ascii="仿宋_GB2312" w:eastAsia="仿宋_GB2312"/>
          <w:sz w:val="24"/>
        </w:rPr>
      </w:pPr>
      <w:r>
        <w:rPr>
          <w:rFonts w:hint="eastAsia" w:ascii="仿宋_GB2312" w:eastAsia="仿宋_GB2312"/>
          <w:sz w:val="24"/>
        </w:rPr>
        <w:t>2.端口安全检测</w:t>
      </w:r>
    </w:p>
    <w:p>
      <w:pPr>
        <w:spacing w:line="400" w:lineRule="exact"/>
        <w:ind w:firstLine="480" w:firstLineChars="200"/>
        <w:rPr>
          <w:rFonts w:ascii="仿宋_GB2312" w:eastAsia="仿宋_GB2312"/>
          <w:sz w:val="24"/>
        </w:rPr>
      </w:pPr>
      <w:r>
        <w:rPr>
          <w:rFonts w:hint="eastAsia" w:ascii="仿宋_GB2312" w:eastAsia="仿宋_GB2312"/>
          <w:sz w:val="24"/>
        </w:rPr>
        <w:t>要求能定期检测云主机面向Internet开放的端口，将端口开放情况及时通知给用户。一旦发现未经允许开放的端口及时关闭，降低系统被入侵的风险。</w:t>
      </w:r>
    </w:p>
    <w:p>
      <w:pPr>
        <w:spacing w:line="400" w:lineRule="exact"/>
        <w:ind w:firstLine="480" w:firstLineChars="200"/>
        <w:outlineLvl w:val="2"/>
        <w:rPr>
          <w:rFonts w:ascii="仿宋_GB2312" w:eastAsia="仿宋_GB2312"/>
          <w:sz w:val="24"/>
        </w:rPr>
      </w:pPr>
      <w:r>
        <w:rPr>
          <w:rFonts w:hint="eastAsia" w:ascii="仿宋_GB2312" w:eastAsia="仿宋_GB2312"/>
          <w:sz w:val="24"/>
        </w:rPr>
        <w:t>3.主机防御</w:t>
      </w:r>
    </w:p>
    <w:p>
      <w:pPr>
        <w:spacing w:line="400" w:lineRule="exact"/>
        <w:ind w:firstLine="480" w:firstLineChars="200"/>
        <w:rPr>
          <w:rFonts w:ascii="仿宋_GB2312" w:eastAsia="仿宋_GB2312"/>
          <w:sz w:val="24"/>
        </w:rPr>
      </w:pPr>
      <w:r>
        <w:rPr>
          <w:rFonts w:hint="eastAsia" w:ascii="仿宋_GB2312" w:eastAsia="仿宋_GB2312"/>
          <w:sz w:val="24"/>
        </w:rPr>
        <w:t>要求提供主机密码暴力破解防御，能通过实时发现非法入侵，并将入侵的IP封禁24小时，以短信或邮件的方式通知用户。云平台所有用户高危漏洞24小时内应急拦截，并发布通知用户。能根据网站用户的登录习惯进行分析并建立模型，发现异常登录行为及时通知用户。</w:t>
      </w:r>
    </w:p>
    <w:p>
      <w:pPr>
        <w:spacing w:line="400" w:lineRule="exact"/>
        <w:ind w:firstLine="480" w:firstLineChars="200"/>
        <w:outlineLvl w:val="2"/>
        <w:rPr>
          <w:rFonts w:ascii="仿宋_GB2312" w:eastAsia="仿宋_GB2312"/>
          <w:sz w:val="24"/>
        </w:rPr>
      </w:pPr>
      <w:r>
        <w:rPr>
          <w:rFonts w:hint="eastAsia" w:ascii="仿宋_GB2312" w:eastAsia="仿宋_GB2312"/>
          <w:sz w:val="24"/>
        </w:rPr>
        <w:t>4.网站防御</w:t>
      </w:r>
    </w:p>
    <w:p>
      <w:pPr>
        <w:spacing w:line="400" w:lineRule="exact"/>
        <w:ind w:firstLine="480" w:firstLineChars="200"/>
        <w:rPr>
          <w:rFonts w:ascii="仿宋_GB2312" w:eastAsia="仿宋_GB2312"/>
          <w:sz w:val="24"/>
        </w:rPr>
      </w:pPr>
      <w:r>
        <w:rPr>
          <w:rFonts w:hint="eastAsia" w:ascii="仿宋_GB2312" w:eastAsia="仿宋_GB2312"/>
          <w:sz w:val="24"/>
        </w:rPr>
        <w:t>要求提供网站防御发现后台程序漏洞功能，并能以短信或邮件的方式及时通知用户及时删除后门消除隐患。要求提供网站防护功能，并能定期对网站的SQL注入、XSS跨站脚本等各项高危安全漏洞进行检测，并将检测报告提供给用户。能定期对网站页面进行木马、暗链检测，并将检测结果及时反馈给用户。能提供网页防篡改服务。</w:t>
      </w:r>
    </w:p>
    <w:p>
      <w:pPr>
        <w:spacing w:line="400" w:lineRule="exact"/>
        <w:ind w:firstLine="480" w:firstLineChars="200"/>
        <w:outlineLvl w:val="2"/>
        <w:rPr>
          <w:rFonts w:ascii="仿宋_GB2312" w:eastAsia="仿宋_GB2312"/>
          <w:sz w:val="24"/>
        </w:rPr>
      </w:pPr>
      <w:r>
        <w:rPr>
          <w:rFonts w:hint="eastAsia" w:ascii="仿宋_GB2312" w:eastAsia="仿宋_GB2312"/>
          <w:sz w:val="24"/>
        </w:rPr>
        <w:t>5.虚拟私有数据中心</w:t>
      </w:r>
    </w:p>
    <w:p>
      <w:pPr>
        <w:spacing w:line="400" w:lineRule="exact"/>
        <w:ind w:firstLine="480" w:firstLineChars="200"/>
        <w:rPr>
          <w:rFonts w:ascii="仿宋_GB2312" w:eastAsia="仿宋_GB2312"/>
          <w:sz w:val="24"/>
        </w:rPr>
      </w:pPr>
      <w:r>
        <w:rPr>
          <w:rFonts w:hint="eastAsia" w:ascii="仿宋_GB2312" w:hAnsi="仿宋_GB2312" w:eastAsia="仿宋_GB2312" w:cs="仿宋_GB2312"/>
          <w:sz w:val="24"/>
        </w:rPr>
        <w:t>▲</w:t>
      </w:r>
      <w:r>
        <w:rPr>
          <w:rFonts w:hint="eastAsia" w:ascii="仿宋_GB2312" w:eastAsia="仿宋_GB2312"/>
          <w:sz w:val="24"/>
        </w:rPr>
        <w:t>要求能在云平台上提供不同等级要求的虚拟私有数据中心（vDC）服务，要求相关部门能自主为vDC规划配置私有网络、云主机、防火墙、负载均衡，并保证其安全。</w:t>
      </w:r>
    </w:p>
    <w:p>
      <w:pPr>
        <w:spacing w:line="400" w:lineRule="exact"/>
        <w:ind w:firstLine="480" w:firstLineChars="200"/>
        <w:outlineLvl w:val="2"/>
        <w:rPr>
          <w:rFonts w:ascii="仿宋_GB2312" w:eastAsia="仿宋_GB2312"/>
          <w:sz w:val="24"/>
        </w:rPr>
      </w:pPr>
      <w:r>
        <w:rPr>
          <w:rFonts w:hint="eastAsia" w:ascii="仿宋_GB2312" w:eastAsia="仿宋_GB2312"/>
          <w:sz w:val="24"/>
        </w:rPr>
        <w:t>6.数据安全性要求</w:t>
      </w:r>
    </w:p>
    <w:p>
      <w:pPr>
        <w:spacing w:line="400" w:lineRule="exact"/>
        <w:ind w:firstLine="480" w:firstLineChars="200"/>
        <w:rPr>
          <w:rFonts w:ascii="仿宋_GB2312" w:eastAsia="仿宋_GB2312"/>
          <w:sz w:val="24"/>
        </w:rPr>
      </w:pPr>
      <w:r>
        <w:rPr>
          <w:rFonts w:hint="eastAsia" w:ascii="仿宋_GB2312" w:eastAsia="仿宋_GB2312"/>
          <w:sz w:val="24"/>
        </w:rPr>
        <w:t>为保证数据的安全性，平台须提供不同层级业务应用数据、系统等备份。提供对云主机进行全量、增量和差异备份。同时保证同一物理资源池的用户数据互不可见，要求提供数据存储、备份的物理位置，并能根据业务需要，提取云计算平台相关操作、运行等日志。</w:t>
      </w:r>
    </w:p>
    <w:p>
      <w:pPr>
        <w:spacing w:line="400" w:lineRule="exact"/>
        <w:ind w:firstLine="480" w:firstLineChars="200"/>
        <w:outlineLvl w:val="2"/>
        <w:rPr>
          <w:rFonts w:ascii="仿宋_GB2312" w:eastAsia="仿宋_GB2312"/>
          <w:sz w:val="24"/>
        </w:rPr>
      </w:pPr>
      <w:r>
        <w:rPr>
          <w:rFonts w:hint="eastAsia" w:ascii="仿宋_GB2312" w:eastAsia="仿宋_GB2312"/>
          <w:sz w:val="24"/>
        </w:rPr>
        <w:t>7.业务可用性和数据持久性</w:t>
      </w:r>
    </w:p>
    <w:p>
      <w:pPr>
        <w:spacing w:line="400" w:lineRule="exact"/>
        <w:ind w:firstLine="480" w:firstLineChars="200"/>
        <w:rPr>
          <w:rFonts w:ascii="仿宋_GB2312" w:eastAsia="仿宋_GB2312"/>
          <w:sz w:val="24"/>
        </w:rPr>
      </w:pPr>
      <w:r>
        <w:rPr>
          <w:rFonts w:hint="eastAsia" w:ascii="仿宋_GB2312" w:eastAsia="仿宋_GB2312"/>
          <w:sz w:val="24"/>
        </w:rPr>
        <w:t>满足云主机、云存储、云数据库无故障率大于等于99.9%。云主机：大于99.99%。云存储可用性：大于等于99.99%。云数据库可用性：大于等于99.99%。</w:t>
      </w:r>
    </w:p>
    <w:p>
      <w:pPr>
        <w:spacing w:line="400" w:lineRule="exact"/>
        <w:ind w:firstLine="480" w:firstLineChars="200"/>
        <w:outlineLvl w:val="2"/>
        <w:rPr>
          <w:rFonts w:ascii="仿宋_GB2312" w:eastAsia="仿宋_GB2312"/>
          <w:sz w:val="24"/>
        </w:rPr>
      </w:pPr>
      <w:r>
        <w:rPr>
          <w:rFonts w:hint="eastAsia" w:ascii="仿宋_GB2312" w:eastAsia="仿宋_GB2312"/>
          <w:sz w:val="24"/>
        </w:rPr>
        <w:t>8.数据可销毁性和可迁移性</w:t>
      </w:r>
    </w:p>
    <w:p>
      <w:pPr>
        <w:spacing w:line="400" w:lineRule="exact"/>
        <w:ind w:firstLine="480" w:firstLineChars="200"/>
        <w:rPr>
          <w:rFonts w:ascii="仿宋_GB2312" w:eastAsia="仿宋_GB2312"/>
          <w:sz w:val="24"/>
        </w:rPr>
      </w:pPr>
      <w:r>
        <w:rPr>
          <w:rFonts w:hint="eastAsia" w:ascii="仿宋_GB2312" w:eastAsia="仿宋_GB2312"/>
          <w:sz w:val="24"/>
        </w:rPr>
        <w:t>要求保证数据或设备在弃置、转售前彻底删除且无法复原，保证启用或弃用该云服务时，数据能迁入和迁出。</w:t>
      </w:r>
    </w:p>
    <w:p>
      <w:pPr>
        <w:spacing w:line="400" w:lineRule="exact"/>
        <w:ind w:firstLine="480" w:firstLineChars="200"/>
        <w:rPr>
          <w:rFonts w:ascii="仿宋_GB2312" w:eastAsia="仿宋_GB2312"/>
          <w:sz w:val="24"/>
        </w:rPr>
      </w:pPr>
      <w:r>
        <w:rPr>
          <w:rFonts w:eastAsia="仿宋_GB2312"/>
          <w:sz w:val="24"/>
        </w:rPr>
        <w:t>▲</w:t>
      </w:r>
      <w:r>
        <w:rPr>
          <w:rFonts w:ascii="仿宋_GB2312" w:eastAsia="仿宋_GB2312"/>
          <w:sz w:val="24"/>
        </w:rPr>
        <w:t>9</w:t>
      </w:r>
      <w:r>
        <w:rPr>
          <w:rFonts w:hint="eastAsia" w:ascii="仿宋_GB2312" w:eastAsia="仿宋_GB2312"/>
          <w:sz w:val="24"/>
        </w:rPr>
        <w:t>.为保证业务网络的连通和安全性，应提供具有</w:t>
      </w:r>
      <w:r>
        <w:rPr>
          <w:rFonts w:ascii="仿宋_GB2312" w:eastAsia="仿宋_GB2312"/>
          <w:sz w:val="24"/>
        </w:rPr>
        <w:t>全网抗DDOS</w:t>
      </w:r>
      <w:r>
        <w:rPr>
          <w:rFonts w:hint="eastAsia" w:ascii="仿宋_GB2312" w:eastAsia="仿宋_GB2312"/>
          <w:sz w:val="24"/>
        </w:rPr>
        <w:t>攻击的网络保障</w:t>
      </w:r>
      <w:r>
        <w:rPr>
          <w:rFonts w:ascii="仿宋_GB2312" w:eastAsia="仿宋_GB2312"/>
          <w:sz w:val="24"/>
        </w:rPr>
        <w:t>能力</w:t>
      </w:r>
      <w:r>
        <w:rPr>
          <w:rFonts w:hint="eastAsia" w:ascii="仿宋_GB2312" w:eastAsia="仿宋_GB2312"/>
          <w:sz w:val="24"/>
        </w:rPr>
        <w:t>。抗D</w:t>
      </w:r>
      <w:r>
        <w:rPr>
          <w:rFonts w:ascii="仿宋_GB2312" w:eastAsia="仿宋_GB2312"/>
          <w:sz w:val="24"/>
        </w:rPr>
        <w:t>DOS</w:t>
      </w:r>
      <w:r>
        <w:rPr>
          <w:rFonts w:hint="eastAsia" w:ascii="仿宋_GB2312" w:eastAsia="仿宋_GB2312"/>
          <w:sz w:val="24"/>
        </w:rPr>
        <w:t>攻击能力应采用基于运营商管道侧的清洗中心，</w:t>
      </w:r>
      <w:r>
        <w:rPr>
          <w:rFonts w:ascii="仿宋_GB2312" w:eastAsia="仿宋_GB2312"/>
          <w:sz w:val="24"/>
        </w:rPr>
        <w:t>进行全网牵引清洗或长牵引清洗，无需修改DNS配</w:t>
      </w:r>
      <w:r>
        <w:rPr>
          <w:rFonts w:hint="eastAsia" w:ascii="仿宋_GB2312" w:eastAsia="仿宋_GB2312"/>
          <w:sz w:val="24"/>
        </w:rPr>
        <w:t>置</w:t>
      </w:r>
      <w:r>
        <w:rPr>
          <w:rFonts w:ascii="仿宋_GB2312" w:eastAsia="仿宋_GB2312"/>
          <w:sz w:val="24"/>
        </w:rPr>
        <w:t>和IP地址，</w:t>
      </w:r>
      <w:r>
        <w:rPr>
          <w:rFonts w:hint="eastAsia" w:ascii="仿宋_GB2312" w:eastAsia="仿宋_GB2312"/>
          <w:sz w:val="24"/>
        </w:rPr>
        <w:t>不需要业务侧进行调整或改动，</w:t>
      </w:r>
      <w:r>
        <w:rPr>
          <w:rFonts w:ascii="仿宋_GB2312" w:eastAsia="仿宋_GB2312"/>
          <w:sz w:val="24"/>
        </w:rPr>
        <w:t>只需要提供防护目标对象即可进行防护。</w:t>
      </w:r>
    </w:p>
    <w:p>
      <w:pPr>
        <w:spacing w:line="400" w:lineRule="exact"/>
        <w:ind w:firstLine="480" w:firstLineChars="200"/>
        <w:outlineLvl w:val="2"/>
        <w:rPr>
          <w:rFonts w:ascii="仿宋_GB2312" w:eastAsia="仿宋_GB2312"/>
          <w:sz w:val="24"/>
        </w:rPr>
      </w:pPr>
      <w:r>
        <w:rPr>
          <w:rFonts w:hint="eastAsia" w:ascii="仿宋_GB2312" w:eastAsia="仿宋_GB2312"/>
          <w:sz w:val="24"/>
        </w:rPr>
        <w:t>10.提供上述第9条相关功能界面截图并加盖投标人公章。</w:t>
      </w:r>
    </w:p>
    <w:p>
      <w:pPr>
        <w:spacing w:line="400" w:lineRule="exact"/>
        <w:ind w:firstLine="480" w:firstLineChars="200"/>
        <w:rPr>
          <w:rFonts w:ascii="仿宋_GB2312" w:eastAsia="仿宋_GB2312"/>
          <w:sz w:val="24"/>
        </w:rPr>
      </w:pPr>
      <w:r>
        <w:rPr>
          <w:rFonts w:eastAsia="仿宋_GB2312"/>
          <w:sz w:val="24"/>
        </w:rPr>
        <w:t>▲</w:t>
      </w:r>
      <w:r>
        <w:rPr>
          <w:rFonts w:hint="eastAsia" w:ascii="仿宋_GB2312" w:eastAsia="仿宋_GB2312"/>
          <w:sz w:val="24"/>
        </w:rPr>
        <w:t>11.</w:t>
      </w:r>
      <w:r>
        <w:rPr>
          <w:rFonts w:ascii="仿宋_GB2312" w:eastAsia="仿宋_GB2312"/>
          <w:sz w:val="24"/>
        </w:rPr>
        <w:t>具备近源流量压制能力</w:t>
      </w:r>
      <w:r>
        <w:rPr>
          <w:rFonts w:hint="eastAsia" w:ascii="仿宋_GB2312" w:eastAsia="仿宋_GB2312"/>
          <w:sz w:val="24"/>
        </w:rPr>
        <w:t>，采用分布式近源防护，清洗中心数量不低于</w:t>
      </w:r>
      <w:r>
        <w:rPr>
          <w:rFonts w:ascii="仿宋_GB2312" w:eastAsia="仿宋_GB2312"/>
          <w:sz w:val="24"/>
        </w:rPr>
        <w:t>20个，清洗能力</w:t>
      </w:r>
      <w:r>
        <w:rPr>
          <w:rFonts w:hint="eastAsia" w:ascii="仿宋_GB2312" w:eastAsia="仿宋_GB2312"/>
          <w:sz w:val="24"/>
        </w:rPr>
        <w:t>不低于</w:t>
      </w:r>
      <w:r>
        <w:rPr>
          <w:rFonts w:ascii="仿宋_GB2312" w:eastAsia="仿宋_GB2312"/>
          <w:sz w:val="24"/>
        </w:rPr>
        <w:t>2000G。</w:t>
      </w:r>
    </w:p>
    <w:p>
      <w:pPr>
        <w:spacing w:line="400" w:lineRule="exact"/>
        <w:ind w:firstLine="482" w:firstLineChars="200"/>
        <w:outlineLvl w:val="1"/>
        <w:rPr>
          <w:rFonts w:ascii="仿宋_GB2312" w:eastAsia="仿宋_GB2312"/>
          <w:b/>
          <w:sz w:val="24"/>
        </w:rPr>
      </w:pPr>
      <w:r>
        <w:rPr>
          <w:rFonts w:hint="eastAsia" w:ascii="仿宋_GB2312" w:eastAsia="仿宋_GB2312"/>
          <w:b/>
          <w:sz w:val="24"/>
        </w:rPr>
        <w:t>（三</w:t>
      </w:r>
      <w:r>
        <w:rPr>
          <w:rFonts w:ascii="仿宋_GB2312" w:eastAsia="仿宋_GB2312"/>
          <w:b/>
          <w:sz w:val="24"/>
        </w:rPr>
        <w:t>）</w:t>
      </w:r>
      <w:r>
        <w:rPr>
          <w:rFonts w:hint="eastAsia" w:ascii="仿宋_GB2312" w:eastAsia="仿宋_GB2312"/>
          <w:b/>
          <w:sz w:val="24"/>
        </w:rPr>
        <w:t>云平台架构要求</w:t>
      </w:r>
    </w:p>
    <w:p>
      <w:pPr>
        <w:spacing w:line="400" w:lineRule="exact"/>
        <w:ind w:firstLine="480" w:firstLineChars="200"/>
        <w:outlineLvl w:val="2"/>
        <w:rPr>
          <w:rFonts w:ascii="仿宋_GB2312" w:eastAsia="仿宋_GB2312"/>
          <w:sz w:val="24"/>
        </w:rPr>
      </w:pPr>
      <w:r>
        <w:rPr>
          <w:rFonts w:hint="eastAsia" w:ascii="仿宋_GB2312" w:eastAsia="仿宋_GB2312"/>
          <w:sz w:val="24"/>
        </w:rPr>
        <w:t>1.兼容性</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要求平台支持国产化操作系统，包含统信和麒麟；支持主流设备厂商提供的x86服务器和a</w:t>
      </w:r>
      <w:r>
        <w:rPr>
          <w:rFonts w:ascii="仿宋_GB2312" w:eastAsia="仿宋_GB2312"/>
          <w:sz w:val="24"/>
        </w:rPr>
        <w:t>rm</w:t>
      </w:r>
      <w:r>
        <w:rPr>
          <w:rFonts w:hint="eastAsia" w:ascii="仿宋_GB2312" w:eastAsia="仿宋_GB2312"/>
          <w:sz w:val="24"/>
        </w:rPr>
        <w:t>服务器，以及基于业界标准接口的硬件设备；支持主流设备厂商提供的共享存储</w:t>
      </w:r>
      <w:r>
        <w:rPr>
          <w:rFonts w:hint="eastAsia" w:ascii="仿宋_GB2312" w:eastAsia="仿宋_GB2312"/>
          <w:sz w:val="24"/>
          <w:lang w:eastAsia="zh-CN"/>
        </w:rPr>
        <w:t>。</w:t>
      </w:r>
    </w:p>
    <w:p>
      <w:pPr>
        <w:spacing w:line="400" w:lineRule="exact"/>
        <w:ind w:firstLine="480" w:firstLineChars="200"/>
        <w:outlineLvl w:val="2"/>
        <w:rPr>
          <w:rFonts w:ascii="仿宋_GB2312" w:eastAsia="仿宋_GB2312"/>
          <w:sz w:val="24"/>
        </w:rPr>
      </w:pPr>
      <w:r>
        <w:rPr>
          <w:rFonts w:hint="eastAsia" w:ascii="仿宋_GB2312" w:eastAsia="仿宋_GB2312"/>
          <w:sz w:val="24"/>
        </w:rPr>
        <w:t>2.集群管理</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为保证政务业务应用的高可靠性，要求支持云主机HA功能，在没有虚拟化管理平台的条件下仍可完成云主机失效切换；为避免位于同一台宿主机上的不同政务应用云主机产生“邻位干扰”，要求支持动态资源调度；支持将云主机vCPU绑定到指定的物理CPU核上，绑定后的云主机不会使用宿主机其它物理CPU核；为保障关键业务运行，可指定某些云主机固定运行于某一物理服务器上，不会因任何原因自动迁移该云主机</w:t>
      </w:r>
      <w:r>
        <w:rPr>
          <w:rFonts w:hint="eastAsia" w:ascii="仿宋_GB2312" w:eastAsia="仿宋_GB2312"/>
          <w:sz w:val="24"/>
          <w:lang w:eastAsia="zh-CN"/>
        </w:rPr>
        <w:t>。</w:t>
      </w:r>
    </w:p>
    <w:p>
      <w:pPr>
        <w:spacing w:line="400" w:lineRule="exact"/>
        <w:ind w:firstLine="480" w:firstLineChars="200"/>
        <w:outlineLvl w:val="2"/>
        <w:rPr>
          <w:rFonts w:ascii="仿宋_GB2312" w:eastAsia="仿宋_GB2312"/>
          <w:sz w:val="24"/>
        </w:rPr>
      </w:pPr>
      <w:r>
        <w:rPr>
          <w:rFonts w:hint="eastAsia" w:ascii="仿宋_GB2312" w:eastAsia="仿宋_GB2312"/>
          <w:sz w:val="24"/>
        </w:rPr>
        <w:t>3.扩展性</w:t>
      </w:r>
      <w:r>
        <w:rPr>
          <w:rFonts w:hint="eastAsia" w:ascii="仿宋_GB2312" w:eastAsia="仿宋_GB2312"/>
          <w:sz w:val="24"/>
        </w:rPr>
        <w:tab/>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为保障业务高可用性，要求云平台能够根据云主机CPU、内存等参数动态的克隆云主机或删除云主机，以达到根据业务负载弹性扩展与收缩资源的目的，整个过程全自动化无需人工干预</w:t>
      </w:r>
      <w:r>
        <w:rPr>
          <w:rFonts w:hint="eastAsia" w:ascii="仿宋_GB2312" w:eastAsia="仿宋_GB2312"/>
          <w:sz w:val="24"/>
          <w:lang w:eastAsia="zh-CN"/>
        </w:rPr>
        <w:t>。</w:t>
      </w:r>
    </w:p>
    <w:p>
      <w:pPr>
        <w:spacing w:line="400" w:lineRule="exact"/>
        <w:ind w:firstLine="480" w:firstLineChars="200"/>
        <w:outlineLvl w:val="2"/>
        <w:rPr>
          <w:rFonts w:ascii="仿宋_GB2312" w:eastAsia="仿宋_GB2312"/>
          <w:sz w:val="24"/>
        </w:rPr>
      </w:pPr>
      <w:r>
        <w:rPr>
          <w:rFonts w:hint="eastAsia" w:ascii="仿宋_GB2312" w:eastAsia="仿宋_GB2312"/>
          <w:sz w:val="24"/>
        </w:rPr>
        <w:t>4.计算资源池</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（1）为方便使用云主机，要求支持完整的云主机生命周期管理，提供云主机的创建、启动、暂停、恢复、休眠、重启、关闭、关闭电源、修改、删除等功能</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2）为方便维护云主机，要求支持批量修改云主机的配置参数，包括：I/O优先级、启动优先级、是否自动迁移、CPU调度优先级、CPU个数、内存大小、自动启动、VM启动设备、启用VNC代理等；为方便维护云主机，要求支持主机维护模式，确保计划内停机不会导致任何的业务中断</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（3）为方便政务应用灵活部署，要求支持云主机的关联和反关联设置，两台反关联虚机可以自动迁移，防止部署在同一台物理机上</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（4）为保障云主机的高靠性及故障恢复，要求支持自动定时快照功能，定时将云主机当前的内存数据状态保存到镜像文件中</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（5）为保证特定业务应用加密狗等辅助硬件的正常使用，要求支持云主机使用物理主机的USB、串口设备，并允许USB在线热插拔</w:t>
      </w:r>
      <w:r>
        <w:rPr>
          <w:rFonts w:hint="eastAsia" w:ascii="仿宋_GB2312" w:eastAsia="仿宋_GB2312"/>
          <w:sz w:val="24"/>
          <w:lang w:eastAsia="zh-CN"/>
        </w:rPr>
        <w:t>。</w:t>
      </w:r>
    </w:p>
    <w:p>
      <w:pPr>
        <w:spacing w:line="400" w:lineRule="exact"/>
        <w:ind w:firstLine="480" w:firstLineChars="200"/>
        <w:outlineLvl w:val="2"/>
        <w:rPr>
          <w:rFonts w:ascii="仿宋_GB2312" w:eastAsia="仿宋_GB2312"/>
          <w:sz w:val="24"/>
        </w:rPr>
      </w:pPr>
      <w:r>
        <w:rPr>
          <w:rFonts w:hint="eastAsia" w:ascii="仿宋_GB2312" w:eastAsia="仿宋_GB2312"/>
          <w:sz w:val="24"/>
        </w:rPr>
        <w:t>5.网络资源池</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1）为保证云网络高可靠性和高可用性，要求采用双核心和接入两层扁平化的组网架构，分别构建独立的业务网、管理网、存储网，核心接入之间万兆捆绑互联；所有服务器分别双归属接入业务网、管理网、存储网</w:t>
      </w:r>
      <w:r>
        <w:rPr>
          <w:rFonts w:hint="eastAsia" w:ascii="仿宋_GB2312" w:eastAsia="仿宋_GB2312"/>
          <w:sz w:val="24"/>
          <w:lang w:eastAsia="zh-CN"/>
        </w:rPr>
        <w:t>。</w:t>
      </w:r>
    </w:p>
    <w:p>
      <w:pPr>
        <w:spacing w:line="400" w:lineRule="exact"/>
        <w:ind w:firstLine="480" w:firstLineChars="200"/>
        <w:rPr>
          <w:rFonts w:ascii="仿宋_GB2312" w:eastAsia="仿宋_GB2312"/>
          <w:sz w:val="24"/>
        </w:rPr>
      </w:pPr>
      <w:r>
        <w:rPr>
          <w:rFonts w:hint="eastAsia" w:ascii="仿宋_GB2312" w:eastAsia="仿宋_GB2312"/>
          <w:sz w:val="24"/>
        </w:rPr>
        <w:t>（2）在云平台上为租户构建独享的虚拟私有数据中心（vDC），要求能在vDC内指定的云主机上快速部署软件路由器，租户可以按需构建自身的vDC网络，为租户提供端到端的安全管理通道和访问质量保证；该软件路由器运行在标准服务器的虚拟机上，提供和物理路由器相同的功能和体验，包括路由、防火墙、VPN、QOS、及配置管理等功能。</w:t>
      </w:r>
    </w:p>
    <w:p>
      <w:pPr>
        <w:spacing w:line="40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3</w:t>
      </w:r>
      <w:r>
        <w:rPr>
          <w:rFonts w:hint="eastAsia" w:ascii="仿宋_GB2312" w:eastAsia="仿宋_GB2312"/>
          <w:sz w:val="24"/>
        </w:rPr>
        <w:t>）为保障云平台上租户的网络安全，要求能在vDC内指定的云主机上快速部署软件防火墙，为租户提供vDC的安全防护能力； 该软件防火墙支持攻击检测和防御、NAT、ALG、ACL、安全域策略，能够有效的保证网络的安全；提供多种智能分析和管理手段，支持多种日志，提供网络管理监控，协助网络管理员完成网络的安全管理；支持多种VPN业务，如L2TP VPN、GRE VPN、IPSec VPN等。</w:t>
      </w:r>
    </w:p>
    <w:p>
      <w:pPr>
        <w:spacing w:line="40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4</w:t>
      </w:r>
      <w:r>
        <w:rPr>
          <w:rFonts w:hint="eastAsia" w:ascii="仿宋_GB2312" w:eastAsia="仿宋_GB2312"/>
          <w:sz w:val="24"/>
        </w:rPr>
        <w:t>）为保障云平台上租户业务的高可用和高性能，要求能在vDC内指定的云主机上快速部署软件负载均衡，为租户提供vDC的应用交付能力；该软件负载均衡提供服务器负载均衡功能，支持负载均衡调度算法、健康检查算法、会话保持算法，实现对4-7层服务负载分担，以保证服务的响应速度和业务连续性。</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w:t>
      </w:r>
      <w:r>
        <w:rPr>
          <w:rFonts w:ascii="仿宋_GB2312" w:eastAsia="仿宋_GB2312"/>
          <w:sz w:val="24"/>
        </w:rPr>
        <w:t>5</w:t>
      </w:r>
      <w:r>
        <w:rPr>
          <w:rFonts w:hint="eastAsia" w:ascii="仿宋_GB2312" w:eastAsia="仿宋_GB2312"/>
          <w:sz w:val="24"/>
        </w:rPr>
        <w:t>）为保证虚拟网络的流量在网络侧可视，要求能够在物理接入交换机监控到所有云主机的流量信息，并允许物理接入交换机配置和下发ACL、QOS、网络流量分析等网络策略到云主机，支持云主机迁移时网络策略自动跟随</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w:t>
      </w:r>
      <w:r>
        <w:rPr>
          <w:rFonts w:ascii="仿宋_GB2312" w:eastAsia="仿宋_GB2312"/>
          <w:sz w:val="24"/>
        </w:rPr>
        <w:t>6</w:t>
      </w:r>
      <w:r>
        <w:rPr>
          <w:rFonts w:hint="eastAsia" w:ascii="仿宋_GB2312" w:eastAsia="仿宋_GB2312"/>
          <w:sz w:val="24"/>
        </w:rPr>
        <w:t>）为便于维护虚拟网络资源，要求支持虚拟网络拓扑展示，包括物理主机、云主机、虚拟网卡、虚拟连接、物理端口与物理接入交换机的全面网络连接关系拓扑展示</w:t>
      </w:r>
      <w:r>
        <w:rPr>
          <w:rFonts w:hint="eastAsia" w:ascii="仿宋_GB2312" w:eastAsia="仿宋_GB2312"/>
          <w:sz w:val="24"/>
          <w:lang w:eastAsia="zh-CN"/>
        </w:rPr>
        <w:t>。</w:t>
      </w:r>
    </w:p>
    <w:p>
      <w:pPr>
        <w:spacing w:line="400" w:lineRule="exact"/>
        <w:ind w:firstLine="480" w:firstLineChars="200"/>
        <w:rPr>
          <w:rFonts w:ascii="仿宋_GB2312" w:eastAsia="仿宋_GB2312"/>
          <w:sz w:val="24"/>
        </w:rPr>
      </w:pPr>
      <w:r>
        <w:rPr>
          <w:rFonts w:hint="eastAsia" w:ascii="仿宋_GB2312" w:eastAsia="仿宋_GB2312"/>
          <w:sz w:val="24"/>
        </w:rPr>
        <w:t>（</w:t>
      </w:r>
      <w:r>
        <w:rPr>
          <w:rFonts w:ascii="仿宋_GB2312" w:eastAsia="仿宋_GB2312"/>
          <w:sz w:val="24"/>
        </w:rPr>
        <w:t>7</w:t>
      </w:r>
      <w:r>
        <w:rPr>
          <w:rFonts w:hint="eastAsia" w:ascii="仿宋_GB2312" w:eastAsia="仿宋_GB2312"/>
          <w:sz w:val="24"/>
        </w:rPr>
        <w:t>）要求云数据中心网络支持采用SDN和VxLAN技术架构实现对全网络的融合统一控制，控制平面与转发平面分离、多租户的隔离、安全控制、跨中心大二层等丰富特性，基于OpenStack的云管理平台，通过API接口调用融合网络控制器（SDN Controller），融合网络控制器通过Openflow和Netconf控制调度物理网络、Openflow网络、Overlay的叠加网络以及NFV网络。</w:t>
      </w:r>
    </w:p>
    <w:p>
      <w:pPr>
        <w:spacing w:line="400" w:lineRule="exact"/>
        <w:ind w:firstLine="480" w:firstLineChars="200"/>
        <w:outlineLvl w:val="2"/>
        <w:rPr>
          <w:rFonts w:ascii="仿宋_GB2312" w:eastAsia="仿宋_GB2312"/>
          <w:sz w:val="24"/>
        </w:rPr>
      </w:pPr>
      <w:r>
        <w:rPr>
          <w:rFonts w:hint="eastAsia" w:ascii="仿宋_GB2312" w:eastAsia="仿宋_GB2312"/>
          <w:sz w:val="24"/>
        </w:rPr>
        <w:t>6.存储资源池</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（1）要求支持SCSI或SAS等 DAS存储设备，FC光纤通道存储设备，NAS和iSCSI等IP存储设备；为保障存储资源池高可靠性和可扩展性，要求支持存储集群，为云主机、云数据库提供按需扩展的数据存储空间</w:t>
      </w:r>
      <w:r>
        <w:rPr>
          <w:rFonts w:hint="eastAsia" w:ascii="仿宋_GB2312" w:eastAsia="仿宋_GB2312"/>
          <w:sz w:val="24"/>
          <w:lang w:eastAsia="zh-CN"/>
        </w:rPr>
        <w:t>。</w:t>
      </w:r>
    </w:p>
    <w:p>
      <w:pPr>
        <w:spacing w:line="400" w:lineRule="exact"/>
        <w:ind w:firstLine="435"/>
        <w:rPr>
          <w:rFonts w:hint="eastAsia" w:ascii="仿宋_GB2312" w:eastAsia="仿宋_GB2312"/>
          <w:sz w:val="24"/>
          <w:lang w:eastAsia="zh-CN"/>
        </w:rPr>
      </w:pPr>
      <w:r>
        <w:rPr>
          <w:rFonts w:hint="eastAsia" w:ascii="仿宋_GB2312" w:eastAsia="仿宋_GB2312"/>
          <w:sz w:val="24"/>
        </w:rPr>
        <w:t>（2）支持虚拟磁盘在线扩容，支持在线存储迁移功能，无需中断或停机即可将正在运行的云主机镜像文件从一个存储位置实时迁移到另一个存储位置</w:t>
      </w:r>
      <w:r>
        <w:rPr>
          <w:rFonts w:hint="eastAsia" w:ascii="仿宋_GB2312" w:eastAsia="仿宋_GB2312"/>
          <w:sz w:val="24"/>
          <w:lang w:eastAsia="zh-CN"/>
        </w:rPr>
        <w:t>。</w:t>
      </w:r>
    </w:p>
    <w:p>
      <w:pPr>
        <w:spacing w:line="400" w:lineRule="exact"/>
        <w:ind w:firstLine="480" w:firstLineChars="200"/>
        <w:rPr>
          <w:rFonts w:ascii="仿宋_GB2312" w:eastAsia="仿宋_GB2312"/>
          <w:sz w:val="24"/>
        </w:rPr>
      </w:pPr>
      <w:r>
        <w:rPr>
          <w:rFonts w:hint="eastAsia" w:ascii="仿宋_GB2312" w:eastAsia="仿宋_GB2312"/>
          <w:sz w:val="24"/>
        </w:rPr>
        <w:t>（3）要求保证数据业务的高可靠性、冗余及系统稳定性，要求提供物理服务器分布式存储，及平台集中式存储两种存储模式。</w:t>
      </w:r>
    </w:p>
    <w:p>
      <w:pPr>
        <w:spacing w:line="400" w:lineRule="exact"/>
        <w:ind w:firstLine="480" w:firstLineChars="200"/>
        <w:outlineLvl w:val="2"/>
        <w:rPr>
          <w:rFonts w:ascii="仿宋_GB2312" w:eastAsia="仿宋_GB2312"/>
          <w:sz w:val="24"/>
        </w:rPr>
      </w:pPr>
      <w:r>
        <w:rPr>
          <w:rFonts w:hint="eastAsia" w:ascii="仿宋_GB2312" w:eastAsia="仿宋_GB2312"/>
          <w:sz w:val="24"/>
        </w:rPr>
        <w:t>7.运维管理</w:t>
      </w:r>
    </w:p>
    <w:p>
      <w:pPr>
        <w:spacing w:line="400" w:lineRule="exact"/>
        <w:ind w:firstLine="480" w:firstLineChars="200"/>
        <w:rPr>
          <w:rFonts w:ascii="仿宋_GB2312" w:eastAsia="仿宋_GB2312"/>
          <w:sz w:val="24"/>
        </w:rPr>
      </w:pPr>
      <w:r>
        <w:rPr>
          <w:rFonts w:hint="eastAsia" w:ascii="仿宋_GB2312" w:eastAsia="仿宋_GB2312"/>
          <w:sz w:val="24"/>
        </w:rPr>
        <w:t>（1）要求提供配置管理数据库（CMDB）、自定义流程框架、自助服务台框架等自动化运维功能，提供配置管理、变更管理、请求/事件/故障管理、问题管理、知识库管理等功能。要求实现对IT网络的所有配置和变更、故障定位处理活动的控制和事后跟踪审计。</w:t>
      </w:r>
    </w:p>
    <w:p>
      <w:pPr>
        <w:spacing w:line="400" w:lineRule="exact"/>
        <w:ind w:firstLine="480" w:firstLineChars="200"/>
        <w:rPr>
          <w:rFonts w:ascii="仿宋_GB2312" w:eastAsia="仿宋_GB2312"/>
          <w:sz w:val="24"/>
        </w:rPr>
      </w:pPr>
      <w:r>
        <w:rPr>
          <w:rFonts w:hint="eastAsia" w:ascii="仿宋_GB2312" w:eastAsia="仿宋_GB2312"/>
          <w:sz w:val="24"/>
        </w:rPr>
        <w:t>（2）要求能基于网管系统的性能、告警、NQA链路监控，NTA网络流量分析等业务模块，提取关键性能指标（KPI），对MTTR平均修复时间、MTBF平均无故障时间等的监控和分析对服务的健康水平做出评价。</w:t>
      </w:r>
    </w:p>
    <w:p>
      <w:pPr>
        <w:spacing w:line="400" w:lineRule="exact"/>
        <w:ind w:firstLine="480" w:firstLineChars="200"/>
        <w:rPr>
          <w:rFonts w:ascii="仿宋_GB2312" w:eastAsia="仿宋_GB2312"/>
          <w:sz w:val="24"/>
        </w:rPr>
      </w:pPr>
      <w:r>
        <w:rPr>
          <w:rFonts w:hint="eastAsia" w:ascii="仿宋_GB2312" w:eastAsia="仿宋_GB2312"/>
          <w:sz w:val="24"/>
        </w:rPr>
        <w:t>（3）对不同的业务系统、应用和网络服务（如服务器、操作系统、数据库、Web服务、中间件、邮件、其他关键应用等），进行远程监控和管理，以充分满足用户对各种关键业务和数据中心的监控管理需求。要求结合告警、报表等功能，对网络中的所有应用进行可用性和健康度评价。</w:t>
      </w:r>
    </w:p>
    <w:p>
      <w:pPr>
        <w:spacing w:line="400" w:lineRule="exact"/>
        <w:ind w:firstLine="480" w:firstLineChars="200"/>
        <w:rPr>
          <w:rFonts w:ascii="仿宋_GB2312" w:eastAsia="仿宋_GB2312"/>
          <w:sz w:val="24"/>
        </w:rPr>
      </w:pPr>
      <w:r>
        <w:rPr>
          <w:rFonts w:hint="eastAsia" w:ascii="仿宋_GB2312" w:eastAsia="仿宋_GB2312"/>
          <w:sz w:val="24"/>
        </w:rPr>
        <w:t>（4）提供对虚拟机、虚拟交换、物理服务器等的监控，并实现各虚拟网络设备间拓扑关系的展示；要求以虚拟机作为管理的基本单位，跟踪虚拟机的启动、停止和迁移过程，并根据虚拟机的最新接入位置下发物理网络参数配置，能够很好的实现物理网络和虚拟网络的协作处理。</w:t>
      </w:r>
    </w:p>
    <w:p>
      <w:pPr>
        <w:spacing w:line="400" w:lineRule="exact"/>
        <w:ind w:firstLine="480" w:firstLineChars="200"/>
        <w:outlineLvl w:val="2"/>
        <w:rPr>
          <w:rFonts w:ascii="仿宋_GB2312" w:eastAsia="仿宋_GB2312"/>
          <w:sz w:val="24"/>
        </w:rPr>
      </w:pPr>
      <w:r>
        <w:rPr>
          <w:rFonts w:hint="eastAsia" w:ascii="仿宋_GB2312" w:eastAsia="仿宋_GB2312"/>
          <w:sz w:val="24"/>
        </w:rPr>
        <w:t>8.安全保障</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为确保云平台运行的稳定可靠，机房的运行环境需保障云平台系统7*24小时不能停机。为保证虚拟资源的安全隔离，要求一个云主机无法读取或写入另一个云主机的内存、访问其数据、使用其应用程序，并且每一个云主机发生故障都不会影响同一个物理机上的其它云主机运行</w:t>
      </w:r>
      <w:r>
        <w:rPr>
          <w:rFonts w:hint="eastAsia" w:ascii="仿宋_GB2312" w:eastAsia="仿宋_GB2312"/>
          <w:sz w:val="24"/>
          <w:lang w:eastAsia="zh-CN"/>
        </w:rPr>
        <w:t>。</w:t>
      </w:r>
    </w:p>
    <w:p>
      <w:pPr>
        <w:spacing w:line="400" w:lineRule="exact"/>
        <w:ind w:firstLine="480" w:firstLineChars="200"/>
        <w:rPr>
          <w:rFonts w:hint="eastAsia" w:ascii="仿宋_GB2312" w:eastAsia="仿宋_GB2312"/>
          <w:sz w:val="24"/>
          <w:lang w:eastAsia="zh-CN"/>
        </w:rPr>
      </w:pPr>
      <w:r>
        <w:rPr>
          <w:rFonts w:hint="eastAsia" w:ascii="仿宋_GB2312" w:eastAsia="仿宋_GB2312"/>
          <w:sz w:val="24"/>
        </w:rPr>
        <w:t>支持云主机的ACL访问控制，包括三层ACL和四层ACL；支持云主机IP和虚拟网卡绑定，以防止地址篡改导致的审计问题</w:t>
      </w:r>
      <w:r>
        <w:rPr>
          <w:rFonts w:hint="eastAsia" w:ascii="仿宋_GB2312" w:eastAsia="仿宋_GB2312"/>
          <w:sz w:val="24"/>
          <w:lang w:eastAsia="zh-CN"/>
        </w:rPr>
        <w:t>。</w:t>
      </w:r>
    </w:p>
    <w:p>
      <w:pPr>
        <w:spacing w:line="400" w:lineRule="exact"/>
        <w:ind w:firstLine="482" w:firstLineChars="200"/>
        <w:outlineLvl w:val="1"/>
        <w:rPr>
          <w:rFonts w:ascii="仿宋_GB2312" w:eastAsia="仿宋_GB2312"/>
          <w:b/>
          <w:sz w:val="24"/>
        </w:rPr>
      </w:pPr>
      <w:r>
        <w:rPr>
          <w:rFonts w:hint="eastAsia" w:ascii="仿宋_GB2312" w:eastAsia="仿宋_GB2312"/>
          <w:b/>
          <w:sz w:val="24"/>
        </w:rPr>
        <w:t>（四）云管理平台要求</w:t>
      </w:r>
    </w:p>
    <w:p>
      <w:pPr>
        <w:spacing w:line="400" w:lineRule="exact"/>
        <w:ind w:firstLine="480" w:firstLineChars="200"/>
        <w:outlineLvl w:val="2"/>
        <w:rPr>
          <w:rFonts w:ascii="仿宋_GB2312" w:eastAsia="仿宋_GB2312"/>
          <w:sz w:val="24"/>
        </w:rPr>
      </w:pPr>
      <w:r>
        <w:rPr>
          <w:rFonts w:hint="eastAsia" w:ascii="仿宋_GB2312" w:eastAsia="仿宋_GB2312"/>
          <w:sz w:val="24"/>
        </w:rPr>
        <w:t>1.申请要求</w:t>
      </w:r>
    </w:p>
    <w:p>
      <w:pPr>
        <w:spacing w:line="400" w:lineRule="exact"/>
        <w:ind w:firstLine="480" w:firstLineChars="200"/>
        <w:rPr>
          <w:rFonts w:ascii="仿宋_GB2312" w:eastAsia="仿宋_GB2312"/>
          <w:sz w:val="24"/>
        </w:rPr>
      </w:pPr>
      <w:r>
        <w:rPr>
          <w:rFonts w:hint="eastAsia" w:ascii="仿宋_GB2312" w:eastAsia="仿宋_GB2312"/>
          <w:sz w:val="24"/>
        </w:rPr>
        <w:t>提供基于B/S架构的业务和运维管理门户，支持云主机、云防火墙、云负载均衡等云服务产品在线申请，提供工单功能，可以支持输入文本或上传文件。</w:t>
      </w:r>
    </w:p>
    <w:p>
      <w:pPr>
        <w:spacing w:line="400" w:lineRule="exact"/>
        <w:ind w:firstLine="480" w:firstLineChars="200"/>
        <w:outlineLvl w:val="2"/>
        <w:rPr>
          <w:rFonts w:ascii="仿宋_GB2312" w:eastAsia="仿宋_GB2312"/>
          <w:sz w:val="24"/>
        </w:rPr>
      </w:pPr>
      <w:r>
        <w:rPr>
          <w:rFonts w:hint="eastAsia" w:ascii="仿宋_GB2312" w:eastAsia="仿宋_GB2312"/>
          <w:sz w:val="24"/>
        </w:rPr>
        <w:t>2.服务目录和内容</w:t>
      </w:r>
    </w:p>
    <w:p>
      <w:pPr>
        <w:spacing w:line="400" w:lineRule="exact"/>
        <w:ind w:firstLine="480" w:firstLineChars="200"/>
        <w:rPr>
          <w:rFonts w:ascii="仿宋_GB2312" w:eastAsia="仿宋_GB2312"/>
          <w:sz w:val="24"/>
        </w:rPr>
      </w:pPr>
      <w:r>
        <w:rPr>
          <w:rFonts w:hint="eastAsia" w:ascii="仿宋_GB2312" w:eastAsia="仿宋_GB2312"/>
          <w:sz w:val="24"/>
        </w:rPr>
        <w:t>要求涵盖云主机(CPU、内存、磁盘、网络)、云存储（云主机数据盘、云数据库存储空间、视频云即非结构化数据存储空间）、云负载均衡、云防火墙、云安全（主机渗透、风险评估、WAF、IPS、审计、漏扫等）、云操作系统、云数据库、云网络等服务目录。</w:t>
      </w:r>
    </w:p>
    <w:p>
      <w:pPr>
        <w:spacing w:line="400" w:lineRule="exact"/>
        <w:ind w:firstLine="480" w:firstLineChars="200"/>
        <w:outlineLvl w:val="2"/>
        <w:rPr>
          <w:rFonts w:ascii="仿宋_GB2312" w:eastAsia="仿宋_GB2312"/>
          <w:sz w:val="24"/>
        </w:rPr>
      </w:pPr>
      <w:r>
        <w:rPr>
          <w:rFonts w:hint="eastAsia" w:ascii="仿宋_GB2312" w:eastAsia="仿宋_GB2312"/>
          <w:sz w:val="24"/>
        </w:rPr>
        <w:t>3.服务流程管理</w:t>
      </w:r>
    </w:p>
    <w:p>
      <w:pPr>
        <w:spacing w:line="400" w:lineRule="exact"/>
        <w:ind w:firstLine="480" w:firstLineChars="200"/>
        <w:rPr>
          <w:rFonts w:ascii="仿宋_GB2312" w:eastAsia="仿宋_GB2312"/>
          <w:sz w:val="24"/>
        </w:rPr>
      </w:pPr>
      <w:r>
        <w:rPr>
          <w:rFonts w:hint="eastAsia" w:ascii="仿宋_GB2312" w:eastAsia="仿宋_GB2312"/>
          <w:sz w:val="24"/>
        </w:rPr>
        <w:t>要求能定制多级审批、个性化流程页面的流程模板，租户申请服务、提交流程审批，流程全过程可以跟踪审计、提供日志和通知服务，并开放审批接口。</w:t>
      </w:r>
    </w:p>
    <w:p>
      <w:pPr>
        <w:spacing w:line="400" w:lineRule="exact"/>
        <w:ind w:firstLine="480" w:firstLineChars="200"/>
        <w:outlineLvl w:val="2"/>
        <w:rPr>
          <w:rFonts w:ascii="仿宋_GB2312" w:eastAsia="仿宋_GB2312"/>
          <w:sz w:val="24"/>
        </w:rPr>
      </w:pPr>
      <w:r>
        <w:rPr>
          <w:rFonts w:hint="eastAsia" w:ascii="仿宋_GB2312" w:eastAsia="仿宋_GB2312"/>
          <w:sz w:val="24"/>
        </w:rPr>
        <w:t>4.分级管理</w:t>
      </w:r>
    </w:p>
    <w:p>
      <w:pPr>
        <w:spacing w:line="400" w:lineRule="exact"/>
        <w:ind w:firstLine="480" w:firstLineChars="200"/>
        <w:rPr>
          <w:rFonts w:ascii="仿宋_GB2312" w:eastAsia="仿宋_GB2312"/>
          <w:sz w:val="24"/>
        </w:rPr>
      </w:pPr>
      <w:r>
        <w:rPr>
          <w:rFonts w:hint="eastAsia" w:ascii="仿宋_GB2312" w:eastAsia="仿宋_GB2312"/>
          <w:sz w:val="24"/>
        </w:rPr>
        <w:t>要求支持租户对云主机、云安全、云防火墙、云负载均衡等的分级管理，能创建用户账号，权限，设定用户所属组织，能创建组织，设定管理员，分配资源，包括网络，计算资源和存储，可用模板，提供多租户网络管理，可对租户进行子网、IP、掩码、网关的划分。</w:t>
      </w:r>
    </w:p>
    <w:p>
      <w:pPr>
        <w:spacing w:line="400" w:lineRule="exact"/>
        <w:ind w:firstLine="480" w:firstLineChars="200"/>
        <w:outlineLvl w:val="2"/>
        <w:rPr>
          <w:rFonts w:ascii="仿宋_GB2312" w:eastAsia="仿宋_GB2312"/>
          <w:sz w:val="24"/>
        </w:rPr>
      </w:pPr>
      <w:r>
        <w:rPr>
          <w:rFonts w:hint="eastAsia" w:ascii="仿宋_GB2312" w:eastAsia="仿宋_GB2312"/>
          <w:sz w:val="24"/>
        </w:rPr>
        <w:t>5.运维管理</w:t>
      </w:r>
    </w:p>
    <w:p>
      <w:pPr>
        <w:spacing w:line="400" w:lineRule="exact"/>
        <w:ind w:firstLine="480" w:firstLineChars="200"/>
        <w:rPr>
          <w:rFonts w:ascii="仿宋_GB2312" w:eastAsia="仿宋_GB2312"/>
          <w:sz w:val="24"/>
        </w:rPr>
      </w:pPr>
      <w:r>
        <w:rPr>
          <w:rFonts w:hint="eastAsia" w:ascii="仿宋_GB2312" w:eastAsia="仿宋_GB2312"/>
          <w:sz w:val="24"/>
        </w:rPr>
        <w:t>支持设备配置集中管理；应用监控，云运维平台能够对虚拟机内的应用进行监控，包括主流操作系统、支撑软件，数据库等，要求监控操作系统（如Windows、Linux、统信U</w:t>
      </w:r>
      <w:r>
        <w:rPr>
          <w:rFonts w:ascii="仿宋_GB2312" w:eastAsia="仿宋_GB2312"/>
          <w:sz w:val="24"/>
        </w:rPr>
        <w:t>OS</w:t>
      </w:r>
      <w:r>
        <w:rPr>
          <w:rFonts w:hint="eastAsia" w:ascii="仿宋_GB2312" w:eastAsia="仿宋_GB2312"/>
          <w:sz w:val="24"/>
        </w:rPr>
        <w:t>、麒麟等）、应用服务器和Web服务器、数据库(如Oracle、SQLServer、MySQL、人大金仓、达梦等)、虚拟化系统（如VMware、Hyper-V、KVM等）、业务应用等的关键性能指标状态并发送告警；支持业务系统的整体监控，并结合云资源进行业务整体服务健康状态的评估；实现对服务器，存储、网络、安全等设备统一资源管理；支持相应状态监控，如云主机：CPU、内存、IO、网络、磁盘使用率；云存储：容量、使用率；云防火墙：ACL、吞吐量；云负载均衡：吞吐量；整体服务健康状态。</w:t>
      </w:r>
    </w:p>
    <w:p>
      <w:pPr>
        <w:spacing w:line="400" w:lineRule="exact"/>
        <w:ind w:firstLine="435"/>
        <w:outlineLvl w:val="2"/>
        <w:rPr>
          <w:rFonts w:ascii="仿宋_GB2312" w:eastAsia="仿宋_GB2312"/>
          <w:sz w:val="24"/>
        </w:rPr>
      </w:pPr>
      <w:r>
        <w:rPr>
          <w:rFonts w:hint="eastAsia" w:ascii="仿宋_GB2312" w:eastAsia="仿宋_GB2312"/>
          <w:sz w:val="24"/>
        </w:rPr>
        <w:t>6.报表与日志</w:t>
      </w:r>
    </w:p>
    <w:p>
      <w:pPr>
        <w:spacing w:line="400" w:lineRule="exact"/>
        <w:ind w:firstLine="435"/>
        <w:rPr>
          <w:rFonts w:hint="eastAsia" w:ascii="仿宋_GB2312" w:eastAsia="仿宋_GB2312"/>
          <w:sz w:val="24"/>
          <w:lang w:eastAsia="zh-CN"/>
        </w:rPr>
      </w:pPr>
      <w:r>
        <w:rPr>
          <w:rFonts w:hint="eastAsia" w:ascii="仿宋_GB2312" w:eastAsia="仿宋_GB2312"/>
          <w:sz w:val="24"/>
        </w:rPr>
        <w:t>能按日、月或自定义时间对云主机、云防火墙、云安全和云负载均衡提供状态报表，并可导出文件</w:t>
      </w:r>
      <w:r>
        <w:rPr>
          <w:rFonts w:hint="eastAsia" w:ascii="仿宋_GB2312" w:eastAsia="仿宋_GB2312"/>
          <w:sz w:val="24"/>
          <w:lang w:eastAsia="zh-CN"/>
        </w:rPr>
        <w:t>。</w:t>
      </w:r>
    </w:p>
    <w:p>
      <w:pPr>
        <w:spacing w:line="400" w:lineRule="exact"/>
        <w:ind w:firstLine="480" w:firstLineChars="200"/>
        <w:jc w:val="left"/>
        <w:rPr>
          <w:rFonts w:ascii="仿宋_GB2312" w:eastAsia="仿宋_GB2312"/>
          <w:sz w:val="24"/>
        </w:rPr>
      </w:pPr>
      <w:r>
        <w:rPr>
          <w:rFonts w:hint="eastAsia" w:ascii="仿宋_GB2312" w:eastAsia="仿宋_GB2312"/>
          <w:sz w:val="24"/>
        </w:rPr>
        <w:t>对于新增应用系统申请的每一台云主机原则上有一个月的测试期，测试期满后即行计费，即：当月15日（含15日）之前申请的云主机，下个月开始计费，当月15日之后申请的云主机，下下个月开始计费；服务变更或退出，按当月全月进行计算，注销退出后，给予不少于1个月的数据迁移时间。</w:t>
      </w:r>
    </w:p>
    <w:p>
      <w:pPr>
        <w:spacing w:line="400" w:lineRule="exact"/>
        <w:ind w:firstLine="482" w:firstLineChars="200"/>
        <w:outlineLvl w:val="0"/>
        <w:rPr>
          <w:rFonts w:hint="eastAsia" w:ascii="仿宋_GB2312" w:hAnsi="宋体" w:eastAsia="仿宋_GB2312"/>
          <w:b/>
          <w:bCs/>
          <w:kern w:val="0"/>
          <w:sz w:val="24"/>
        </w:rPr>
      </w:pPr>
      <w:r>
        <w:rPr>
          <w:rFonts w:hint="eastAsia" w:ascii="仿宋_GB2312" w:hAnsi="宋体" w:eastAsia="仿宋_GB2312"/>
          <w:b/>
          <w:bCs/>
          <w:kern w:val="0"/>
          <w:sz w:val="24"/>
        </w:rPr>
        <w:t>十一、服务器资源清单（核心产品：云主机）</w:t>
      </w:r>
    </w:p>
    <w:tbl>
      <w:tblPr>
        <w:tblStyle w:val="63"/>
        <w:tblW w:w="5000" w:type="pct"/>
        <w:tblInd w:w="0" w:type="dxa"/>
        <w:tblLayout w:type="fixed"/>
        <w:tblCellMar>
          <w:top w:w="0" w:type="dxa"/>
          <w:left w:w="108" w:type="dxa"/>
          <w:bottom w:w="0" w:type="dxa"/>
          <w:right w:w="108" w:type="dxa"/>
        </w:tblCellMar>
      </w:tblPr>
      <w:tblGrid>
        <w:gridCol w:w="576"/>
        <w:gridCol w:w="1548"/>
        <w:gridCol w:w="690"/>
        <w:gridCol w:w="49"/>
        <w:gridCol w:w="846"/>
        <w:gridCol w:w="1397"/>
        <w:gridCol w:w="3389"/>
      </w:tblGrid>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序号</w:t>
            </w:r>
          </w:p>
        </w:tc>
        <w:tc>
          <w:tcPr>
            <w:tcW w:w="911" w:type="pct"/>
            <w:tcBorders>
              <w:top w:val="single" w:color="auto" w:sz="4" w:space="0"/>
              <w:left w:val="nil"/>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用途</w:t>
            </w:r>
          </w:p>
        </w:tc>
        <w:tc>
          <w:tcPr>
            <w:tcW w:w="434" w:type="pct"/>
            <w:gridSpan w:val="2"/>
            <w:tcBorders>
              <w:top w:val="single" w:color="auto" w:sz="4" w:space="0"/>
              <w:left w:val="nil"/>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核数</w:t>
            </w:r>
          </w:p>
        </w:tc>
        <w:tc>
          <w:tcPr>
            <w:tcW w:w="498" w:type="pct"/>
            <w:tcBorders>
              <w:top w:val="single" w:color="auto" w:sz="4" w:space="0"/>
              <w:left w:val="nil"/>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内存（G）</w:t>
            </w:r>
          </w:p>
        </w:tc>
        <w:tc>
          <w:tcPr>
            <w:tcW w:w="821" w:type="pct"/>
            <w:tcBorders>
              <w:top w:val="single" w:color="auto" w:sz="4" w:space="0"/>
              <w:left w:val="nil"/>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数据盘(G)</w:t>
            </w:r>
          </w:p>
        </w:tc>
        <w:tc>
          <w:tcPr>
            <w:tcW w:w="1994" w:type="pct"/>
            <w:tcBorders>
              <w:top w:val="single" w:color="auto" w:sz="4" w:space="0"/>
              <w:left w:val="nil"/>
              <w:bottom w:val="single" w:color="auto" w:sz="4" w:space="0"/>
              <w:right w:val="single" w:color="auto" w:sz="4" w:space="0"/>
            </w:tcBorders>
            <w:shd w:val="clear" w:color="000000" w:fill="C0C0C0"/>
            <w:noWrap w:val="0"/>
            <w:vAlign w:val="center"/>
          </w:tcPr>
          <w:p>
            <w:pPr>
              <w:widowControl/>
              <w:jc w:val="center"/>
              <w:rPr>
                <w:rFonts w:hint="eastAsia" w:ascii="仿宋_GB2312" w:hAnsi="等线" w:eastAsia="仿宋_GB2312" w:cs="宋体"/>
                <w:b/>
                <w:bCs/>
                <w:kern w:val="0"/>
                <w:sz w:val="20"/>
                <w:szCs w:val="20"/>
              </w:rPr>
            </w:pPr>
            <w:r>
              <w:rPr>
                <w:rFonts w:hint="eastAsia" w:ascii="仿宋_GB2312" w:hAnsi="等线" w:eastAsia="仿宋_GB2312" w:cs="宋体"/>
                <w:b/>
                <w:bCs/>
                <w:kern w:val="0"/>
                <w:sz w:val="20"/>
                <w:szCs w:val="20"/>
              </w:rPr>
              <w:t>备注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数据库服务器01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40</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512</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省数据回流数据库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数据库服务器02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40</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512</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省数据回流数据库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mcdbra</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容灾控制台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五险数据库</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2000G（15K）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五险数据库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中系统数据库</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中系统数据库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存储</w:t>
            </w:r>
          </w:p>
        </w:tc>
        <w:tc>
          <w:tcPr>
            <w:tcW w:w="434" w:type="pct"/>
            <w:gridSpan w:val="2"/>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498" w:type="pct"/>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25T(15K)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doctransapp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一体化文书启动脚本</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epetl</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700G（SSD）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数据中台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社保系统单机版（狐狸头）中系统应用服务器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nginx反向代理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nginx</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nginx反向代理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100G（SSD）</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nginx反向代理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OSM</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堡垒机</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pxjdapp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培训鉴定应用服务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电子监察应用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电子监察应用</w:t>
            </w: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17</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影像导入平台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接口平台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一体化接口服务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本地人社中台+消息队列</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一体化柜面系统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一体化柜面系统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就业系统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就业系统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rsappt151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人才网招聘+资讯管理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电子影像</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电子影像</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电子影像</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29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电子影像</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搜索引擎服务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人力资源综合服务系统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人力资源综合服务系统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绍兴人社社保系统+用户中心</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绍兴人社社保系统+人社基础库系统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绍兴人社社保系统+人社基础库系统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公共服务平台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人才管家</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人才管家</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39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演示服务器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fastdfs文件存储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fastdfs文件存储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fastdfs文件存储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fastdfs文件存储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7400G（15K）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rsdaapp</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rsdaapp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7548G（15K）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fastdfs文件存储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syqz</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人社银行支付系统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退管数据库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五险应用服务器、退管应用服务器、城乡居民应用服务器</w:t>
            </w: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49</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yhlwqz</w:t>
            </w:r>
          </w:p>
        </w:tc>
        <w:tc>
          <w:tcPr>
            <w:tcW w:w="434" w:type="pct"/>
            <w:gridSpan w:val="2"/>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w:t>
            </w:r>
          </w:p>
        </w:tc>
        <w:tc>
          <w:tcPr>
            <w:tcW w:w="498"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821"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城乡居民数据库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多跨协同执法监管应用系统相关服务</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业安薪数据库</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业安薪数据库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Redis服务器01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一体化redis服务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Redis缓存服务器01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redis集群</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Redis缓存服务器02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redis集群</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人才网服务器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人才网聊天系统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人才码测试应用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人才码测试应用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人才管家</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人才管家</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人才网后台管理</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人才网后台管理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59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 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部署内网nginx集群（对接市民卡）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 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部署内网nginx集群</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应用管理服务器1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应用服务管理平台、一卡通专用管理（对接市民卡）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62</w:t>
            </w:r>
          </w:p>
        </w:tc>
        <w:tc>
          <w:tcPr>
            <w:tcW w:w="911"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应用管理服务器2</w:t>
            </w:r>
          </w:p>
        </w:tc>
        <w:tc>
          <w:tcPr>
            <w:tcW w:w="434" w:type="pct"/>
            <w:gridSpan w:val="2"/>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应用服务管理平台、一卡通专用管理（对接市民卡）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63</w:t>
            </w:r>
          </w:p>
        </w:tc>
        <w:tc>
          <w:tcPr>
            <w:tcW w:w="911"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网关基础服务器1</w:t>
            </w:r>
          </w:p>
        </w:tc>
        <w:tc>
          <w:tcPr>
            <w:tcW w:w="434" w:type="pct"/>
            <w:gridSpan w:val="2"/>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部署网关api服务、统一认证服务、日志服务（对接市民卡）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64</w:t>
            </w:r>
          </w:p>
        </w:tc>
        <w:tc>
          <w:tcPr>
            <w:tcW w:w="911"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网关基础服务器2</w:t>
            </w:r>
          </w:p>
        </w:tc>
        <w:tc>
          <w:tcPr>
            <w:tcW w:w="434" w:type="pct"/>
            <w:gridSpan w:val="2"/>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部署网关api服务、统一认证服务、日志服务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65</w:t>
            </w:r>
          </w:p>
        </w:tc>
        <w:tc>
          <w:tcPr>
            <w:tcW w:w="911"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中间件服务/缓存服务器1</w:t>
            </w:r>
          </w:p>
        </w:tc>
        <w:tc>
          <w:tcPr>
            <w:tcW w:w="434" w:type="pct"/>
            <w:gridSpan w:val="2"/>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shd w:val="clear" w:color="000000" w:fill="FFFFFF"/>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部署redis、注册中心、消息队列（对接市民卡）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中间件服务/缓存服务器2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部署redis、注册中心、消息队列（对接市民卡）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中间件服务/缓存服务器3</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部署redis、注册中心、消息队列（对接市民卡）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文件服务器1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存放图片文件服务（对接市民卡）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69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文件服务器2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存放图片文件服务（对接市民卡）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2000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部署达梦数据库（对接市民卡）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2000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部署达梦数据库（对接市民卡）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 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部署互联网nginx集群（对接市民卡）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 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部署互联网nginx集群（对接市民卡）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测试应用服务器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测试数据库服务器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测试nginx服务器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测试nginx服务器（政务外网）</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（对接市民卡）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社保接口平台+培训鉴定</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79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一体化柜面系统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一体化柜面系统</w:t>
            </w: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81</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市本级绩效考核系统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人才网招聘+资讯管理</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一体化接口平台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劳务派遣+就业系统（老）</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rsappt</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电子影像</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人社社保系统、人力资源综合服务系统、人社基础库系统、用户中心，</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绍兴人社社保系统+人社基础库系统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人才管家</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89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数据中台前端</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人力资源综合服务系统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rsappw</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绍兴人社社保系统+用户中心</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运维管理机</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公共服务平台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mongos</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mongos集群</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mongos</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mongos集群</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应用服务器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劳动系统应用服务器02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基础库01</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dbrep</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数据同步系统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资格证书打印系统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资格证书打印系统</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99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越安薪服务器2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业安薪浙政钉服务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越安薪服务器3</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综合安防管理平台</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职业培训和技能鉴定应用服务器2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浙政钉单点登录外网服务</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办公自动化及移动办公系统应用服务器1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海智汇应用+nginx</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办公自动化及移动办公系统应用服务器2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办公自动化及移动办公系统应用服务器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APP、微信等渠道应用服务器1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nginx转发</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APP、微信等渠道应用服务器2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nginx人才码统一入口</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APP、微信等渠道应用服务器5</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网上办事大厅</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人社业务及社保业务数据库（核心库）1</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160</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1024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互联网+绍兴人社核心数据库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人社业务及社保业务数据库（核心库）2</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160</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1024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互联网+绍兴人社核心数据库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109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人社业务及社保业务数据库（核心库）3</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160</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1024</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1T（15K）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color w:val="auto"/>
                <w:kern w:val="0"/>
                <w:sz w:val="20"/>
                <w:szCs w:val="20"/>
              </w:rPr>
            </w:pPr>
            <w:r>
              <w:rPr>
                <w:rFonts w:hint="eastAsia" w:ascii="仿宋_GB2312" w:hAnsi="等线" w:eastAsia="仿宋_GB2312" w:cs="仿宋_GB2312"/>
                <w:i w:val="0"/>
                <w:color w:val="auto"/>
                <w:kern w:val="0"/>
                <w:sz w:val="20"/>
                <w:szCs w:val="20"/>
                <w:u w:val="none"/>
                <w:lang w:val="en-US" w:eastAsia="zh-CN" w:bidi="ar"/>
              </w:rPr>
              <w:t>互联网+绍兴人社核心数据库</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分级分类系统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动态脱敏系统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静态脱敏系统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113</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水印溯源系统</w:t>
            </w:r>
          </w:p>
        </w:tc>
        <w:tc>
          <w:tcPr>
            <w:tcW w:w="434" w:type="pct"/>
            <w:gridSpan w:val="2"/>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821"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single" w:color="auto" w:sz="4" w:space="0"/>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数据库透明加密</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数据流动管控</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数据安全管控平台</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远望核心平台</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专网管控</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远望主机-监控与审计系统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专网管控</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119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远望综合审计系统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专网管控</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越城-远望综合审计系统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16</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1100G（15K）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专网管控</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121</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越城-远望主机监控与审计系统</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32</w:t>
            </w: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500G（15K）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专网管控</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122</w:t>
            </w:r>
          </w:p>
        </w:tc>
        <w:tc>
          <w:tcPr>
            <w:tcW w:w="911" w:type="pct"/>
            <w:vMerge w:val="restar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核心数据存储</w:t>
            </w:r>
          </w:p>
        </w:tc>
        <w:tc>
          <w:tcPr>
            <w:tcW w:w="434" w:type="pct"/>
            <w:gridSpan w:val="2"/>
            <w:vMerge w:val="restart"/>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498" w:type="pct"/>
            <w:vMerge w:val="restart"/>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240T（15K）</w:t>
            </w:r>
          </w:p>
        </w:tc>
        <w:tc>
          <w:tcPr>
            <w:tcW w:w="1994" w:type="pct"/>
            <w:vMerge w:val="restart"/>
            <w:tcBorders>
              <w:top w:val="nil"/>
              <w:left w:val="nil"/>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互联网+绍兴人社核心存储</w:t>
            </w: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123</w:t>
            </w:r>
          </w:p>
        </w:tc>
        <w:tc>
          <w:tcPr>
            <w:tcW w:w="911" w:type="pct"/>
            <w:vMerge w:val="continue"/>
            <w:tcBorders>
              <w:top w:val="nil"/>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p>
        </w:tc>
        <w:tc>
          <w:tcPr>
            <w:tcW w:w="434" w:type="pct"/>
            <w:gridSpan w:val="2"/>
            <w:vMerge w:val="continue"/>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498" w:type="pct"/>
            <w:vMerge w:val="continue"/>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60T（SSD）</w:t>
            </w:r>
          </w:p>
        </w:tc>
        <w:tc>
          <w:tcPr>
            <w:tcW w:w="1994" w:type="pct"/>
            <w:vMerge w:val="continue"/>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影像文件存储</w:t>
            </w:r>
          </w:p>
        </w:tc>
        <w:tc>
          <w:tcPr>
            <w:tcW w:w="434" w:type="pct"/>
            <w:gridSpan w:val="2"/>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非结构存储</w:t>
            </w: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80T</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业务数据存储</w:t>
            </w:r>
          </w:p>
        </w:tc>
        <w:tc>
          <w:tcPr>
            <w:tcW w:w="434" w:type="pct"/>
            <w:gridSpan w:val="2"/>
            <w:tcBorders>
              <w:top w:val="nil"/>
              <w:left w:val="nil"/>
              <w:bottom w:val="single" w:color="auto" w:sz="4" w:space="0"/>
              <w:right w:val="single" w:color="auto" w:sz="4" w:space="0"/>
            </w:tcBorders>
            <w:noWrap/>
            <w:vAlign w:val="center"/>
          </w:tcPr>
          <w:p>
            <w:pPr>
              <w:jc w:val="center"/>
            </w:pP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40T（15K）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外网数据存储</w:t>
            </w:r>
          </w:p>
        </w:tc>
        <w:tc>
          <w:tcPr>
            <w:tcW w:w="434" w:type="pct"/>
            <w:gridSpan w:val="2"/>
            <w:tcBorders>
              <w:top w:val="nil"/>
              <w:left w:val="nil"/>
              <w:bottom w:val="single" w:color="auto" w:sz="4" w:space="0"/>
              <w:right w:val="single" w:color="auto" w:sz="4" w:space="0"/>
            </w:tcBorders>
            <w:noWrap/>
            <w:vAlign w:val="center"/>
          </w:tcPr>
          <w:p>
            <w:pPr>
              <w:jc w:val="center"/>
            </w:pP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备份</w:t>
            </w:r>
          </w:p>
        </w:tc>
        <w:tc>
          <w:tcPr>
            <w:tcW w:w="434" w:type="pct"/>
            <w:gridSpan w:val="2"/>
            <w:tcBorders>
              <w:top w:val="nil"/>
              <w:left w:val="nil"/>
              <w:bottom w:val="single" w:color="auto" w:sz="4" w:space="0"/>
              <w:right w:val="single" w:color="auto" w:sz="4" w:space="0"/>
            </w:tcBorders>
            <w:noWrap/>
            <w:vAlign w:val="center"/>
          </w:tcPr>
          <w:p>
            <w:pPr>
              <w:jc w:val="center"/>
            </w:pPr>
          </w:p>
        </w:tc>
        <w:tc>
          <w:tcPr>
            <w:tcW w:w="498" w:type="pct"/>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821" w:type="pct"/>
            <w:tcBorders>
              <w:top w:val="nil"/>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210T</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128</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云安全（WAF)</w:t>
            </w:r>
          </w:p>
        </w:tc>
        <w:tc>
          <w:tcPr>
            <w:tcW w:w="1754" w:type="pct"/>
            <w:gridSpan w:val="4"/>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10个IP地址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129</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云安全（防火墙)</w:t>
            </w:r>
          </w:p>
        </w:tc>
        <w:tc>
          <w:tcPr>
            <w:tcW w:w="1754" w:type="pct"/>
            <w:gridSpan w:val="4"/>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仿宋_GB2312"/>
                <w:i w:val="0"/>
                <w:color w:val="000000"/>
                <w:kern w:val="0"/>
                <w:sz w:val="20"/>
                <w:szCs w:val="20"/>
                <w:u w:val="none"/>
                <w:lang w:val="en-US" w:eastAsia="zh-CN" w:bidi="ar"/>
              </w:rPr>
            </w:pPr>
            <w:r>
              <w:rPr>
                <w:rFonts w:hint="eastAsia" w:ascii="仿宋_GB2312" w:hAnsi="等线" w:eastAsia="仿宋_GB2312" w:cs="仿宋_GB2312"/>
                <w:i w:val="0"/>
                <w:color w:val="000000"/>
                <w:kern w:val="0"/>
                <w:sz w:val="20"/>
                <w:szCs w:val="20"/>
                <w:u w:val="none"/>
                <w:lang w:val="en-US" w:eastAsia="zh-CN" w:bidi="ar"/>
              </w:rPr>
              <w:t>10个IP地址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130</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云安全（漏扫）</w:t>
            </w:r>
          </w:p>
        </w:tc>
        <w:tc>
          <w:tcPr>
            <w:tcW w:w="1754" w:type="pct"/>
            <w:gridSpan w:val="4"/>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仿宋_GB2312"/>
                <w:i w:val="0"/>
                <w:color w:val="000000"/>
                <w:kern w:val="0"/>
                <w:sz w:val="20"/>
                <w:szCs w:val="20"/>
                <w:u w:val="none"/>
                <w:lang w:val="en-US" w:eastAsia="zh-CN" w:bidi="ar"/>
              </w:rPr>
            </w:pPr>
            <w:r>
              <w:rPr>
                <w:rFonts w:hint="eastAsia" w:ascii="仿宋_GB2312" w:hAnsi="等线" w:eastAsia="仿宋_GB2312" w:cs="仿宋_GB2312"/>
                <w:i w:val="0"/>
                <w:color w:val="000000"/>
                <w:kern w:val="0"/>
                <w:sz w:val="20"/>
                <w:szCs w:val="20"/>
                <w:u w:val="none"/>
                <w:lang w:val="en-US" w:eastAsia="zh-CN" w:bidi="ar"/>
              </w:rPr>
              <w:t>IP地址（120个内外网地址）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0"/>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131</w:t>
            </w:r>
          </w:p>
        </w:tc>
        <w:tc>
          <w:tcPr>
            <w:tcW w:w="911"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云安全（综合日志审计）</w:t>
            </w:r>
          </w:p>
        </w:tc>
        <w:tc>
          <w:tcPr>
            <w:tcW w:w="1754" w:type="pct"/>
            <w:gridSpan w:val="4"/>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IP地址（120个内外网地址）</w:t>
            </w:r>
          </w:p>
        </w:tc>
        <w:tc>
          <w:tcPr>
            <w:tcW w:w="1994"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132</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云安全（堡垒机）</w:t>
            </w:r>
          </w:p>
        </w:tc>
        <w:tc>
          <w:tcPr>
            <w:tcW w:w="1754" w:type="pct"/>
            <w:gridSpan w:val="4"/>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IP地址（120个内外网地址）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133</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云安全（态势感知）</w:t>
            </w:r>
          </w:p>
        </w:tc>
        <w:tc>
          <w:tcPr>
            <w:tcW w:w="1754" w:type="pct"/>
            <w:gridSpan w:val="4"/>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IP地址（120个内外网地址）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134</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云安全（服务器安全加固）</w:t>
            </w:r>
          </w:p>
        </w:tc>
        <w:tc>
          <w:tcPr>
            <w:tcW w:w="1754" w:type="pct"/>
            <w:gridSpan w:val="4"/>
            <w:tcBorders>
              <w:top w:val="nil"/>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IP地址（120个内外网地址）</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135</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负载均衡</w:t>
            </w:r>
          </w:p>
        </w:tc>
        <w:tc>
          <w:tcPr>
            <w:tcW w:w="932" w:type="pct"/>
            <w:gridSpan w:val="3"/>
            <w:tcBorders>
              <w:top w:val="nil"/>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24组</w:t>
            </w:r>
          </w:p>
        </w:tc>
        <w:tc>
          <w:tcPr>
            <w:tcW w:w="821" w:type="pct"/>
            <w:tcBorders>
              <w:top w:val="nil"/>
              <w:left w:val="nil"/>
              <w:bottom w:val="single" w:color="auto" w:sz="4" w:space="0"/>
              <w:right w:val="single" w:color="auto" w:sz="4" w:space="0"/>
            </w:tcBorders>
            <w:noWrap w:val="0"/>
            <w:vAlign w:val="center"/>
          </w:tcPr>
          <w:p>
            <w:pPr>
              <w:jc w:val="left"/>
              <w:rPr>
                <w:rFonts w:hint="eastAsia" w:ascii="仿宋_GB2312" w:hAnsi="等线" w:eastAsia="仿宋_GB2312" w:cs="宋体"/>
                <w:kern w:val="0"/>
                <w:sz w:val="20"/>
                <w:szCs w:val="20"/>
              </w:rPr>
            </w:pP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136</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数据库存储扩容</w:t>
            </w:r>
          </w:p>
        </w:tc>
        <w:tc>
          <w:tcPr>
            <w:tcW w:w="406" w:type="pc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526" w:type="pct"/>
            <w:gridSpan w:val="2"/>
            <w:tcBorders>
              <w:top w:val="single" w:color="auto" w:sz="4" w:space="0"/>
              <w:left w:val="nil"/>
              <w:bottom w:val="single" w:color="auto" w:sz="4" w:space="0"/>
              <w:right w:val="single" w:color="auto" w:sz="4" w:space="0"/>
            </w:tcBorders>
            <w:noWrap w:val="0"/>
            <w:vAlign w:val="center"/>
          </w:tcPr>
          <w:p>
            <w:pPr>
              <w:jc w:val="center"/>
              <w:rPr>
                <w:rFonts w:hint="eastAsia" w:ascii="仿宋_GB2312" w:hAnsi="等线" w:eastAsia="仿宋_GB2312" w:cs="宋体"/>
                <w:color w:val="auto"/>
                <w:kern w:val="0"/>
                <w:sz w:val="20"/>
                <w:szCs w:val="20"/>
                <w:lang w:val="en-US" w:eastAsia="zh-CN" w:bidi="ar-SA"/>
              </w:rPr>
            </w:pPr>
          </w:p>
        </w:tc>
        <w:tc>
          <w:tcPr>
            <w:tcW w:w="821" w:type="pct"/>
            <w:tcBorders>
              <w:top w:val="single" w:color="auto" w:sz="4" w:space="0"/>
              <w:left w:val="nil"/>
              <w:bottom w:val="single" w:color="auto" w:sz="4" w:space="0"/>
              <w:right w:val="single" w:color="auto" w:sz="4" w:space="0"/>
            </w:tcBorders>
            <w:noWrap w:val="0"/>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10T（15K）</w:t>
            </w: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nil"/>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137</w:t>
            </w:r>
          </w:p>
        </w:tc>
        <w:tc>
          <w:tcPr>
            <w:tcW w:w="911"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档案电子影像</w:t>
            </w:r>
          </w:p>
        </w:tc>
        <w:tc>
          <w:tcPr>
            <w:tcW w:w="406" w:type="pct"/>
            <w:vMerge w:val="restar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526" w:type="pct"/>
            <w:gridSpan w:val="2"/>
            <w:vMerge w:val="restar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821" w:type="pct"/>
            <w:vMerge w:val="restart"/>
            <w:tcBorders>
              <w:top w:val="single" w:color="auto" w:sz="4" w:space="0"/>
              <w:left w:val="nil"/>
              <w:bottom w:val="single" w:color="auto" w:sz="4" w:space="0"/>
              <w:right w:val="single" w:color="auto" w:sz="4" w:space="0"/>
            </w:tcBorders>
            <w:noWrap w:val="0"/>
            <w:vAlign w:val="center"/>
          </w:tcPr>
          <w:p>
            <w:pPr>
              <w:jc w:val="center"/>
              <w:rPr>
                <w:rFonts w:hint="eastAsia" w:ascii="仿宋_GB2312" w:hAnsi="等线" w:eastAsia="仿宋_GB2312" w:cs="宋体"/>
                <w:color w:val="auto"/>
                <w:kern w:val="0"/>
                <w:sz w:val="20"/>
                <w:szCs w:val="20"/>
                <w:lang w:val="en-US" w:eastAsia="zh-CN" w:bidi="ar-SA"/>
              </w:rPr>
            </w:pPr>
            <w:r>
              <w:rPr>
                <w:rFonts w:hint="eastAsia" w:ascii="仿宋_GB2312" w:hAnsi="等线" w:eastAsia="仿宋_GB2312" w:cs="仿宋_GB2312"/>
                <w:i w:val="0"/>
                <w:color w:val="000000"/>
                <w:kern w:val="0"/>
                <w:sz w:val="20"/>
                <w:szCs w:val="20"/>
                <w:u w:val="none"/>
                <w:lang w:val="en-US" w:eastAsia="zh-CN" w:bidi="ar"/>
              </w:rPr>
              <w:t>20T</w:t>
            </w:r>
          </w:p>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1994" w:type="pct"/>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138</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数据备份</w:t>
            </w:r>
          </w:p>
        </w:tc>
        <w:tc>
          <w:tcPr>
            <w:tcW w:w="406" w:type="pct"/>
            <w:vMerge w:val="continue"/>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526" w:type="pct"/>
            <w:gridSpan w:val="2"/>
            <w:vMerge w:val="continue"/>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821" w:type="pct"/>
            <w:vMerge w:val="continue"/>
            <w:tcBorders>
              <w:top w:val="single" w:color="auto" w:sz="4" w:space="0"/>
              <w:left w:val="nil"/>
              <w:bottom w:val="single" w:color="auto" w:sz="4" w:space="0"/>
              <w:right w:val="single" w:color="auto" w:sz="4" w:space="0"/>
            </w:tcBorders>
            <w:noWrap/>
            <w:vAlign w:val="center"/>
          </w:tcPr>
          <w:p>
            <w:pPr>
              <w:jc w:val="left"/>
              <w:rPr>
                <w:rFonts w:hint="eastAsia" w:ascii="仿宋_GB2312" w:hAnsi="等线" w:eastAsia="仿宋_GB2312" w:cs="宋体"/>
                <w:kern w:val="0"/>
                <w:sz w:val="20"/>
                <w:szCs w:val="20"/>
              </w:rPr>
            </w:pP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139</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数据库云备份</w:t>
            </w:r>
          </w:p>
        </w:tc>
        <w:tc>
          <w:tcPr>
            <w:tcW w:w="406" w:type="pc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526" w:type="pct"/>
            <w:gridSpan w:val="2"/>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color w:val="auto"/>
                <w:kern w:val="0"/>
                <w:sz w:val="20"/>
                <w:szCs w:val="20"/>
                <w:lang w:val="en-US" w:eastAsia="zh-CN" w:bidi="ar-SA"/>
              </w:rPr>
            </w:pPr>
          </w:p>
        </w:tc>
        <w:tc>
          <w:tcPr>
            <w:tcW w:w="821" w:type="pc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40T</w:t>
            </w: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140</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操作系统软件（国产）</w:t>
            </w:r>
          </w:p>
        </w:tc>
        <w:tc>
          <w:tcPr>
            <w:tcW w:w="932" w:type="pct"/>
            <w:gridSpan w:val="3"/>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19</w:t>
            </w:r>
          </w:p>
        </w:tc>
        <w:tc>
          <w:tcPr>
            <w:tcW w:w="821" w:type="pc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141</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中间件软件（国产）</w:t>
            </w:r>
          </w:p>
        </w:tc>
        <w:tc>
          <w:tcPr>
            <w:tcW w:w="932" w:type="pct"/>
            <w:gridSpan w:val="3"/>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w:t>
            </w:r>
          </w:p>
        </w:tc>
        <w:tc>
          <w:tcPr>
            <w:tcW w:w="821" w:type="pct"/>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r>
        <w:tblPrEx>
          <w:tblCellMar>
            <w:top w:w="0" w:type="dxa"/>
            <w:left w:w="108" w:type="dxa"/>
            <w:bottom w:w="0" w:type="dxa"/>
            <w:right w:w="108" w:type="dxa"/>
          </w:tblCellMar>
        </w:tblPrEx>
        <w:trPr>
          <w:trHeight w:val="399" w:hRule="atLeast"/>
        </w:trPr>
        <w:tc>
          <w:tcPr>
            <w:tcW w:w="339"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_GB2312" w:hAnsi="等线" w:eastAsia="仿宋_GB2312" w:cs="宋体"/>
                <w:kern w:val="0"/>
                <w:sz w:val="20"/>
                <w:szCs w:val="20"/>
              </w:rPr>
            </w:pPr>
            <w:r>
              <w:rPr>
                <w:rFonts w:hint="eastAsia" w:ascii="仿宋_GB2312" w:hAnsi="等线" w:eastAsia="仿宋_GB2312" w:cs="宋体"/>
                <w:kern w:val="0"/>
                <w:sz w:val="20"/>
                <w:szCs w:val="20"/>
              </w:rPr>
              <w:t>142</w:t>
            </w:r>
          </w:p>
        </w:tc>
        <w:tc>
          <w:tcPr>
            <w:tcW w:w="91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数据库软件（国产）</w:t>
            </w:r>
          </w:p>
        </w:tc>
        <w:tc>
          <w:tcPr>
            <w:tcW w:w="932" w:type="pct"/>
            <w:gridSpan w:val="3"/>
            <w:tcBorders>
              <w:top w:val="single" w:color="auto" w:sz="4" w:space="0"/>
              <w:left w:val="nil"/>
              <w:bottom w:val="single" w:color="auto" w:sz="4" w:space="0"/>
              <w:right w:val="single" w:color="auto" w:sz="4" w:space="0"/>
            </w:tcBorders>
            <w:noWrap/>
            <w:vAlign w:val="center"/>
          </w:tcPr>
          <w:p>
            <w:pPr>
              <w:jc w:val="center"/>
              <w:rPr>
                <w:rFonts w:hint="eastAsia" w:ascii="仿宋_GB2312" w:hAnsi="等线" w:eastAsia="仿宋_GB2312" w:cs="宋体"/>
                <w:kern w:val="0"/>
                <w:sz w:val="20"/>
                <w:szCs w:val="20"/>
              </w:rPr>
            </w:pPr>
            <w:r>
              <w:rPr>
                <w:rFonts w:hint="eastAsia" w:ascii="仿宋_GB2312" w:hAnsi="等线" w:eastAsia="仿宋_GB2312" w:cs="仿宋_GB2312"/>
                <w:i w:val="0"/>
                <w:color w:val="000000"/>
                <w:kern w:val="0"/>
                <w:sz w:val="20"/>
                <w:szCs w:val="20"/>
                <w:u w:val="none"/>
                <w:lang w:val="en-US" w:eastAsia="zh-CN" w:bidi="ar"/>
              </w:rPr>
              <w:t>3</w:t>
            </w:r>
          </w:p>
        </w:tc>
        <w:tc>
          <w:tcPr>
            <w:tcW w:w="821"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c>
          <w:tcPr>
            <w:tcW w:w="1994"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等线" w:eastAsia="仿宋_GB2312" w:cs="宋体"/>
                <w:kern w:val="0"/>
                <w:sz w:val="20"/>
                <w:szCs w:val="20"/>
              </w:rPr>
            </w:pPr>
          </w:p>
        </w:tc>
      </w:tr>
    </w:tbl>
    <w:p/>
    <w:p>
      <w:pPr>
        <w:spacing w:line="400" w:lineRule="exact"/>
        <w:ind w:firstLine="482" w:firstLineChars="200"/>
        <w:outlineLvl w:val="0"/>
        <w:rPr>
          <w:rFonts w:hint="eastAsia" w:ascii="仿宋_GB2312" w:hAnsi="宋体" w:eastAsia="仿宋_GB2312"/>
          <w:b/>
          <w:bCs/>
          <w:kern w:val="0"/>
          <w:sz w:val="24"/>
        </w:rPr>
      </w:pPr>
      <w:r>
        <w:rPr>
          <w:rFonts w:hint="eastAsia" w:ascii="仿宋_GB2312" w:hAnsi="宋体" w:eastAsia="仿宋_GB2312"/>
          <w:b/>
          <w:bCs/>
          <w:kern w:val="0"/>
          <w:sz w:val="24"/>
        </w:rPr>
        <w:t>十二、本地安全运营服务</w:t>
      </w:r>
    </w:p>
    <w:tbl>
      <w:tblPr>
        <w:tblStyle w:val="63"/>
        <w:tblW w:w="48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880"/>
        <w:gridCol w:w="466"/>
        <w:gridCol w:w="4920"/>
        <w:gridCol w:w="1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noWrap w:val="0"/>
            <w:vAlign w:val="center"/>
          </w:tcPr>
          <w:p>
            <w:pPr>
              <w:spacing w:line="440" w:lineRule="exact"/>
              <w:jc w:val="center"/>
              <w:rPr>
                <w:rFonts w:hint="eastAsia" w:ascii="仿宋_GB2312" w:hAnsi="仿宋" w:eastAsia="仿宋_GB2312"/>
                <w:kern w:val="0"/>
                <w:sz w:val="24"/>
              </w:rPr>
            </w:pPr>
            <w:r>
              <w:rPr>
                <w:rFonts w:hint="eastAsia" w:ascii="仿宋_GB2312" w:hAnsi="仿宋" w:eastAsia="仿宋_GB2312"/>
                <w:kern w:val="0"/>
                <w:sz w:val="24"/>
              </w:rPr>
              <w:t>序号</w:t>
            </w:r>
          </w:p>
        </w:tc>
        <w:tc>
          <w:tcPr>
            <w:tcW w:w="820" w:type="pct"/>
            <w:gridSpan w:val="2"/>
            <w:noWrap w:val="0"/>
            <w:vAlign w:val="center"/>
          </w:tcPr>
          <w:p>
            <w:pPr>
              <w:spacing w:line="440" w:lineRule="exact"/>
              <w:jc w:val="center"/>
              <w:rPr>
                <w:rFonts w:hint="eastAsia" w:ascii="仿宋_GB2312" w:hAnsi="仿宋" w:eastAsia="仿宋_GB2312"/>
                <w:sz w:val="24"/>
              </w:rPr>
            </w:pPr>
            <w:r>
              <w:rPr>
                <w:rFonts w:hint="eastAsia" w:ascii="仿宋_GB2312" w:hAnsi="仿宋" w:eastAsia="仿宋_GB2312"/>
                <w:sz w:val="24"/>
              </w:rPr>
              <w:t>服务项目</w:t>
            </w:r>
          </w:p>
        </w:tc>
        <w:tc>
          <w:tcPr>
            <w:tcW w:w="2995" w:type="pct"/>
            <w:noWrap w:val="0"/>
            <w:vAlign w:val="center"/>
          </w:tcPr>
          <w:p>
            <w:pPr>
              <w:spacing w:line="440" w:lineRule="exact"/>
              <w:jc w:val="center"/>
              <w:rPr>
                <w:rFonts w:hint="eastAsia" w:ascii="仿宋_GB2312" w:hAnsi="仿宋" w:eastAsia="仿宋_GB2312"/>
                <w:kern w:val="0"/>
                <w:sz w:val="24"/>
              </w:rPr>
            </w:pPr>
            <w:r>
              <w:rPr>
                <w:rFonts w:hint="eastAsia" w:ascii="仿宋_GB2312" w:hAnsi="仿宋" w:eastAsia="仿宋_GB2312"/>
                <w:kern w:val="0"/>
                <w:sz w:val="24"/>
              </w:rPr>
              <w:t>服务内容</w:t>
            </w:r>
          </w:p>
        </w:tc>
        <w:tc>
          <w:tcPr>
            <w:tcW w:w="712" w:type="pct"/>
            <w:noWrap w:val="0"/>
            <w:vAlign w:val="center"/>
          </w:tcPr>
          <w:p>
            <w:pPr>
              <w:spacing w:line="440" w:lineRule="exact"/>
              <w:jc w:val="center"/>
              <w:rPr>
                <w:rFonts w:hint="eastAsia" w:ascii="仿宋_GB2312" w:hAnsi="仿宋" w:eastAsia="仿宋_GB2312"/>
                <w:kern w:val="0"/>
                <w:sz w:val="24"/>
              </w:rPr>
            </w:pPr>
            <w:r>
              <w:rPr>
                <w:rFonts w:hint="eastAsia" w:ascii="仿宋_GB2312" w:hAnsi="仿宋" w:eastAsia="仿宋_GB2312"/>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sz w:val="24"/>
              </w:rPr>
            </w:pPr>
            <w:r>
              <w:rPr>
                <w:rFonts w:hint="eastAsia" w:ascii="仿宋_GB2312" w:hAnsi="仿宋" w:eastAsia="仿宋_GB2312"/>
                <w:sz w:val="24"/>
              </w:rPr>
              <w:t>1</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管理制度梳理</w:t>
            </w:r>
          </w:p>
        </w:tc>
        <w:tc>
          <w:tcPr>
            <w:tcW w:w="2995" w:type="pct"/>
            <w:shd w:val="clear" w:color="000000" w:fill="FFFFFF"/>
            <w:noWrap w:val="0"/>
            <w:vAlign w:val="center"/>
          </w:tcPr>
          <w:p>
            <w:pPr>
              <w:spacing w:line="440" w:lineRule="exact"/>
              <w:rPr>
                <w:rFonts w:hint="eastAsia" w:ascii="仿宋_GB2312" w:hAnsi="仿宋" w:eastAsia="仿宋_GB2312"/>
                <w:sz w:val="24"/>
              </w:rPr>
            </w:pPr>
            <w:r>
              <w:rPr>
                <w:rFonts w:hint="eastAsia" w:ascii="仿宋_GB2312" w:hAnsi="仿宋" w:eastAsia="仿宋_GB2312"/>
                <w:sz w:val="24"/>
              </w:rPr>
              <w:t>1.依据ISO/IEC 27001:2013和等级保护2.0相关标准，结合采购人信息系统具体情况，为采购人建立完整的信息安全管理体系，实现动态的、系统的、制定化的、以预防为主的信息管理方式，用最低的成本，实现可接受的信息安全水平，从根本上保证业务的持续性。</w:t>
            </w:r>
          </w:p>
          <w:p>
            <w:pPr>
              <w:widowControl/>
              <w:spacing w:line="440" w:lineRule="exact"/>
              <w:rPr>
                <w:rFonts w:hint="eastAsia" w:ascii="仿宋_GB2312" w:hAnsi="仿宋" w:eastAsia="仿宋_GB2312" w:cs="宋体"/>
                <w:kern w:val="0"/>
                <w:sz w:val="24"/>
              </w:rPr>
            </w:pPr>
            <w:r>
              <w:rPr>
                <w:rFonts w:hint="eastAsia" w:ascii="仿宋_GB2312" w:hAnsi="仿宋" w:eastAsia="仿宋_GB2312"/>
                <w:sz w:val="24"/>
              </w:rPr>
              <w:t>2.安全管理体系咨询服务包括四大模块：现状与差距分析、风险评估、体系规划与设计、体系实施与评审。</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sz w:val="24"/>
              </w:rPr>
            </w:pPr>
            <w:r>
              <w:rPr>
                <w:rFonts w:hint="eastAsia" w:ascii="仿宋_GB2312" w:hAnsi="仿宋" w:eastAsia="仿宋_GB2312"/>
                <w:sz w:val="24"/>
              </w:rPr>
              <w:t>2</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漏洞扫描与分析服务</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1</w:t>
            </w:r>
            <w:r>
              <w:rPr>
                <w:rFonts w:ascii="仿宋_GB2312" w:hAnsi="仿宋" w:eastAsia="仿宋_GB2312" w:cs="宋体"/>
                <w:kern w:val="0"/>
                <w:sz w:val="24"/>
              </w:rPr>
              <w:t>、可基于A段、B段创建并下发资产盘点任务，检测任务可发现目标范围内在线的资产，可检测到在线资产的IP地址、MAC地址、操作系统、资产类型、设备厂商、设备型号、软件版本，并在报告中展示设备开放的高危端口；</w:t>
            </w:r>
          </w:p>
          <w:p>
            <w:pPr>
              <w:widowControl/>
              <w:spacing w:line="440" w:lineRule="exact"/>
              <w:rPr>
                <w:rFonts w:hint="eastAsia" w:ascii="仿宋_GB2312" w:hAnsi="仿宋" w:eastAsia="仿宋_GB2312" w:cs="宋体"/>
                <w:kern w:val="0"/>
                <w:sz w:val="24"/>
              </w:rPr>
            </w:pPr>
            <w:r>
              <w:rPr>
                <w:rFonts w:ascii="仿宋_GB2312" w:hAnsi="仿宋" w:eastAsia="仿宋_GB2312" w:cs="宋体"/>
                <w:kern w:val="0"/>
                <w:sz w:val="24"/>
              </w:rPr>
              <w:t>2、</w:t>
            </w:r>
            <w:r>
              <w:rPr>
                <w:rFonts w:hint="eastAsia" w:ascii="仿宋_GB2312" w:hAnsi="仿宋_GB2312" w:eastAsia="仿宋_GB2312" w:cs="仿宋_GB2312"/>
                <w:sz w:val="24"/>
              </w:rPr>
              <w:t>▲</w:t>
            </w:r>
            <w:r>
              <w:rPr>
                <w:rFonts w:ascii="仿宋_GB2312" w:hAnsi="仿宋" w:eastAsia="仿宋_GB2312" w:cs="宋体"/>
                <w:kern w:val="0"/>
                <w:sz w:val="24"/>
              </w:rPr>
              <w:t>具备对高危漏洞的自动化验证功能，</w:t>
            </w:r>
            <w:r>
              <w:rPr>
                <w:rFonts w:hint="eastAsia" w:ascii="仿宋_GB2312" w:hAnsi="仿宋" w:eastAsia="仿宋_GB2312" w:cs="宋体"/>
                <w:kern w:val="0"/>
                <w:sz w:val="24"/>
              </w:rPr>
              <w:t>漏扫</w:t>
            </w:r>
            <w:r>
              <w:rPr>
                <w:rFonts w:ascii="仿宋_GB2312" w:hAnsi="仿宋" w:eastAsia="仿宋_GB2312" w:cs="宋体"/>
                <w:kern w:val="0"/>
                <w:sz w:val="24"/>
              </w:rPr>
              <w:t>平台自动对漏洞进行验证、判断，并可在安全检测报表中体现</w:t>
            </w:r>
            <w:r>
              <w:rPr>
                <w:rFonts w:hint="eastAsia" w:ascii="仿宋_GB2312" w:hAnsi="仿宋" w:eastAsia="仿宋_GB2312" w:cs="宋体"/>
                <w:kern w:val="0"/>
                <w:sz w:val="24"/>
              </w:rPr>
              <w:t>；</w:t>
            </w:r>
          </w:p>
          <w:p>
            <w:pPr>
              <w:widowControl/>
              <w:spacing w:line="440" w:lineRule="exact"/>
              <w:rPr>
                <w:rFonts w:hint="eastAsia" w:ascii="仿宋_GB2312" w:hAnsi="仿宋" w:eastAsia="仿宋_GB2312"/>
                <w:b/>
                <w:sz w:val="24"/>
              </w:rPr>
            </w:pPr>
            <w:r>
              <w:rPr>
                <w:rFonts w:hint="eastAsia" w:ascii="仿宋_GB2312" w:hAnsi="仿宋" w:eastAsia="仿宋_GB2312"/>
                <w:b/>
                <w:sz w:val="24"/>
              </w:rPr>
              <w:t>3、上述第2点参数提供相关功能界面截图；</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4</w:t>
            </w:r>
            <w:r>
              <w:rPr>
                <w:rFonts w:ascii="仿宋_GB2312" w:hAnsi="仿宋" w:eastAsia="仿宋_GB2312" w:cs="宋体"/>
                <w:kern w:val="0"/>
                <w:sz w:val="24"/>
              </w:rPr>
              <w:t>、具备边界完整性检测能力，可检测出目标设备连接智能手机热点、通过智能手机 USB 共享网络等违规双网卡共享外联行为；</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5</w:t>
            </w:r>
            <w:r>
              <w:rPr>
                <w:rFonts w:ascii="仿宋_GB2312" w:hAnsi="仿宋" w:eastAsia="仿宋_GB2312" w:cs="宋体"/>
                <w:kern w:val="0"/>
                <w:sz w:val="24"/>
              </w:rPr>
              <w:t>、具备安全可视化监测大屏，7×24h监控资产状态及安全风险态势。可展示当前检测任务进度、最新漏洞情况、弱口令统计、高危端口统计、资产类型统计、资产风险分析以及模拟人工渗透等内容；</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6</w:t>
            </w:r>
            <w:r>
              <w:rPr>
                <w:rFonts w:ascii="仿宋_GB2312" w:hAnsi="仿宋" w:eastAsia="仿宋_GB2312" w:cs="宋体"/>
                <w:kern w:val="0"/>
                <w:sz w:val="24"/>
              </w:rPr>
              <w:t>、</w:t>
            </w:r>
            <w:r>
              <w:rPr>
                <w:rFonts w:hint="eastAsia" w:ascii="仿宋_GB2312" w:hAnsi="仿宋_GB2312" w:eastAsia="仿宋_GB2312" w:cs="仿宋_GB2312"/>
                <w:sz w:val="24"/>
              </w:rPr>
              <w:t>▲</w:t>
            </w:r>
            <w:r>
              <w:rPr>
                <w:rFonts w:ascii="仿宋_GB2312" w:hAnsi="仿宋" w:eastAsia="仿宋_GB2312" w:cs="宋体"/>
                <w:kern w:val="0"/>
                <w:sz w:val="24"/>
              </w:rPr>
              <w:t>产品具备资产指纹管理功能，支持自定义资产指纹特征，特征包含资产访问链接、Web页面特征、操作系统特征、端口特征、资产类型、设备名称、设备厂商等，同时支持资产指纹导出</w:t>
            </w:r>
            <w:r>
              <w:rPr>
                <w:rFonts w:hint="eastAsia" w:ascii="仿宋_GB2312" w:hAnsi="仿宋" w:eastAsia="仿宋_GB2312" w:cs="宋体"/>
                <w:kern w:val="0"/>
                <w:sz w:val="24"/>
              </w:rPr>
              <w:t>；</w:t>
            </w:r>
          </w:p>
          <w:p>
            <w:pPr>
              <w:widowControl/>
              <w:spacing w:line="440" w:lineRule="exact"/>
              <w:rPr>
                <w:rFonts w:hint="eastAsia" w:ascii="仿宋_GB2312" w:hAnsi="仿宋" w:eastAsia="仿宋_GB2312"/>
                <w:b/>
                <w:sz w:val="24"/>
              </w:rPr>
            </w:pPr>
            <w:r>
              <w:rPr>
                <w:rFonts w:hint="eastAsia" w:ascii="仿宋_GB2312" w:hAnsi="仿宋" w:eastAsia="仿宋_GB2312"/>
                <w:b/>
                <w:sz w:val="24"/>
              </w:rPr>
              <w:t>7、上述第6点参数提供相关功能界面截图；</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8</w:t>
            </w:r>
            <w:r>
              <w:rPr>
                <w:rFonts w:ascii="仿宋_GB2312" w:hAnsi="仿宋" w:eastAsia="仿宋_GB2312" w:cs="宋体"/>
                <w:kern w:val="0"/>
                <w:sz w:val="24"/>
              </w:rPr>
              <w:t>、具备违规外联检测微信公众号告警推送能力，可对检测到的违规外联信息及时推送，查询及绑定检测局点；微信推送信息包括：IP地址、MAC地址、出口IP、数据来源、初次告警时间、末次告警时间、告警次数等信息。</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9</w:t>
            </w:r>
            <w:r>
              <w:rPr>
                <w:rFonts w:ascii="仿宋_GB2312" w:hAnsi="仿宋" w:eastAsia="仿宋_GB2312" w:cs="宋体"/>
                <w:kern w:val="0"/>
                <w:sz w:val="24"/>
              </w:rPr>
              <w:t>、具备高危漏洞的专项检测能力，适用于服务器、业务系统等设备极多的网络环境下快速安全检测；</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10</w:t>
            </w:r>
            <w:r>
              <w:rPr>
                <w:rFonts w:ascii="仿宋_GB2312" w:hAnsi="仿宋" w:eastAsia="仿宋_GB2312" w:cs="宋体"/>
                <w:kern w:val="0"/>
                <w:sz w:val="24"/>
              </w:rPr>
              <w:t>、</w:t>
            </w:r>
            <w:r>
              <w:rPr>
                <w:rFonts w:hint="eastAsia" w:ascii="仿宋_GB2312" w:hAnsi="仿宋_GB2312" w:eastAsia="仿宋_GB2312" w:cs="仿宋_GB2312"/>
                <w:sz w:val="24"/>
              </w:rPr>
              <w:t>▲</w:t>
            </w:r>
            <w:r>
              <w:rPr>
                <w:rFonts w:ascii="仿宋_GB2312" w:hAnsi="仿宋" w:eastAsia="仿宋_GB2312" w:cs="宋体"/>
                <w:kern w:val="0"/>
                <w:sz w:val="24"/>
              </w:rPr>
              <w:t>支持配置主机漏洞模板，内置漏洞库数量超过60000种，可兼容CVE、CNNVD、CNVD等主流标准，同时支持自定义扫描漏洞库，漏洞库类型可基于操作系统、数据库、中间件等进行分类；</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11</w:t>
            </w:r>
            <w:r>
              <w:rPr>
                <w:rFonts w:ascii="仿宋_GB2312" w:hAnsi="仿宋" w:eastAsia="仿宋_GB2312" w:cs="宋体"/>
                <w:kern w:val="0"/>
                <w:sz w:val="24"/>
              </w:rPr>
              <w:t>、产品集成安全漏洞验证知识库（提供行业迎检知识库、等级保护知识库、安全攻防知识库、安全应急知识库）以及手工漏洞验证工具集；</w:t>
            </w:r>
          </w:p>
          <w:p>
            <w:pPr>
              <w:widowControl/>
              <w:spacing w:line="440" w:lineRule="exact"/>
              <w:rPr>
                <w:rFonts w:hint="eastAsia" w:ascii="仿宋_GB2312" w:hAnsi="仿宋" w:eastAsia="仿宋_GB2312" w:cs="宋体"/>
                <w:kern w:val="0"/>
                <w:sz w:val="24"/>
                <w:lang w:eastAsia="zh-CN"/>
              </w:rPr>
            </w:pPr>
            <w:r>
              <w:rPr>
                <w:rFonts w:ascii="仿宋_GB2312" w:hAnsi="仿宋" w:eastAsia="仿宋_GB2312" w:cs="宋体"/>
                <w:kern w:val="0"/>
                <w:sz w:val="24"/>
              </w:rPr>
              <w:t>1</w:t>
            </w:r>
            <w:r>
              <w:rPr>
                <w:rFonts w:hint="eastAsia" w:ascii="仿宋_GB2312" w:hAnsi="仿宋" w:eastAsia="仿宋_GB2312" w:cs="宋体"/>
                <w:kern w:val="0"/>
                <w:sz w:val="24"/>
              </w:rPr>
              <w:t>2</w:t>
            </w:r>
            <w:r>
              <w:rPr>
                <w:rFonts w:ascii="仿宋_GB2312" w:hAnsi="仿宋" w:eastAsia="仿宋_GB2312" w:cs="宋体"/>
                <w:kern w:val="0"/>
                <w:sz w:val="24"/>
              </w:rPr>
              <w:t>、支持多种检测策略，支持标准安全检测、深度安全检测、弱口令检测、高危专项检测、web安全检测等，检测目标支持以资产盘点目标区域导入或直接文件导入</w:t>
            </w:r>
            <w:r>
              <w:rPr>
                <w:rFonts w:hint="eastAsia" w:ascii="仿宋_GB2312" w:hAnsi="仿宋" w:eastAsia="仿宋_GB2312" w:cs="宋体"/>
                <w:kern w:val="0"/>
                <w:sz w:val="24"/>
                <w:lang w:eastAsia="zh-CN"/>
              </w:rPr>
              <w:t>。</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检测涵盖互联网+绍兴人社业务系统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3</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人工渗透测试服务</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通过模拟黑客使用的工具、分析方法对网站进行安全测试，并结合智能工具扫描结果，由高级工程师进行深入的手工测试和分析，识别工具弱点扫描无法发现的问题。主要分析内容包括逻辑缺陷、上传绕过、输入输出校验绕过、数据篡改、功能绕过、异常错误以及其他专项内容。</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检测涵盖互联网+绍兴人社业务系统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4</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本地安全运营服务</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1.安全监测服务</w:t>
            </w:r>
          </w:p>
          <w:p>
            <w:pPr>
              <w:spacing w:line="440" w:lineRule="exact"/>
              <w:rPr>
                <w:rFonts w:hint="eastAsia" w:ascii="仿宋_GB2312" w:hAnsi="仿宋" w:eastAsia="仿宋_GB2312"/>
                <w:sz w:val="24"/>
              </w:rPr>
            </w:pPr>
            <w:r>
              <w:rPr>
                <w:rFonts w:hint="eastAsia" w:ascii="仿宋_GB2312" w:hAnsi="仿宋" w:eastAsia="仿宋_GB2312"/>
                <w:sz w:val="24"/>
              </w:rPr>
              <w:t>部署安全运营探针设备，通过分析处理用户网络内部流量和收集安全设备日志信息，实时同步给本地安全运营中心，由本地专业安全运营团队进行分析，定期向用户提供网络安全态势报告。同时，用户也能随时随地通过登录安全运营中心平台，掌握当前整体网络安全态势。</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2.安全巡检及加固服务</w:t>
            </w:r>
          </w:p>
          <w:p>
            <w:pPr>
              <w:spacing w:line="440" w:lineRule="exact"/>
              <w:rPr>
                <w:rFonts w:hint="eastAsia" w:ascii="仿宋_GB2312" w:hAnsi="仿宋" w:eastAsia="仿宋_GB2312"/>
                <w:sz w:val="24"/>
              </w:rPr>
            </w:pPr>
            <w:r>
              <w:rPr>
                <w:rFonts w:hint="eastAsia" w:ascii="仿宋_GB2312" w:hAnsi="仿宋" w:eastAsia="仿宋_GB2312"/>
                <w:sz w:val="24"/>
              </w:rPr>
              <w:t>由本地安全运营中心专业人员定期对网络和安全设备进行安全巡检，网络及安全的设备运行的状态进行检测和评估，及时发现网络中存在的安全风险，对安全设备的配置进行完善、更新和备份、修补加固工作；对信息系统、服务器和数据库等的配置进行漏洞检测、协助修复加固。</w:t>
            </w:r>
          </w:p>
          <w:p>
            <w:pPr>
              <w:spacing w:line="440" w:lineRule="exact"/>
              <w:rPr>
                <w:rFonts w:hint="eastAsia" w:ascii="仿宋_GB2312" w:hAnsi="仿宋" w:eastAsia="仿宋_GB2312"/>
                <w:sz w:val="24"/>
              </w:rPr>
            </w:pPr>
            <w:r>
              <w:rPr>
                <w:rFonts w:hint="eastAsia" w:ascii="仿宋_GB2312" w:hAnsi="仿宋" w:eastAsia="仿宋_GB2312"/>
                <w:sz w:val="24"/>
              </w:rPr>
              <w:t>3.本地化应急响应服务</w:t>
            </w:r>
          </w:p>
          <w:p>
            <w:pPr>
              <w:spacing w:line="440" w:lineRule="exact"/>
              <w:rPr>
                <w:rFonts w:hint="eastAsia" w:ascii="仿宋_GB2312" w:hAnsi="仿宋" w:eastAsia="仿宋_GB2312"/>
                <w:sz w:val="24"/>
              </w:rPr>
            </w:pPr>
            <w:r>
              <w:rPr>
                <w:rFonts w:hint="eastAsia" w:ascii="仿宋_GB2312" w:hAnsi="仿宋" w:eastAsia="仿宋_GB2312"/>
                <w:sz w:val="24"/>
                <w:lang w:eastAsia="zh-CN"/>
              </w:rPr>
              <w:t>组织开展应急演练，</w:t>
            </w:r>
            <w:r>
              <w:rPr>
                <w:rFonts w:hint="eastAsia" w:ascii="仿宋_GB2312" w:hAnsi="仿宋" w:eastAsia="仿宋_GB2312"/>
                <w:sz w:val="24"/>
              </w:rPr>
              <w:t>通过安全监测服务及现场反馈情况，在发生确切的安全事件时：</w:t>
            </w:r>
          </w:p>
          <w:p>
            <w:pPr>
              <w:spacing w:line="440" w:lineRule="exact"/>
              <w:rPr>
                <w:rFonts w:hint="eastAsia" w:ascii="仿宋_GB2312" w:hAnsi="仿宋" w:eastAsia="仿宋_GB2312"/>
                <w:sz w:val="24"/>
              </w:rPr>
            </w:pPr>
            <w:r>
              <w:rPr>
                <w:rFonts w:hint="eastAsia" w:ascii="仿宋_GB2312" w:hAnsi="仿宋" w:eastAsia="仿宋_GB2312"/>
                <w:sz w:val="24"/>
              </w:rPr>
              <w:t>a）本地安全运营服务人员在一小时内到达现场；</w:t>
            </w:r>
          </w:p>
          <w:p>
            <w:pPr>
              <w:spacing w:line="440" w:lineRule="exact"/>
              <w:rPr>
                <w:rFonts w:hint="eastAsia" w:ascii="仿宋_GB2312" w:hAnsi="仿宋" w:eastAsia="仿宋_GB2312"/>
                <w:sz w:val="24"/>
              </w:rPr>
            </w:pPr>
            <w:r>
              <w:rPr>
                <w:rFonts w:hint="eastAsia" w:ascii="仿宋_GB2312" w:hAnsi="仿宋" w:eastAsia="仿宋_GB2312"/>
                <w:sz w:val="24"/>
              </w:rPr>
              <w:t>b）对入侵事件进行分析，查找原因；</w:t>
            </w:r>
          </w:p>
          <w:p>
            <w:pPr>
              <w:spacing w:line="440" w:lineRule="exact"/>
              <w:rPr>
                <w:rFonts w:hint="eastAsia" w:ascii="仿宋_GB2312" w:hAnsi="仿宋" w:eastAsia="仿宋_GB2312"/>
                <w:sz w:val="24"/>
              </w:rPr>
            </w:pPr>
            <w:r>
              <w:rPr>
                <w:rFonts w:hint="eastAsia" w:ascii="仿宋_GB2312" w:hAnsi="仿宋" w:eastAsia="仿宋_GB2312"/>
                <w:sz w:val="24"/>
              </w:rPr>
              <w:t>c）抑制入侵事件的进一步发展，将事故的损害降低到最小化；</w:t>
            </w:r>
          </w:p>
          <w:p>
            <w:pPr>
              <w:spacing w:line="440" w:lineRule="exact"/>
              <w:rPr>
                <w:rFonts w:hint="eastAsia" w:ascii="仿宋_GB2312" w:hAnsi="仿宋" w:eastAsia="仿宋_GB2312"/>
                <w:sz w:val="24"/>
              </w:rPr>
            </w:pPr>
            <w:r>
              <w:rPr>
                <w:rFonts w:hint="eastAsia" w:ascii="仿宋_GB2312" w:hAnsi="仿宋" w:eastAsia="仿宋_GB2312"/>
                <w:sz w:val="24"/>
              </w:rPr>
              <w:t>d）排除安全隐患，消除安全威胁，协助恢复系统正常运作；</w:t>
            </w:r>
          </w:p>
          <w:p>
            <w:pPr>
              <w:spacing w:line="440" w:lineRule="exact"/>
              <w:rPr>
                <w:rFonts w:hint="eastAsia" w:ascii="仿宋_GB2312" w:hAnsi="仿宋" w:eastAsia="仿宋_GB2312"/>
                <w:sz w:val="24"/>
              </w:rPr>
            </w:pPr>
            <w:r>
              <w:rPr>
                <w:rFonts w:hint="eastAsia" w:ascii="仿宋_GB2312" w:hAnsi="仿宋" w:eastAsia="仿宋_GB2312"/>
                <w:sz w:val="24"/>
              </w:rPr>
              <w:t>e）提交应急响应报告及系统安全改进方案。</w:t>
            </w:r>
          </w:p>
          <w:p>
            <w:pPr>
              <w:spacing w:line="440" w:lineRule="exact"/>
              <w:rPr>
                <w:rFonts w:hint="eastAsia" w:ascii="仿宋_GB2312" w:hAnsi="仿宋" w:eastAsia="仿宋_GB2312"/>
                <w:sz w:val="24"/>
                <w:lang w:val="en-US" w:eastAsia="zh-CN"/>
              </w:rPr>
            </w:pPr>
            <w:r>
              <w:rPr>
                <w:rFonts w:hint="eastAsia" w:ascii="仿宋_GB2312" w:hAnsi="仿宋" w:eastAsia="仿宋_GB2312"/>
                <w:sz w:val="24"/>
                <w:lang w:val="en-US" w:eastAsia="zh-CN"/>
              </w:rPr>
              <w:t>4.组建安全团队服务</w:t>
            </w:r>
          </w:p>
          <w:p>
            <w:pPr>
              <w:spacing w:line="440" w:lineRule="exact"/>
              <w:rPr>
                <w:rFonts w:hint="default" w:ascii="仿宋_GB2312" w:hAnsi="仿宋" w:eastAsia="仿宋_GB2312"/>
                <w:sz w:val="24"/>
                <w:lang w:val="en-US" w:eastAsia="zh-CN"/>
              </w:rPr>
            </w:pPr>
            <w:r>
              <w:rPr>
                <w:rFonts w:hint="eastAsia" w:ascii="仿宋_GB2312" w:hAnsi="仿宋" w:eastAsia="仿宋_GB2312" w:cs="宋体"/>
                <w:kern w:val="0"/>
                <w:sz w:val="24"/>
                <w:lang w:eastAsia="zh-CN"/>
              </w:rPr>
              <w:t>根据</w:t>
            </w:r>
            <w:r>
              <w:rPr>
                <w:rFonts w:hint="eastAsia" w:ascii="仿宋_GB2312" w:hAnsi="仿宋" w:eastAsia="仿宋_GB2312" w:cs="宋体"/>
                <w:kern w:val="0"/>
                <w:sz w:val="24"/>
              </w:rPr>
              <w:t>采购人</w:t>
            </w:r>
            <w:r>
              <w:rPr>
                <w:rFonts w:hint="eastAsia" w:ascii="仿宋_GB2312" w:hAnsi="仿宋" w:eastAsia="仿宋_GB2312" w:cs="宋体"/>
                <w:kern w:val="0"/>
                <w:sz w:val="24"/>
                <w:lang w:eastAsia="zh-CN"/>
              </w:rPr>
              <w:t>需要，组建安全团队提供网络安全攻防服务，包括漏洞扫描、渗透测试方面的安全技术专家不少于</w:t>
            </w:r>
            <w:r>
              <w:rPr>
                <w:rFonts w:hint="eastAsia" w:ascii="仿宋_GB2312" w:hAnsi="仿宋" w:eastAsia="仿宋_GB2312" w:cs="宋体"/>
                <w:kern w:val="0"/>
                <w:sz w:val="24"/>
                <w:lang w:val="en-US" w:eastAsia="zh-CN"/>
              </w:rPr>
              <w:t>3人（技术专家不需要驻点），具备参与省市开展的网络安全攻防演练的能力。</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7*24小时监测服务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5</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安全培训</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根据采购人要求服务提供方提供数据安全保障、安全法律法规培训、安全风险意识培训等课程，提供不少于</w:t>
            </w:r>
            <w:r>
              <w:rPr>
                <w:rFonts w:hint="eastAsia" w:ascii="仿宋_GB2312" w:hAnsi="仿宋" w:eastAsia="仿宋_GB2312" w:cs="宋体"/>
                <w:kern w:val="0"/>
                <w:sz w:val="24"/>
                <w:lang w:val="en-US" w:eastAsia="zh-CN"/>
              </w:rPr>
              <w:t>1</w:t>
            </w:r>
            <w:r>
              <w:rPr>
                <w:rFonts w:hint="eastAsia" w:ascii="仿宋_GB2312" w:hAnsi="仿宋" w:eastAsia="仿宋_GB2312" w:cs="宋体"/>
                <w:kern w:val="0"/>
                <w:sz w:val="24"/>
              </w:rPr>
              <w:t>次信息安全培训。</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6</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重要时段服务</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重要活动或会议举行前，按照采购人要求针对重要信息系统所处整体网络进行全面安全评估，形成专项评估报告，协助采购人对发现的问题进行整改和加固，保障重要时段网络安全。并按照采购人要求，安排专业工程师，提供7*24小时现场值守服务，服务内容包含：</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1.保障自查：针对网络设备和安全设备，进行策略的合理性和有效性检查，并对日志进行审计分析，记录保存检查和审计结果。</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2.漏洞扫描：由专业技术人员使用专业检测工具，基于漏洞数据库，通过自动化检测结合人工分析的手段对指定的远程或者本地计算机系统的安全脆弱性进行快速检测，发现可利用漏洞，在安全事件发生前解决信息安全问题，最大程度保障信息系统安全。</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3.安全加固指导：根据漏洞扫描与安全自查结果，收集加固方法及验证方法，协助相关运维人员进行漏洞修复。</w:t>
            </w:r>
          </w:p>
          <w:p>
            <w:pPr>
              <w:widowControl/>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rPr>
              <w:t>4.应急响应：发生安全事件时，依照应急响应流程进行应急处置。</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7</w:t>
            </w:r>
          </w:p>
        </w:tc>
        <w:tc>
          <w:tcPr>
            <w:tcW w:w="820" w:type="pct"/>
            <w:gridSpan w:val="2"/>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服务交付物</w:t>
            </w:r>
          </w:p>
        </w:tc>
        <w:tc>
          <w:tcPr>
            <w:tcW w:w="2995" w:type="pct"/>
            <w:shd w:val="clear" w:color="000000" w:fill="FFFFFF"/>
            <w:noWrap w:val="0"/>
            <w:vAlign w:val="center"/>
          </w:tcPr>
          <w:p>
            <w:pPr>
              <w:widowControl/>
              <w:spacing w:line="440" w:lineRule="exact"/>
              <w:rPr>
                <w:rFonts w:hint="eastAsia" w:ascii="仿宋_GB2312" w:hAnsi="仿宋" w:eastAsia="仿宋_GB2312" w:cs="宋体"/>
                <w:kern w:val="0"/>
                <w:sz w:val="24"/>
                <w:lang w:eastAsia="zh-CN"/>
              </w:rPr>
            </w:pPr>
            <w:r>
              <w:rPr>
                <w:rFonts w:hint="eastAsia" w:ascii="仿宋_GB2312" w:hAnsi="仿宋" w:eastAsia="仿宋_GB2312" w:cs="宋体"/>
                <w:kern w:val="0"/>
                <w:sz w:val="24"/>
                <w:lang w:val="en-US" w:eastAsia="zh-CN"/>
              </w:rPr>
              <w:t>1</w:t>
            </w:r>
            <w:r>
              <w:rPr>
                <w:rFonts w:hint="eastAsia" w:ascii="仿宋_GB2312" w:hAnsi="仿宋" w:eastAsia="仿宋_GB2312" w:cs="宋体"/>
                <w:kern w:val="0"/>
                <w:sz w:val="24"/>
              </w:rPr>
              <w:t>.安全巡检：每月提交1份《信息系统及网络安全月度巡检报告》</w:t>
            </w:r>
            <w:r>
              <w:rPr>
                <w:rFonts w:hint="eastAsia" w:ascii="仿宋_GB2312" w:hAnsi="仿宋" w:eastAsia="仿宋_GB2312" w:cs="宋体"/>
                <w:kern w:val="0"/>
                <w:sz w:val="24"/>
                <w:lang w:eastAsia="zh-CN"/>
              </w:rPr>
              <w:t>。</w:t>
            </w:r>
          </w:p>
          <w:p>
            <w:pPr>
              <w:widowControl/>
              <w:spacing w:line="440" w:lineRule="exact"/>
              <w:rPr>
                <w:rFonts w:hint="default" w:ascii="仿宋_GB2312" w:hAnsi="仿宋" w:eastAsia="仿宋_GB2312" w:cs="宋体"/>
                <w:kern w:val="0"/>
                <w:sz w:val="24"/>
                <w:lang w:val="en-US" w:eastAsia="zh-CN"/>
              </w:rPr>
            </w:pPr>
            <w:r>
              <w:rPr>
                <w:rFonts w:hint="eastAsia" w:ascii="仿宋_GB2312" w:hAnsi="仿宋" w:eastAsia="仿宋_GB2312" w:cs="宋体"/>
                <w:kern w:val="0"/>
                <w:sz w:val="24"/>
                <w:lang w:val="en-US" w:eastAsia="zh-CN"/>
              </w:rPr>
              <w:t>2.安全月报：每月提交1份《信息系统及网络安全月度报告》。</w:t>
            </w:r>
          </w:p>
          <w:p>
            <w:pPr>
              <w:widowControl/>
              <w:spacing w:line="440" w:lineRule="exact"/>
              <w:rPr>
                <w:rFonts w:hint="eastAsia" w:ascii="仿宋_GB2312" w:hAnsi="仿宋" w:eastAsia="仿宋_GB2312" w:cs="宋体"/>
                <w:kern w:val="0"/>
                <w:sz w:val="24"/>
                <w:lang w:val="en-US" w:eastAsia="zh-CN"/>
              </w:rPr>
            </w:pPr>
            <w:r>
              <w:rPr>
                <w:rFonts w:hint="eastAsia" w:ascii="仿宋_GB2312" w:hAnsi="仿宋" w:eastAsia="仿宋_GB2312" w:cs="宋体"/>
                <w:kern w:val="0"/>
                <w:sz w:val="24"/>
                <w:lang w:val="en-US" w:eastAsia="zh-CN"/>
              </w:rPr>
              <w:t>3.安全检测：每季度提交1份《信息系统及网络安全检测报告》。</w:t>
            </w:r>
          </w:p>
          <w:p>
            <w:pPr>
              <w:widowControl/>
              <w:spacing w:line="440" w:lineRule="exact"/>
              <w:rPr>
                <w:rFonts w:hint="eastAsia" w:ascii="仿宋_GB2312" w:hAnsi="仿宋" w:eastAsia="仿宋_GB2312" w:cs="宋体"/>
                <w:kern w:val="0"/>
                <w:sz w:val="24"/>
                <w:lang w:val="en-US" w:eastAsia="zh-CN"/>
              </w:rPr>
            </w:pPr>
            <w:r>
              <w:rPr>
                <w:rFonts w:hint="eastAsia" w:ascii="仿宋_GB2312" w:hAnsi="仿宋" w:eastAsia="仿宋_GB2312" w:cs="宋体"/>
                <w:kern w:val="0"/>
                <w:sz w:val="24"/>
                <w:lang w:val="en-US" w:eastAsia="zh-CN"/>
              </w:rPr>
              <w:t>4.安全加固：每季度提交1份《信息系统及网络安全加固报告》。</w:t>
            </w:r>
          </w:p>
          <w:p>
            <w:pPr>
              <w:widowControl/>
              <w:spacing w:line="440" w:lineRule="exact"/>
              <w:rPr>
                <w:rFonts w:hint="eastAsia" w:ascii="仿宋_GB2312" w:hAnsi="仿宋" w:eastAsia="仿宋_GB2312" w:cs="宋体"/>
                <w:kern w:val="0"/>
                <w:sz w:val="24"/>
                <w:lang w:val="en-US" w:eastAsia="zh-CN"/>
              </w:rPr>
            </w:pPr>
            <w:r>
              <w:rPr>
                <w:rFonts w:hint="default" w:ascii="仿宋_GB2312" w:hAnsi="仿宋" w:eastAsia="仿宋_GB2312" w:cs="宋体"/>
                <w:kern w:val="0"/>
                <w:sz w:val="24"/>
                <w:lang w:val="en-US" w:eastAsia="zh-CN"/>
              </w:rPr>
              <w:t>5</w:t>
            </w:r>
            <w:r>
              <w:rPr>
                <w:rFonts w:hint="eastAsia" w:ascii="仿宋_GB2312" w:hAnsi="仿宋" w:eastAsia="仿宋_GB2312" w:cs="宋体"/>
                <w:kern w:val="0"/>
                <w:sz w:val="24"/>
                <w:lang w:val="en-US" w:eastAsia="zh-CN"/>
              </w:rPr>
              <w:t>.渗透测试：每半年提交1份《信息系统及网络系统渗透测试报告》。</w:t>
            </w:r>
          </w:p>
          <w:p>
            <w:pPr>
              <w:widowControl/>
              <w:spacing w:line="440" w:lineRule="exact"/>
              <w:rPr>
                <w:rFonts w:hint="eastAsia" w:ascii="仿宋_GB2312" w:hAnsi="仿宋" w:eastAsia="仿宋_GB2312" w:cs="宋体"/>
                <w:kern w:val="0"/>
                <w:sz w:val="24"/>
                <w:lang w:val="en-US" w:eastAsia="zh-CN"/>
              </w:rPr>
            </w:pPr>
            <w:r>
              <w:rPr>
                <w:rFonts w:hint="eastAsia" w:ascii="仿宋_GB2312" w:hAnsi="仿宋" w:eastAsia="仿宋_GB2312" w:cs="宋体"/>
                <w:kern w:val="0"/>
                <w:sz w:val="24"/>
                <w:lang w:val="en-US" w:eastAsia="zh-CN"/>
              </w:rPr>
              <w:t>6.应急响应：每年提交1份应急演练报告，按需提交《安全事件处理总结报告》。</w:t>
            </w:r>
          </w:p>
          <w:p>
            <w:pPr>
              <w:widowControl/>
              <w:spacing w:line="440" w:lineRule="exact"/>
              <w:rPr>
                <w:rFonts w:hint="eastAsia" w:ascii="仿宋_GB2312" w:hAnsi="仿宋" w:eastAsia="仿宋_GB2312" w:cs="宋体"/>
                <w:kern w:val="0"/>
                <w:sz w:val="24"/>
                <w:lang w:eastAsia="zh-CN"/>
              </w:rPr>
            </w:pPr>
            <w:r>
              <w:rPr>
                <w:rFonts w:hint="eastAsia" w:ascii="仿宋_GB2312" w:hAnsi="仿宋" w:eastAsia="仿宋_GB2312" w:cs="宋体"/>
                <w:kern w:val="0"/>
                <w:sz w:val="24"/>
              </w:rPr>
              <w:t>7.重要时段服务：按需提交《重大活动期安全巡检报告及整改建议》</w:t>
            </w:r>
            <w:r>
              <w:rPr>
                <w:rFonts w:hint="eastAsia" w:ascii="仿宋_GB2312" w:hAnsi="仿宋" w:eastAsia="仿宋_GB2312" w:cs="宋体"/>
                <w:kern w:val="0"/>
                <w:sz w:val="24"/>
                <w:lang w:eastAsia="zh-CN"/>
              </w:rPr>
              <w:t>。</w:t>
            </w:r>
          </w:p>
          <w:p>
            <w:pPr>
              <w:widowControl/>
              <w:spacing w:line="440" w:lineRule="exact"/>
              <w:rPr>
                <w:rFonts w:hint="eastAsia" w:ascii="仿宋_GB2312" w:hAnsi="仿宋" w:eastAsia="仿宋_GB2312" w:cs="宋体"/>
                <w:kern w:val="0"/>
                <w:sz w:val="24"/>
                <w:lang w:eastAsia="zh-CN"/>
              </w:rPr>
            </w:pPr>
            <w:r>
              <w:rPr>
                <w:rFonts w:hint="eastAsia" w:ascii="仿宋_GB2312" w:hAnsi="仿宋" w:eastAsia="仿宋_GB2312" w:cs="宋体"/>
                <w:kern w:val="0"/>
                <w:sz w:val="24"/>
              </w:rPr>
              <w:t>8.安全培训：每年提交</w:t>
            </w:r>
            <w:r>
              <w:rPr>
                <w:rFonts w:hint="eastAsia" w:ascii="仿宋_GB2312" w:hAnsi="仿宋" w:eastAsia="仿宋_GB2312" w:cs="宋体"/>
                <w:kern w:val="0"/>
                <w:sz w:val="24"/>
                <w:lang w:val="en-US" w:eastAsia="zh-CN"/>
              </w:rPr>
              <w:t>1</w:t>
            </w:r>
            <w:r>
              <w:rPr>
                <w:rFonts w:hint="eastAsia" w:ascii="仿宋_GB2312" w:hAnsi="仿宋" w:eastAsia="仿宋_GB2312" w:cs="宋体"/>
                <w:kern w:val="0"/>
                <w:sz w:val="24"/>
              </w:rPr>
              <w:t>份《安全培训课件》</w:t>
            </w:r>
            <w:r>
              <w:rPr>
                <w:rFonts w:hint="eastAsia" w:ascii="仿宋_GB2312" w:hAnsi="仿宋" w:eastAsia="仿宋_GB2312" w:cs="宋体"/>
                <w:kern w:val="0"/>
                <w:sz w:val="24"/>
                <w:lang w:eastAsia="zh-CN"/>
              </w:rPr>
              <w:t>。</w:t>
            </w:r>
          </w:p>
          <w:p>
            <w:pPr>
              <w:widowControl/>
              <w:spacing w:line="440" w:lineRule="exact"/>
              <w:rPr>
                <w:rFonts w:hint="eastAsia" w:ascii="仿宋_GB2312" w:hAnsi="仿宋" w:eastAsia="仿宋_GB2312" w:cs="宋体"/>
                <w:kern w:val="0"/>
                <w:sz w:val="24"/>
              </w:rPr>
            </w:pPr>
            <w:r>
              <w:rPr>
                <w:rFonts w:hint="default" w:ascii="仿宋_GB2312" w:hAnsi="仿宋" w:eastAsia="仿宋_GB2312" w:cs="宋体"/>
                <w:kern w:val="0"/>
                <w:sz w:val="24"/>
                <w:lang w:val="en-US"/>
              </w:rPr>
              <w:t>9</w:t>
            </w:r>
            <w:r>
              <w:rPr>
                <w:rFonts w:hint="eastAsia" w:ascii="仿宋_GB2312" w:hAnsi="仿宋" w:eastAsia="仿宋_GB2312" w:cs="宋体"/>
                <w:kern w:val="0"/>
                <w:sz w:val="24"/>
              </w:rPr>
              <w:t>.</w:t>
            </w:r>
            <w:r>
              <w:rPr>
                <w:rFonts w:hint="eastAsia" w:ascii="仿宋_GB2312" w:hAnsi="仿宋" w:eastAsia="仿宋_GB2312" w:cs="宋体"/>
                <w:kern w:val="0"/>
                <w:sz w:val="24"/>
                <w:lang w:val="en-US" w:eastAsia="zh-CN"/>
              </w:rPr>
              <w:t>以上各项服务根据实际需要可增加提供次数，</w:t>
            </w:r>
            <w:r>
              <w:rPr>
                <w:rFonts w:hint="eastAsia" w:ascii="仿宋_GB2312" w:hAnsi="仿宋" w:eastAsia="仿宋_GB2312" w:cs="宋体"/>
                <w:kern w:val="0"/>
                <w:sz w:val="24"/>
              </w:rPr>
              <w:t>其他安全服务按需提供。</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vMerge w:val="restart"/>
            <w:shd w:val="clear" w:color="000000" w:fill="FFFFFF"/>
            <w:noWrap w:val="0"/>
            <w:vAlign w:val="center"/>
          </w:tcPr>
          <w:p>
            <w:pPr>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8</w:t>
            </w:r>
          </w:p>
        </w:tc>
        <w:tc>
          <w:tcPr>
            <w:tcW w:w="536" w:type="pct"/>
            <w:vMerge w:val="restart"/>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cs="宋体"/>
                <w:kern w:val="0"/>
                <w:sz w:val="24"/>
              </w:rPr>
              <w:t>服务工具要求</w:t>
            </w:r>
          </w:p>
        </w:tc>
        <w:tc>
          <w:tcPr>
            <w:tcW w:w="284" w:type="pct"/>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 w:hAnsi="仿宋" w:eastAsia="仿宋" w:cs="仿宋"/>
                <w:sz w:val="24"/>
                <w:szCs w:val="24"/>
              </w:rPr>
              <w:t>数据安全检查工具</w:t>
            </w:r>
          </w:p>
        </w:tc>
        <w:tc>
          <w:tcPr>
            <w:tcW w:w="2995" w:type="pct"/>
            <w:shd w:val="clear" w:color="000000" w:fill="FFFFFF"/>
            <w:noWrap w:val="0"/>
            <w:vAlign w:val="center"/>
          </w:tcPr>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支持任务模式的服务发现，可基于IP地址范围和端口地址范围，对指定区域的数据服务发现操作，避免数据服务管理盲区； </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支持服务发现任务的灵活管理，可手动执行；</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具备20+种国外内主流数据源资产测绘；</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支持的数据源库，至少包括：SQL Server、MySQL、Oracle、AntDB、DB2、PostgreSQL、TiDB、SyBase、Teradata、Informix、Greenplum、Vertica、DM、GBase、HBase、Redis、MemCached、ElasticSearch、MongoDB、kafka等； </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支持ICMP ping、TCP ping、UDP ping方式对资产探活。</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kern w:val="0"/>
                <w:sz w:val="24"/>
                <w:szCs w:val="24"/>
              </w:rPr>
              <w:t>支持创建敏感数据存储检测任务，可自动化的进行数据库连接校验，可设置采样数量，可手动执行，也可立即执行；</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b/>
                <w:sz w:val="24"/>
              </w:rPr>
              <w:t>上述第6点参数提供相关功能界面截图；</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内置15种个人信息数据识别规则，至少包含：职业、地址、性别、国籍、证件类型、手机号、座机号、身份证号、护照号、学校、婚姻状态、经纬度、MAC地址、学历、宗教信仰</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支持敏感数据存储检测报告内展示敏感数据样例和数据量，支持定位敏感数据到表维度。</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支持任务模式的脆弱性检测管理，可手动执行，也可立即执行；</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支持自定义扫描,创建任务的配置项至少包含漏洞模板、弱口令检测、探活方式、端口扫描方式、端口扫描速度、端口服务扫描等；</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内置数据库漏洞数量4000+；</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kern w:val="0"/>
                <w:sz w:val="24"/>
                <w:szCs w:val="24"/>
              </w:rPr>
              <w:t>支持漏洞模板查询，支持查看漏洞的详细信息，详细信息至少包含漏洞等级、CVE编号、Bugtrap编号、CNVD编号、CNNVD编号情况；</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b/>
                <w:sz w:val="24"/>
              </w:rPr>
              <w:t>上述第13点参数提供相关功能界面截图；</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kern w:val="0"/>
                <w:sz w:val="24"/>
                <w:szCs w:val="24"/>
              </w:rPr>
              <w:t>支持SMB、SSH、SNMP、PostgreSQL、FTP、TELNET、RDP、POP3、MYSQL、SQLSERVER、IMAP、REDIS服务及6种常用中间件的弱口令扫描，支持配置弱口令轮查时间间隔、口令探测次数、口令猜测时间、最大并发线程数等；</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b/>
                <w:sz w:val="24"/>
              </w:rPr>
              <w:t>上述第15点参数提供相关功能界面截图；</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自定义扫描,在任务创建时可配置检测项，可自定义设置扫描并发数、超时时间、认证方式、爬虫设置，爬虫设置至少包含扫描子域名、允许爬取根路径、排除链接、可信域、深度限制、最大并发线程数、超时请求次数、页面请求超时时间、页面处理超时时间等</w:t>
            </w:r>
            <w:r>
              <w:rPr>
                <w:rFonts w:hint="eastAsia" w:ascii="仿宋_GB2312" w:hAnsi="仿宋_GB2312" w:eastAsia="仿宋_GB2312" w:cs="仿宋_GB2312"/>
                <w:kern w:val="0"/>
                <w:sz w:val="24"/>
                <w:szCs w:val="24"/>
                <w:lang w:eastAsia="zh-CN"/>
              </w:rPr>
              <w:t>；</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内置业务系统漏洞15大类，500余个； </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支持扫描Web服务器的类型：Apache、Tomcat、Jboss、Microsoft-IIS、Nginx、Lighttpd等。</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支持生成数据库脆弱性检测报告、业务系统脆弱性检测报告、敏感数据存储检测报告； </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支持敏感数据传输检测、出境行为检测、攻击威胁检测逐个或同时进行，支持生成独立或综合报告</w:t>
            </w:r>
            <w:r>
              <w:rPr>
                <w:rFonts w:hint="eastAsia" w:ascii="仿宋_GB2312" w:hAnsi="仿宋_GB2312" w:eastAsia="仿宋_GB2312" w:cs="仿宋_GB2312"/>
                <w:kern w:val="0"/>
                <w:sz w:val="24"/>
                <w:szCs w:val="24"/>
                <w:lang w:val="en-US" w:eastAsia="zh-CN"/>
              </w:rPr>
              <w:t>。</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支持任务列表和历史任务显示，支持报告管理和历史报告显示。</w:t>
            </w:r>
          </w:p>
          <w:p>
            <w:pPr>
              <w:numPr>
                <w:ilvl w:val="0"/>
                <w:numId w:val="1"/>
              </w:numPr>
              <w:snapToGrid w:val="0"/>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支持内置数据安全评估模板</w:t>
            </w:r>
            <w:r>
              <w:rPr>
                <w:rFonts w:hint="eastAsia" w:ascii="仿宋_GB2312" w:hAnsi="仿宋_GB2312" w:eastAsia="仿宋_GB2312" w:cs="仿宋_GB2312"/>
                <w:kern w:val="0"/>
                <w:sz w:val="24"/>
                <w:szCs w:val="24"/>
                <w:lang w:eastAsia="zh-CN"/>
              </w:rPr>
              <w:t>。</w:t>
            </w:r>
          </w:p>
          <w:p>
            <w:pPr>
              <w:numPr>
                <w:ilvl w:val="0"/>
                <w:numId w:val="1"/>
              </w:numPr>
              <w:snapToGrid w:val="0"/>
              <w:spacing w:line="360" w:lineRule="auto"/>
              <w:rPr>
                <w:rFonts w:hint="eastAsia" w:ascii="仿宋" w:hAnsi="仿宋" w:eastAsia="仿宋" w:cs="宋体"/>
                <w:kern w:val="0"/>
                <w:szCs w:val="21"/>
              </w:rPr>
            </w:pPr>
            <w:r>
              <w:rPr>
                <w:rFonts w:hint="eastAsia" w:ascii="仿宋_GB2312" w:hAnsi="仿宋_GB2312" w:eastAsia="仿宋_GB2312" w:cs="仿宋_GB2312"/>
                <w:kern w:val="0"/>
                <w:sz w:val="24"/>
                <w:szCs w:val="24"/>
              </w:rPr>
              <w:t>支持手动新增检查模板，新增方式包括复制已有模板、新建空白模板，结合实际检查内容自定义调整后，形成新的检查模板；也支持通过文件导入的方式生成新的检查模板</w:t>
            </w:r>
            <w:r>
              <w:rPr>
                <w:rFonts w:hint="eastAsia" w:ascii="仿宋_GB2312" w:hAnsi="仿宋_GB2312" w:eastAsia="仿宋_GB2312" w:cs="仿宋_GB2312"/>
                <w:kern w:val="0"/>
                <w:sz w:val="24"/>
                <w:szCs w:val="24"/>
                <w:lang w:eastAsia="zh-CN"/>
              </w:rPr>
              <w:t>。</w:t>
            </w:r>
          </w:p>
        </w:tc>
        <w:tc>
          <w:tcPr>
            <w:tcW w:w="712" w:type="pct"/>
            <w:vMerge w:val="restar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536"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284" w:type="pct"/>
            <w:shd w:val="clear" w:color="000000" w:fill="FFFFFF"/>
            <w:noWrap w:val="0"/>
            <w:vAlign w:val="center"/>
          </w:tcPr>
          <w:p>
            <w:pPr>
              <w:widowControl/>
              <w:spacing w:line="440" w:lineRule="exact"/>
              <w:jc w:val="center"/>
              <w:rPr>
                <w:rFonts w:hint="eastAsia" w:ascii="仿宋_GB2312" w:hAnsi="仿宋" w:eastAsia="仿宋_GB2312" w:cs="宋体"/>
                <w:kern w:val="0"/>
                <w:sz w:val="24"/>
              </w:rPr>
            </w:pPr>
            <w:r>
              <w:rPr>
                <w:rFonts w:hint="eastAsia" w:ascii="仿宋_GB2312" w:hAnsi="仿宋" w:eastAsia="仿宋_GB2312"/>
                <w:sz w:val="24"/>
              </w:rPr>
              <w:t>访问控制策略监管工具功能要求</w:t>
            </w:r>
          </w:p>
        </w:tc>
        <w:tc>
          <w:tcPr>
            <w:tcW w:w="2995" w:type="pct"/>
            <w:shd w:val="clear" w:color="000000" w:fill="FFFFFF"/>
            <w:noWrap w:val="0"/>
            <w:vAlign w:val="center"/>
          </w:tcPr>
          <w:p>
            <w:pPr>
              <w:spacing w:line="440" w:lineRule="exact"/>
              <w:rPr>
                <w:rFonts w:hint="eastAsia" w:ascii="仿宋_GB2312" w:hAnsi="仿宋_GB2312" w:eastAsia="仿宋_GB2312" w:cs="仿宋_GB2312"/>
                <w:sz w:val="24"/>
              </w:rPr>
            </w:pPr>
            <w:r>
              <w:rPr>
                <w:rFonts w:hint="eastAsia" w:ascii="仿宋_GB2312" w:hAnsi="仿宋_GB2312" w:eastAsia="仿宋_GB2312" w:cs="仿宋_GB2312"/>
                <w:kern w:val="0"/>
                <w:sz w:val="24"/>
              </w:rPr>
              <w:t>1.</w:t>
            </w:r>
            <w:r>
              <w:rPr>
                <w:rFonts w:hint="eastAsia" w:ascii="仿宋_GB2312" w:hAnsi="仿宋_GB2312" w:eastAsia="仿宋_GB2312" w:cs="仿宋_GB2312"/>
                <w:sz w:val="24"/>
              </w:rPr>
              <w:t>帮助优化防火墙策略，对导入的防火墙策略文件进行基本分析，不基于流量，分析出交叉策略、冗余策略、冲突策略、可合并策略、被覆盖策略、过期策略。</w:t>
            </w:r>
          </w:p>
          <w:p>
            <w:pPr>
              <w:adjustRightInd w:val="0"/>
              <w:snapToGrid w:val="0"/>
              <w:spacing w:line="44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w:t>
            </w:r>
            <w:r>
              <w:rPr>
                <w:rFonts w:hint="eastAsia" w:ascii="仿宋_GB2312" w:hAnsi="仿宋_GB2312" w:eastAsia="仿宋_GB2312" w:cs="仿宋_GB2312"/>
                <w:sz w:val="24"/>
              </w:rPr>
              <w:t>.对导入的防火墙策略文件进行深度分析，基于业务流量，分析出交叉策略、冗余策略、镜子策略、可合并策略、频次非0策略、频次为0策略、宽松策略、可合并策略。</w:t>
            </w:r>
          </w:p>
          <w:p>
            <w:pPr>
              <w:spacing w:line="440" w:lineRule="exac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w:t>
            </w:r>
            <w:r>
              <w:rPr>
                <w:rFonts w:hint="eastAsia" w:ascii="仿宋_GB2312" w:hAnsi="仿宋_GB2312" w:eastAsia="仿宋_GB2312" w:cs="仿宋_GB2312"/>
                <w:sz w:val="24"/>
              </w:rPr>
              <w:t>.支持重要端口的监控功能，可将用户关注的禁用端口设置为重要端口，当某条策略开启了用户关注的端口时，系统会上报禁用端口告警。</w:t>
            </w:r>
          </w:p>
          <w:p>
            <w:pPr>
              <w:adjustRightInd w:val="0"/>
              <w:snapToGrid w:val="0"/>
              <w:spacing w:line="44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.新发现的设备能够自动识别IP地址和MAC地址，能够扫描到IP指纹信息。</w:t>
            </w:r>
          </w:p>
          <w:p>
            <w:pPr>
              <w:adjustRightInd w:val="0"/>
              <w:snapToGrid w:val="0"/>
              <w:spacing w:line="44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.系统能区分互联时的方向，即能够区分是内部服务器向外连接还是外部设备向用户内部服务器的连接。</w:t>
            </w:r>
          </w:p>
          <w:p>
            <w:pPr>
              <w:widowControl/>
              <w:spacing w:line="440" w:lineRule="exact"/>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.应具备将内部服务器或者设备间的互联情况适用拓扑图的形式进行自动展示。</w:t>
            </w:r>
          </w:p>
          <w:p>
            <w:pPr>
              <w:widowControl/>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7</w:t>
            </w:r>
            <w:r>
              <w:rPr>
                <w:rFonts w:hint="eastAsia" w:ascii="仿宋_GB2312" w:hAnsi="仿宋_GB2312" w:eastAsia="仿宋_GB2312" w:cs="仿宋_GB2312"/>
                <w:kern w:val="0"/>
                <w:sz w:val="24"/>
              </w:rPr>
              <w:t>.系统提供防火墙策略的配置管理页面，提供对防火墙策略的增、删、改、查、移动、插入功能。</w:t>
            </w:r>
          </w:p>
        </w:tc>
        <w:tc>
          <w:tcPr>
            <w:tcW w:w="712" w:type="pct"/>
            <w:vMerge w:val="continue"/>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536"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284" w:type="pct"/>
            <w:shd w:val="clear" w:color="000000" w:fill="FFFFFF"/>
            <w:noWrap w:val="0"/>
            <w:vAlign w:val="center"/>
          </w:tcPr>
          <w:p>
            <w:pPr>
              <w:widowControl/>
              <w:spacing w:line="440" w:lineRule="exact"/>
              <w:jc w:val="center"/>
              <w:rPr>
                <w:rFonts w:hint="eastAsia" w:ascii="仿宋_GB2312" w:hAnsi="仿宋" w:eastAsia="仿宋_GB2312"/>
                <w:sz w:val="24"/>
              </w:rPr>
            </w:pPr>
            <w:r>
              <w:rPr>
                <w:rFonts w:hint="eastAsia" w:ascii="仿宋_GB2312" w:hAnsi="仿宋" w:eastAsia="仿宋_GB2312"/>
                <w:sz w:val="24"/>
              </w:rPr>
              <w:t>应急处置工具箱功能要求</w:t>
            </w:r>
          </w:p>
        </w:tc>
        <w:tc>
          <w:tcPr>
            <w:tcW w:w="2995" w:type="pct"/>
            <w:shd w:val="clear" w:color="000000" w:fill="FFFFFF"/>
            <w:noWrap w:val="0"/>
            <w:vAlign w:val="center"/>
          </w:tcPr>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 xml:space="preserve">1.Windows主机配置加固工具：支持对主流Windows操作系统、服务应用（IIS、tomcat），数据库（Oracle、MySQL、sqlserver、达梦、人大金仓、神州通用）进行安全配置自动加固； </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 xml:space="preserve">2.Linux主机配置加固工具：支持对主流Linux操作系统、服务应用（tomcat）、数据库（Oracle、MySQL、sqlserver、达梦、人大金仓、神州通用）进行安全配置自动加固； </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3.日志分析工具：支持对WEB服务的日志文件进行日志分析，分析的内容包含统计日志的数量、IP访问次数、GeoIP (IPv4和IPv6) 查找、每小时点击量、HTTP协议使用情况等。</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4.系统备份恢复工具：支持通过技术方式对安装主流操作系统（windows、Linux、统信、麒麟）的主机进行系统镜像备份，同时也支持通过硬盘镜像方式对目标主机进行系统快速恢复；</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5.证据留存工具：支持在不破坏或改变目标主机（终端或服务器）硬盘和数据的前提下，通过系统镜像方式对目标主机的硬盘数据进行复制备份。</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6.日志提取工具：支持主流操作系统（Windows、linux、Unix、中标麒麟等）、数据库（MySQL，Oracle，SQLserve、金仓、达梦、神州等）、应用服务软件（Apache、IIS等）的进程/服务运行日志、操作系统日志、数据库日志、网络访问日志等进行提取。</w:t>
            </w:r>
          </w:p>
          <w:p>
            <w:pPr>
              <w:spacing w:line="440" w:lineRule="exact"/>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7.任务新建支持 “安全事件类别”和自动“选择预案”自动判断功能。</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536"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284" w:type="pct"/>
            <w:shd w:val="clear" w:color="000000" w:fill="FFFFFF"/>
            <w:noWrap w:val="0"/>
            <w:vAlign w:val="center"/>
          </w:tcPr>
          <w:p>
            <w:pPr>
              <w:widowControl/>
              <w:spacing w:line="440" w:lineRule="exact"/>
              <w:jc w:val="center"/>
              <w:rPr>
                <w:rFonts w:hint="eastAsia" w:ascii="仿宋_GB2312" w:hAnsi="仿宋" w:eastAsia="仿宋_GB2312"/>
                <w:sz w:val="24"/>
              </w:rPr>
            </w:pPr>
            <w:r>
              <w:rPr>
                <w:rFonts w:hint="eastAsia" w:ascii="仿宋_GB2312" w:hAnsi="仿宋" w:eastAsia="仿宋_GB2312"/>
                <w:sz w:val="24"/>
              </w:rPr>
              <w:t>网站安全监测工具</w:t>
            </w:r>
          </w:p>
        </w:tc>
        <w:tc>
          <w:tcPr>
            <w:tcW w:w="2995" w:type="pct"/>
            <w:shd w:val="clear" w:color="000000" w:fill="FFFFFF"/>
            <w:noWrap w:val="0"/>
            <w:vAlign w:val="center"/>
          </w:tcPr>
          <w:p>
            <w:pPr>
              <w:spacing w:line="440" w:lineRule="exact"/>
              <w:rPr>
                <w:rFonts w:hint="eastAsia" w:ascii="仿宋_GB2312" w:hAnsi="仿宋" w:eastAsia="仿宋_GB2312" w:cs="宋体"/>
                <w:kern w:val="0"/>
                <w:sz w:val="24"/>
              </w:rPr>
            </w:pPr>
            <w:r>
              <w:rPr>
                <w:rFonts w:ascii="仿宋_GB2312" w:hAnsi="仿宋" w:eastAsia="仿宋_GB2312" w:cs="宋体"/>
                <w:kern w:val="0"/>
                <w:sz w:val="24"/>
              </w:rPr>
              <w:t>1</w:t>
            </w:r>
            <w:r>
              <w:rPr>
                <w:rFonts w:hint="eastAsia" w:ascii="仿宋_GB2312" w:hAnsi="仿宋" w:eastAsia="仿宋_GB2312" w:cs="宋体"/>
                <w:kern w:val="0"/>
                <w:sz w:val="24"/>
                <w:lang w:val="en-US" w:eastAsia="zh-CN"/>
              </w:rPr>
              <w:t>.</w:t>
            </w:r>
            <w:r>
              <w:rPr>
                <w:rFonts w:ascii="仿宋_GB2312" w:hAnsi="仿宋" w:eastAsia="仿宋_GB2312" w:cs="宋体"/>
                <w:kern w:val="0"/>
                <w:sz w:val="24"/>
              </w:rPr>
              <w:t>支持以地图形式展示各类风险统计数据，如漏洞，挂马，篡改，页面变更，域名解析，敏感内容，可自动进行展示数据的切换展示，可展示全网安全状况</w:t>
            </w:r>
            <w:r>
              <w:rPr>
                <w:rFonts w:hint="eastAsia" w:ascii="仿宋_GB2312" w:hAnsi="仿宋" w:eastAsia="仿宋_GB2312" w:cs="宋体"/>
                <w:kern w:val="0"/>
                <w:sz w:val="24"/>
              </w:rPr>
              <w:t>。</w:t>
            </w:r>
          </w:p>
          <w:p>
            <w:pPr>
              <w:spacing w:line="440" w:lineRule="exact"/>
              <w:rPr>
                <w:rFonts w:hint="eastAsia" w:ascii="仿宋_GB2312" w:hAnsi="仿宋" w:eastAsia="仿宋_GB2312" w:cs="宋体"/>
                <w:kern w:val="0"/>
                <w:sz w:val="24"/>
              </w:rPr>
            </w:pPr>
            <w:r>
              <w:rPr>
                <w:rFonts w:ascii="仿宋_GB2312" w:hAnsi="仿宋" w:eastAsia="仿宋_GB2312" w:cs="宋体"/>
                <w:kern w:val="0"/>
                <w:sz w:val="24"/>
              </w:rPr>
              <w:t>2</w:t>
            </w:r>
            <w:r>
              <w:rPr>
                <w:rFonts w:hint="eastAsia" w:ascii="仿宋_GB2312" w:hAnsi="仿宋" w:eastAsia="仿宋_GB2312" w:cs="宋体"/>
                <w:kern w:val="0"/>
                <w:sz w:val="24"/>
                <w:lang w:val="en-US" w:eastAsia="zh-CN"/>
              </w:rPr>
              <w:t>.</w:t>
            </w:r>
            <w:r>
              <w:rPr>
                <w:rFonts w:ascii="仿宋_GB2312" w:hAnsi="仿宋" w:eastAsia="仿宋_GB2312" w:cs="宋体"/>
                <w:kern w:val="0"/>
                <w:sz w:val="24"/>
              </w:rPr>
              <w:t>支持网站变更监测，通过手动和爬虫两种任务生成方式，爬取链接数量可根据网站大小自行选择，爬虫方式支持增量爬取和重建爬取，可以设置定时爬取或单次爬取，可定义爬取子域名和外链URL；爬取页面时支持自定义cookie、BASIC认证、NTLM认证。</w:t>
            </w:r>
          </w:p>
          <w:p>
            <w:pPr>
              <w:spacing w:line="440" w:lineRule="exact"/>
              <w:rPr>
                <w:rFonts w:hint="eastAsia" w:ascii="仿宋_GB2312" w:hAnsi="仿宋" w:eastAsia="仿宋_GB2312" w:cs="宋体"/>
                <w:kern w:val="0"/>
                <w:sz w:val="24"/>
              </w:rPr>
            </w:pPr>
            <w:r>
              <w:rPr>
                <w:rFonts w:ascii="仿宋_GB2312" w:hAnsi="仿宋" w:eastAsia="仿宋_GB2312" w:cs="宋体"/>
                <w:kern w:val="0"/>
                <w:sz w:val="24"/>
              </w:rPr>
              <w:t>3</w:t>
            </w:r>
            <w:r>
              <w:rPr>
                <w:rFonts w:hint="eastAsia" w:ascii="仿宋_GB2312" w:hAnsi="仿宋" w:eastAsia="仿宋_GB2312" w:cs="宋体"/>
                <w:kern w:val="0"/>
                <w:sz w:val="24"/>
                <w:lang w:val="en-US" w:eastAsia="zh-CN"/>
              </w:rPr>
              <w:t>.</w:t>
            </w:r>
            <w:r>
              <w:rPr>
                <w:rFonts w:ascii="仿宋_GB2312" w:hAnsi="仿宋" w:eastAsia="仿宋_GB2312" w:cs="宋体"/>
                <w:kern w:val="0"/>
                <w:sz w:val="24"/>
              </w:rPr>
              <w:t>支持漏洞验证功能，在扫描结束后，能够对结果中的重要漏洞进行现场验证，展示漏洞利用过程和风险。</w:t>
            </w:r>
          </w:p>
          <w:p>
            <w:pPr>
              <w:spacing w:line="440" w:lineRule="exact"/>
              <w:rPr>
                <w:rFonts w:hint="eastAsia" w:ascii="仿宋_GB2312" w:hAnsi="仿宋" w:eastAsia="仿宋_GB2312" w:cs="宋体"/>
                <w:kern w:val="0"/>
                <w:sz w:val="24"/>
              </w:rPr>
            </w:pPr>
            <w:r>
              <w:rPr>
                <w:rFonts w:ascii="仿宋_GB2312" w:hAnsi="仿宋" w:eastAsia="仿宋_GB2312" w:cs="宋体"/>
                <w:kern w:val="0"/>
                <w:sz w:val="24"/>
              </w:rPr>
              <w:t>4</w:t>
            </w:r>
            <w:r>
              <w:rPr>
                <w:rFonts w:hint="eastAsia" w:ascii="仿宋_GB2312" w:hAnsi="仿宋" w:eastAsia="仿宋_GB2312" w:cs="宋体"/>
                <w:kern w:val="0"/>
                <w:sz w:val="24"/>
                <w:lang w:val="en-US" w:eastAsia="zh-CN"/>
              </w:rPr>
              <w:t>.</w:t>
            </w:r>
            <w:r>
              <w:rPr>
                <w:rFonts w:ascii="仿宋_GB2312" w:hAnsi="仿宋" w:eastAsia="仿宋_GB2312" w:cs="宋体"/>
                <w:kern w:val="0"/>
                <w:sz w:val="24"/>
              </w:rPr>
              <w:t>支持当前网页和快照的文本和图片对比，不同的文本区域应使用不同颜色标出。</w:t>
            </w:r>
          </w:p>
          <w:p>
            <w:pPr>
              <w:spacing w:line="440" w:lineRule="exact"/>
              <w:rPr>
                <w:rFonts w:hint="eastAsia" w:ascii="仿宋_GB2312" w:hAnsi="仿宋" w:eastAsia="仿宋_GB2312" w:cs="宋体"/>
                <w:kern w:val="0"/>
                <w:sz w:val="24"/>
              </w:rPr>
            </w:pPr>
            <w:r>
              <w:rPr>
                <w:rFonts w:hint="eastAsia" w:ascii="仿宋_GB2312" w:hAnsi="仿宋" w:eastAsia="仿宋_GB2312" w:cs="宋体"/>
                <w:kern w:val="0"/>
                <w:sz w:val="24"/>
                <w:lang w:val="en-US" w:eastAsia="zh-CN"/>
              </w:rPr>
              <w:t>5.</w:t>
            </w:r>
            <w:r>
              <w:rPr>
                <w:rFonts w:hint="eastAsia" w:ascii="仿宋_GB2312" w:eastAsia="仿宋_GB2312"/>
                <w:sz w:val="24"/>
              </w:rPr>
              <w:t>网站完全防护：</w:t>
            </w:r>
            <w:r>
              <w:rPr>
                <w:rFonts w:ascii="仿宋_GB2312" w:eastAsia="仿宋_GB2312"/>
                <w:sz w:val="24"/>
              </w:rPr>
              <w:t>提供网站安全监控（包括网站可用性检测、篡改监测、敏感关键字检测等），并以邮件、电话、短信等方式向</w:t>
            </w:r>
            <w:r>
              <w:rPr>
                <w:rFonts w:hint="eastAsia" w:ascii="仿宋_GB2312" w:eastAsia="仿宋_GB2312"/>
                <w:sz w:val="24"/>
              </w:rPr>
              <w:t>采购人</w:t>
            </w:r>
            <w:r>
              <w:rPr>
                <w:rFonts w:ascii="仿宋_GB2312" w:eastAsia="仿宋_GB2312"/>
                <w:sz w:val="24"/>
              </w:rPr>
              <w:t>告警</w:t>
            </w:r>
            <w:r>
              <w:rPr>
                <w:rFonts w:hint="eastAsia" w:ascii="仿宋_GB2312" w:eastAsia="仿宋_GB2312"/>
                <w:sz w:val="24"/>
              </w:rPr>
              <w:t>。</w:t>
            </w:r>
          </w:p>
          <w:p>
            <w:pPr>
              <w:spacing w:line="440" w:lineRule="exact"/>
              <w:rPr>
                <w:rFonts w:hint="eastAsia" w:ascii="仿宋_GB2312" w:hAnsi="仿宋" w:eastAsia="仿宋_GB2312" w:cs="宋体"/>
                <w:kern w:val="0"/>
                <w:sz w:val="24"/>
              </w:rPr>
            </w:pPr>
            <w:r>
              <w:rPr>
                <w:rFonts w:hint="eastAsia" w:ascii="仿宋_GB2312" w:eastAsia="仿宋_GB2312"/>
                <w:sz w:val="24"/>
                <w:lang w:val="en-US" w:eastAsia="zh-CN"/>
              </w:rPr>
              <w:t>6.</w:t>
            </w:r>
            <w:r>
              <w:rPr>
                <w:rFonts w:hint="eastAsia" w:ascii="仿宋_GB2312" w:eastAsia="仿宋_GB2312"/>
                <w:sz w:val="24"/>
              </w:rPr>
              <w:t>网站完全防护：</w:t>
            </w:r>
            <w:r>
              <w:rPr>
                <w:rFonts w:ascii="仿宋_GB2312" w:eastAsia="仿宋_GB2312"/>
                <w:sz w:val="24"/>
              </w:rPr>
              <w:t>提供网站防盗链、访问过滤、网站加速、访问屏蔽、定制安全防护策略等网站安全防护服务</w:t>
            </w:r>
            <w:r>
              <w:rPr>
                <w:rFonts w:hint="eastAsia" w:ascii="仿宋_GB2312" w:eastAsia="仿宋_GB2312"/>
                <w:sz w:val="24"/>
              </w:rPr>
              <w:t>。</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74" w:type="pct"/>
            <w:vMerge w:val="continue"/>
            <w:shd w:val="clear" w:color="000000" w:fill="FFFFFF"/>
            <w:noWrap w:val="0"/>
            <w:vAlign w:val="center"/>
          </w:tcPr>
          <w:p>
            <w:pPr>
              <w:spacing w:line="440" w:lineRule="exact"/>
              <w:jc w:val="center"/>
              <w:rPr>
                <w:rFonts w:hint="eastAsia" w:ascii="仿宋_GB2312" w:hAnsi="仿宋" w:eastAsia="仿宋_GB2312" w:cs="宋体"/>
                <w:kern w:val="0"/>
                <w:sz w:val="24"/>
              </w:rPr>
            </w:pPr>
          </w:p>
        </w:tc>
        <w:tc>
          <w:tcPr>
            <w:tcW w:w="536" w:type="pct"/>
            <w:vMerge w:val="continue"/>
            <w:shd w:val="clear" w:color="000000" w:fill="FFFFFF"/>
            <w:noWrap w:val="0"/>
            <w:vAlign w:val="center"/>
          </w:tcPr>
          <w:p>
            <w:pPr>
              <w:widowControl/>
              <w:spacing w:line="440" w:lineRule="exact"/>
              <w:jc w:val="center"/>
              <w:rPr>
                <w:rFonts w:hint="eastAsia" w:ascii="仿宋_GB2312" w:hAnsi="仿宋" w:eastAsia="仿宋_GB2312" w:cs="宋体"/>
                <w:kern w:val="0"/>
                <w:sz w:val="24"/>
              </w:rPr>
            </w:pPr>
          </w:p>
        </w:tc>
        <w:tc>
          <w:tcPr>
            <w:tcW w:w="284" w:type="pct"/>
            <w:shd w:val="clear" w:color="000000" w:fill="FFFFFF"/>
            <w:noWrap w:val="0"/>
            <w:vAlign w:val="center"/>
          </w:tcPr>
          <w:p>
            <w:pPr>
              <w:widowControl/>
              <w:spacing w:line="440" w:lineRule="exact"/>
              <w:jc w:val="center"/>
              <w:rPr>
                <w:rFonts w:hint="eastAsia" w:ascii="仿宋_GB2312" w:hAnsi="仿宋" w:eastAsia="仿宋_GB2312"/>
                <w:sz w:val="24"/>
              </w:rPr>
            </w:pPr>
            <w:r>
              <w:rPr>
                <w:rFonts w:hint="eastAsia" w:ascii="仿宋_GB2312" w:hAnsi="仿宋" w:eastAsia="仿宋_GB2312"/>
                <w:sz w:val="24"/>
              </w:rPr>
              <w:t>全流量探针</w:t>
            </w:r>
          </w:p>
        </w:tc>
        <w:tc>
          <w:tcPr>
            <w:tcW w:w="2995" w:type="pct"/>
            <w:shd w:val="clear" w:color="000000" w:fill="FFFFFF"/>
            <w:noWrap w:val="0"/>
            <w:vAlign w:val="center"/>
          </w:tcPr>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t>通过旁路镜像采集网络全部流量，支持在线支持同时接入多个镜像口，每个口相互独立不影响，设备部署不影响原有网络结构；</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▲支持多种协议的隐匿隧道通信检测，至少包括：ICMP、HTTP、DNS等协议的隧道通信；</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b/>
                <w:sz w:val="24"/>
              </w:rPr>
              <w:t>上述第2点参数提供相关功能界面截图；</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▲5G威胁检测：支持对5G协议解析和威胁检测，可以通过平台查看5G威胁的日志统计数据，包括攻击级别分布，攻击名称Top5和手机号Top5 统计图以及5G威胁事件的列表；</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b/>
                <w:sz w:val="24"/>
              </w:rPr>
              <w:t>5</w:t>
            </w:r>
            <w:r>
              <w:rPr>
                <w:rFonts w:hint="eastAsia" w:ascii="仿宋_GB2312" w:hAnsi="仿宋_GB2312" w:eastAsia="仿宋_GB2312" w:cs="仿宋_GB2312"/>
                <w:b/>
                <w:sz w:val="24"/>
                <w:lang w:val="en-US" w:eastAsia="zh-CN"/>
              </w:rPr>
              <w:t>.</w:t>
            </w:r>
            <w:r>
              <w:rPr>
                <w:rFonts w:hint="eastAsia" w:ascii="仿宋_GB2312" w:hAnsi="仿宋_GB2312" w:eastAsia="仿宋_GB2312" w:cs="仿宋_GB2312"/>
                <w:b/>
                <w:sz w:val="24"/>
              </w:rPr>
              <w:t>上述第4点参数提供相关功能界面截图；</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AI智能检测：支持基于机器学习的加密流量下的恶意软件通信识别，至少包括加密的Botnet僵尸网络行为检测；支持基于机器学习的提取攻击者真实访问的URL，全面掌握攻击者的攻击意图和访问记录；</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▲流量分析：支持设置标准模式、增强模式、深度模式、专家模式等流量分析策略，可设置不同策略类型，包括攻击策略、审计策略、采样等级、高级设置；</w:t>
            </w:r>
          </w:p>
          <w:p>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b/>
                <w:sz w:val="24"/>
              </w:rPr>
              <w:t>8</w:t>
            </w:r>
            <w:r>
              <w:rPr>
                <w:rFonts w:hint="eastAsia" w:ascii="仿宋_GB2312" w:hAnsi="仿宋_GB2312" w:eastAsia="仿宋_GB2312" w:cs="仿宋_GB2312"/>
                <w:b/>
                <w:sz w:val="24"/>
                <w:lang w:val="en-US" w:eastAsia="zh-CN"/>
              </w:rPr>
              <w:t>.</w:t>
            </w:r>
            <w:r>
              <w:rPr>
                <w:rFonts w:hint="eastAsia" w:ascii="仿宋_GB2312" w:hAnsi="仿宋_GB2312" w:eastAsia="仿宋_GB2312" w:cs="仿宋_GB2312"/>
                <w:b/>
                <w:sz w:val="24"/>
              </w:rPr>
              <w:t>上述第7点参数提供相关功能界面截图；</w:t>
            </w:r>
          </w:p>
          <w:p>
            <w:pPr>
              <w:spacing w:line="360" w:lineRule="auto"/>
              <w:rPr>
                <w:rFonts w:hint="eastAsia" w:ascii="仿宋_GB2312" w:hAnsi="仿宋" w:eastAsia="仿宋_GB2312" w:cs="宋体"/>
                <w:kern w:val="0"/>
                <w:sz w:val="24"/>
              </w:rPr>
            </w:pPr>
            <w:r>
              <w:rPr>
                <w:rFonts w:hint="eastAsia" w:ascii="仿宋_GB2312" w:hAnsi="仿宋_GB2312" w:eastAsia="仿宋_GB2312" w:cs="仿宋_GB2312"/>
                <w:sz w:val="24"/>
                <w:szCs w:val="24"/>
              </w:rPr>
              <w:t>9</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支持多种协议的隐匿隧道通信检测，至少包括：ICMP、HTTP、DNS等协议的隧道通信；支持全流量存储规则配置，至少包括：会话保存天数和深度、系统预留空间、协议保存优先级，其中能设置优先级的协议有ICMP、ICMP6、TCP、UDP、SSH、SMTP、IMAP、SMB、SNMP、HTTP、TLS等。</w:t>
            </w:r>
          </w:p>
        </w:tc>
        <w:tc>
          <w:tcPr>
            <w:tcW w:w="712" w:type="pct"/>
            <w:shd w:val="clear" w:color="000000" w:fill="FFFFFF"/>
            <w:noWrap w:val="0"/>
            <w:vAlign w:val="center"/>
          </w:tcPr>
          <w:p>
            <w:pPr>
              <w:widowControl/>
              <w:spacing w:line="440" w:lineRule="exact"/>
              <w:rPr>
                <w:rFonts w:hint="eastAsia" w:ascii="仿宋_GB2312" w:hAnsi="仿宋" w:eastAsia="仿宋_GB2312" w:cs="宋体"/>
                <w:kern w:val="0"/>
                <w:sz w:val="24"/>
              </w:rPr>
            </w:pPr>
          </w:p>
        </w:tc>
      </w:tr>
    </w:tbl>
    <w:p>
      <w:pPr>
        <w:spacing w:line="400" w:lineRule="exact"/>
        <w:ind w:firstLine="482" w:firstLineChars="200"/>
        <w:outlineLvl w:val="0"/>
        <w:rPr>
          <w:rFonts w:hint="eastAsia" w:ascii="仿宋_GB2312" w:hAnsi="宋体" w:eastAsia="仿宋_GB2312"/>
          <w:b/>
          <w:bCs/>
          <w:kern w:val="0"/>
          <w:sz w:val="24"/>
        </w:rPr>
      </w:pPr>
      <w:r>
        <w:rPr>
          <w:rFonts w:hint="eastAsia" w:ascii="仿宋_GB2312" w:hAnsi="宋体" w:eastAsia="仿宋_GB2312"/>
          <w:b/>
          <w:bCs/>
          <w:kern w:val="0"/>
          <w:sz w:val="24"/>
        </w:rPr>
        <w:t>十三、技术培训</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投标人需负责对采购人的技术人员进行培训。投标人须在响应文件中提供详细的培训计划，包括培训内容、培训时间、培训师资等。技术培训费用应包含在投标总价</w:t>
      </w:r>
      <w:r>
        <w:rPr>
          <w:rFonts w:hint="eastAsia" w:ascii="仿宋_GB2312" w:eastAsia="仿宋_GB2312"/>
          <w:kern w:val="0"/>
          <w:sz w:val="24"/>
          <w:lang w:val="en-US" w:eastAsia="zh-CN"/>
        </w:rPr>
        <w:t>内</w:t>
      </w:r>
      <w:r>
        <w:rPr>
          <w:rFonts w:hint="eastAsia" w:ascii="仿宋_GB2312" w:eastAsia="仿宋_GB2312"/>
          <w:kern w:val="0"/>
          <w:sz w:val="24"/>
        </w:rPr>
        <w:t>。</w:t>
      </w:r>
    </w:p>
    <w:p>
      <w:pPr>
        <w:widowControl/>
        <w:snapToGrid w:val="0"/>
        <w:spacing w:line="400" w:lineRule="exact"/>
        <w:ind w:firstLine="479"/>
        <w:outlineLvl w:val="0"/>
        <w:rPr>
          <w:rFonts w:hint="eastAsia" w:ascii="仿宋_GB2312" w:hAnsi="宋体" w:eastAsia="仿宋_GB2312"/>
          <w:b/>
          <w:sz w:val="24"/>
        </w:rPr>
      </w:pPr>
      <w:r>
        <w:rPr>
          <w:rFonts w:hint="eastAsia" w:ascii="仿宋_GB2312" w:hAnsi="宋体" w:eastAsia="仿宋_GB2312"/>
          <w:b/>
          <w:sz w:val="24"/>
        </w:rPr>
        <w:t>十四、日常运行维护</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1）服务开通及退出</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利用管理平台进行服务受理，收到采购人资源确认单后2个工作日开通相关资源，收到资源回收确认单后2个工作日内终止相关服务并退出，计费当天终止。</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2）故障处理：在服务期内，提供7*24小时的现场和技术支持服务，对故障15分钟内响应；2小时内到达云中心机房。24小时内修复。</w:t>
      </w:r>
    </w:p>
    <w:p>
      <w:pPr>
        <w:widowControl/>
        <w:snapToGrid w:val="0"/>
        <w:spacing w:line="400" w:lineRule="exact"/>
        <w:ind w:firstLine="479"/>
        <w:outlineLvl w:val="0"/>
        <w:rPr>
          <w:rFonts w:hint="eastAsia" w:ascii="仿宋_GB2312" w:hAnsi="宋体" w:eastAsia="仿宋_GB2312"/>
          <w:b/>
          <w:sz w:val="24"/>
        </w:rPr>
      </w:pPr>
      <w:r>
        <w:rPr>
          <w:rFonts w:hint="eastAsia" w:ascii="仿宋_GB2312" w:hAnsi="宋体" w:eastAsia="仿宋_GB2312"/>
          <w:b/>
          <w:sz w:val="24"/>
        </w:rPr>
        <w:t>十五、质量保证及售后服务</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1）所提供服务是满足国家相关标准。如提供的服务与响应服务不符，采购人（使用方）有权拒绝，由此产生的一切责任和后果由中标人承担。</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2）投标人提供的服务在服务期内服务质量问题发生故障，投标人应负责免费解决。对达不到要求者，根据实际情况，经双方协商，可按以下办法处理：</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（1）服务赔偿：由于投标人提供的平台原因，造成云服务故障，数据丢失的，投标人需进行赔偿，扣款标准参照政务云省级平台服务等级协议（SLA）指标执行。</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（2）服务终止：如一个支付周期内单项服务故障总时长超过24小时，该支付周期投标人不收取该项服务合同款。</w:t>
      </w:r>
    </w:p>
    <w:p>
      <w:pPr>
        <w:widowControl/>
        <w:snapToGrid w:val="0"/>
        <w:spacing w:line="400" w:lineRule="exact"/>
        <w:ind w:firstLine="479"/>
        <w:outlineLvl w:val="0"/>
        <w:rPr>
          <w:rFonts w:ascii="仿宋_GB2312" w:eastAsia="仿宋_GB2312"/>
          <w:b/>
          <w:bCs/>
          <w:sz w:val="24"/>
        </w:rPr>
      </w:pPr>
      <w:r>
        <w:rPr>
          <w:rFonts w:hint="eastAsia" w:ascii="仿宋_GB2312" w:eastAsia="仿宋_GB2312"/>
          <w:b/>
          <w:bCs/>
          <w:sz w:val="24"/>
        </w:rPr>
        <w:t>十六、</w:t>
      </w:r>
      <w:r>
        <w:rPr>
          <w:rFonts w:hint="eastAsia" w:ascii="仿宋_GB2312" w:hAnsi="宋体" w:eastAsia="仿宋_GB2312"/>
          <w:b/>
          <w:sz w:val="24"/>
        </w:rPr>
        <w:t>服务期限</w:t>
      </w:r>
      <w:r>
        <w:rPr>
          <w:rFonts w:hint="eastAsia" w:ascii="仿宋_GB2312" w:eastAsia="仿宋_GB2312"/>
          <w:b/>
          <w:bCs/>
          <w:sz w:val="24"/>
        </w:rPr>
        <w:t>及付款方式</w:t>
      </w:r>
    </w:p>
    <w:p>
      <w:pPr>
        <w:spacing w:line="400" w:lineRule="exact"/>
        <w:ind w:firstLine="480" w:firstLineChars="200"/>
        <w:rPr>
          <w:rFonts w:ascii="仿宋_GB2312" w:eastAsia="仿宋_GB2312"/>
          <w:kern w:val="0"/>
          <w:sz w:val="24"/>
        </w:rPr>
      </w:pPr>
      <w:r>
        <w:rPr>
          <w:rFonts w:hint="eastAsia" w:ascii="仿宋_GB2312" w:eastAsia="仿宋_GB2312"/>
          <w:kern w:val="0"/>
          <w:sz w:val="24"/>
        </w:rPr>
        <w:t>本项目服务期限为1</w:t>
      </w:r>
      <w:r>
        <w:rPr>
          <w:rFonts w:ascii="仿宋_GB2312" w:eastAsia="仿宋_GB2312"/>
          <w:kern w:val="0"/>
          <w:sz w:val="24"/>
        </w:rPr>
        <w:t>2</w:t>
      </w:r>
      <w:r>
        <w:rPr>
          <w:rFonts w:hint="eastAsia" w:ascii="仿宋_GB2312" w:eastAsia="仿宋_GB2312"/>
          <w:kern w:val="0"/>
          <w:sz w:val="24"/>
        </w:rPr>
        <w:t>个月，总结算金额不超过合同总金额，即本次投标总价，结算截至2025年12月31日，支付金额按照使用量进行结算。中标</w:t>
      </w:r>
      <w:r>
        <w:rPr>
          <w:rFonts w:hint="eastAsia" w:ascii="仿宋_GB2312" w:eastAsia="仿宋_GB2312"/>
          <w:kern w:val="0"/>
          <w:sz w:val="24"/>
          <w:lang w:val="en-US" w:eastAsia="zh-CN"/>
        </w:rPr>
        <w:t>人</w:t>
      </w:r>
      <w:r>
        <w:rPr>
          <w:rFonts w:hint="eastAsia" w:ascii="仿宋_GB2312" w:eastAsia="仿宋_GB2312"/>
          <w:kern w:val="0"/>
          <w:sz w:val="24"/>
        </w:rPr>
        <w:t>不是原云资源出租方的，人社系统迁移及集成费用由中标</w:t>
      </w:r>
      <w:r>
        <w:rPr>
          <w:rFonts w:hint="eastAsia" w:ascii="仿宋_GB2312" w:eastAsia="仿宋_GB2312"/>
          <w:kern w:val="0"/>
          <w:sz w:val="24"/>
          <w:lang w:val="en-US" w:eastAsia="zh-CN"/>
        </w:rPr>
        <w:t>人</w:t>
      </w:r>
      <w:r>
        <w:rPr>
          <w:rFonts w:hint="eastAsia" w:ascii="仿宋_GB2312" w:eastAsia="仿宋_GB2312"/>
          <w:kern w:val="0"/>
          <w:sz w:val="24"/>
        </w:rPr>
        <w:t>承担。考虑到本项目重新建设周期及系统迁移等实际情况，系统迁移完成前的费用由本次成交供应商支付给原服务供应商，支付费用按成交供应商的中标单价以及实际使用量进行结算。</w:t>
      </w:r>
    </w:p>
    <w:p>
      <w:pPr>
        <w:spacing w:line="400" w:lineRule="exact"/>
        <w:ind w:firstLine="480" w:firstLineChars="200"/>
        <w:rPr>
          <w:rFonts w:hint="eastAsia" w:ascii="仿宋_GB2312" w:hAnsi="宋体" w:eastAsia="仿宋_GB2312"/>
          <w:sz w:val="24"/>
        </w:rPr>
      </w:pPr>
      <w:r>
        <w:rPr>
          <w:rFonts w:hint="eastAsia" w:ascii="仿宋_GB2312" w:eastAsia="仿宋_GB2312"/>
          <w:kern w:val="0"/>
          <w:sz w:val="24"/>
        </w:rPr>
        <w:t>付款方式：按《浙江省财政厅关于进一步发挥政府采购政策功能全力推动经济稳进提质的通知》（浙财采监〔2022〕3号）等文件要求执行，具体付款方式由双方协商后在合同中明确</w:t>
      </w:r>
      <w:r>
        <w:rPr>
          <w:rFonts w:hint="eastAsia" w:ascii="仿宋" w:hAnsi="仿宋" w:eastAsia="仿宋"/>
          <w:sz w:val="24"/>
        </w:rPr>
        <w:t>。</w:t>
      </w:r>
    </w:p>
    <w:p>
      <w:pPr>
        <w:widowControl/>
        <w:snapToGrid w:val="0"/>
        <w:spacing w:line="400" w:lineRule="exact"/>
        <w:ind w:firstLine="479"/>
        <w:outlineLvl w:val="0"/>
        <w:rPr>
          <w:rFonts w:ascii="仿宋_GB2312" w:eastAsia="仿宋_GB2312"/>
          <w:b/>
          <w:bCs/>
          <w:sz w:val="24"/>
        </w:rPr>
      </w:pPr>
      <w:r>
        <w:rPr>
          <w:rFonts w:hint="eastAsia" w:ascii="仿宋_GB2312" w:eastAsia="仿宋_GB2312"/>
          <w:b/>
          <w:bCs/>
          <w:sz w:val="24"/>
        </w:rPr>
        <w:t>十七、数量调整</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采购人保留在签约时调整部分方案及定购设备数量和服务的权力，投标人应对系统方案中设备和服务明细报价，按投标单价不变的前提下进行调整，双方不得拒绝，但</w:t>
      </w:r>
      <w:r>
        <w:rPr>
          <w:rFonts w:ascii="仿宋_GB2312" w:eastAsia="仿宋_GB2312"/>
          <w:kern w:val="0"/>
          <w:sz w:val="24"/>
        </w:rPr>
        <w:t>最终</w:t>
      </w:r>
      <w:r>
        <w:rPr>
          <w:rFonts w:hint="eastAsia" w:ascii="仿宋_GB2312" w:eastAsia="仿宋_GB2312"/>
          <w:kern w:val="0"/>
          <w:sz w:val="24"/>
        </w:rPr>
        <w:t>支付总价不超过合同总价。</w:t>
      </w:r>
    </w:p>
    <w:p>
      <w:pPr>
        <w:widowControl/>
        <w:snapToGrid w:val="0"/>
        <w:spacing w:line="400" w:lineRule="exact"/>
        <w:ind w:firstLine="479"/>
        <w:outlineLvl w:val="0"/>
        <w:rPr>
          <w:rFonts w:ascii="仿宋_GB2312" w:eastAsia="仿宋_GB2312"/>
          <w:b/>
          <w:bCs/>
          <w:kern w:val="0"/>
          <w:sz w:val="24"/>
        </w:rPr>
      </w:pPr>
      <w:r>
        <w:rPr>
          <w:rFonts w:hint="eastAsia" w:ascii="仿宋_GB2312" w:eastAsia="仿宋_GB2312"/>
          <w:b/>
          <w:bCs/>
          <w:kern w:val="0"/>
          <w:sz w:val="24"/>
        </w:rPr>
        <w:t>十八、验收</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验收按国家有关规范标准（国家无验收规范标准的按双方合同规定的要求）进行。</w:t>
      </w:r>
    </w:p>
    <w:p>
      <w:pPr>
        <w:widowControl/>
        <w:snapToGrid w:val="0"/>
        <w:spacing w:line="400" w:lineRule="exact"/>
        <w:ind w:firstLine="479"/>
        <w:rPr>
          <w:rFonts w:ascii="仿宋_GB2312" w:eastAsia="仿宋_GB2312"/>
          <w:kern w:val="0"/>
          <w:sz w:val="24"/>
        </w:rPr>
      </w:pPr>
      <w:r>
        <w:rPr>
          <w:rFonts w:hint="eastAsia" w:ascii="仿宋_GB2312" w:eastAsia="仿宋_GB2312"/>
          <w:kern w:val="0"/>
          <w:sz w:val="24"/>
        </w:rPr>
        <w:t>采购人保留邀请参加本项目的其他投标人或者第三方机构或相关技术专家参与验收的权利。参与验收的其他投标人或者第三方机构的意见作为验收书的参考资料一并存档。</w:t>
      </w:r>
    </w:p>
    <w:p/>
    <w:p/>
    <w:p>
      <w:pPr>
        <w:spacing w:line="300" w:lineRule="auto"/>
        <w:ind w:firstLine="482" w:firstLineChars="200"/>
        <w:rPr>
          <w:rFonts w:hint="eastAsia" w:ascii="仿宋_GB2312" w:hAnsi="仿宋_GB2312" w:eastAsia="仿宋_GB2312" w:cs="仿宋_GB2312"/>
          <w:b/>
          <w:bCs/>
          <w:color w:val="auto"/>
          <w:sz w:val="24"/>
          <w:szCs w:val="24"/>
          <w:highlight w:val="none"/>
          <w:lang w:eastAsia="zh-CN"/>
        </w:rPr>
      </w:pPr>
    </w:p>
    <w:bookmarkEnd w:id="36"/>
    <w:bookmarkEnd w:id="39"/>
    <w:bookmarkEnd w:id="40"/>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outlineLvl w:val="0"/>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w:t>
      </w:r>
      <w:r>
        <w:rPr>
          <w:rFonts w:hint="eastAsia" w:ascii="仿宋_GB2312" w:hAnsi="仿宋_GB2312" w:eastAsia="仿宋_GB2312" w:cs="仿宋_GB2312"/>
          <w:b/>
          <w:color w:val="auto"/>
          <w:sz w:val="36"/>
          <w:szCs w:val="36"/>
          <w:highlight w:val="none"/>
          <w:lang w:eastAsia="zh-CN"/>
        </w:rPr>
        <w:t>四</w:t>
      </w:r>
      <w:r>
        <w:rPr>
          <w:rFonts w:hint="eastAsia" w:ascii="仿宋_GB2312" w:hAnsi="仿宋_GB2312" w:eastAsia="仿宋_GB2312" w:cs="仿宋_GB2312"/>
          <w:b/>
          <w:color w:val="auto"/>
          <w:sz w:val="36"/>
          <w:szCs w:val="36"/>
          <w:highlight w:val="none"/>
        </w:rPr>
        <w:t>部分 拟签订的合同文本</w:t>
      </w:r>
    </w:p>
    <w:p>
      <w:pPr>
        <w:kinsoku/>
        <w:wordWrap w:val="0"/>
        <w:overflowPunct/>
        <w:topLinePunct w:val="0"/>
        <w:bidi w:val="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合同编号：</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80" w:lineRule="auto"/>
        <w:jc w:val="center"/>
        <w:rPr>
          <w:rFonts w:hint="eastAsia" w:ascii="仿宋_GB2312" w:hAnsi="仿宋_GB2312" w:eastAsia="仿宋_GB2312" w:cs="仿宋_GB2312"/>
          <w:b/>
          <w:color w:val="auto"/>
          <w:sz w:val="28"/>
          <w:szCs w:val="28"/>
          <w:highlight w:val="none"/>
        </w:rPr>
      </w:pPr>
    </w:p>
    <w:p>
      <w:pPr>
        <w:kinsoku/>
        <w:wordWrap w:val="0"/>
        <w:overflowPunct/>
        <w:topLinePunct w:val="0"/>
        <w:bidi w:val="0"/>
        <w:spacing w:line="48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48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480" w:lineRule="auto"/>
        <w:jc w:val="center"/>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政府采购合同参考范本</w:t>
      </w:r>
    </w:p>
    <w:p>
      <w:pPr>
        <w:kinsoku/>
        <w:wordWrap w:val="0"/>
        <w:overflowPunct/>
        <w:topLinePunct w:val="0"/>
        <w:bidi w:val="0"/>
        <w:spacing w:line="480" w:lineRule="auto"/>
        <w:jc w:val="center"/>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（服务类）</w:t>
      </w:r>
    </w:p>
    <w:p>
      <w:pPr>
        <w:pStyle w:val="701"/>
        <w:kinsoku/>
        <w:wordWrap w:val="0"/>
        <w:overflowPunct/>
        <w:topLinePunct w:val="0"/>
        <w:bidi w:val="0"/>
        <w:ind w:firstLine="2843" w:firstLineChars="1180"/>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第一部分 合同书</w:t>
      </w:r>
    </w:p>
    <w:p>
      <w:pPr>
        <w:kinsoku/>
        <w:wordWrap w:val="0"/>
        <w:overflowPunct/>
        <w:topLinePunct w:val="0"/>
        <w:bidi w:val="0"/>
        <w:spacing w:before="120" w:line="22" w:lineRule="atLeast"/>
        <w:rPr>
          <w:rFonts w:hint="eastAsia" w:ascii="仿宋_GB2312" w:hAnsi="仿宋_GB2312" w:eastAsia="仿宋_GB2312" w:cs="仿宋_GB2312"/>
          <w:color w:val="auto"/>
          <w:sz w:val="24"/>
          <w:highlight w:val="none"/>
        </w:rPr>
      </w:pPr>
    </w:p>
    <w:p>
      <w:pPr>
        <w:pStyle w:val="7"/>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before="120" w:line="22" w:lineRule="atLeast"/>
        <w:ind w:left="96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r>
        <w:rPr>
          <w:rFonts w:hint="eastAsia" w:ascii="仿宋_GB2312" w:hAnsi="仿宋_GB2312" w:eastAsia="仿宋_GB2312" w:cs="仿宋_GB2312"/>
          <w:color w:val="auto"/>
          <w:sz w:val="24"/>
          <w:highlight w:val="none"/>
          <w:u w:val="single"/>
        </w:rPr>
        <w:t xml:space="preserve">                                   </w:t>
      </w:r>
    </w:p>
    <w:p>
      <w:pPr>
        <w:pStyle w:val="598"/>
        <w:kinsoku/>
        <w:wordWrap w:val="0"/>
        <w:overflowPunct/>
        <w:topLinePunct w:val="0"/>
        <w:bidi w:val="0"/>
        <w:spacing w:before="120" w:line="22" w:lineRule="atLeast"/>
        <w:rPr>
          <w:rFonts w:hint="eastAsia" w:ascii="仿宋_GB2312" w:hAnsi="仿宋_GB2312" w:eastAsia="仿宋_GB2312" w:cs="仿宋_GB2312"/>
          <w:color w:val="auto"/>
          <w:szCs w:val="24"/>
          <w:highlight w:val="none"/>
        </w:rPr>
      </w:pPr>
    </w:p>
    <w:p>
      <w:pPr>
        <w:pStyle w:val="598"/>
        <w:kinsoku/>
        <w:wordWrap w:val="0"/>
        <w:overflowPunct/>
        <w:topLinePunct w:val="0"/>
        <w:bidi w:val="0"/>
        <w:spacing w:before="120" w:line="22" w:lineRule="atLeast"/>
        <w:rPr>
          <w:rFonts w:hint="eastAsia" w:ascii="仿宋_GB2312" w:hAnsi="仿宋_GB2312" w:eastAsia="仿宋_GB2312" w:cs="仿宋_GB2312"/>
          <w:color w:val="auto"/>
          <w:szCs w:val="24"/>
          <w:highlight w:val="none"/>
        </w:rPr>
      </w:pPr>
    </w:p>
    <w:p>
      <w:pPr>
        <w:kinsoku/>
        <w:wordWrap w:val="0"/>
        <w:overflowPunct/>
        <w:topLinePunct w:val="0"/>
        <w:bidi w:val="0"/>
        <w:rPr>
          <w:rFonts w:hint="eastAsia" w:ascii="仿宋_GB2312" w:hAnsi="仿宋_GB2312" w:eastAsia="仿宋_GB2312" w:cs="仿宋_GB2312"/>
          <w:color w:val="auto"/>
          <w:sz w:val="24"/>
          <w:highlight w:val="none"/>
        </w:rPr>
      </w:pPr>
    </w:p>
    <w:p>
      <w:pPr>
        <w:kinsoku/>
        <w:wordWrap w:val="0"/>
        <w:overflowPunct/>
        <w:topLinePunct w:val="0"/>
        <w:bidi w:val="0"/>
        <w:spacing w:before="120" w:line="22" w:lineRule="atLeast"/>
        <w:ind w:left="960" w:firstLine="480" w:firstLineChars="20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甲方：</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before="120" w:line="22" w:lineRule="atLeast"/>
        <w:rPr>
          <w:rFonts w:hint="eastAsia" w:ascii="仿宋_GB2312" w:hAnsi="仿宋_GB2312" w:eastAsia="仿宋_GB2312" w:cs="仿宋_GB2312"/>
          <w:color w:val="auto"/>
          <w:sz w:val="24"/>
          <w:highlight w:val="none"/>
        </w:rPr>
      </w:pPr>
    </w:p>
    <w:p>
      <w:pPr>
        <w:kinsoku/>
        <w:wordWrap w:val="0"/>
        <w:overflowPunct/>
        <w:topLinePunct w:val="0"/>
        <w:bidi w:val="0"/>
        <w:spacing w:before="120" w:line="22" w:lineRule="atLeast"/>
        <w:ind w:left="960" w:firstLine="480" w:firstLineChars="20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乙方：</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before="120" w:line="22" w:lineRule="atLeast"/>
        <w:rPr>
          <w:rFonts w:hint="eastAsia" w:ascii="仿宋_GB2312" w:hAnsi="仿宋_GB2312" w:eastAsia="仿宋_GB2312" w:cs="仿宋_GB2312"/>
          <w:color w:val="auto"/>
          <w:sz w:val="24"/>
          <w:highlight w:val="none"/>
        </w:rPr>
      </w:pPr>
    </w:p>
    <w:p>
      <w:pPr>
        <w:kinsoku/>
        <w:wordWrap w:val="0"/>
        <w:overflowPunct/>
        <w:topLinePunct w:val="0"/>
        <w:bidi w:val="0"/>
        <w:spacing w:before="120" w:line="22" w:lineRule="atLeast"/>
        <w:ind w:firstLine="1440" w:firstLineChars="60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签订地：</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before="120" w:line="22" w:lineRule="atLeast"/>
        <w:rPr>
          <w:rFonts w:hint="eastAsia" w:ascii="仿宋_GB2312" w:hAnsi="仿宋_GB2312" w:eastAsia="仿宋_GB2312" w:cs="仿宋_GB2312"/>
          <w:color w:val="auto"/>
          <w:sz w:val="24"/>
          <w:highlight w:val="none"/>
        </w:rPr>
      </w:pPr>
    </w:p>
    <w:p>
      <w:pPr>
        <w:kinsoku/>
        <w:wordWrap w:val="0"/>
        <w:overflowPunct/>
        <w:topLinePunct w:val="0"/>
        <w:bidi w:val="0"/>
        <w:spacing w:before="120" w:line="22" w:lineRule="atLeast"/>
        <w:ind w:firstLine="1440" w:firstLineChars="60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签订日期：</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日</w:t>
      </w: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sectPr>
          <w:pgSz w:w="11907" w:h="16840"/>
          <w:pgMar w:top="1474" w:right="1814" w:bottom="1474" w:left="1814" w:header="851" w:footer="851" w:gutter="0"/>
          <w:pgNumType w:fmt="decimal"/>
          <w:cols w:space="720" w:num="1"/>
        </w:sectPr>
      </w:pPr>
    </w:p>
    <w:p>
      <w:pPr>
        <w:kinsoku/>
        <w:wordWrap w:val="0"/>
        <w:overflowPunct/>
        <w:topLinePunct w:val="0"/>
        <w:bidi w:val="0"/>
        <w:rPr>
          <w:rFonts w:hint="eastAsia" w:ascii="仿宋_GB2312" w:hAnsi="仿宋_GB2312" w:eastAsia="仿宋_GB2312" w:cs="仿宋_GB2312"/>
          <w:b/>
          <w:color w:val="auto"/>
          <w:sz w:val="24"/>
          <w:highlight w:val="none"/>
        </w:rPr>
      </w:pP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lang w:val="zh-CN"/>
        </w:rPr>
        <w:t xml:space="preserve">        </w:t>
      </w:r>
      <w:r>
        <w:rPr>
          <w:rFonts w:hint="eastAsia" w:ascii="仿宋_GB2312" w:hAnsi="仿宋_GB2312" w:eastAsia="仿宋_GB2312" w:cs="仿宋_GB2312"/>
          <w:color w:val="auto"/>
          <w:sz w:val="24"/>
          <w:highlight w:val="none"/>
          <w:lang w:val="zh-CN"/>
        </w:rPr>
        <w:t>年</w:t>
      </w:r>
      <w:r>
        <w:rPr>
          <w:rFonts w:hint="eastAsia" w:ascii="仿宋_GB2312" w:hAnsi="仿宋_GB2312" w:eastAsia="仿宋_GB2312" w:cs="仿宋_GB2312"/>
          <w:color w:val="auto"/>
          <w:sz w:val="24"/>
          <w:highlight w:val="none"/>
          <w:u w:val="single"/>
          <w:lang w:val="zh-CN"/>
        </w:rPr>
        <w:t xml:space="preserve">    </w:t>
      </w:r>
      <w:r>
        <w:rPr>
          <w:rFonts w:hint="eastAsia" w:ascii="仿宋_GB2312" w:hAnsi="仿宋_GB2312" w:eastAsia="仿宋_GB2312" w:cs="仿宋_GB2312"/>
          <w:color w:val="auto"/>
          <w:sz w:val="24"/>
          <w:highlight w:val="none"/>
          <w:lang w:val="zh-CN"/>
        </w:rPr>
        <w:t>月</w:t>
      </w:r>
      <w:r>
        <w:rPr>
          <w:rFonts w:hint="eastAsia" w:ascii="仿宋_GB2312" w:hAnsi="仿宋_GB2312" w:eastAsia="仿宋_GB2312" w:cs="仿宋_GB2312"/>
          <w:color w:val="auto"/>
          <w:sz w:val="24"/>
          <w:highlight w:val="none"/>
          <w:u w:val="single"/>
          <w:lang w:val="zh-CN"/>
        </w:rPr>
        <w:t xml:space="preserve">    </w:t>
      </w:r>
      <w:r>
        <w:rPr>
          <w:rFonts w:hint="eastAsia" w:ascii="仿宋_GB2312" w:hAnsi="仿宋_GB2312" w:eastAsia="仿宋_GB2312" w:cs="仿宋_GB2312"/>
          <w:color w:val="auto"/>
          <w:sz w:val="24"/>
          <w:highlight w:val="none"/>
          <w:lang w:val="zh-CN"/>
        </w:rPr>
        <w:t>日</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绍兴市人力资源和社会保障局</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以</w:t>
      </w:r>
      <w:r>
        <w:rPr>
          <w:rFonts w:hint="eastAsia" w:ascii="仿宋_GB2312" w:hAnsi="仿宋_GB2312" w:eastAsia="仿宋_GB2312" w:cs="仿宋_GB2312"/>
          <w:color w:val="auto"/>
          <w:sz w:val="24"/>
          <w:highlight w:val="none"/>
          <w:u w:val="single"/>
        </w:rPr>
        <w:t xml:space="preserve">   （政府采购方式）  </w:t>
      </w:r>
      <w:r>
        <w:rPr>
          <w:rFonts w:hint="eastAsia" w:ascii="仿宋_GB2312" w:hAnsi="仿宋_GB2312" w:eastAsia="仿宋_GB2312" w:cs="仿宋_GB2312"/>
          <w:color w:val="auto"/>
          <w:sz w:val="24"/>
          <w:highlight w:val="none"/>
        </w:rPr>
        <w:t>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项目进行了采购。经</w:t>
      </w:r>
      <w:r>
        <w:rPr>
          <w:rFonts w:hint="eastAsia" w:ascii="仿宋_GB2312" w:hAnsi="仿宋_GB2312" w:eastAsia="仿宋_GB2312" w:cs="仿宋_GB2312"/>
          <w:color w:val="auto"/>
          <w:sz w:val="24"/>
          <w:highlight w:val="none"/>
          <w:u w:val="single"/>
        </w:rPr>
        <w:t xml:space="preserve">   （相关评定主体名称）   </w:t>
      </w:r>
      <w:r>
        <w:rPr>
          <w:rFonts w:hint="eastAsia" w:ascii="仿宋_GB2312" w:hAnsi="仿宋_GB2312" w:eastAsia="仿宋_GB2312" w:cs="仿宋_GB2312"/>
          <w:color w:val="auto"/>
          <w:sz w:val="24"/>
          <w:highlight w:val="none"/>
        </w:rPr>
        <w:t>评定，</w:t>
      </w:r>
      <w:r>
        <w:rPr>
          <w:rFonts w:hint="eastAsia" w:ascii="仿宋_GB2312" w:hAnsi="仿宋_GB2312" w:eastAsia="仿宋_GB2312" w:cs="仿宋_GB2312"/>
          <w:color w:val="auto"/>
          <w:sz w:val="24"/>
          <w:highlight w:val="none"/>
          <w:u w:val="single"/>
        </w:rPr>
        <w:t xml:space="preserve">   （中标或者成交供应商名称） </w:t>
      </w:r>
      <w:r>
        <w:rPr>
          <w:rFonts w:hint="eastAsia" w:ascii="仿宋_GB2312" w:hAnsi="仿宋_GB2312" w:eastAsia="仿宋_GB2312" w:cs="仿宋_GB2312"/>
          <w:color w:val="auto"/>
          <w:sz w:val="24"/>
          <w:highlight w:val="none"/>
        </w:rPr>
        <w:t>为该项目中标或者成交供应商。现于中标或者成交通知书发出之日起</w:t>
      </w:r>
      <w:r>
        <w:rPr>
          <w:rFonts w:hint="eastAsia" w:ascii="仿宋_GB2312" w:hAnsi="仿宋_GB2312" w:eastAsia="仿宋_GB2312" w:cs="仿宋_GB2312"/>
          <w:color w:val="auto"/>
          <w:sz w:val="24"/>
          <w:highlight w:val="none"/>
          <w:lang w:val="en-US" w:eastAsia="zh-CN"/>
        </w:rPr>
        <w:t>30</w:t>
      </w:r>
      <w:r>
        <w:rPr>
          <w:rFonts w:hint="eastAsia" w:ascii="仿宋_GB2312" w:hAnsi="仿宋_GB2312" w:eastAsia="仿宋_GB2312" w:cs="仿宋_GB2312"/>
          <w:color w:val="auto"/>
          <w:sz w:val="24"/>
          <w:highlight w:val="none"/>
        </w:rPr>
        <w:t>日内，按照采购文件确定的事项签订本合同。</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zh-CN"/>
        </w:rPr>
        <w:t>根据《中华人民共和国民法典》《中华人民共和国政府采购法》等相关法律法规之规定，按照平等、自愿、公平和诚实信用的原则，经</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绍兴市人力资源和社会保障局</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lang w:val="zh-CN"/>
        </w:rPr>
        <w:t>(以下简称：甲方)和</w:t>
      </w:r>
      <w:r>
        <w:rPr>
          <w:rFonts w:hint="eastAsia" w:ascii="仿宋_GB2312" w:hAnsi="仿宋_GB2312" w:eastAsia="仿宋_GB2312" w:cs="仿宋_GB2312"/>
          <w:color w:val="auto"/>
          <w:sz w:val="24"/>
          <w:highlight w:val="none"/>
          <w:u w:val="single"/>
        </w:rPr>
        <w:t xml:space="preserve">   （中或者成交标供应商名称）   </w:t>
      </w:r>
      <w:r>
        <w:rPr>
          <w:rFonts w:hint="eastAsia" w:ascii="仿宋_GB2312" w:hAnsi="仿宋_GB2312" w:eastAsia="仿宋_GB2312" w:cs="仿宋_GB2312"/>
          <w:color w:val="auto"/>
          <w:sz w:val="24"/>
          <w:highlight w:val="none"/>
          <w:lang w:val="zh-CN"/>
        </w:rPr>
        <w:t>(以下简称：乙方)协商一致，约定以下合同</w:t>
      </w:r>
      <w:r>
        <w:rPr>
          <w:rFonts w:hint="eastAsia" w:ascii="仿宋_GB2312" w:hAnsi="仿宋_GB2312" w:eastAsia="仿宋_GB2312" w:cs="仿宋_GB2312"/>
          <w:color w:val="auto"/>
          <w:sz w:val="24"/>
          <w:highlight w:val="none"/>
        </w:rPr>
        <w:t>条款，以兹共同遵守、全面履行。</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color w:val="auto"/>
          <w:sz w:val="24"/>
          <w:highlight w:val="none"/>
        </w:rPr>
      </w:pPr>
      <w:bookmarkStart w:id="64" w:name="_Toc19273"/>
      <w:bookmarkStart w:id="65" w:name="_Toc22967"/>
      <w:bookmarkStart w:id="66" w:name="_Toc28855"/>
      <w:bookmarkStart w:id="67" w:name="_Toc15367"/>
      <w:bookmarkStart w:id="68" w:name="_Toc20421"/>
      <w:r>
        <w:rPr>
          <w:rFonts w:hint="eastAsia" w:ascii="仿宋_GB2312" w:hAnsi="仿宋_GB2312" w:eastAsia="仿宋_GB2312" w:cs="仿宋_GB2312"/>
          <w:b/>
          <w:color w:val="auto"/>
          <w:sz w:val="24"/>
          <w:highlight w:val="none"/>
        </w:rPr>
        <w:t>1.1 合同组成部分</w:t>
      </w:r>
      <w:bookmarkEnd w:id="64"/>
      <w:bookmarkEnd w:id="65"/>
      <w:bookmarkEnd w:id="66"/>
      <w:bookmarkEnd w:id="67"/>
      <w:bookmarkEnd w:id="68"/>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1.1.1 本合同及其补充合同、变更协议；</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1.1.2 中标或者成交通知书；</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1.1.3 投标或者响应文件（含澄清或者说明文件）；</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1.1.4 采购文件（含澄清或者修改文件）；</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1.1.5 其他相关采购文件。</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bookmarkStart w:id="69" w:name="_Toc22185"/>
      <w:bookmarkStart w:id="70" w:name="_Toc2918"/>
      <w:bookmarkStart w:id="71" w:name="_Toc6311"/>
      <w:bookmarkStart w:id="72" w:name="_Toc18585"/>
      <w:bookmarkStart w:id="73" w:name="_Toc6773"/>
      <w:r>
        <w:rPr>
          <w:rFonts w:hint="eastAsia" w:ascii="仿宋_GB2312" w:hAnsi="仿宋_GB2312" w:eastAsia="仿宋_GB2312" w:cs="仿宋_GB2312"/>
          <w:b/>
          <w:color w:val="auto"/>
          <w:sz w:val="24"/>
          <w:highlight w:val="none"/>
        </w:rPr>
        <w:t>1.2 标的</w:t>
      </w:r>
      <w:bookmarkEnd w:id="69"/>
      <w:bookmarkEnd w:id="70"/>
      <w:bookmarkEnd w:id="71"/>
      <w:bookmarkEnd w:id="72"/>
      <w:bookmarkEnd w:id="73"/>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1.2.1 服务内容：</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1.2.2 服务标准：</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1.2.3 技术保障：</w:t>
      </w:r>
      <w:r>
        <w:rPr>
          <w:rFonts w:hint="eastAsia" w:ascii="仿宋_GB2312" w:hAnsi="仿宋_GB2312" w:eastAsia="仿宋_GB2312" w:cs="仿宋_GB2312"/>
          <w:color w:val="auto"/>
          <w:sz w:val="24"/>
          <w:highlight w:val="none"/>
          <w:u w:val="single"/>
        </w:rPr>
        <w:t>　　　　　　　　　                      　      ；</w:t>
      </w:r>
    </w:p>
    <w:p>
      <w:pPr>
        <w:pageBreakBefore w:val="0"/>
        <w:kinsoku/>
        <w:wordWrap w:val="0"/>
        <w:overflowPunct/>
        <w:topLinePunct w:val="0"/>
        <w:autoSpaceDE/>
        <w:autoSpaceDN/>
        <w:bidi w:val="0"/>
        <w:snapToGrid/>
        <w:spacing w:line="440" w:lineRule="exact"/>
        <w:ind w:left="0" w:leftChars="0" w:right="0" w:rightChars="0"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1.2.4 服务人员组成：</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1.2.5合同</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（是/否）涉及货物。若涉及货物的，则：</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bookmarkStart w:id="74" w:name="_Toc5635"/>
      <w:bookmarkStart w:id="75" w:name="_Toc1386"/>
      <w:bookmarkStart w:id="76" w:name="_Toc13918"/>
      <w:bookmarkStart w:id="77" w:name="_Toc4929"/>
      <w:bookmarkStart w:id="78" w:name="_Toc21124"/>
      <w:r>
        <w:rPr>
          <w:rFonts w:hint="eastAsia" w:ascii="仿宋_GB2312" w:hAnsi="仿宋_GB2312" w:eastAsia="仿宋_GB2312" w:cs="仿宋_GB2312"/>
          <w:color w:val="auto"/>
          <w:sz w:val="24"/>
          <w:highlight w:val="none"/>
        </w:rPr>
        <w:t>1.2.5.1 货物名称、品牌、规格型号、花色：</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1.2.5.2 货物数量：</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1.2.5.3 货物质量：</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1.3 价款</w:t>
      </w:r>
      <w:bookmarkEnd w:id="74"/>
      <w:bookmarkEnd w:id="75"/>
      <w:bookmarkEnd w:id="76"/>
      <w:bookmarkEnd w:id="77"/>
      <w:bookmarkEnd w:id="78"/>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本项目采用以下第</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条款规定的计价方式计价。</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1.3.1总价合同，本合同总价（含税）为：￥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元（大写：</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元人民币）。</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序号</w:t>
            </w:r>
          </w:p>
        </w:tc>
        <w:tc>
          <w:tcPr>
            <w:tcW w:w="340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分项名称</w:t>
            </w: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340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340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340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340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总价</w:t>
            </w:r>
          </w:p>
        </w:tc>
        <w:tc>
          <w:tcPr>
            <w:tcW w:w="2552" w:type="dxa"/>
            <w:vAlign w:val="center"/>
          </w:tcPr>
          <w:p>
            <w:pPr>
              <w:pStyle w:val="319"/>
              <w:pageBreakBefore w:val="0"/>
              <w:kinsoku/>
              <w:wordWrap w:val="0"/>
              <w:overflowPunct/>
              <w:topLinePunct w:val="0"/>
              <w:autoSpaceDE/>
              <w:autoSpaceDN/>
              <w:bidi w:val="0"/>
              <w:snapToGrid/>
              <w:spacing w:line="440" w:lineRule="exact"/>
              <w:ind w:left="0" w:leftChars="0" w:right="0" w:rightChars="0" w:firstLine="480" w:firstLineChars="200"/>
              <w:jc w:val="center"/>
              <w:textAlignment w:val="auto"/>
              <w:rPr>
                <w:rFonts w:hint="eastAsia" w:ascii="仿宋_GB2312" w:hAnsi="仿宋_GB2312" w:eastAsia="仿宋_GB2312" w:cs="仿宋_GB2312"/>
                <w:color w:val="auto"/>
                <w:sz w:val="24"/>
                <w:szCs w:val="24"/>
                <w:highlight w:val="none"/>
              </w:rPr>
            </w:pPr>
          </w:p>
        </w:tc>
      </w:tr>
    </w:tbl>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bookmarkStart w:id="79" w:name="_Toc14993"/>
      <w:bookmarkStart w:id="80" w:name="_Toc30158"/>
      <w:bookmarkStart w:id="81" w:name="_Toc26916"/>
      <w:bookmarkStart w:id="82" w:name="_Toc3654"/>
      <w:bookmarkStart w:id="83" w:name="_Toc30506"/>
      <w:r>
        <w:rPr>
          <w:rFonts w:hint="eastAsia" w:ascii="仿宋_GB2312" w:hAnsi="仿宋_GB2312" w:eastAsia="仿宋_GB2312" w:cs="仿宋_GB2312"/>
          <w:bCs/>
          <w:color w:val="auto"/>
          <w:sz w:val="24"/>
          <w:highlight w:val="none"/>
        </w:rPr>
        <w:t>1.3.2单价合同，本合同单价（含税）标准为：</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color w:val="auto"/>
          <w:sz w:val="24"/>
          <w:highlight w:val="none"/>
        </w:rPr>
        <w:t>。服务工作量的计量方式为：</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color w:val="auto"/>
          <w:sz w:val="24"/>
          <w:highlight w:val="none"/>
        </w:rPr>
        <w:t>。单价合同，在合同履行期间内，根据实际完成的工作量据实结算，但结算总价上限不得超过预算金额或者双方确定的金额￥</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元（大写：</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元人民币）。</w:t>
      </w:r>
    </w:p>
    <w:p>
      <w:pPr>
        <w:pStyle w:val="7"/>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b w:val="0"/>
          <w:bCs w:val="0"/>
          <w:color w:val="auto"/>
          <w:sz w:val="24"/>
          <w:highlight w:val="none"/>
          <w:lang w:val="en-US"/>
        </w:rPr>
        <w:t>1.3.3其他计价方式：</w:t>
      </w:r>
      <w:r>
        <w:rPr>
          <w:rFonts w:hint="eastAsia" w:ascii="仿宋_GB2312" w:hAnsi="仿宋_GB2312" w:eastAsia="仿宋_GB2312" w:cs="仿宋_GB2312"/>
          <w:b w:val="0"/>
          <w:bCs w:val="0"/>
          <w:color w:val="auto"/>
          <w:sz w:val="24"/>
          <w:highlight w:val="none"/>
          <w:u w:val="single"/>
          <w:lang w:val="en-US"/>
        </w:rPr>
        <w:t xml:space="preserve">                   </w:t>
      </w:r>
      <w:r>
        <w:rPr>
          <w:rFonts w:hint="eastAsia" w:ascii="仿宋_GB2312" w:hAnsi="仿宋_GB2312" w:eastAsia="仿宋_GB2312" w:cs="仿宋_GB2312"/>
          <w:b w:val="0"/>
          <w:bCs w:val="0"/>
          <w:color w:val="auto"/>
          <w:sz w:val="24"/>
          <w:highlight w:val="none"/>
        </w:rPr>
        <w:t>。</w:t>
      </w:r>
    </w:p>
    <w:bookmarkEnd w:id="79"/>
    <w:bookmarkEnd w:id="80"/>
    <w:bookmarkEnd w:id="81"/>
    <w:bookmarkEnd w:id="82"/>
    <w:bookmarkEnd w:id="83"/>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_GB2312" w:hAnsi="仿宋_GB2312" w:eastAsia="仿宋_GB2312" w:cs="仿宋_GB2312"/>
          <w:b/>
          <w:color w:val="auto"/>
          <w:highlight w:val="none"/>
        </w:rPr>
      </w:pPr>
      <w:bookmarkStart w:id="84" w:name="_Toc10340"/>
      <w:bookmarkStart w:id="85" w:name="_Toc22618"/>
      <w:bookmarkStart w:id="86" w:name="_Toc1814"/>
      <w:bookmarkStart w:id="87" w:name="_Toc3625"/>
      <w:bookmarkStart w:id="88" w:name="_Toc31421"/>
      <w:bookmarkStart w:id="89" w:name="_Toc8772"/>
      <w:bookmarkStart w:id="90" w:name="_Toc4760"/>
      <w:bookmarkStart w:id="91" w:name="_Toc11108"/>
      <w:r>
        <w:rPr>
          <w:rFonts w:hint="eastAsia" w:ascii="仿宋_GB2312" w:hAnsi="仿宋_GB2312" w:eastAsia="仿宋_GB2312" w:cs="仿宋_GB2312"/>
          <w:b/>
          <w:color w:val="auto"/>
          <w:highlight w:val="none"/>
        </w:rPr>
        <w:t>1.4履约保证金</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乙方</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（是/否）需要支付履约保证金。若需要支付履约保证金的，则：</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1.4.1履约保证金的比例为合同金额的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1.4.2履约保证金支付方式详见</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w:t>
      </w:r>
    </w:p>
    <w:p>
      <w:pPr>
        <w:pStyle w:val="7"/>
        <w:pageBreakBefore w:val="0"/>
        <w:tabs>
          <w:tab w:val="left" w:pos="0"/>
        </w:tabs>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1.4.4甲方在项目验收结束后及时退还履约保证金。甲方在项目通过验收之日起</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u w:val="single"/>
          <w:lang w:val="en-US" w:eastAsia="zh-CN"/>
        </w:rPr>
        <w:t xml:space="preserve">   </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%计算，最高限额为本合同履约保证金的</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u w:val="single"/>
          <w:lang w:val="en-US" w:eastAsia="zh-CN"/>
        </w:rPr>
        <w:t xml:space="preserve">  </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 xml:space="preserve"> %。</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1.5</w:t>
      </w:r>
      <w:bookmarkEnd w:id="84"/>
      <w:bookmarkEnd w:id="85"/>
      <w:bookmarkEnd w:id="86"/>
      <w:r>
        <w:rPr>
          <w:rFonts w:hint="eastAsia" w:ascii="仿宋_GB2312" w:hAnsi="仿宋_GB2312" w:eastAsia="仿宋_GB2312" w:cs="仿宋_GB2312"/>
          <w:b/>
          <w:color w:val="auto"/>
          <w:sz w:val="24"/>
          <w:highlight w:val="none"/>
        </w:rPr>
        <w:t>预付款</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甲方</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（是/否）需要支付预付款。若需要支付预付款的，则：</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1.5.1预付款比例、支付方式、时间详见</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1.5.2预付款的扣回方式详见</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b/>
          <w:i/>
          <w:color w:val="auto"/>
          <w:highlight w:val="none"/>
          <w:u w:val="single"/>
        </w:rPr>
        <w:t>合同专用条款</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rPr>
        <w:t>1.5.3预付款的担保措施详见</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b/>
          <w:i/>
          <w:color w:val="auto"/>
          <w:highlight w:val="none"/>
          <w:u w:val="single"/>
        </w:rPr>
        <w:t>合同专用条款</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highlight w:val="none"/>
        </w:rPr>
        <w:t>。</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_GB2312" w:hAnsi="仿宋_GB2312" w:eastAsia="仿宋_GB2312" w:cs="仿宋_GB2312"/>
          <w:b/>
          <w:bCs/>
          <w:color w:val="auto"/>
          <w:highlight w:val="none"/>
        </w:rPr>
      </w:pPr>
      <w:r>
        <w:rPr>
          <w:rFonts w:hint="eastAsia" w:ascii="仿宋_GB2312" w:hAnsi="仿宋_GB2312" w:eastAsia="仿宋_GB2312" w:cs="仿宋_GB2312"/>
          <w:b/>
          <w:bCs/>
          <w:color w:val="auto"/>
          <w:highlight w:val="none"/>
        </w:rPr>
        <w:t>1.6资金支付</w:t>
      </w:r>
    </w:p>
    <w:p>
      <w:pPr>
        <w:pStyle w:val="959"/>
        <w:pageBreakBefore w:val="0"/>
        <w:kinsoku/>
        <w:wordWrap w:val="0"/>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1.6.1甲方应严格履行合同，及时组织验收，验收合格后及时将合同款支付完毕。对于满足合同约定支付条件的，甲方自收到发票后</w:t>
      </w:r>
      <w:r>
        <w:rPr>
          <w:rFonts w:hint="eastAsia" w:ascii="仿宋_GB2312" w:hAnsi="仿宋_GB2312" w:eastAsia="仿宋_GB2312" w:cs="仿宋_GB2312"/>
          <w:color w:val="auto"/>
          <w:highlight w:val="none"/>
          <w:lang w:val="en-US" w:eastAsia="zh-CN"/>
        </w:rPr>
        <w:t>7</w:t>
      </w:r>
      <w:r>
        <w:rPr>
          <w:rFonts w:hint="eastAsia" w:ascii="仿宋_GB2312" w:hAnsi="仿宋_GB2312" w:eastAsia="仿宋_GB2312" w:cs="仿宋_GB2312"/>
          <w:color w:val="auto"/>
          <w:highlight w:val="none"/>
        </w:rPr>
        <w:t>个工作日内将资金支付到合同约定的乙方账户，有条件的甲方可以即时支付。甲方不得以机构变动、人员更替、政策调整、单位放假等为由延迟付款。</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1.6.2资金支付的方式、时间和条件详见</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1.7 履行期限、地点和方式</w:t>
      </w:r>
      <w:bookmarkEnd w:id="87"/>
      <w:bookmarkEnd w:id="88"/>
      <w:bookmarkEnd w:id="89"/>
      <w:bookmarkEnd w:id="90"/>
      <w:bookmarkEnd w:id="91"/>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1.7.1 服务交付（实施）的时间（期限）：</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1.7.2 服务交付（实施）的地点（地域范围）：</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1.7.3 服务交付（实施）的方式：</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outlineLvl w:val="0"/>
        <w:rPr>
          <w:rFonts w:hint="eastAsia" w:ascii="仿宋_GB2312" w:hAnsi="仿宋_GB2312" w:eastAsia="仿宋_GB2312" w:cs="仿宋_GB2312"/>
          <w:bCs/>
          <w:color w:val="auto"/>
          <w:sz w:val="24"/>
          <w:highlight w:val="none"/>
        </w:rPr>
      </w:pPr>
      <w:bookmarkStart w:id="92" w:name="_Toc3079"/>
      <w:bookmarkStart w:id="93" w:name="_Toc2375"/>
      <w:bookmarkStart w:id="94" w:name="_Toc5698"/>
      <w:bookmarkStart w:id="95" w:name="_Toc24662"/>
      <w:bookmarkStart w:id="96" w:name="_Toc8586"/>
      <w:r>
        <w:rPr>
          <w:rFonts w:hint="eastAsia" w:ascii="仿宋_GB2312" w:hAnsi="仿宋_GB2312" w:eastAsia="仿宋_GB2312" w:cs="仿宋_GB2312"/>
          <w:bCs/>
          <w:color w:val="auto"/>
          <w:sz w:val="24"/>
          <w:highlight w:val="none"/>
        </w:rPr>
        <w:t>1.7.4若服务涉及货物的，则货物的：</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1.7.4.1 交付期限：详见</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1.7.4.2 交付地点：</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1.7.4.3 交付方式：</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1.8违约责任</w:t>
      </w:r>
      <w:bookmarkEnd w:id="92"/>
      <w:bookmarkEnd w:id="93"/>
      <w:bookmarkEnd w:id="94"/>
      <w:bookmarkEnd w:id="95"/>
      <w:bookmarkEnd w:id="96"/>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%计算，最高限额为本合同总价的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%；迟延履行的违约金计算数额达到前述最高限额之日起，甲方有权在要求乙方支付违约金的同时，书面通知乙方解除本合同；</w:t>
      </w:r>
    </w:p>
    <w:p>
      <w:pPr>
        <w:pStyle w:val="7"/>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b w:val="0"/>
          <w:bCs w:val="0"/>
          <w:color w:val="auto"/>
          <w:sz w:val="24"/>
          <w:szCs w:val="24"/>
          <w:highlight w:val="none"/>
          <w:lang w:val="en-US"/>
        </w:rPr>
      </w:pPr>
      <w:r>
        <w:rPr>
          <w:rFonts w:hint="eastAsia" w:ascii="仿宋_GB2312" w:hAnsi="仿宋_GB2312" w:eastAsia="仿宋_GB2312" w:cs="仿宋_GB2312"/>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_GB2312" w:hAnsi="仿宋_GB2312" w:eastAsia="仿宋_GB2312" w:cs="仿宋_GB2312"/>
          <w:b w:val="0"/>
          <w:bCs w:val="0"/>
          <w:color w:val="auto"/>
          <w:sz w:val="24"/>
          <w:szCs w:val="24"/>
          <w:highlight w:val="none"/>
          <w:u w:val="single"/>
          <w:lang w:val="en-US"/>
        </w:rPr>
        <w:t xml:space="preserve"> </w:t>
      </w:r>
      <w:r>
        <w:rPr>
          <w:rFonts w:hint="eastAsia" w:ascii="仿宋_GB2312" w:hAnsi="仿宋_GB2312" w:eastAsia="仿宋_GB2312" w:cs="仿宋_GB2312"/>
          <w:b w:val="0"/>
          <w:bCs w:val="0"/>
          <w:color w:val="auto"/>
          <w:sz w:val="24"/>
          <w:szCs w:val="24"/>
          <w:highlight w:val="none"/>
          <w:u w:val="single"/>
          <w:lang w:val="en-US" w:eastAsia="zh-CN"/>
        </w:rPr>
        <w:t xml:space="preserve">     </w:t>
      </w:r>
      <w:r>
        <w:rPr>
          <w:rFonts w:hint="eastAsia" w:ascii="仿宋_GB2312" w:hAnsi="仿宋_GB2312" w:eastAsia="仿宋_GB2312" w:cs="仿宋_GB2312"/>
          <w:b w:val="0"/>
          <w:bCs w:val="0"/>
          <w:color w:val="auto"/>
          <w:sz w:val="24"/>
          <w:szCs w:val="24"/>
          <w:highlight w:val="none"/>
          <w:u w:val="single"/>
          <w:lang w:val="en-US"/>
        </w:rPr>
        <w:t xml:space="preserve"> </w:t>
      </w:r>
      <w:r>
        <w:rPr>
          <w:rFonts w:hint="eastAsia" w:ascii="仿宋_GB2312" w:hAnsi="仿宋_GB2312" w:eastAsia="仿宋_GB2312" w:cs="仿宋_GB2312"/>
          <w:b w:val="0"/>
          <w:bCs w:val="0"/>
          <w:color w:val="auto"/>
          <w:sz w:val="24"/>
          <w:szCs w:val="24"/>
          <w:highlight w:val="none"/>
          <w:lang w:val="en-US"/>
        </w:rPr>
        <w:t>%计算，最高限额为本合同总价的</w:t>
      </w:r>
      <w:r>
        <w:rPr>
          <w:rFonts w:hint="eastAsia" w:ascii="仿宋_GB2312" w:hAnsi="仿宋_GB2312" w:eastAsia="仿宋_GB2312" w:cs="仿宋_GB2312"/>
          <w:b w:val="0"/>
          <w:bCs w:val="0"/>
          <w:color w:val="auto"/>
          <w:sz w:val="24"/>
          <w:szCs w:val="24"/>
          <w:highlight w:val="none"/>
          <w:u w:val="single"/>
          <w:lang w:val="en-US"/>
        </w:rPr>
        <w:t xml:space="preserve"> </w:t>
      </w:r>
      <w:r>
        <w:rPr>
          <w:rFonts w:hint="eastAsia" w:ascii="仿宋_GB2312" w:hAnsi="仿宋_GB2312" w:eastAsia="仿宋_GB2312" w:cs="仿宋_GB2312"/>
          <w:b w:val="0"/>
          <w:bCs w:val="0"/>
          <w:color w:val="auto"/>
          <w:sz w:val="24"/>
          <w:szCs w:val="24"/>
          <w:highlight w:val="none"/>
          <w:u w:val="single"/>
          <w:lang w:val="en-US" w:eastAsia="zh-CN"/>
        </w:rPr>
        <w:t xml:space="preserve">   </w:t>
      </w:r>
      <w:r>
        <w:rPr>
          <w:rFonts w:hint="eastAsia" w:ascii="仿宋_GB2312" w:hAnsi="仿宋_GB2312" w:eastAsia="仿宋_GB2312" w:cs="仿宋_GB2312"/>
          <w:b w:val="0"/>
          <w:bCs w:val="0"/>
          <w:color w:val="auto"/>
          <w:sz w:val="24"/>
          <w:szCs w:val="24"/>
          <w:highlight w:val="none"/>
          <w:u w:val="single"/>
          <w:lang w:val="en-US"/>
        </w:rPr>
        <w:t xml:space="preserve"> </w:t>
      </w:r>
      <w:r>
        <w:rPr>
          <w:rFonts w:hint="eastAsia" w:ascii="仿宋_GB2312" w:hAnsi="仿宋_GB2312" w:eastAsia="仿宋_GB2312" w:cs="仿宋_GB2312"/>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%计算，最高限额为本合同总价的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%；迟延付款的违约金计算数额达到前述最高限额之日起，乙方有权在要求甲方支付违约金的同时，书面通知甲方解除本合同；</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bookmarkStart w:id="97" w:name="_Toc32454"/>
      <w:bookmarkStart w:id="98" w:name="_Toc9497"/>
      <w:bookmarkStart w:id="99" w:name="_Toc26807"/>
      <w:bookmarkStart w:id="100" w:name="_Toc18683"/>
      <w:bookmarkStart w:id="101" w:name="_Toc30329"/>
      <w:r>
        <w:rPr>
          <w:rFonts w:hint="eastAsia" w:ascii="仿宋_GB2312" w:hAnsi="仿宋_GB2312" w:eastAsia="仿宋_GB2312" w:cs="仿宋_GB2312"/>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1.8.7违约责任</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另有约定的，从其约定。</w:t>
      </w:r>
    </w:p>
    <w:bookmarkEnd w:id="97"/>
    <w:bookmarkEnd w:id="98"/>
    <w:bookmarkEnd w:id="99"/>
    <w:bookmarkEnd w:id="100"/>
    <w:bookmarkEnd w:id="101"/>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bookmarkStart w:id="102" w:name="_Toc28375"/>
      <w:bookmarkStart w:id="103" w:name="_Toc16021"/>
      <w:bookmarkStart w:id="104" w:name="_Toc15583"/>
      <w:r>
        <w:rPr>
          <w:rFonts w:hint="eastAsia" w:ascii="仿宋_GB2312" w:hAnsi="仿宋_GB2312" w:eastAsia="仿宋_GB2312" w:cs="仿宋_GB2312"/>
          <w:b/>
          <w:color w:val="auto"/>
          <w:sz w:val="24"/>
          <w:highlight w:val="none"/>
        </w:rPr>
        <w:t>1.9合同争议的解决</w:t>
      </w:r>
      <w:bookmarkEnd w:id="102"/>
      <w:bookmarkEnd w:id="103"/>
      <w:bookmarkEnd w:id="104"/>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本合同履行过程中发生的任何争议，双方当事人均可通过和解或者调解解决；不愿和解、调解或者和解、调解不成的，将争议提交绍兴仲裁委员会仲裁。</w:t>
      </w:r>
    </w:p>
    <w:p>
      <w:pPr>
        <w:pageBreakBefore w:val="0"/>
        <w:kinsoku/>
        <w:wordWrap w:val="0"/>
        <w:overflowPunct/>
        <w:topLinePunct w:val="0"/>
        <w:autoSpaceDE/>
        <w:autoSpaceDN/>
        <w:bidi w:val="0"/>
        <w:snapToGrid/>
        <w:spacing w:line="440" w:lineRule="exact"/>
        <w:ind w:left="0" w:leftChars="0" w:right="0" w:rightChars="0" w:firstLine="482" w:firstLineChars="200"/>
        <w:textAlignment w:val="auto"/>
        <w:outlineLvl w:val="0"/>
        <w:rPr>
          <w:rFonts w:hint="eastAsia" w:ascii="仿宋_GB2312" w:hAnsi="仿宋_GB2312" w:eastAsia="仿宋_GB2312" w:cs="仿宋_GB2312"/>
          <w:b/>
          <w:color w:val="auto"/>
          <w:sz w:val="24"/>
          <w:highlight w:val="none"/>
        </w:rPr>
      </w:pPr>
      <w:bookmarkStart w:id="105" w:name="_Toc11173"/>
      <w:bookmarkStart w:id="106" w:name="_Toc7245"/>
      <w:bookmarkStart w:id="107" w:name="_Toc15322"/>
      <w:r>
        <w:rPr>
          <w:rFonts w:hint="eastAsia" w:ascii="仿宋_GB2312" w:hAnsi="仿宋_GB2312" w:eastAsia="仿宋_GB2312" w:cs="仿宋_GB2312"/>
          <w:b/>
          <w:color w:val="auto"/>
          <w:sz w:val="24"/>
          <w:highlight w:val="none"/>
        </w:rPr>
        <w:t>2.0 合同生效</w:t>
      </w:r>
      <w:bookmarkEnd w:id="105"/>
      <w:bookmarkEnd w:id="106"/>
      <w:bookmarkEnd w:id="107"/>
    </w:p>
    <w:p>
      <w:pPr>
        <w:pageBreakBefore w:val="0"/>
        <w:kinsoku/>
        <w:wordWrap w:val="0"/>
        <w:overflowPunct/>
        <w:topLinePunct w:val="0"/>
        <w:autoSpaceDE/>
        <w:autoSpaceDN/>
        <w:bidi w:val="0"/>
        <w:snapToGrid/>
        <w:spacing w:line="440" w:lineRule="exact"/>
        <w:ind w:left="0" w:leftChars="0" w:right="0" w:rightChars="0" w:firstLine="480" w:firstLineChars="20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rPr>
        <w:t>本合同自双方当事人盖章签字时生效。</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b/>
          <w:color w:val="auto"/>
          <w:sz w:val="24"/>
          <w:highlight w:val="none"/>
          <w:lang w:val="zh-CN"/>
        </w:rPr>
        <w:t>甲方</w:t>
      </w:r>
      <w:r>
        <w:rPr>
          <w:rFonts w:hint="eastAsia" w:ascii="仿宋_GB2312" w:hAnsi="仿宋_GB2312" w:eastAsia="仿宋_GB2312" w:cs="仿宋_GB2312"/>
          <w:color w:val="auto"/>
          <w:sz w:val="24"/>
          <w:highlight w:val="none"/>
          <w:lang w:val="zh-CN"/>
        </w:rPr>
        <w:t xml:space="preserve">：                             </w:t>
      </w:r>
      <w:r>
        <w:rPr>
          <w:rFonts w:hint="eastAsia" w:ascii="仿宋_GB2312" w:hAnsi="仿宋_GB2312" w:eastAsia="仿宋_GB2312" w:cs="仿宋_GB2312"/>
          <w:b/>
          <w:color w:val="auto"/>
          <w:sz w:val="24"/>
          <w:highlight w:val="none"/>
          <w:lang w:val="zh-CN"/>
        </w:rPr>
        <w:t xml:space="preserve">      乙方</w:t>
      </w:r>
      <w:r>
        <w:rPr>
          <w:rFonts w:hint="eastAsia" w:ascii="仿宋_GB2312" w:hAnsi="仿宋_GB2312" w:eastAsia="仿宋_GB2312" w:cs="仿宋_GB2312"/>
          <w:color w:val="auto"/>
          <w:sz w:val="24"/>
          <w:highlight w:val="none"/>
          <w:lang w:val="zh-CN"/>
        </w:rPr>
        <w:t>：</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统一社会信用代码：                       统一社会信用代码或身份证号码：</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住所：                                   住所：</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法定代表人或                             法定代表人或</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 xml:space="preserve">授权代表（签字）：                       授权代表（签字）: </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联系人：                                 联系人：</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约定送达地址：                           约定送达地址：</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邮政编码：                               邮政编码：</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 xml:space="preserve">电话:                                    电话: </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传真:                                    传真:</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zh-CN"/>
        </w:rPr>
        <w:t>电子邮箱：                               电子邮箱：</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开户银行：                               开户银行： </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开户名称：                               开户名称： </w:t>
      </w:r>
    </w:p>
    <w:p>
      <w:pPr>
        <w:pageBreakBefore w:val="0"/>
        <w:kinsoku/>
        <w:wordWrap w:val="0"/>
        <w:overflowPunct/>
        <w:topLinePunct w:val="0"/>
        <w:autoSpaceDE w:val="0"/>
        <w:autoSpaceDN w:val="0"/>
        <w:bidi w:val="0"/>
        <w:snapToGrid/>
        <w:spacing w:line="440" w:lineRule="exact"/>
        <w:ind w:left="0" w:leftChars="0" w:right="0" w:rightChars="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开户账号：</w:t>
      </w:r>
      <w:r>
        <w:rPr>
          <w:rFonts w:hint="eastAsia" w:ascii="仿宋_GB2312" w:hAnsi="仿宋_GB2312" w:eastAsia="仿宋_GB2312" w:cs="仿宋_GB2312"/>
          <w:color w:val="auto"/>
          <w:sz w:val="24"/>
          <w:highlight w:val="none"/>
          <w:lang w:val="zh-CN"/>
        </w:rPr>
        <w:t xml:space="preserve">                               </w:t>
      </w:r>
      <w:r>
        <w:rPr>
          <w:rFonts w:hint="eastAsia" w:ascii="仿宋_GB2312" w:hAnsi="仿宋_GB2312" w:eastAsia="仿宋_GB2312" w:cs="仿宋_GB2312"/>
          <w:color w:val="auto"/>
          <w:sz w:val="24"/>
          <w:highlight w:val="none"/>
        </w:rPr>
        <w:t>开户账号：</w:t>
      </w:r>
    </w:p>
    <w:p>
      <w:pPr>
        <w:widowControl/>
        <w:kinsoku/>
        <w:wordWrap w:val="0"/>
        <w:overflowPunct/>
        <w:topLinePunct w:val="0"/>
        <w:bidi w:val="0"/>
        <w:adjustRightInd/>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highlight w:val="none"/>
        </w:rPr>
        <w:br w:type="page"/>
      </w:r>
    </w:p>
    <w:p>
      <w:pPr>
        <w:pStyle w:val="701"/>
        <w:kinsoku/>
        <w:wordWrap w:val="0"/>
        <w:overflowPunct/>
        <w:topLinePunct w:val="0"/>
        <w:bidi w:val="0"/>
        <w:spacing w:line="560" w:lineRule="exact"/>
        <w:ind w:firstLine="482"/>
        <w:jc w:val="center"/>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第二部分 合同一般条款</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08" w:name="_Toc19680"/>
      <w:bookmarkStart w:id="109" w:name="_Toc25079"/>
      <w:bookmarkStart w:id="110" w:name="_Toc14021"/>
      <w:bookmarkStart w:id="111" w:name="_Toc5228"/>
      <w:bookmarkStart w:id="112" w:name="_Toc31297"/>
      <w:r>
        <w:rPr>
          <w:rFonts w:hint="eastAsia" w:ascii="仿宋_GB2312" w:hAnsi="仿宋_GB2312" w:eastAsia="仿宋_GB2312" w:cs="仿宋_GB2312"/>
          <w:b/>
          <w:color w:val="auto"/>
          <w:sz w:val="24"/>
          <w:highlight w:val="none"/>
        </w:rPr>
        <w:t>2.1 定义</w:t>
      </w:r>
      <w:bookmarkEnd w:id="108"/>
      <w:bookmarkEnd w:id="109"/>
      <w:bookmarkEnd w:id="110"/>
      <w:bookmarkEnd w:id="111"/>
      <w:bookmarkEnd w:id="112"/>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本合同中的下列词语应按以下内容进行解释：</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 “合同”系指采购人和中标或成交供应商签订的载明双方当事人所达成的协议，并包括所有的附件、附录和构成合同的其他文件。</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2.1.2 “合同价”系指根据合同约定，中标或成交供应商在完全履行合同义务后，采购人应支付给中标或成交供应商的价格。</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2.1.4 “甲方”系指与中标或成交供应商签署合同的采购人；采购人委托采购代理机构代表其与乙方签订合同的，采购人的授权委托书作为合同附件。</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2.1.6 “现场”系指合同约定提供服务的地点。</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13" w:name="_Toc16752"/>
      <w:bookmarkStart w:id="114" w:name="_Toc31402"/>
      <w:bookmarkStart w:id="115" w:name="_Toc23289"/>
      <w:bookmarkStart w:id="116" w:name="_Toc3769"/>
      <w:bookmarkStart w:id="117" w:name="_Toc19539"/>
      <w:r>
        <w:rPr>
          <w:rFonts w:hint="eastAsia" w:ascii="仿宋_GB2312" w:hAnsi="仿宋_GB2312" w:eastAsia="仿宋_GB2312" w:cs="仿宋_GB2312"/>
          <w:b/>
          <w:color w:val="auto"/>
          <w:sz w:val="24"/>
          <w:highlight w:val="none"/>
        </w:rPr>
        <w:t>2.2 技术规范</w:t>
      </w:r>
      <w:bookmarkEnd w:id="113"/>
      <w:bookmarkEnd w:id="114"/>
      <w:bookmarkEnd w:id="115"/>
      <w:bookmarkEnd w:id="116"/>
      <w:bookmarkEnd w:id="117"/>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18" w:name="_Toc13673"/>
      <w:bookmarkStart w:id="119" w:name="_Toc9161"/>
      <w:bookmarkStart w:id="120" w:name="_Toc27945"/>
      <w:bookmarkStart w:id="121" w:name="_Toc12412"/>
      <w:bookmarkStart w:id="122" w:name="_Toc4133"/>
      <w:r>
        <w:rPr>
          <w:rFonts w:hint="eastAsia" w:ascii="仿宋_GB2312" w:hAnsi="仿宋_GB2312" w:eastAsia="仿宋_GB2312" w:cs="仿宋_GB2312"/>
          <w:b/>
          <w:color w:val="auto"/>
          <w:sz w:val="24"/>
          <w:highlight w:val="none"/>
        </w:rPr>
        <w:t>2.3 知识产权</w:t>
      </w:r>
      <w:bookmarkEnd w:id="118"/>
      <w:bookmarkEnd w:id="119"/>
      <w:bookmarkEnd w:id="120"/>
      <w:bookmarkEnd w:id="121"/>
      <w:bookmarkEnd w:id="122"/>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2.3.2 合同涉及技术成果的归属和收益的分成办法的，详见</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kinsoku/>
        <w:wordWrap w:val="0"/>
        <w:overflowPunct/>
        <w:topLinePunct w:val="0"/>
        <w:bidi w:val="0"/>
        <w:spacing w:line="56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2.4 履约检查和问题反馈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2.4.2 合同履行期间，甲方有权将履行过程中出现的问题反馈给乙方，双方当事人应以书面形式约定需要完善和改进的内容。</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23" w:name="_Toc15447"/>
      <w:bookmarkStart w:id="124" w:name="_Toc31233"/>
      <w:bookmarkStart w:id="125" w:name="_Toc26555"/>
      <w:bookmarkStart w:id="126" w:name="_Toc22011"/>
      <w:bookmarkStart w:id="127" w:name="_Toc32670"/>
      <w:r>
        <w:rPr>
          <w:rFonts w:hint="eastAsia" w:ascii="仿宋_GB2312" w:hAnsi="仿宋_GB2312" w:eastAsia="仿宋_GB2312" w:cs="仿宋_GB2312"/>
          <w:b/>
          <w:color w:val="auto"/>
          <w:sz w:val="24"/>
          <w:highlight w:val="none"/>
        </w:rPr>
        <w:t>2.5 结算方式和付款条件</w:t>
      </w:r>
      <w:bookmarkEnd w:id="123"/>
      <w:bookmarkEnd w:id="124"/>
      <w:bookmarkEnd w:id="125"/>
      <w:bookmarkEnd w:id="126"/>
      <w:bookmarkEnd w:id="127"/>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详见</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28" w:name="_Toc13154"/>
      <w:bookmarkStart w:id="129" w:name="_Toc18990"/>
      <w:bookmarkStart w:id="130" w:name="_Toc13467"/>
      <w:bookmarkStart w:id="131" w:name="_Toc30507"/>
      <w:bookmarkStart w:id="132" w:name="_Toc16163"/>
      <w:r>
        <w:rPr>
          <w:rFonts w:hint="eastAsia" w:ascii="仿宋_GB2312" w:hAnsi="仿宋_GB2312" w:eastAsia="仿宋_GB2312" w:cs="仿宋_GB2312"/>
          <w:b/>
          <w:color w:val="auto"/>
          <w:sz w:val="24"/>
          <w:highlight w:val="none"/>
        </w:rPr>
        <w:t>2.6 技术资料和保密义务</w:t>
      </w:r>
      <w:bookmarkEnd w:id="128"/>
      <w:bookmarkEnd w:id="129"/>
      <w:bookmarkEnd w:id="130"/>
      <w:bookmarkEnd w:id="131"/>
      <w:bookmarkEnd w:id="132"/>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2.6.1 乙方有权依据合同约定和项目需要，向甲方了解有关情况，调阅有关资料等，甲方应予积极配合；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2.6.2 乙方有义务妥善保管和保护由甲方提供的前款信息和资料等；</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33" w:name="_Toc19069"/>
      <w:r>
        <w:rPr>
          <w:rFonts w:hint="eastAsia" w:ascii="仿宋_GB2312" w:hAnsi="仿宋_GB2312" w:eastAsia="仿宋_GB2312" w:cs="仿宋_GB2312"/>
          <w:b/>
          <w:color w:val="auto"/>
          <w:sz w:val="24"/>
          <w:highlight w:val="none"/>
        </w:rPr>
        <w:t>2.7 质量保证</w:t>
      </w:r>
      <w:bookmarkEnd w:id="133"/>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2.7.1 乙方应建立和完善履行合同的内部质量保证体系，并提供相关内部规章制度给甲方，以便甲方进行监督检查；</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2.7.2 乙方应保证履行合同的人员数量和素质、软件和硬件设备的配置、场地、环境和设施等满足全面履行合同的要求，并应接受甲方的监督检查。</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34" w:name="_Toc22267"/>
      <w:r>
        <w:rPr>
          <w:rFonts w:hint="eastAsia" w:ascii="仿宋_GB2312" w:hAnsi="仿宋_GB2312" w:eastAsia="仿宋_GB2312" w:cs="仿宋_GB2312"/>
          <w:b/>
          <w:color w:val="auto"/>
          <w:sz w:val="24"/>
          <w:highlight w:val="none"/>
        </w:rPr>
        <w:t>2.8 延迟履行</w:t>
      </w:r>
      <w:bookmarkEnd w:id="134"/>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35" w:name="_Toc10611"/>
      <w:r>
        <w:rPr>
          <w:rFonts w:hint="eastAsia" w:ascii="仿宋_GB2312" w:hAnsi="仿宋_GB2312" w:eastAsia="仿宋_GB2312" w:cs="仿宋_GB2312"/>
          <w:b/>
          <w:color w:val="auto"/>
          <w:sz w:val="24"/>
          <w:highlight w:val="none"/>
        </w:rPr>
        <w:t>2.9 合同变更</w:t>
      </w:r>
      <w:bookmarkEnd w:id="135"/>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36" w:name="_Toc42"/>
      <w:bookmarkStart w:id="137" w:name="_Toc23368"/>
      <w:bookmarkStart w:id="138" w:name="_Toc21830"/>
      <w:bookmarkStart w:id="139" w:name="_Toc26689"/>
      <w:bookmarkStart w:id="140" w:name="_Toc10663"/>
      <w:r>
        <w:rPr>
          <w:rFonts w:hint="eastAsia" w:ascii="仿宋_GB2312" w:hAnsi="仿宋_GB2312" w:eastAsia="仿宋_GB2312" w:cs="仿宋_GB2312"/>
          <w:b/>
          <w:color w:val="auto"/>
          <w:sz w:val="24"/>
          <w:highlight w:val="none"/>
        </w:rPr>
        <w:t>2.10 合同转让和分包</w:t>
      </w:r>
      <w:bookmarkEnd w:id="136"/>
      <w:bookmarkEnd w:id="137"/>
      <w:bookmarkEnd w:id="138"/>
      <w:bookmarkEnd w:id="139"/>
      <w:bookmarkEnd w:id="140"/>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41" w:name="_Toc26633"/>
      <w:bookmarkStart w:id="142" w:name="_Toc14371"/>
      <w:bookmarkStart w:id="143" w:name="_Toc32494"/>
      <w:bookmarkStart w:id="144" w:name="_Toc25571"/>
      <w:bookmarkStart w:id="145" w:name="_Toc4720"/>
      <w:r>
        <w:rPr>
          <w:rFonts w:hint="eastAsia" w:ascii="仿宋_GB2312" w:hAnsi="仿宋_GB2312" w:eastAsia="仿宋_GB2312" w:cs="仿宋_GB2312"/>
          <w:b/>
          <w:color w:val="auto"/>
          <w:sz w:val="24"/>
          <w:highlight w:val="none"/>
        </w:rPr>
        <w:t>2.11 不可抗力</w:t>
      </w:r>
      <w:bookmarkEnd w:id="141"/>
      <w:bookmarkEnd w:id="142"/>
      <w:bookmarkEnd w:id="143"/>
      <w:bookmarkEnd w:id="144"/>
      <w:bookmarkEnd w:id="145"/>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2.11.1如果任何一方遭遇法律规定的不可抗力，致使合同履行受阻时，履行合同的期限应予延长，延长的期限应相当于不可抗力所影响的时间；</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2.11.2 因不可抗力致使不能实现合同目的的，当事人可以解除合同；</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2.11.3 因不可抗力致使合同有变更必要的，双方当事人应在</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约定时间内以书面形式变更合同；</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2.11.4受不可抗力影响的一方在不可抗力发生后，应在</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约定时间内以书面形式通知对方当事人，并在</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约定时间内，将有关部门出具的证明文件送达对方当事人。</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46" w:name="_Toc3638"/>
      <w:bookmarkStart w:id="147" w:name="_Toc24465"/>
      <w:bookmarkStart w:id="148" w:name="_Toc23854"/>
      <w:bookmarkStart w:id="149" w:name="_Toc25783"/>
      <w:bookmarkStart w:id="150" w:name="_Toc14115"/>
      <w:r>
        <w:rPr>
          <w:rFonts w:hint="eastAsia" w:ascii="仿宋_GB2312" w:hAnsi="仿宋_GB2312" w:eastAsia="仿宋_GB2312" w:cs="仿宋_GB2312"/>
          <w:b/>
          <w:color w:val="auto"/>
          <w:sz w:val="24"/>
          <w:highlight w:val="none"/>
        </w:rPr>
        <w:t>2.12 税费</w:t>
      </w:r>
      <w:bookmarkEnd w:id="146"/>
      <w:bookmarkEnd w:id="147"/>
      <w:bookmarkEnd w:id="148"/>
      <w:bookmarkEnd w:id="149"/>
      <w:bookmarkEnd w:id="150"/>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与合同有关的一切税费，均按照中华人民共和国法律的相关规定缴纳。</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51" w:name="_Toc25525"/>
      <w:bookmarkStart w:id="152" w:name="_Toc7315"/>
      <w:bookmarkStart w:id="153" w:name="_Toc26883"/>
      <w:bookmarkStart w:id="154" w:name="_Toc14814"/>
      <w:bookmarkStart w:id="155" w:name="_Toc30105"/>
      <w:r>
        <w:rPr>
          <w:rFonts w:hint="eastAsia" w:ascii="仿宋_GB2312" w:hAnsi="仿宋_GB2312" w:eastAsia="仿宋_GB2312" w:cs="仿宋_GB2312"/>
          <w:b/>
          <w:color w:val="auto"/>
          <w:sz w:val="24"/>
          <w:highlight w:val="none"/>
        </w:rPr>
        <w:t>2.13 乙方破产</w:t>
      </w:r>
      <w:bookmarkEnd w:id="151"/>
      <w:bookmarkEnd w:id="152"/>
      <w:bookmarkEnd w:id="153"/>
      <w:bookmarkEnd w:id="154"/>
      <w:bookmarkEnd w:id="155"/>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56" w:name="_Toc23323"/>
      <w:bookmarkStart w:id="157" w:name="_Toc1123"/>
      <w:bookmarkStart w:id="158" w:name="_Toc2016"/>
      <w:r>
        <w:rPr>
          <w:rFonts w:hint="eastAsia" w:ascii="仿宋_GB2312" w:hAnsi="仿宋_GB2312" w:eastAsia="仿宋_GB2312" w:cs="仿宋_GB2312"/>
          <w:b/>
          <w:color w:val="auto"/>
          <w:sz w:val="24"/>
          <w:highlight w:val="none"/>
        </w:rPr>
        <w:t>2.14 合同中止、终止</w:t>
      </w:r>
      <w:bookmarkEnd w:id="156"/>
      <w:bookmarkEnd w:id="157"/>
      <w:bookmarkEnd w:id="158"/>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2.14.1 双方当事人不得擅自中止或者终止合同；</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59" w:name="_Toc17363"/>
      <w:bookmarkStart w:id="160" w:name="_Toc14525"/>
      <w:bookmarkStart w:id="161" w:name="_Toc1969"/>
      <w:r>
        <w:rPr>
          <w:rFonts w:hint="eastAsia" w:ascii="仿宋_GB2312" w:hAnsi="仿宋_GB2312" w:eastAsia="仿宋_GB2312" w:cs="仿宋_GB2312"/>
          <w:b/>
          <w:color w:val="auto"/>
          <w:sz w:val="24"/>
          <w:highlight w:val="none"/>
        </w:rPr>
        <w:t>2.15 检验和验收</w:t>
      </w:r>
      <w:bookmarkEnd w:id="159"/>
      <w:bookmarkEnd w:id="160"/>
      <w:bookmarkEnd w:id="161"/>
    </w:p>
    <w:p>
      <w:pPr>
        <w:tabs>
          <w:tab w:val="left" w:pos="360"/>
          <w:tab w:val="left" w:pos="540"/>
          <w:tab w:val="left" w:pos="1080"/>
        </w:tabs>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2.15.1 乙方按照</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的约定，定期提交服务报告，甲方按照</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的约定进行定期验收；</w:t>
      </w:r>
    </w:p>
    <w:p>
      <w:pPr>
        <w:tabs>
          <w:tab w:val="left" w:pos="360"/>
          <w:tab w:val="left" w:pos="540"/>
          <w:tab w:val="left" w:pos="1080"/>
        </w:tabs>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2.15.3 检验和验收标准、程序等具体内容以及前述验收书的效力详见</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i/>
          <w:color w:val="auto"/>
          <w:sz w:val="24"/>
          <w:highlight w:val="none"/>
        </w:rPr>
        <w:t>。</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62" w:name="_Toc31892"/>
      <w:bookmarkStart w:id="163" w:name="_Toc12666"/>
      <w:bookmarkStart w:id="164" w:name="_Toc25198"/>
      <w:bookmarkStart w:id="165" w:name="_Toc2308"/>
      <w:bookmarkStart w:id="166" w:name="_Toc9808"/>
      <w:r>
        <w:rPr>
          <w:rFonts w:hint="eastAsia" w:ascii="仿宋_GB2312" w:hAnsi="仿宋_GB2312" w:eastAsia="仿宋_GB2312" w:cs="仿宋_GB2312"/>
          <w:b/>
          <w:color w:val="auto"/>
          <w:sz w:val="24"/>
          <w:highlight w:val="none"/>
        </w:rPr>
        <w:t>2.16 通知和送达</w:t>
      </w:r>
      <w:bookmarkEnd w:id="162"/>
      <w:bookmarkEnd w:id="163"/>
      <w:bookmarkEnd w:id="164"/>
      <w:bookmarkEnd w:id="165"/>
      <w:bookmarkEnd w:id="166"/>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bookmarkStart w:id="167" w:name="_Toc27674"/>
      <w:bookmarkStart w:id="168" w:name="_Toc18401"/>
      <w:r>
        <w:rPr>
          <w:rFonts w:hint="eastAsia" w:ascii="仿宋_GB2312" w:hAnsi="仿宋_GB2312" w:eastAsia="仿宋_GB2312" w:cs="仿宋_GB2312"/>
          <w:color w:val="auto"/>
          <w:sz w:val="24"/>
          <w:highlight w:val="none"/>
        </w:rPr>
        <w:t>2.1</w:t>
      </w:r>
      <w:r>
        <w:rPr>
          <w:rFonts w:hint="eastAsia" w:ascii="仿宋_GB2312" w:hAnsi="仿宋_GB2312" w:eastAsia="仿宋_GB2312" w:cs="仿宋_GB2312"/>
          <w:color w:val="auto"/>
          <w:sz w:val="24"/>
          <w:highlight w:val="none"/>
          <w:lang w:val="en-US"/>
        </w:rPr>
        <w:t>6</w:t>
      </w:r>
      <w:r>
        <w:rPr>
          <w:rFonts w:hint="eastAsia" w:ascii="仿宋_GB2312" w:hAnsi="仿宋_GB2312" w:eastAsia="仿宋_GB2312" w:cs="仿宋_GB2312"/>
          <w:color w:val="auto"/>
          <w:sz w:val="24"/>
          <w:highlight w:val="none"/>
        </w:rPr>
        <w:t xml:space="preserve">.1任何一方因履行合同而以合同第一部分尾部所列明的传真或电子邮件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发出的所有通知、文件、材料，均视为已向对方当事人送达；任何一方变更上述送达方式或者地址的，应于</w:t>
      </w:r>
      <w:r>
        <w:rPr>
          <w:rFonts w:hint="eastAsia" w:ascii="仿宋_GB2312" w:hAnsi="仿宋_GB2312" w:eastAsia="仿宋_GB2312" w:cs="仿宋_GB2312"/>
          <w:color w:val="auto"/>
          <w:sz w:val="24"/>
          <w:highlight w:val="none"/>
          <w:u w:val="single"/>
        </w:rPr>
        <w:t>3</w:t>
      </w:r>
      <w:r>
        <w:rPr>
          <w:rFonts w:hint="eastAsia" w:ascii="仿宋_GB2312" w:hAnsi="仿宋_GB2312" w:eastAsia="仿宋_GB2312" w:cs="仿宋_GB2312"/>
          <w:color w:val="auto"/>
          <w:sz w:val="24"/>
          <w:highlight w:val="none"/>
        </w:rPr>
        <w:t>个工作日内书面通知对方当事人，在对方当事人收到有关变更通知之前，变更前的约定送达方式或者地址仍视为有效。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w:t>
      </w:r>
      <w:r>
        <w:rPr>
          <w:rFonts w:hint="eastAsia" w:ascii="仿宋_GB2312" w:hAnsi="仿宋_GB2312" w:eastAsia="仿宋_GB2312" w:cs="仿宋_GB2312"/>
          <w:color w:val="auto"/>
          <w:sz w:val="24"/>
          <w:highlight w:val="none"/>
          <w:lang w:val="en-US"/>
        </w:rPr>
        <w:t>6</w:t>
      </w:r>
      <w:r>
        <w:rPr>
          <w:rFonts w:hint="eastAsia" w:ascii="仿宋_GB2312" w:hAnsi="仿宋_GB2312" w:eastAsia="仿宋_GB2312" w:cs="仿宋_GB2312"/>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7"/>
      <w:bookmarkEnd w:id="168"/>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69" w:name="_Toc12254"/>
      <w:bookmarkStart w:id="170" w:name="_Toc20808"/>
      <w:bookmarkStart w:id="171" w:name="_Toc5063"/>
      <w:bookmarkStart w:id="172" w:name="_Toc28906"/>
      <w:bookmarkStart w:id="173" w:name="_Toc27644"/>
      <w:r>
        <w:rPr>
          <w:rFonts w:hint="eastAsia" w:ascii="仿宋_GB2312" w:hAnsi="仿宋_GB2312" w:eastAsia="仿宋_GB2312" w:cs="仿宋_GB2312"/>
          <w:b/>
          <w:color w:val="auto"/>
          <w:sz w:val="24"/>
          <w:highlight w:val="none"/>
        </w:rPr>
        <w:t>2.17 合同使用的文字和适用的法律</w:t>
      </w:r>
      <w:bookmarkEnd w:id="169"/>
      <w:bookmarkEnd w:id="170"/>
      <w:bookmarkEnd w:id="171"/>
      <w:bookmarkEnd w:id="172"/>
      <w:bookmarkEnd w:id="173"/>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2.17.1 合同使用汉语书就、变更和解释；</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2.17.2 合同适用中华人民共和国法律。</w:t>
      </w:r>
    </w:p>
    <w:p>
      <w:pPr>
        <w:kinsoku/>
        <w:wordWrap w:val="0"/>
        <w:overflowPunct/>
        <w:topLinePunct w:val="0"/>
        <w:bidi w:val="0"/>
        <w:spacing w:line="560" w:lineRule="exact"/>
        <w:ind w:firstLine="482" w:firstLineChars="200"/>
        <w:outlineLvl w:val="0"/>
        <w:rPr>
          <w:rFonts w:hint="eastAsia" w:ascii="仿宋_GB2312" w:hAnsi="仿宋_GB2312" w:eastAsia="仿宋_GB2312" w:cs="仿宋_GB2312"/>
          <w:b/>
          <w:color w:val="auto"/>
          <w:sz w:val="24"/>
          <w:highlight w:val="none"/>
        </w:rPr>
      </w:pPr>
      <w:bookmarkStart w:id="174" w:name="_Toc4355"/>
      <w:bookmarkStart w:id="175" w:name="_Toc30599"/>
      <w:bookmarkStart w:id="176" w:name="_Toc18540"/>
      <w:r>
        <w:rPr>
          <w:rFonts w:hint="eastAsia" w:ascii="仿宋_GB2312" w:hAnsi="仿宋_GB2312" w:eastAsia="仿宋_GB2312" w:cs="仿宋_GB2312"/>
          <w:b/>
          <w:color w:val="auto"/>
          <w:sz w:val="24"/>
          <w:highlight w:val="none"/>
        </w:rPr>
        <w:t>2.18 计量单位</w:t>
      </w:r>
      <w:bookmarkEnd w:id="174"/>
      <w:bookmarkEnd w:id="175"/>
      <w:bookmarkEnd w:id="176"/>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除技术规范中另有规定外,合同的计量单位均使用国家法定计量单位。</w:t>
      </w:r>
    </w:p>
    <w:p>
      <w:pPr>
        <w:kinsoku/>
        <w:wordWrap w:val="0"/>
        <w:overflowPunct/>
        <w:topLinePunct w:val="0"/>
        <w:bidi w:val="0"/>
        <w:spacing w:line="56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w:t>
      </w:r>
      <w:r>
        <w:rPr>
          <w:rFonts w:hint="eastAsia" w:ascii="仿宋_GB2312" w:hAnsi="仿宋_GB2312" w:eastAsia="仿宋_GB2312" w:cs="仿宋_GB2312"/>
          <w:b/>
          <w:color w:val="auto"/>
          <w:sz w:val="24"/>
          <w:highlight w:val="none"/>
          <w:lang w:val="en-US" w:eastAsia="zh-CN"/>
        </w:rPr>
        <w:t>19</w:t>
      </w:r>
      <w:r>
        <w:rPr>
          <w:rFonts w:hint="eastAsia" w:ascii="仿宋_GB2312" w:hAnsi="仿宋_GB2312" w:eastAsia="仿宋_GB2312" w:cs="仿宋_GB2312"/>
          <w:b/>
          <w:color w:val="auto"/>
          <w:sz w:val="24"/>
          <w:highlight w:val="none"/>
        </w:rPr>
        <w:t>合同份数</w:t>
      </w:r>
    </w:p>
    <w:p>
      <w:pPr>
        <w:keepNext w:val="0"/>
        <w:keepLines w:val="0"/>
        <w:pageBreakBefore w:val="0"/>
        <w:widowControl w:val="0"/>
        <w:kinsoku/>
        <w:wordWrap w:val="0"/>
        <w:overflowPunct/>
        <w:topLinePunct w:val="0"/>
        <w:autoSpaceDE/>
        <w:autoSpaceDN/>
        <w:bidi w:val="0"/>
        <w:adjustRightInd w:val="0"/>
        <w:snapToGrid/>
        <w:spacing w:line="440" w:lineRule="atLeast"/>
        <w:ind w:firstLine="480" w:firstLineChars="200"/>
        <w:jc w:val="left"/>
        <w:textAlignment w:val="auto"/>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合同份数按</w:t>
      </w:r>
      <w:r>
        <w:rPr>
          <w:rFonts w:hint="eastAsia" w:ascii="仿宋_GB2312" w:hAnsi="仿宋_GB2312" w:eastAsia="仿宋_GB2312" w:cs="仿宋_GB2312"/>
          <w:b/>
          <w:i/>
          <w:color w:val="auto"/>
          <w:sz w:val="24"/>
          <w:highlight w:val="none"/>
          <w:u w:val="single"/>
        </w:rPr>
        <w:t>合同专用条款</w:t>
      </w:r>
      <w:r>
        <w:rPr>
          <w:rFonts w:hint="eastAsia" w:ascii="仿宋_GB2312" w:hAnsi="仿宋_GB2312" w:eastAsia="仿宋_GB2312" w:cs="仿宋_GB2312"/>
          <w:color w:val="auto"/>
          <w:sz w:val="24"/>
          <w:highlight w:val="none"/>
        </w:rPr>
        <w:t>规定，每份均具有同等法律效力</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b/>
          <w:color w:val="auto"/>
          <w:sz w:val="24"/>
          <w:highlight w:val="none"/>
        </w:rPr>
        <w:br w:type="page"/>
      </w:r>
      <w:bookmarkStart w:id="177" w:name="_Toc331685784"/>
      <w:r>
        <w:rPr>
          <w:rFonts w:hint="eastAsia" w:ascii="仿宋_GB2312" w:hAnsi="仿宋_GB2312" w:eastAsia="仿宋_GB2312" w:cs="仿宋_GB2312"/>
          <w:b/>
          <w:color w:val="auto"/>
          <w:sz w:val="24"/>
          <w:highlight w:val="none"/>
        </w:rPr>
        <w:t xml:space="preserve"> </w:t>
      </w:r>
      <w:bookmarkEnd w:id="177"/>
      <w:r>
        <w:rPr>
          <w:rFonts w:hint="eastAsia" w:ascii="仿宋_GB2312" w:hAnsi="仿宋_GB2312" w:eastAsia="仿宋_GB2312" w:cs="仿宋_GB2312"/>
          <w:b/>
          <w:color w:val="auto"/>
          <w:kern w:val="2"/>
          <w:sz w:val="24"/>
          <w:szCs w:val="24"/>
          <w:highlight w:val="none"/>
          <w:lang w:val="en-US" w:eastAsia="zh-CN" w:bidi="ar-SA"/>
        </w:rPr>
        <w:t>第三部分  合同专用条款</w:t>
      </w:r>
    </w:p>
    <w:p>
      <w:pPr>
        <w:keepNext w:val="0"/>
        <w:keepLines w:val="0"/>
        <w:pageBreakBefore w:val="0"/>
        <w:widowControl w:val="0"/>
        <w:kinsoku/>
        <w:wordWrap w:val="0"/>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条款号</w:t>
            </w:r>
          </w:p>
        </w:tc>
        <w:tc>
          <w:tcPr>
            <w:tcW w:w="8149"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1.5.1 </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1.5.3 </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1.6.2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1.7.1</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1.7.3</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1.7.4.1</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1.7.4.2</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1.7.4.3</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1.8.7</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2.3.2</w:t>
            </w:r>
          </w:p>
        </w:tc>
        <w:tc>
          <w:tcPr>
            <w:tcW w:w="8149" w:type="dxa"/>
            <w:vAlign w:val="center"/>
          </w:tcPr>
          <w:p>
            <w:pPr>
              <w:kinsoku/>
              <w:wordWrap w:val="0"/>
              <w:overflowPunct/>
              <w:topLinePunct w:val="0"/>
              <w:bidi w:val="0"/>
              <w:spacing w:line="360" w:lineRule="auto"/>
              <w:ind w:left="-420" w:leftChars="-200" w:right="-420" w:rightChars="-200" w:firstLine="480" w:firstLineChars="200"/>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2.5</w:t>
            </w:r>
          </w:p>
        </w:tc>
        <w:tc>
          <w:tcPr>
            <w:tcW w:w="8149" w:type="dxa"/>
            <w:vAlign w:val="center"/>
          </w:tcPr>
          <w:p>
            <w:pPr>
              <w:kinsoku/>
              <w:wordWrap w:val="0"/>
              <w:overflowPunct/>
              <w:topLinePunct w:val="0"/>
              <w:bidi w:val="0"/>
              <w:spacing w:line="360" w:lineRule="auto"/>
              <w:ind w:left="-420" w:leftChars="-200" w:right="-420" w:rightChars="-200" w:firstLine="480" w:firstLineChars="200"/>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2.11.3</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2.11.4 </w:t>
            </w:r>
          </w:p>
        </w:tc>
        <w:tc>
          <w:tcPr>
            <w:tcW w:w="8149"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2.15.1</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2.15.3</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kinsoku/>
              <w:wordWrap w:val="0"/>
              <w:overflowPunct/>
              <w:topLinePunct w:val="0"/>
              <w:bidi w:val="0"/>
              <w:spacing w:line="360" w:lineRule="auto"/>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2.19</w:t>
            </w:r>
          </w:p>
        </w:tc>
        <w:tc>
          <w:tcPr>
            <w:tcW w:w="8149"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bidi w:val="0"/>
        <w:spacing w:line="360" w:lineRule="auto"/>
        <w:ind w:left="-420" w:leftChars="-200" w:right="-420" w:rightChars="-200"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left="-420" w:leftChars="-200" w:right="-420" w:rightChars="-200" w:firstLine="480" w:firstLineChars="200"/>
        <w:jc w:val="center"/>
        <w:outlineLvl w:val="0"/>
        <w:rPr>
          <w:rFonts w:hint="eastAsia" w:ascii="仿宋_GB2312" w:hAnsi="仿宋_GB2312" w:eastAsia="仿宋_GB2312" w:cs="仿宋_GB2312"/>
          <w:color w:val="auto"/>
          <w:sz w:val="24"/>
          <w:highlight w:val="none"/>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p>
    <w:p>
      <w:pPr>
        <w:pStyle w:val="2"/>
        <w:rPr>
          <w:rFonts w:hint="eastAsia"/>
          <w:color w:val="auto"/>
        </w:rPr>
      </w:pPr>
    </w:p>
    <w:p>
      <w:pPr>
        <w:pStyle w:val="4"/>
        <w:rPr>
          <w:rFonts w:hint="eastAsia" w:ascii="仿宋_GB2312" w:hAnsi="仿宋_GB2312" w:eastAsia="仿宋_GB2312" w:cs="仿宋_GB2312"/>
          <w:color w:val="auto"/>
        </w:rPr>
      </w:pPr>
    </w:p>
    <w:p>
      <w:pPr>
        <w:keepNext w:val="0"/>
        <w:keepLines w:val="0"/>
        <w:pageBreakBefore w:val="0"/>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第五部分  评标方法及标准</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1、评标方法：</w:t>
      </w:r>
    </w:p>
    <w:p>
      <w:pPr>
        <w:keepNext w:val="0"/>
        <w:keepLines w:val="0"/>
        <w:pageBreakBefore w:val="0"/>
        <w:widowControl w:val="0"/>
        <w:kinsoku/>
        <w:wordWrap w:val="0"/>
        <w:overflowPunct/>
        <w:topLinePunct w:val="0"/>
        <w:autoSpaceDE/>
        <w:autoSpaceDN/>
        <w:bidi w:val="0"/>
        <w:adjustRightInd w:val="0"/>
        <w:snapToGrid/>
        <w:spacing w:line="44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keepNext w:val="0"/>
        <w:keepLines w:val="0"/>
        <w:pageBreakBefore w:val="0"/>
        <w:widowControl w:val="0"/>
        <w:kinsoku/>
        <w:wordWrap w:val="0"/>
        <w:overflowPunct/>
        <w:topLinePunct w:val="0"/>
        <w:autoSpaceDE/>
        <w:autoSpaceDN/>
        <w:bidi w:val="0"/>
        <w:adjustRightInd w:val="0"/>
        <w:snapToGrid/>
        <w:spacing w:line="440" w:lineRule="exact"/>
        <w:ind w:firstLine="472" w:firstLineChars="196"/>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2.评分标准：</w:t>
      </w:r>
      <w:r>
        <w:rPr>
          <w:rFonts w:hint="eastAsia" w:ascii="仿宋_GB2312" w:hAnsi="仿宋_GB2312" w:eastAsia="仿宋_GB2312" w:cs="仿宋_GB2312"/>
          <w:color w:val="auto"/>
          <w:sz w:val="24"/>
          <w:highlight w:val="none"/>
        </w:rPr>
        <w:t>共100分，其中商务技术分</w:t>
      </w:r>
      <w:r>
        <w:rPr>
          <w:rFonts w:hint="eastAsia" w:ascii="仿宋_GB2312" w:hAnsi="仿宋_GB2312" w:eastAsia="仿宋_GB2312" w:cs="仿宋_GB2312"/>
          <w:color w:val="auto"/>
          <w:sz w:val="24"/>
          <w:highlight w:val="none"/>
          <w:u w:val="single"/>
          <w:lang w:val="en-US" w:eastAsia="zh-CN"/>
        </w:rPr>
        <w:t>80</w:t>
      </w:r>
      <w:r>
        <w:rPr>
          <w:rFonts w:hint="eastAsia" w:ascii="仿宋_GB2312" w:hAnsi="仿宋_GB2312" w:eastAsia="仿宋_GB2312" w:cs="仿宋_GB2312"/>
          <w:color w:val="auto"/>
          <w:sz w:val="24"/>
          <w:highlight w:val="none"/>
        </w:rPr>
        <w:t>分，价格分</w:t>
      </w:r>
      <w:r>
        <w:rPr>
          <w:rFonts w:hint="eastAsia" w:ascii="仿宋_GB2312" w:hAnsi="仿宋_GB2312" w:eastAsia="仿宋_GB2312" w:cs="仿宋_GB2312"/>
          <w:color w:val="auto"/>
          <w:sz w:val="24"/>
          <w:highlight w:val="none"/>
          <w:u w:val="single"/>
          <w:lang w:val="en-US" w:eastAsia="zh-CN"/>
        </w:rPr>
        <w:t xml:space="preserve"> 20</w:t>
      </w:r>
      <w:r>
        <w:rPr>
          <w:rFonts w:hint="eastAsia" w:ascii="仿宋_GB2312" w:hAnsi="仿宋_GB2312" w:eastAsia="仿宋_GB2312" w:cs="仿宋_GB2312"/>
          <w:color w:val="auto"/>
          <w:sz w:val="24"/>
          <w:highlight w:val="none"/>
        </w:rPr>
        <w:t>分。评分依下述所列为评标打分依据，分值如下（计算分值时，按其算术平均值保留小数2位）。</w:t>
      </w:r>
    </w:p>
    <w:p>
      <w:pPr>
        <w:keepNext w:val="0"/>
        <w:keepLines w:val="0"/>
        <w:pageBreakBefore w:val="0"/>
        <w:widowControl w:val="0"/>
        <w:kinsoku/>
        <w:wordWrap w:val="0"/>
        <w:overflowPunct/>
        <w:topLinePunct w:val="0"/>
        <w:autoSpaceDE/>
        <w:autoSpaceDN/>
        <w:bidi w:val="0"/>
        <w:adjustRightInd w:val="0"/>
        <w:snapToGrid/>
        <w:spacing w:line="440" w:lineRule="exact"/>
        <w:ind w:firstLine="482" w:firstLineChars="200"/>
        <w:textAlignment w:val="auto"/>
        <w:rPr>
          <w:rFonts w:hint="eastAsia" w:ascii="仿宋_GB2312" w:hAnsi="仿宋_GB2312" w:eastAsia="仿宋_GB2312" w:cs="仿宋_GB2312"/>
          <w:b/>
          <w:bCs/>
          <w:iCs/>
          <w:color w:val="auto"/>
          <w:sz w:val="24"/>
          <w:highlight w:val="none"/>
        </w:rPr>
      </w:pPr>
      <w:r>
        <w:rPr>
          <w:rFonts w:hint="eastAsia" w:ascii="仿宋_GB2312" w:hAnsi="仿宋_GB2312" w:eastAsia="仿宋_GB2312" w:cs="仿宋_GB2312"/>
          <w:b/>
          <w:bCs/>
          <w:iCs/>
          <w:color w:val="auto"/>
          <w:sz w:val="24"/>
          <w:highlight w:val="none"/>
        </w:rPr>
        <w:t>2.1商务技术分（</w:t>
      </w:r>
      <w:r>
        <w:rPr>
          <w:rFonts w:hint="eastAsia" w:ascii="仿宋_GB2312" w:hAnsi="仿宋_GB2312" w:eastAsia="仿宋_GB2312" w:cs="仿宋_GB2312"/>
          <w:color w:val="auto"/>
          <w:sz w:val="24"/>
          <w:highlight w:val="none"/>
          <w:u w:val="single"/>
          <w:lang w:val="en-US" w:eastAsia="zh-CN"/>
        </w:rPr>
        <w:t>80</w:t>
      </w:r>
      <w:r>
        <w:rPr>
          <w:rFonts w:hint="eastAsia" w:ascii="仿宋_GB2312" w:hAnsi="仿宋_GB2312" w:eastAsia="仿宋_GB2312" w:cs="仿宋_GB2312"/>
          <w:b/>
          <w:bCs/>
          <w:iCs/>
          <w:color w:val="auto"/>
          <w:sz w:val="24"/>
          <w:highlight w:val="none"/>
        </w:rPr>
        <w:t>分）</w:t>
      </w:r>
    </w:p>
    <w:tbl>
      <w:tblPr>
        <w:tblStyle w:val="63"/>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58"/>
        <w:gridCol w:w="6632"/>
        <w:gridCol w:w="7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rPr>
                <w:rFonts w:ascii="仿宋_GB2312" w:eastAsia="仿宋_GB2312"/>
                <w:b/>
                <w:sz w:val="24"/>
              </w:rPr>
            </w:pPr>
            <w:r>
              <w:rPr>
                <w:rFonts w:hint="eastAsia" w:ascii="仿宋_GB2312" w:eastAsia="仿宋_GB2312"/>
                <w:b/>
                <w:sz w:val="24"/>
              </w:rPr>
              <w:t>序号</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b/>
                <w:sz w:val="24"/>
              </w:rPr>
            </w:pPr>
            <w:r>
              <w:rPr>
                <w:rFonts w:hint="eastAsia" w:ascii="仿宋_GB2312" w:eastAsia="仿宋_GB2312"/>
                <w:b/>
                <w:sz w:val="24"/>
              </w:rPr>
              <w:t>评分项</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b/>
                <w:sz w:val="24"/>
              </w:rPr>
            </w:pPr>
            <w:r>
              <w:rPr>
                <w:rFonts w:hint="eastAsia" w:ascii="仿宋_GB2312" w:hAnsi="仿宋" w:eastAsia="仿宋_GB2312" w:cs="仿宋"/>
                <w:b/>
                <w:bCs/>
                <w:kern w:val="0"/>
                <w:sz w:val="24"/>
              </w:rPr>
              <w:t>评审依据及标准</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b/>
                <w:sz w:val="24"/>
              </w:rPr>
            </w:pPr>
            <w:r>
              <w:rPr>
                <w:rFonts w:hint="eastAsia" w:ascii="仿宋_GB2312" w:eastAsia="仿宋_GB2312"/>
                <w:b/>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1</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b/>
                <w:sz w:val="24"/>
              </w:rPr>
            </w:pPr>
            <w:r>
              <w:rPr>
                <w:rFonts w:hint="eastAsia" w:ascii="仿宋_GB2312" w:eastAsia="仿宋_GB2312"/>
                <w:sz w:val="24"/>
              </w:rPr>
              <w:t>投标单位资质</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rPr>
                <w:rFonts w:ascii="仿宋_GB2312" w:eastAsia="仿宋_GB2312"/>
                <w:b/>
                <w:sz w:val="24"/>
                <w:highlight w:val="none"/>
              </w:rPr>
            </w:pPr>
            <w:r>
              <w:rPr>
                <w:rFonts w:hint="eastAsia" w:ascii="仿宋_GB2312" w:hAnsi="仿宋" w:eastAsia="仿宋_GB2312" w:cs="宋体"/>
                <w:kern w:val="0"/>
                <w:sz w:val="24"/>
                <w:highlight w:val="none"/>
              </w:rPr>
              <w:t>根据投标人企业认证证书情况进行打分，提供相关证明并加盖投标人公章。(本项分值设置为3,2,1,0.5,0分)</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仿宋_GB2312" w:eastAsia="仿宋_GB2312"/>
                <w:b/>
                <w:sz w:val="24"/>
                <w:highlight w:val="none"/>
                <w:lang w:eastAsia="zh-CN"/>
              </w:rPr>
            </w:pPr>
            <w:r>
              <w:rPr>
                <w:rFonts w:hint="eastAsia" w:ascii="仿宋_GB2312" w:eastAsia="仿宋_GB2312"/>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2</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项目服务方案</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仿宋_GB2312" w:eastAsia="仿宋_GB2312"/>
                <w:sz w:val="24"/>
              </w:rPr>
            </w:pPr>
            <w:r>
              <w:rPr>
                <w:rFonts w:hint="eastAsia" w:ascii="仿宋_GB2312" w:eastAsia="仿宋_GB2312"/>
                <w:sz w:val="24"/>
              </w:rPr>
              <w:t>根据投标人提供的云平台服务方案进行打分，包括服务措施、组织机构是否完善、人员安排是否到位、工作职责是否清晰、管理制度是否落实、服务内容及质量是否保证等。</w:t>
            </w:r>
            <w:r>
              <w:rPr>
                <w:rFonts w:hint="eastAsia" w:ascii="仿宋_GB2312" w:hAnsi="仿宋" w:eastAsia="仿宋_GB2312" w:cs="宋体"/>
                <w:kern w:val="0"/>
                <w:sz w:val="24"/>
              </w:rPr>
              <w:t>(本项分值设置为</w:t>
            </w:r>
            <w:r>
              <w:rPr>
                <w:rFonts w:hint="eastAsia" w:ascii="仿宋_GB2312" w:hAnsi="仿宋" w:eastAsia="仿宋_GB2312" w:cs="宋体"/>
                <w:kern w:val="0"/>
                <w:sz w:val="24"/>
                <w:lang w:val="en-US" w:eastAsia="zh-CN"/>
              </w:rPr>
              <w:t>4,</w:t>
            </w:r>
            <w:r>
              <w:rPr>
                <w:rFonts w:hint="eastAsia" w:ascii="仿宋_GB2312" w:hAnsi="仿宋" w:eastAsia="仿宋_GB2312" w:cs="宋体"/>
                <w:kern w:val="0"/>
                <w:sz w:val="24"/>
              </w:rPr>
              <w:t>3,2,1,0.5,0分)</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ascii="仿宋_GB2312" w:eastAsia="仿宋_GB2312"/>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3</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项目案例</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rFonts w:ascii="仿宋_GB2312" w:eastAsia="仿宋_GB2312"/>
                <w:sz w:val="24"/>
              </w:rPr>
            </w:pPr>
            <w:r>
              <w:rPr>
                <w:rFonts w:hint="eastAsia" w:ascii="仿宋_GB2312" w:eastAsia="仿宋_GB2312"/>
                <w:sz w:val="24"/>
              </w:rPr>
              <w:t>投标人自2022年1月1日以来（以合同签订时间为准）完成的同类案例，每有1个得0.5分，满分1分。</w:t>
            </w:r>
          </w:p>
          <w:p>
            <w:pPr>
              <w:spacing w:line="360" w:lineRule="exact"/>
              <w:rPr>
                <w:rFonts w:ascii="仿宋_GB2312" w:eastAsia="仿宋_GB2312"/>
                <w:sz w:val="24"/>
              </w:rPr>
            </w:pPr>
            <w:r>
              <w:rPr>
                <w:rFonts w:hint="eastAsia" w:ascii="仿宋_GB2312" w:eastAsia="仿宋_GB2312"/>
                <w:sz w:val="24"/>
              </w:rPr>
              <w:t>注：每个案例提供合同复印件</w:t>
            </w:r>
            <w:r>
              <w:rPr>
                <w:rFonts w:hint="eastAsia" w:ascii="仿宋_GB2312" w:eastAsia="仿宋_GB2312"/>
                <w:sz w:val="24"/>
                <w:lang w:val="en-US" w:eastAsia="zh-CN"/>
              </w:rPr>
              <w:t>并</w:t>
            </w:r>
            <w:r>
              <w:rPr>
                <w:rFonts w:hint="eastAsia" w:ascii="仿宋_GB2312" w:eastAsia="仿宋_GB2312"/>
                <w:sz w:val="24"/>
              </w:rPr>
              <w:t>加盖投标人公章。</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restart"/>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p>
            <w:pPr>
              <w:spacing w:line="360" w:lineRule="exact"/>
              <w:jc w:val="center"/>
              <w:rPr>
                <w:rFonts w:ascii="仿宋_GB2312" w:eastAsia="仿宋_GB2312"/>
                <w:sz w:val="24"/>
              </w:rPr>
            </w:pPr>
            <w:r>
              <w:rPr>
                <w:rFonts w:hint="eastAsia" w:ascii="仿宋_GB2312" w:eastAsia="仿宋_GB2312"/>
                <w:sz w:val="24"/>
              </w:rPr>
              <w:t>4</w:t>
            </w:r>
          </w:p>
        </w:tc>
        <w:tc>
          <w:tcPr>
            <w:tcW w:w="1358" w:type="dxa"/>
            <w:vMerge w:val="restart"/>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电子政务云平台</w:t>
            </w:r>
          </w:p>
        </w:tc>
        <w:tc>
          <w:tcPr>
            <w:tcW w:w="6632" w:type="dxa"/>
            <w:tcBorders>
              <w:top w:val="single" w:color="auto" w:sz="4" w:space="0"/>
              <w:left w:val="single" w:color="auto" w:sz="4" w:space="0"/>
              <w:right w:val="single" w:color="auto" w:sz="4" w:space="0"/>
            </w:tcBorders>
            <w:noWrap w:val="0"/>
            <w:vAlign w:val="center"/>
          </w:tcPr>
          <w:p>
            <w:pPr>
              <w:spacing w:line="360" w:lineRule="exact"/>
              <w:rPr>
                <w:rFonts w:ascii="仿宋_GB2312" w:eastAsia="仿宋_GB2312"/>
                <w:b/>
                <w:sz w:val="24"/>
              </w:rPr>
            </w:pPr>
            <w:r>
              <w:rPr>
                <w:rFonts w:hint="eastAsia" w:ascii="仿宋_GB2312" w:eastAsia="仿宋_GB2312"/>
                <w:b/>
                <w:sz w:val="24"/>
              </w:rPr>
              <w:t>一、云平台资质</w:t>
            </w:r>
          </w:p>
          <w:p>
            <w:pPr>
              <w:spacing w:line="360" w:lineRule="exact"/>
              <w:rPr>
                <w:rFonts w:hint="eastAsia" w:ascii="仿宋_GB2312" w:eastAsia="仿宋_GB2312"/>
                <w:sz w:val="24"/>
              </w:rPr>
            </w:pPr>
            <w:r>
              <w:rPr>
                <w:rFonts w:hint="eastAsia" w:ascii="仿宋_GB2312" w:eastAsia="仿宋_GB2312"/>
                <w:sz w:val="24"/>
              </w:rPr>
              <w:t>1、从多个维度充分介绍所投云平台的优势，从云平台所提供的云产品种类、云平台运维管理操作界面是否简单方便，各功能页面描述提示简明易懂、云平台有成熟的故障切换、冗灾备份机制等多个方面进行打分。</w:t>
            </w:r>
          </w:p>
          <w:p>
            <w:pPr>
              <w:spacing w:line="360" w:lineRule="exact"/>
              <w:rPr>
                <w:rFonts w:ascii="仿宋_GB2312" w:eastAsia="仿宋_GB2312"/>
                <w:sz w:val="24"/>
              </w:rPr>
            </w:pPr>
            <w:r>
              <w:rPr>
                <w:rFonts w:hint="eastAsia" w:ascii="仿宋_GB2312" w:hAnsi="仿宋" w:eastAsia="仿宋_GB2312" w:cs="宋体"/>
                <w:kern w:val="0"/>
                <w:sz w:val="24"/>
              </w:rPr>
              <w:t>(本项分值设置为</w:t>
            </w:r>
            <w:r>
              <w:rPr>
                <w:rFonts w:hint="eastAsia" w:ascii="仿宋_GB2312" w:hAnsi="仿宋" w:eastAsia="仿宋_GB2312" w:cs="宋体"/>
                <w:kern w:val="0"/>
                <w:sz w:val="24"/>
                <w:lang w:val="en-US" w:eastAsia="zh-CN"/>
              </w:rPr>
              <w:t>5,4,</w:t>
            </w:r>
            <w:r>
              <w:rPr>
                <w:rFonts w:hint="eastAsia" w:ascii="仿宋_GB2312" w:hAnsi="仿宋" w:eastAsia="仿宋_GB2312" w:cs="宋体"/>
                <w:kern w:val="0"/>
                <w:sz w:val="24"/>
              </w:rPr>
              <w:t>3,2,1,0.5,0分)</w:t>
            </w:r>
          </w:p>
          <w:p>
            <w:pPr>
              <w:spacing w:line="360" w:lineRule="exact"/>
              <w:rPr>
                <w:rFonts w:ascii="仿宋_GB2312" w:eastAsia="仿宋_GB2312"/>
                <w:sz w:val="24"/>
              </w:rPr>
            </w:pPr>
            <w:r>
              <w:rPr>
                <w:rFonts w:hint="eastAsia" w:ascii="仿宋_GB2312" w:eastAsia="仿宋_GB2312"/>
                <w:sz w:val="24"/>
              </w:rPr>
              <w:t>2、现有云机房不少于200平米，机柜数量不少于50个，硬件服务器容量不少于200台，存储不少于100T，满足得3分，不满足不得分。</w:t>
            </w:r>
          </w:p>
          <w:p>
            <w:pPr>
              <w:spacing w:line="360" w:lineRule="exact"/>
              <w:rPr>
                <w:rFonts w:ascii="仿宋_GB2312" w:eastAsia="仿宋_GB2312"/>
                <w:sz w:val="24"/>
              </w:rPr>
            </w:pPr>
            <w:r>
              <w:rPr>
                <w:rFonts w:hint="eastAsia" w:ascii="仿宋_GB2312" w:eastAsia="仿宋_GB2312"/>
                <w:sz w:val="24"/>
              </w:rPr>
              <w:t>3、现有云机房是否符合IDC机房标准，环控、消防、电力、空调等支撑系统是否完善。</w:t>
            </w:r>
            <w:r>
              <w:rPr>
                <w:rFonts w:hint="eastAsia" w:ascii="仿宋_GB2312" w:hAnsi="仿宋" w:eastAsia="仿宋_GB2312" w:cs="宋体"/>
                <w:kern w:val="0"/>
                <w:sz w:val="24"/>
              </w:rPr>
              <w:t>(本项分值设置为3,2,1,0.5,0分)</w:t>
            </w:r>
          </w:p>
        </w:tc>
        <w:tc>
          <w:tcPr>
            <w:tcW w:w="739"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1</w:t>
            </w:r>
            <w:r>
              <w:rPr>
                <w:rFonts w:ascii="仿宋_GB2312" w:eastAsia="仿宋_GB2312"/>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1358"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6632" w:type="dxa"/>
            <w:tcBorders>
              <w:top w:val="single" w:color="auto" w:sz="4" w:space="0"/>
              <w:left w:val="single" w:color="auto" w:sz="4" w:space="0"/>
              <w:right w:val="single" w:color="auto" w:sz="4" w:space="0"/>
            </w:tcBorders>
            <w:noWrap w:val="0"/>
            <w:vAlign w:val="center"/>
          </w:tcPr>
          <w:p>
            <w:pPr>
              <w:spacing w:line="360" w:lineRule="exact"/>
              <w:rPr>
                <w:rFonts w:ascii="仿宋_GB2312" w:eastAsia="仿宋_GB2312"/>
                <w:b/>
                <w:sz w:val="24"/>
              </w:rPr>
            </w:pPr>
            <w:r>
              <w:rPr>
                <w:rFonts w:hint="eastAsia" w:ascii="仿宋_GB2312" w:eastAsia="仿宋_GB2312"/>
                <w:b/>
                <w:sz w:val="24"/>
              </w:rPr>
              <w:t>二、云平台系统架构</w:t>
            </w:r>
          </w:p>
          <w:p>
            <w:pPr>
              <w:spacing w:line="360" w:lineRule="exact"/>
              <w:rPr>
                <w:rFonts w:hint="eastAsia" w:ascii="仿宋_GB2312" w:hAnsi="仿宋_GB2312" w:eastAsia="仿宋_GB2312" w:cs="仿宋_GB2312"/>
                <w:spacing w:val="14"/>
                <w:sz w:val="24"/>
              </w:rPr>
            </w:pPr>
            <w:r>
              <w:rPr>
                <w:rFonts w:hint="eastAsia" w:ascii="仿宋_GB2312" w:eastAsia="仿宋_GB2312"/>
                <w:sz w:val="24"/>
              </w:rPr>
              <w:t>1、</w:t>
            </w:r>
            <w:r>
              <w:rPr>
                <w:rFonts w:hint="eastAsia" w:ascii="仿宋_GB2312" w:hAnsi="仿宋_GB2312" w:eastAsia="仿宋_GB2312" w:cs="仿宋_GB2312"/>
                <w:spacing w:val="14"/>
                <w:sz w:val="24"/>
              </w:rPr>
              <w:t>根据投标人提供的整体技术方案，包括双活中心的整体架构、建设原则、详细建设内容等进行打分。</w:t>
            </w:r>
          </w:p>
          <w:p>
            <w:pPr>
              <w:spacing w:line="360" w:lineRule="exact"/>
              <w:rPr>
                <w:rFonts w:ascii="仿宋_GB2312" w:eastAsia="仿宋_GB2312"/>
                <w:sz w:val="24"/>
              </w:rPr>
            </w:pPr>
            <w:r>
              <w:rPr>
                <w:rFonts w:hint="eastAsia" w:ascii="仿宋_GB2312" w:hAnsi="仿宋" w:eastAsia="仿宋_GB2312" w:cs="宋体"/>
                <w:kern w:val="0"/>
                <w:sz w:val="24"/>
              </w:rPr>
              <w:t>(本项分值设置为</w:t>
            </w:r>
            <w:r>
              <w:rPr>
                <w:rFonts w:hint="eastAsia" w:ascii="仿宋_GB2312" w:hAnsi="仿宋" w:eastAsia="仿宋_GB2312" w:cs="宋体"/>
                <w:kern w:val="0"/>
                <w:sz w:val="24"/>
                <w:lang w:val="en-US" w:eastAsia="zh-CN"/>
              </w:rPr>
              <w:t>5,4,</w:t>
            </w:r>
            <w:r>
              <w:rPr>
                <w:rFonts w:hint="eastAsia" w:ascii="仿宋_GB2312" w:hAnsi="仿宋" w:eastAsia="仿宋_GB2312" w:cs="宋体"/>
                <w:kern w:val="0"/>
                <w:sz w:val="24"/>
              </w:rPr>
              <w:t>3,2,1,0.5,0分)</w:t>
            </w:r>
          </w:p>
          <w:p>
            <w:pPr>
              <w:spacing w:line="360" w:lineRule="exact"/>
              <w:rPr>
                <w:rFonts w:ascii="仿宋_GB2312" w:eastAsia="仿宋_GB2312"/>
                <w:sz w:val="24"/>
              </w:rPr>
            </w:pPr>
            <w:r>
              <w:rPr>
                <w:rFonts w:ascii="仿宋_GB2312" w:eastAsia="仿宋_GB2312"/>
                <w:sz w:val="24"/>
              </w:rPr>
              <w:t>2</w:t>
            </w:r>
            <w:r>
              <w:rPr>
                <w:rFonts w:hint="eastAsia" w:ascii="仿宋_GB2312" w:eastAsia="仿宋_GB2312"/>
                <w:sz w:val="24"/>
              </w:rPr>
              <w:t>、所投云主机、云数据库、云存储、云负载均衡、云管理平台具有相关软件著作权证书，每有一个得0.</w:t>
            </w:r>
            <w:r>
              <w:rPr>
                <w:rFonts w:hint="eastAsia" w:ascii="仿宋_GB2312" w:eastAsia="仿宋_GB2312"/>
                <w:sz w:val="24"/>
                <w:lang w:val="en-US" w:eastAsia="zh-CN"/>
              </w:rPr>
              <w:t>6</w:t>
            </w:r>
            <w:r>
              <w:rPr>
                <w:rFonts w:hint="eastAsia" w:ascii="仿宋_GB2312" w:eastAsia="仿宋_GB2312"/>
                <w:sz w:val="24"/>
              </w:rPr>
              <w:t>分，满分</w:t>
            </w:r>
            <w:r>
              <w:rPr>
                <w:rFonts w:hint="eastAsia" w:ascii="仿宋_GB2312" w:eastAsia="仿宋_GB2312"/>
                <w:sz w:val="24"/>
                <w:lang w:val="en-US" w:eastAsia="zh-CN"/>
              </w:rPr>
              <w:t>3</w:t>
            </w:r>
            <w:r>
              <w:rPr>
                <w:rFonts w:hint="eastAsia" w:ascii="仿宋_GB2312" w:eastAsia="仿宋_GB2312"/>
                <w:sz w:val="24"/>
              </w:rPr>
              <w:t>分。</w:t>
            </w:r>
          </w:p>
          <w:p>
            <w:pPr>
              <w:spacing w:line="360" w:lineRule="exact"/>
              <w:rPr>
                <w:rFonts w:ascii="仿宋_GB2312" w:eastAsia="仿宋_GB2312"/>
                <w:sz w:val="24"/>
              </w:rPr>
            </w:pPr>
            <w:r>
              <w:rPr>
                <w:rFonts w:hint="eastAsia" w:ascii="仿宋_GB2312" w:eastAsia="仿宋_GB2312"/>
                <w:sz w:val="24"/>
              </w:rPr>
              <w:t>3、云平台采用大规模分布式架构，单个集群支持5000及以上台物理服务器规模。满足得</w:t>
            </w:r>
            <w:r>
              <w:rPr>
                <w:rFonts w:ascii="仿宋_GB2312" w:eastAsia="仿宋_GB2312"/>
                <w:sz w:val="24"/>
              </w:rPr>
              <w:t>2</w:t>
            </w:r>
            <w:r>
              <w:rPr>
                <w:rFonts w:hint="eastAsia" w:ascii="仿宋_GB2312" w:eastAsia="仿宋_GB2312"/>
                <w:sz w:val="24"/>
              </w:rPr>
              <w:t>分，不满足不得分。</w:t>
            </w:r>
          </w:p>
        </w:tc>
        <w:tc>
          <w:tcPr>
            <w:tcW w:w="739" w:type="dxa"/>
            <w:tcBorders>
              <w:left w:val="single" w:color="auto" w:sz="4" w:space="0"/>
              <w:right w:val="single" w:color="auto" w:sz="4" w:space="0"/>
            </w:tcBorders>
            <w:noWrap w:val="0"/>
            <w:vAlign w:val="center"/>
          </w:tcPr>
          <w:p>
            <w:pPr>
              <w:spacing w:line="360" w:lineRule="exact"/>
              <w:jc w:val="center"/>
              <w:rPr>
                <w:rFonts w:hint="default" w:ascii="仿宋_GB2312" w:eastAsia="仿宋_GB2312"/>
                <w:sz w:val="24"/>
                <w:lang w:val="en-US" w:eastAsia="zh-CN"/>
              </w:rPr>
            </w:pPr>
            <w:r>
              <w:rPr>
                <w:rFonts w:hint="eastAsia" w:ascii="仿宋_GB2312" w:eastAsia="仿宋_GB2312"/>
                <w:sz w:val="24"/>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1358"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6632" w:type="dxa"/>
            <w:tcBorders>
              <w:top w:val="single" w:color="auto" w:sz="4" w:space="0"/>
              <w:left w:val="single" w:color="auto" w:sz="4" w:space="0"/>
              <w:right w:val="single" w:color="auto" w:sz="4" w:space="0"/>
            </w:tcBorders>
            <w:noWrap w:val="0"/>
            <w:vAlign w:val="center"/>
          </w:tcPr>
          <w:p>
            <w:pPr>
              <w:spacing w:line="360" w:lineRule="exact"/>
              <w:rPr>
                <w:rFonts w:ascii="仿宋_GB2312" w:eastAsia="仿宋_GB2312"/>
                <w:b/>
                <w:sz w:val="24"/>
              </w:rPr>
            </w:pPr>
            <w:r>
              <w:rPr>
                <w:rFonts w:hint="eastAsia" w:ascii="仿宋_GB2312" w:eastAsia="仿宋_GB2312"/>
                <w:b/>
                <w:sz w:val="24"/>
              </w:rPr>
              <w:t>三、技术指标要求响应程度</w:t>
            </w:r>
          </w:p>
          <w:p>
            <w:pPr>
              <w:spacing w:line="360" w:lineRule="exact"/>
              <w:rPr>
                <w:rFonts w:ascii="仿宋_GB2312" w:eastAsia="仿宋_GB2312"/>
                <w:sz w:val="24"/>
              </w:rPr>
            </w:pPr>
            <w:r>
              <w:rPr>
                <w:rFonts w:hint="eastAsia" w:ascii="仿宋_GB2312" w:eastAsia="仿宋_GB2312"/>
                <w:sz w:val="24"/>
              </w:rPr>
              <w:t>技术指标要求响应程度：招标文件中</w:t>
            </w:r>
            <w:r>
              <w:rPr>
                <w:rFonts w:ascii="仿宋_GB2312" w:eastAsia="仿宋_GB2312"/>
                <w:sz w:val="24"/>
              </w:rPr>
              <w:t>——“</w:t>
            </w:r>
            <w:r>
              <w:rPr>
                <w:rFonts w:hint="eastAsia" w:ascii="仿宋_GB2312" w:eastAsia="仿宋_GB2312"/>
                <w:sz w:val="24"/>
              </w:rPr>
              <w:t>十、云服务基本要求，十一、服务器资源清单，十二、本地安全运营服务</w:t>
            </w:r>
            <w:r>
              <w:rPr>
                <w:rFonts w:ascii="仿宋_GB2312" w:eastAsia="仿宋_GB2312"/>
                <w:sz w:val="24"/>
              </w:rPr>
              <w:t>”，完全满足指标参数得</w:t>
            </w:r>
            <w:r>
              <w:rPr>
                <w:rFonts w:hint="eastAsia" w:ascii="仿宋_GB2312" w:eastAsia="仿宋_GB2312"/>
                <w:sz w:val="24"/>
              </w:rPr>
              <w:t>30</w:t>
            </w:r>
            <w:r>
              <w:rPr>
                <w:rFonts w:ascii="仿宋_GB2312" w:eastAsia="仿宋_GB2312"/>
                <w:sz w:val="24"/>
              </w:rPr>
              <w:t>分。</w:t>
            </w:r>
            <w:r>
              <w:rPr>
                <w:rFonts w:hint="eastAsia" w:ascii="仿宋_GB2312" w:eastAsia="仿宋_GB2312"/>
                <w:sz w:val="24"/>
              </w:rPr>
              <w:t>打“★”为实质性指标，出现负偏离作无效投标处理；</w:t>
            </w:r>
            <w:r>
              <w:rPr>
                <w:rFonts w:ascii="仿宋_GB2312" w:eastAsia="仿宋_GB2312"/>
                <w:sz w:val="24"/>
              </w:rPr>
              <w:t>打“▲”为主要性能指标，每有一项负偏离扣3 分；其他指标，每有一项负偏离扣 1 分，扣完为止。</w:t>
            </w:r>
          </w:p>
        </w:tc>
        <w:tc>
          <w:tcPr>
            <w:tcW w:w="739"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735"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1358" w:type="dxa"/>
            <w:vMerge w:val="continue"/>
            <w:tcBorders>
              <w:left w:val="single" w:color="auto" w:sz="4" w:space="0"/>
              <w:right w:val="single" w:color="auto" w:sz="4" w:space="0"/>
            </w:tcBorders>
            <w:noWrap w:val="0"/>
            <w:vAlign w:val="center"/>
          </w:tcPr>
          <w:p>
            <w:pPr>
              <w:spacing w:line="360" w:lineRule="exact"/>
              <w:jc w:val="center"/>
              <w:rPr>
                <w:rFonts w:ascii="仿宋_GB2312" w:eastAsia="仿宋_GB2312"/>
                <w:sz w:val="24"/>
              </w:rPr>
            </w:pPr>
          </w:p>
        </w:tc>
        <w:tc>
          <w:tcPr>
            <w:tcW w:w="6632" w:type="dxa"/>
            <w:tcBorders>
              <w:top w:val="single" w:color="auto" w:sz="4" w:space="0"/>
              <w:left w:val="single" w:color="auto" w:sz="4" w:space="0"/>
              <w:right w:val="single" w:color="auto" w:sz="4" w:space="0"/>
            </w:tcBorders>
            <w:noWrap w:val="0"/>
            <w:vAlign w:val="center"/>
          </w:tcPr>
          <w:p>
            <w:pPr>
              <w:spacing w:line="360" w:lineRule="exact"/>
              <w:rPr>
                <w:rFonts w:ascii="仿宋_GB2312" w:eastAsia="仿宋_GB2312"/>
                <w:b/>
                <w:bCs/>
                <w:sz w:val="24"/>
              </w:rPr>
            </w:pPr>
            <w:r>
              <w:rPr>
                <w:rFonts w:hint="eastAsia" w:ascii="仿宋_GB2312" w:eastAsia="仿宋_GB2312"/>
                <w:b/>
                <w:bCs/>
                <w:sz w:val="24"/>
              </w:rPr>
              <w:t>四、平台安全性</w:t>
            </w:r>
          </w:p>
          <w:p>
            <w:pPr>
              <w:spacing w:line="360" w:lineRule="exact"/>
              <w:rPr>
                <w:rFonts w:ascii="仿宋_GB2312" w:eastAsia="仿宋_GB2312"/>
                <w:sz w:val="24"/>
              </w:rPr>
            </w:pPr>
            <w:r>
              <w:rPr>
                <w:rFonts w:hint="eastAsia" w:ascii="仿宋_GB2312" w:hAnsi="宋体" w:eastAsia="仿宋_GB2312"/>
                <w:sz w:val="24"/>
              </w:rPr>
              <w:t>1、根据云平台安全保障体系技术方案与招标文件的吻合程度，从云平台运维角度及用户使用角度出发，是否满足等保、密评等相关测评要求进行打分</w:t>
            </w:r>
            <w:r>
              <w:rPr>
                <w:rFonts w:hint="eastAsia" w:ascii="仿宋_GB2312" w:eastAsia="仿宋_GB2312"/>
                <w:sz w:val="24"/>
              </w:rPr>
              <w:t>。</w:t>
            </w:r>
            <w:r>
              <w:rPr>
                <w:rFonts w:hint="eastAsia" w:ascii="仿宋_GB2312" w:hAnsi="仿宋" w:eastAsia="仿宋_GB2312" w:cs="宋体"/>
                <w:kern w:val="0"/>
                <w:sz w:val="24"/>
              </w:rPr>
              <w:t>(本项分值设置为3,2,1,0.5,0分)</w:t>
            </w:r>
          </w:p>
          <w:p>
            <w:pPr>
              <w:spacing w:line="360" w:lineRule="exact"/>
              <w:rPr>
                <w:rFonts w:ascii="仿宋_GB2312" w:eastAsia="仿宋_GB2312"/>
                <w:sz w:val="24"/>
              </w:rPr>
            </w:pPr>
            <w:r>
              <w:rPr>
                <w:rFonts w:hint="eastAsia" w:ascii="仿宋_GB2312" w:eastAsia="仿宋_GB2312"/>
                <w:sz w:val="24"/>
              </w:rPr>
              <w:t>2、所投云平台通过等保三级测评，且测评分数90分以上（含90分）得3分，80分以上（含80分）得2分，60分以上（含60分）得1分，60分以下不得分。（提供等保备案证明及评分页截图并加盖投标人公章）</w:t>
            </w:r>
          </w:p>
          <w:p>
            <w:pPr>
              <w:spacing w:line="360" w:lineRule="exact"/>
              <w:rPr>
                <w:rFonts w:ascii="仿宋_GB2312" w:eastAsia="仿宋_GB2312"/>
                <w:sz w:val="24"/>
              </w:rPr>
            </w:pPr>
            <w:r>
              <w:rPr>
                <w:rFonts w:hint="eastAsia" w:ascii="仿宋_GB2312" w:eastAsia="仿宋_GB2312"/>
                <w:sz w:val="24"/>
              </w:rPr>
              <w:t>3、所投云平台通过商用密码安全性评估，测评分数6</w:t>
            </w:r>
            <w:r>
              <w:rPr>
                <w:rFonts w:ascii="仿宋_GB2312" w:eastAsia="仿宋_GB2312"/>
                <w:sz w:val="24"/>
              </w:rPr>
              <w:t>0</w:t>
            </w:r>
            <w:r>
              <w:rPr>
                <w:rFonts w:hint="eastAsia" w:ascii="仿宋_GB2312" w:eastAsia="仿宋_GB2312"/>
                <w:sz w:val="24"/>
              </w:rPr>
              <w:t>分以上（含60分）得</w:t>
            </w:r>
            <w:r>
              <w:rPr>
                <w:rFonts w:ascii="仿宋_GB2312" w:eastAsia="仿宋_GB2312"/>
                <w:sz w:val="24"/>
              </w:rPr>
              <w:t>3</w:t>
            </w:r>
            <w:r>
              <w:rPr>
                <w:rFonts w:hint="eastAsia" w:ascii="仿宋_GB2312" w:eastAsia="仿宋_GB2312"/>
                <w:sz w:val="24"/>
              </w:rPr>
              <w:t>分，否则不得分。（提供测评报告截图并加盖投标人公章）</w:t>
            </w:r>
          </w:p>
        </w:tc>
        <w:tc>
          <w:tcPr>
            <w:tcW w:w="739"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5</w:t>
            </w:r>
          </w:p>
        </w:tc>
        <w:tc>
          <w:tcPr>
            <w:tcW w:w="1358"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人员要求</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宋体" w:eastAsia="仿宋_GB2312"/>
                <w:b/>
                <w:sz w:val="24"/>
              </w:rPr>
            </w:pPr>
            <w:r>
              <w:rPr>
                <w:rFonts w:hint="eastAsia" w:ascii="仿宋_GB2312" w:hAnsi="宋体" w:eastAsia="仿宋_GB2312"/>
                <w:sz w:val="24"/>
              </w:rPr>
              <w:t>1、拟派项目负责人具有行政部门认可或颁发的</w:t>
            </w:r>
            <w:r>
              <w:rPr>
                <w:rFonts w:ascii="仿宋_GB2312" w:hAnsi="宋体" w:eastAsia="仿宋_GB2312"/>
                <w:sz w:val="24"/>
              </w:rPr>
              <w:t>网络安全能力认证（CCSC）、信息安全保障人员认证证书（CISAW）、通信中级证书（互联网技术）的，每有1本证书得1分，满分3分。</w:t>
            </w:r>
            <w:r>
              <w:rPr>
                <w:rFonts w:ascii="仿宋_GB2312" w:hAnsi="宋体" w:eastAsia="仿宋_GB2312"/>
                <w:b/>
                <w:sz w:val="24"/>
              </w:rPr>
              <w:t>（需提供有效期内的证书复印件</w:t>
            </w:r>
            <w:r>
              <w:rPr>
                <w:rFonts w:hint="eastAsia" w:ascii="仿宋_GB2312" w:hAnsi="宋体" w:eastAsia="仿宋_GB2312"/>
                <w:b/>
                <w:sz w:val="24"/>
              </w:rPr>
              <w:t>和</w:t>
            </w:r>
            <w:r>
              <w:rPr>
                <w:rFonts w:ascii="仿宋_GB2312" w:hAnsi="宋体" w:eastAsia="仿宋_GB2312"/>
                <w:b/>
                <w:sz w:val="24"/>
              </w:rPr>
              <w:t>本单位社保缴纳证明复印件</w:t>
            </w:r>
            <w:r>
              <w:rPr>
                <w:rFonts w:hint="eastAsia" w:ascii="仿宋_GB2312" w:hAnsi="宋体" w:eastAsia="仿宋_GB2312"/>
                <w:b/>
                <w:sz w:val="24"/>
              </w:rPr>
              <w:t>均</w:t>
            </w:r>
            <w:r>
              <w:rPr>
                <w:rFonts w:ascii="仿宋_GB2312" w:hAnsi="宋体" w:eastAsia="仿宋_GB2312"/>
                <w:b/>
                <w:sz w:val="24"/>
              </w:rPr>
              <w:t>加盖</w:t>
            </w:r>
            <w:r>
              <w:rPr>
                <w:rFonts w:hint="eastAsia" w:ascii="仿宋_GB2312" w:hAnsi="宋体" w:eastAsia="仿宋_GB2312"/>
                <w:b/>
                <w:sz w:val="24"/>
              </w:rPr>
              <w:t>投标人</w:t>
            </w:r>
            <w:r>
              <w:rPr>
                <w:rFonts w:ascii="仿宋_GB2312" w:hAnsi="宋体" w:eastAsia="仿宋_GB2312"/>
                <w:b/>
                <w:sz w:val="24"/>
              </w:rPr>
              <w:t>公章,否则不得分）</w:t>
            </w:r>
          </w:p>
          <w:p>
            <w:pPr>
              <w:spacing w:line="360" w:lineRule="exact"/>
              <w:rPr>
                <w:rFonts w:hint="eastAsia" w:ascii="仿宋_GB2312" w:hAnsi="宋体" w:eastAsia="仿宋_GB2312"/>
                <w:b/>
                <w:sz w:val="24"/>
              </w:rPr>
            </w:pPr>
            <w:r>
              <w:rPr>
                <w:rFonts w:hint="eastAsia" w:ascii="仿宋_GB2312" w:hAnsi="宋体" w:eastAsia="仿宋_GB2312"/>
                <w:sz w:val="24"/>
              </w:rPr>
              <w:t>2、拟派项目技术负责人具有行政部门认可或颁发的信息系统项目管理师高级证书</w:t>
            </w:r>
            <w:r>
              <w:rPr>
                <w:rFonts w:ascii="仿宋_GB2312" w:hAnsi="宋体" w:eastAsia="仿宋_GB2312"/>
                <w:sz w:val="24"/>
              </w:rPr>
              <w:t>、网络工程师</w:t>
            </w:r>
            <w:r>
              <w:rPr>
                <w:rFonts w:hint="eastAsia" w:ascii="仿宋_GB2312" w:hAnsi="宋体" w:eastAsia="仿宋_GB2312"/>
                <w:sz w:val="24"/>
              </w:rPr>
              <w:t>中级及以上</w:t>
            </w:r>
            <w:r>
              <w:rPr>
                <w:rFonts w:ascii="仿宋_GB2312" w:hAnsi="宋体" w:eastAsia="仿宋_GB2312"/>
                <w:sz w:val="24"/>
              </w:rPr>
              <w:t>和信息通</w:t>
            </w:r>
            <w:r>
              <w:rPr>
                <w:rFonts w:hint="eastAsia" w:ascii="仿宋_GB2312" w:hAnsi="宋体" w:eastAsia="仿宋_GB2312"/>
                <w:sz w:val="24"/>
              </w:rPr>
              <w:t>信</w:t>
            </w:r>
            <w:r>
              <w:rPr>
                <w:rFonts w:ascii="仿宋_GB2312" w:hAnsi="宋体" w:eastAsia="仿宋_GB2312"/>
                <w:sz w:val="24"/>
              </w:rPr>
              <w:t>技术高级工程师证书的，每有1本证书得1分，满分3分。</w:t>
            </w:r>
            <w:r>
              <w:rPr>
                <w:rFonts w:ascii="仿宋_GB2312" w:hAnsi="宋体" w:eastAsia="仿宋_GB2312"/>
                <w:b/>
                <w:sz w:val="24"/>
              </w:rPr>
              <w:t>（需提供有效期内的证书复印件</w:t>
            </w:r>
            <w:r>
              <w:rPr>
                <w:rFonts w:hint="eastAsia" w:ascii="仿宋_GB2312" w:hAnsi="宋体" w:eastAsia="仿宋_GB2312"/>
                <w:b/>
                <w:sz w:val="24"/>
              </w:rPr>
              <w:t>和</w:t>
            </w:r>
            <w:r>
              <w:rPr>
                <w:rFonts w:ascii="仿宋_GB2312" w:hAnsi="宋体" w:eastAsia="仿宋_GB2312"/>
                <w:b/>
                <w:sz w:val="24"/>
              </w:rPr>
              <w:t>本单位社保缴纳证明复印件</w:t>
            </w:r>
            <w:r>
              <w:rPr>
                <w:rFonts w:hint="eastAsia" w:ascii="仿宋_GB2312" w:hAnsi="宋体" w:eastAsia="仿宋_GB2312"/>
                <w:b/>
                <w:sz w:val="24"/>
              </w:rPr>
              <w:t>均</w:t>
            </w:r>
            <w:r>
              <w:rPr>
                <w:rFonts w:ascii="仿宋_GB2312" w:hAnsi="宋体" w:eastAsia="仿宋_GB2312"/>
                <w:b/>
                <w:sz w:val="24"/>
              </w:rPr>
              <w:t>加盖</w:t>
            </w:r>
            <w:r>
              <w:rPr>
                <w:rFonts w:hint="eastAsia" w:ascii="仿宋_GB2312" w:hAnsi="宋体" w:eastAsia="仿宋_GB2312"/>
                <w:b/>
                <w:sz w:val="24"/>
              </w:rPr>
              <w:t>投标人</w:t>
            </w:r>
            <w:r>
              <w:rPr>
                <w:rFonts w:ascii="仿宋_GB2312" w:hAnsi="宋体" w:eastAsia="仿宋_GB2312"/>
                <w:b/>
                <w:sz w:val="24"/>
              </w:rPr>
              <w:t>公章,否则不得分）</w:t>
            </w:r>
          </w:p>
          <w:p>
            <w:pPr>
              <w:spacing w:line="360" w:lineRule="exact"/>
              <w:rPr>
                <w:rFonts w:ascii="仿宋_GB2312" w:eastAsia="仿宋_GB2312"/>
                <w:b/>
                <w:sz w:val="24"/>
              </w:rPr>
            </w:pPr>
            <w:r>
              <w:rPr>
                <w:rFonts w:hint="eastAsia" w:ascii="仿宋_GB2312" w:eastAsia="仿宋_GB2312"/>
                <w:bCs/>
                <w:sz w:val="24"/>
              </w:rPr>
              <w:t>3、拟派项目团队具有系统集成项目管理工程师中级及以上、软件设计师中级及以上、网络工程师中级及以上证书的，每有1本证书得1分，满分3分。</w:t>
            </w:r>
            <w:r>
              <w:rPr>
                <w:rFonts w:hint="eastAsia" w:ascii="仿宋_GB2312" w:eastAsia="仿宋_GB2312"/>
                <w:b/>
                <w:sz w:val="24"/>
              </w:rPr>
              <w:t>（需提供有效期内的证书复印件和本单位社保缴纳证明复印件均加盖投标人公章,否则不得分）。</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ascii="仿宋_GB2312" w:eastAsia="仿宋_GB2312"/>
                <w:sz w:val="24"/>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6</w:t>
            </w:r>
          </w:p>
        </w:tc>
        <w:tc>
          <w:tcPr>
            <w:tcW w:w="1358"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技术培训</w:t>
            </w:r>
          </w:p>
        </w:tc>
        <w:tc>
          <w:tcPr>
            <w:tcW w:w="6632"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宋体" w:eastAsia="仿宋_GB2312"/>
                <w:sz w:val="24"/>
              </w:rPr>
            </w:pPr>
            <w:r>
              <w:rPr>
                <w:rFonts w:hint="eastAsia" w:ascii="仿宋_GB2312" w:hAnsi="仿宋_GB2312" w:eastAsia="仿宋_GB2312" w:cs="仿宋_GB2312"/>
                <w:spacing w:val="14"/>
                <w:sz w:val="24"/>
              </w:rPr>
              <w:t>根据投标人提供的技术培训服务方案，包括培训时间、培训人员、培训频次等进行打分。</w:t>
            </w:r>
            <w:r>
              <w:rPr>
                <w:rFonts w:hint="eastAsia" w:ascii="仿宋_GB2312" w:hAnsi="仿宋" w:eastAsia="仿宋_GB2312" w:cs="宋体"/>
                <w:kern w:val="0"/>
                <w:sz w:val="24"/>
              </w:rPr>
              <w:t>(本项分值设置为2,1,0.5,0分)</w:t>
            </w:r>
          </w:p>
        </w:tc>
        <w:tc>
          <w:tcPr>
            <w:tcW w:w="739"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ascii="仿宋_GB2312" w:eastAsia="仿宋_GB2312"/>
                <w:sz w:val="24"/>
              </w:rPr>
            </w:pPr>
            <w:r>
              <w:rPr>
                <w:rFonts w:ascii="仿宋_GB2312" w:eastAsia="仿宋_GB2312"/>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5"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7</w:t>
            </w:r>
          </w:p>
        </w:tc>
        <w:tc>
          <w:tcPr>
            <w:tcW w:w="1358" w:type="dxa"/>
            <w:tcBorders>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优惠条件</w:t>
            </w:r>
          </w:p>
        </w:tc>
        <w:tc>
          <w:tcPr>
            <w:tcW w:w="6632" w:type="dxa"/>
            <w:tcBorders>
              <w:top w:val="single" w:color="auto" w:sz="4" w:space="0"/>
              <w:left w:val="single" w:color="auto" w:sz="4" w:space="0"/>
              <w:right w:val="single" w:color="auto" w:sz="4" w:space="0"/>
            </w:tcBorders>
            <w:noWrap w:val="0"/>
            <w:vAlign w:val="center"/>
          </w:tcPr>
          <w:p>
            <w:pPr>
              <w:widowControl/>
              <w:spacing w:line="360" w:lineRule="exact"/>
              <w:jc w:val="left"/>
              <w:rPr>
                <w:rFonts w:hint="eastAsia" w:ascii="仿宋_GB2312" w:hAnsi="宋体" w:eastAsia="仿宋_GB2312"/>
                <w:sz w:val="24"/>
              </w:rPr>
            </w:pPr>
            <w:r>
              <w:rPr>
                <w:rFonts w:hint="eastAsia" w:ascii="仿宋_GB2312" w:hAnsi="宋体" w:eastAsia="仿宋_GB2312"/>
                <w:sz w:val="24"/>
              </w:rPr>
              <w:t>投标人是否提供额外优惠条件（除价格外），根据提供的产品、服务等优惠情况进行打分。</w:t>
            </w:r>
            <w:r>
              <w:rPr>
                <w:rFonts w:hint="eastAsia" w:ascii="仿宋_GB2312" w:hAnsi="仿宋" w:eastAsia="仿宋_GB2312" w:cs="宋体"/>
                <w:kern w:val="0"/>
                <w:sz w:val="24"/>
              </w:rPr>
              <w:t>(本项分值设置为1,0.5,0分)</w:t>
            </w:r>
          </w:p>
        </w:tc>
        <w:tc>
          <w:tcPr>
            <w:tcW w:w="739" w:type="dxa"/>
            <w:tcBorders>
              <w:top w:val="single" w:color="auto" w:sz="4" w:space="0"/>
              <w:left w:val="single" w:color="auto" w:sz="4" w:space="0"/>
              <w:right w:val="single" w:color="auto" w:sz="4" w:space="0"/>
            </w:tcBorders>
            <w:noWrap w:val="0"/>
            <w:vAlign w:val="center"/>
          </w:tcPr>
          <w:p>
            <w:pPr>
              <w:spacing w:line="360" w:lineRule="exact"/>
              <w:jc w:val="center"/>
              <w:rPr>
                <w:rFonts w:ascii="仿宋_GB2312" w:eastAsia="仿宋_GB2312"/>
                <w:sz w:val="24"/>
              </w:rPr>
            </w:pPr>
            <w:r>
              <w:rPr>
                <w:rFonts w:hint="eastAsia" w:ascii="仿宋_GB2312" w:eastAsia="仿宋_GB2312"/>
                <w:sz w:val="24"/>
              </w:rPr>
              <w:t>1</w:t>
            </w:r>
          </w:p>
        </w:tc>
      </w:tr>
    </w:tbl>
    <w:p>
      <w:pPr>
        <w:keepNext w:val="0"/>
        <w:keepLines w:val="0"/>
        <w:pageBreakBefore w:val="0"/>
        <w:kinsoku/>
        <w:wordWrap w:val="0"/>
        <w:overflowPunct/>
        <w:topLinePunct w:val="0"/>
        <w:bidi w:val="0"/>
        <w:adjustRightInd w:val="0"/>
        <w:snapToGrid w:val="0"/>
        <w:spacing w:line="44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备注：</w:t>
      </w:r>
      <w:r>
        <w:rPr>
          <w:rFonts w:hint="eastAsia" w:ascii="仿宋_GB2312" w:hAnsi="仿宋_GB2312" w:eastAsia="仿宋_GB2312" w:cs="仿宋_GB2312"/>
          <w:color w:val="auto"/>
          <w:sz w:val="24"/>
          <w:highlight w:val="none"/>
        </w:rPr>
        <w:t>投标人编制投标文件（商务技术文件部分）时，建议按此目录（序号和内容）提供评标标准相应的商务技术资料。 </w:t>
      </w:r>
    </w:p>
    <w:p>
      <w:pPr>
        <w:keepNext w:val="0"/>
        <w:keepLines w:val="0"/>
        <w:pageBreakBefore w:val="0"/>
        <w:kinsoku/>
        <w:wordWrap w:val="0"/>
        <w:overflowPunct/>
        <w:topLinePunct w:val="0"/>
        <w:bidi w:val="0"/>
        <w:adjustRightInd w:val="0"/>
        <w:spacing w:line="440" w:lineRule="exact"/>
        <w:ind w:firstLine="482" w:firstLineChars="200"/>
        <w:textAlignment w:val="auto"/>
        <w:rPr>
          <w:rFonts w:hint="eastAsia" w:ascii="仿宋_GB2312" w:hAnsi="仿宋_GB2312" w:eastAsia="仿宋_GB2312" w:cs="仿宋_GB2312"/>
          <w:b/>
          <w:bCs/>
          <w:iCs/>
          <w:color w:val="auto"/>
          <w:sz w:val="24"/>
          <w:highlight w:val="none"/>
        </w:rPr>
      </w:pPr>
      <w:r>
        <w:rPr>
          <w:rFonts w:hint="eastAsia" w:ascii="仿宋_GB2312" w:hAnsi="仿宋_GB2312" w:eastAsia="仿宋_GB2312" w:cs="仿宋_GB2312"/>
          <w:b/>
          <w:bCs/>
          <w:iCs/>
          <w:color w:val="auto"/>
          <w:sz w:val="24"/>
          <w:highlight w:val="none"/>
        </w:rPr>
        <w:t>2.2价格分（</w:t>
      </w:r>
      <w:r>
        <w:rPr>
          <w:rFonts w:hint="eastAsia" w:ascii="仿宋_GB2312" w:hAnsi="仿宋_GB2312" w:eastAsia="仿宋_GB2312" w:cs="仿宋_GB2312"/>
          <w:color w:val="auto"/>
          <w:sz w:val="24"/>
          <w:highlight w:val="none"/>
          <w:u w:val="single"/>
          <w:lang w:val="en-US" w:eastAsia="zh-CN"/>
        </w:rPr>
        <w:t>20</w:t>
      </w:r>
      <w:r>
        <w:rPr>
          <w:rFonts w:hint="eastAsia" w:ascii="仿宋_GB2312" w:hAnsi="仿宋_GB2312" w:eastAsia="仿宋_GB2312" w:cs="仿宋_GB2312"/>
          <w:b/>
          <w:bCs/>
          <w:iCs/>
          <w:color w:val="auto"/>
          <w:sz w:val="24"/>
          <w:highlight w:val="none"/>
        </w:rPr>
        <w:t>分）</w:t>
      </w:r>
    </w:p>
    <w:p>
      <w:pPr>
        <w:keepNext w:val="0"/>
        <w:keepLines w:val="0"/>
        <w:pageBreakBefore w:val="0"/>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2.2.1评标基准价：即满足招标文件要求且投标价格最低的投标报价为评标基准价，其价格分为满分。</w:t>
      </w:r>
    </w:p>
    <w:p>
      <w:pPr>
        <w:keepNext w:val="0"/>
        <w:keepLines w:val="0"/>
        <w:pageBreakBefore w:val="0"/>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2.2.2其他投标人的价格分统一按照下列公式计算：</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adjustRightInd w:val="0"/>
        <w:spacing w:line="440" w:lineRule="exact"/>
        <w:ind w:firstLine="480" w:firstLineChars="200"/>
        <w:textAlignment w:val="auto"/>
        <w:rPr>
          <w:rFonts w:hint="eastAsia" w:ascii="仿宋_GB2312" w:hAnsi="仿宋_GB2312" w:eastAsia="仿宋_GB2312" w:cs="仿宋_GB2312"/>
          <w:bCs/>
          <w:iCs/>
          <w:color w:val="auto"/>
          <w:sz w:val="24"/>
          <w:highlight w:val="none"/>
        </w:rPr>
      </w:pPr>
      <w:r>
        <w:rPr>
          <w:rFonts w:hint="eastAsia" w:ascii="仿宋_GB2312" w:hAnsi="仿宋_GB2312" w:eastAsia="仿宋_GB2312" w:cs="仿宋_GB2312"/>
          <w:bCs/>
          <w:iCs/>
          <w:color w:val="auto"/>
          <w:sz w:val="24"/>
          <w:highlight w:val="none"/>
        </w:rPr>
        <w:t>投标报价得分=(评标基准价／投标报价)×价格权值×100</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bidi w:val="0"/>
        <w:adjustRightInd w:val="0"/>
        <w:spacing w:line="440" w:lineRule="exact"/>
        <w:ind w:firstLine="480" w:firstLineChars="200"/>
        <w:textAlignment w:val="auto"/>
        <w:rPr>
          <w:rFonts w:hint="default" w:ascii="仿宋_GB2312" w:hAnsi="仿宋_GB2312" w:eastAsia="仿宋_GB2312" w:cs="仿宋_GB2312"/>
          <w:bCs/>
          <w:iCs/>
          <w:color w:val="auto"/>
          <w:sz w:val="24"/>
          <w:highlight w:val="none"/>
          <w:u w:val="none"/>
          <w:lang w:val="en-US" w:eastAsia="zh-CN"/>
        </w:rPr>
      </w:pPr>
      <w:r>
        <w:rPr>
          <w:rFonts w:hint="eastAsia" w:ascii="仿宋_GB2312" w:hAnsi="仿宋_GB2312" w:eastAsia="仿宋_GB2312" w:cs="仿宋_GB2312"/>
          <w:bCs/>
          <w:iCs/>
          <w:color w:val="auto"/>
          <w:sz w:val="24"/>
          <w:highlight w:val="none"/>
        </w:rPr>
        <w:t>即：投标报价得分=(评标基准价／投标报价)×</w:t>
      </w:r>
      <w:r>
        <w:rPr>
          <w:rFonts w:hint="eastAsia" w:ascii="仿宋_GB2312" w:hAnsi="仿宋_GB2312" w:eastAsia="仿宋_GB2312" w:cs="仿宋_GB2312"/>
          <w:color w:val="auto"/>
          <w:sz w:val="24"/>
          <w:highlight w:val="none"/>
          <w:u w:val="none"/>
          <w:lang w:val="en-US" w:eastAsia="zh-CN"/>
        </w:rPr>
        <w:t>20</w:t>
      </w:r>
    </w:p>
    <w:p>
      <w:pPr>
        <w:pStyle w:val="4"/>
        <w:rPr>
          <w:rFonts w:hint="eastAsia" w:ascii="仿宋_GB2312" w:hAnsi="仿宋_GB2312" w:eastAsia="仿宋_GB2312" w:cs="仿宋_GB2312"/>
          <w:color w:val="auto"/>
          <w:lang w:val="en-US" w:eastAsia="zh-CN"/>
        </w:rPr>
      </w:pPr>
    </w:p>
    <w:p>
      <w:pPr>
        <w:pStyle w:val="3"/>
        <w:kinsoku/>
        <w:wordWrap w:val="0"/>
        <w:overflowPunct/>
        <w:topLinePunct w:val="0"/>
        <w:bidi w:val="0"/>
        <w:snapToGrid w:val="0"/>
        <w:spacing w:line="360" w:lineRule="auto"/>
        <w:ind w:firstLine="0" w:firstLineChars="0"/>
        <w:rPr>
          <w:rFonts w:hint="eastAsia" w:ascii="仿宋_GB2312" w:hAnsi="仿宋_GB2312" w:eastAsia="仿宋_GB2312" w:cs="仿宋_GB2312"/>
          <w:color w:val="auto"/>
          <w:highlight w:val="none"/>
        </w:rPr>
      </w:pPr>
    </w:p>
    <w:p>
      <w:pPr>
        <w:pStyle w:val="3"/>
        <w:kinsoku/>
        <w:wordWrap w:val="0"/>
        <w:overflowPunct/>
        <w:topLinePunct w:val="0"/>
        <w:bidi w:val="0"/>
        <w:snapToGrid w:val="0"/>
        <w:spacing w:line="360" w:lineRule="auto"/>
        <w:ind w:firstLine="0" w:firstLineChars="0"/>
        <w:rPr>
          <w:rFonts w:hint="eastAsia" w:ascii="仿宋_GB2312" w:hAnsi="仿宋_GB2312" w:eastAsia="仿宋_GB2312" w:cs="仿宋_GB2312"/>
          <w:color w:val="auto"/>
          <w:highlight w:val="none"/>
        </w:rPr>
      </w:pPr>
    </w:p>
    <w:p>
      <w:pPr>
        <w:pStyle w:val="3"/>
        <w:kinsoku/>
        <w:wordWrap w:val="0"/>
        <w:overflowPunct/>
        <w:topLinePunct w:val="0"/>
        <w:bidi w:val="0"/>
        <w:snapToGrid w:val="0"/>
        <w:spacing w:line="360" w:lineRule="auto"/>
        <w:ind w:firstLine="0" w:firstLineChars="0"/>
        <w:rPr>
          <w:rFonts w:hint="eastAsia" w:ascii="仿宋_GB2312" w:hAnsi="仿宋_GB2312" w:eastAsia="仿宋_GB2312" w:cs="仿宋_GB2312"/>
          <w:color w:val="auto"/>
          <w:highlight w:val="none"/>
        </w:rPr>
      </w:pPr>
    </w:p>
    <w:p>
      <w:pPr>
        <w:kinsoku/>
        <w:wordWrap w:val="0"/>
        <w:overflowPunct/>
        <w:topLinePunct w:val="0"/>
        <w:bidi w:val="0"/>
        <w:rPr>
          <w:rFonts w:hint="eastAsia" w:ascii="仿宋_GB2312" w:hAnsi="仿宋_GB2312" w:eastAsia="仿宋_GB2312" w:cs="仿宋_GB2312"/>
          <w:b/>
          <w:color w:val="auto"/>
          <w:sz w:val="36"/>
          <w:szCs w:val="20"/>
          <w:highlight w:val="none"/>
        </w:rPr>
      </w:pPr>
    </w:p>
    <w:p>
      <w:pPr>
        <w:keepNext w:val="0"/>
        <w:keepLines w:val="0"/>
        <w:pageBreakBefore/>
        <w:widowControl/>
        <w:kinsoku/>
        <w:wordWrap w:val="0"/>
        <w:overflowPunct/>
        <w:topLinePunct w:val="0"/>
        <w:autoSpaceDE/>
        <w:autoSpaceDN/>
        <w:bidi w:val="0"/>
        <w:adjustRightInd/>
        <w:snapToGrid/>
        <w:jc w:val="center"/>
        <w:textAlignment w:val="auto"/>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第六部分</w:t>
      </w:r>
      <w:bookmarkEnd w:id="37"/>
      <w:r>
        <w:rPr>
          <w:rFonts w:hint="eastAsia" w:ascii="仿宋_GB2312" w:hAnsi="仿宋_GB2312" w:eastAsia="仿宋_GB2312" w:cs="仿宋_GB2312"/>
          <w:b/>
          <w:color w:val="auto"/>
          <w:sz w:val="36"/>
          <w:szCs w:val="20"/>
          <w:highlight w:val="none"/>
        </w:rPr>
        <w:t xml:space="preserve"> </w:t>
      </w:r>
      <w:bookmarkEnd w:id="38"/>
      <w:r>
        <w:rPr>
          <w:rFonts w:hint="eastAsia" w:ascii="仿宋_GB2312" w:hAnsi="仿宋_GB2312" w:eastAsia="仿宋_GB2312" w:cs="仿宋_GB2312"/>
          <w:b/>
          <w:color w:val="auto"/>
          <w:sz w:val="36"/>
          <w:szCs w:val="20"/>
          <w:highlight w:val="none"/>
        </w:rPr>
        <w:t>投标文件及其附件格式</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资格文件部分</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（1）符合参加政府采购活动应当具备的一般条件的承诺函……………（页码）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snapToGrid w:val="0"/>
          <w:color w:val="auto"/>
          <w:kern w:val="28"/>
          <w:sz w:val="24"/>
          <w:szCs w:val="20"/>
          <w:highlight w:val="none"/>
        </w:rPr>
        <w:t>（2）联合协议</w:t>
      </w:r>
      <w:r>
        <w:rPr>
          <w:rFonts w:hint="eastAsia" w:ascii="仿宋_GB2312" w:hAnsi="仿宋_GB2312" w:eastAsia="仿宋_GB2312" w:cs="仿宋_GB2312"/>
          <w:color w:val="auto"/>
          <w:sz w:val="24"/>
          <w:highlight w:val="none"/>
        </w:rPr>
        <w:t>………………………………………………………………（页码）</w:t>
      </w:r>
    </w:p>
    <w:p>
      <w:pPr>
        <w:pStyle w:val="4"/>
        <w:kinsoku/>
        <w:wordWrap w:val="0"/>
        <w:overflowPunct/>
        <w:topLinePunct w:val="0"/>
        <w:bidi w:val="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eastAsia="zh-CN"/>
        </w:rPr>
        <w:t>分包协议</w:t>
      </w:r>
      <w:r>
        <w:rPr>
          <w:rFonts w:hint="eastAsia" w:ascii="仿宋_GB2312" w:hAnsi="仿宋_GB2312" w:eastAsia="仿宋_GB2312" w:cs="仿宋_GB2312"/>
          <w:color w:val="auto"/>
          <w:sz w:val="24"/>
          <w:highlight w:val="none"/>
        </w:rPr>
        <w:t>………………………………………………………………（页码）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）落实政府采购政策需满足的资格要求………………………………（页码）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）本项目的特定资格要求………………………………………………（页码）</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rPr>
        <w:br w:type="page"/>
      </w:r>
      <w:r>
        <w:rPr>
          <w:rFonts w:hint="eastAsia" w:ascii="仿宋_GB2312" w:hAnsi="仿宋_GB2312" w:eastAsia="仿宋_GB2312" w:cs="仿宋_GB2312"/>
          <w:b/>
          <w:color w:val="auto"/>
          <w:kern w:val="0"/>
          <w:sz w:val="32"/>
          <w:szCs w:val="32"/>
          <w:highlight w:val="none"/>
        </w:rPr>
        <w:t xml:space="preserve">  一、 符合参加政府采购活动应当具备的一般条件的承诺函</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绍兴市人力资源和社会保障局</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sz w:val="24"/>
          <w:highlight w:val="none"/>
        </w:rPr>
        <w:t>：</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我方参与</w:t>
      </w:r>
      <w:r>
        <w:rPr>
          <w:rFonts w:hint="eastAsia" w:ascii="仿宋_GB2312" w:hAnsi="仿宋_GB2312" w:eastAsia="仿宋_GB2312" w:cs="仿宋_GB2312"/>
          <w:color w:val="auto"/>
          <w:sz w:val="24"/>
          <w:highlight w:val="non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2025-03-0028</w:t>
      </w:r>
      <w:r>
        <w:rPr>
          <w:rFonts w:hint="eastAsia" w:ascii="仿宋_GB2312" w:hAnsi="仿宋_GB2312" w:eastAsia="仿宋_GB2312" w:cs="仿宋_GB2312"/>
          <w:color w:val="auto"/>
          <w:sz w:val="24"/>
          <w:highlight w:val="none"/>
        </w:rPr>
        <w:t>】政府采购活动，郑重承诺：</w:t>
      </w:r>
    </w:p>
    <w:p>
      <w:pPr>
        <w:kinsoku/>
        <w:wordWrap w:val="0"/>
        <w:overflowPunct/>
        <w:topLinePunct w:val="0"/>
        <w:bidi w:val="0"/>
        <w:snapToGrid w:val="0"/>
        <w:spacing w:line="360" w:lineRule="auto"/>
        <w:ind w:firstLine="360" w:firstLineChars="15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（一）具备《中华人民共和国政府采购法》第二十二条第一款规定的条件：</w:t>
      </w:r>
    </w:p>
    <w:p>
      <w:pPr>
        <w:kinsoku/>
        <w:wordWrap w:val="0"/>
        <w:overflowPunct/>
        <w:topLinePunct w:val="0"/>
        <w:bidi w:val="0"/>
        <w:snapToGrid w:val="0"/>
        <w:spacing w:line="336"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2、具有良好的商业信誉和健全的财务会计制度； </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3、具有履行合同所必需的设备和专业技术能力；</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4、有依法缴纳税收和社会保障资金的良好记录；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5、参加政府采购活动前三年内，在经营活动中没有重大违法记录；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6、具有法律、行政法规规定的其他条件。</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（二）未被信用中国（www.creditchina.gov.cn)、中国政府采购网（www.ccgp.gov.cn）列入失信被执行人、重大税收违法案件当事人名单、政府采购严重违法失信行为记录名单。</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（三）不存在以下情况：</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1、单位负责人为同一人或者存在直接控股、管理关系的不同供应商参加同一合同项下的政府采购活动的；</w:t>
      </w:r>
    </w:p>
    <w:p>
      <w:pPr>
        <w:kinsoku/>
        <w:wordWrap w:val="0"/>
        <w:overflowPunct/>
        <w:topLinePunct w:val="0"/>
        <w:bidi w:val="0"/>
        <w:snapToGrid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2、为采购项目提供整体设计、规范编制或者项目管理、监理、检测等服务后再参加该采购项目的其他采购活动的。</w:t>
      </w:r>
    </w:p>
    <w:p>
      <w:pPr>
        <w:kinsoku/>
        <w:wordWrap w:val="0"/>
        <w:overflowPunct/>
        <w:topLinePunct w:val="0"/>
        <w:bidi w:val="0"/>
        <w:snapToGrid w:val="0"/>
        <w:spacing w:line="360" w:lineRule="auto"/>
        <w:ind w:firstLine="5520" w:firstLineChars="23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投标人名称(电子签名)：</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widowControl/>
        <w:kinsoku/>
        <w:wordWrap w:val="0"/>
        <w:overflowPunct/>
        <w:topLinePunct w:val="0"/>
        <w:bidi w:val="0"/>
        <w:adjustRightInd/>
        <w:jc w:val="lef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br w:type="page"/>
      </w:r>
    </w:p>
    <w:p>
      <w:pPr>
        <w:widowControl/>
        <w:kinsoku/>
        <w:wordWrap w:val="0"/>
        <w:overflowPunct/>
        <w:topLinePunct w:val="0"/>
        <w:bidi w:val="0"/>
        <w:spacing w:line="360" w:lineRule="auto"/>
        <w:ind w:firstLine="643" w:firstLineChars="20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二、联合协议（如有）</w:t>
      </w:r>
    </w:p>
    <w:p>
      <w:pPr>
        <w:widowControl/>
        <w:kinsoku/>
        <w:wordWrap w:val="0"/>
        <w:overflowPunct/>
        <w:topLinePunct w:val="0"/>
        <w:bidi w:val="0"/>
        <w:spacing w:line="360" w:lineRule="auto"/>
        <w:ind w:firstLine="482"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[以联合体形式投标的，提供联合协议（附件5）；本项目不接受联合体投标或者投标人不以联合体形式投标的，则不需要提供）]</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三、分包意向协议（如有）</w:t>
      </w:r>
    </w:p>
    <w:p>
      <w:pPr>
        <w:widowControl/>
        <w:kinsoku/>
        <w:wordWrap w:val="0"/>
        <w:overflowPunct/>
        <w:topLinePunct w:val="0"/>
        <w:bidi w:val="0"/>
        <w:spacing w:line="360" w:lineRule="auto"/>
        <w:ind w:firstLine="361" w:firstLineChars="1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[中标后以分包方式履行合同的，提供分包意向协议(附件6)；采购人不同意分包或者投标人中标后不以分包方式履行合同的，则不需要提供。]</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eastAsia="zh-CN"/>
        </w:rPr>
        <w:t>四</w:t>
      </w:r>
      <w:r>
        <w:rPr>
          <w:rFonts w:hint="eastAsia" w:ascii="仿宋_GB2312" w:hAnsi="仿宋_GB2312" w:eastAsia="仿宋_GB2312" w:cs="仿宋_GB2312"/>
          <w:b/>
          <w:color w:val="auto"/>
          <w:kern w:val="0"/>
          <w:sz w:val="32"/>
          <w:szCs w:val="32"/>
          <w:highlight w:val="none"/>
        </w:rPr>
        <w:t>、落实政府采购政策需满足的资格要求</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（根据招标公告落实政府采购政策需满足的资格要求选择提供相应的材料；未要求的，无需提供）</w:t>
      </w:r>
    </w:p>
    <w:p>
      <w:pPr>
        <w:kinsoku/>
        <w:wordWrap w:val="0"/>
        <w:overflowPunct/>
        <w:topLinePunct w:val="0"/>
        <w:bidi w:val="0"/>
        <w:snapToGrid w:val="0"/>
        <w:spacing w:before="50" w:after="50" w:line="360" w:lineRule="auto"/>
        <w:ind w:firstLine="472" w:firstLineChars="196"/>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A</w:t>
      </w:r>
      <w:r>
        <w:rPr>
          <w:rFonts w:hint="eastAsia" w:ascii="仿宋_GB2312" w:hAnsi="仿宋_GB2312" w:eastAsia="仿宋_GB2312" w:cs="仿宋_GB2312"/>
          <w:color w:val="auto"/>
          <w:sz w:val="24"/>
          <w:highlight w:val="none"/>
        </w:rPr>
        <w:t xml:space="preserve">.专门面向中小企业，服务全部由符合政策要求的中小企业（或小微企业）承接的，提供相应的中小企业声明函（附件7）。 </w:t>
      </w:r>
    </w:p>
    <w:p>
      <w:pPr>
        <w:widowControl/>
        <w:kinsoku/>
        <w:wordWrap w:val="0"/>
        <w:overflowPunct/>
        <w:topLinePunct w:val="0"/>
        <w:bidi w:val="0"/>
        <w:spacing w:line="360" w:lineRule="auto"/>
        <w:ind w:firstLine="472" w:firstLineChars="196"/>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B.</w:t>
      </w:r>
      <w:r>
        <w:rPr>
          <w:rFonts w:hint="eastAsia" w:ascii="仿宋_GB2312" w:hAnsi="仿宋_GB2312" w:eastAsia="仿宋_GB2312" w:cs="仿宋_GB2312"/>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_GB2312" w:hAnsi="仿宋_GB2312" w:eastAsia="仿宋_GB2312" w:cs="仿宋_GB2312"/>
          <w:color w:val="auto"/>
          <w:spacing w:val="8"/>
          <w:kern w:val="0"/>
          <w:sz w:val="24"/>
          <w:highlight w:val="none"/>
        </w:rPr>
        <w:t>并相应达到了前述比例要求，</w:t>
      </w:r>
      <w:r>
        <w:rPr>
          <w:rFonts w:hint="eastAsia" w:ascii="仿宋_GB2312" w:hAnsi="仿宋_GB2312" w:eastAsia="仿宋_GB2312" w:cs="仿宋_GB2312"/>
          <w:color w:val="auto"/>
          <w:sz w:val="24"/>
          <w:highlight w:val="none"/>
        </w:rPr>
        <w:t>视同符合了资格条件，无需再与其他中小企业组成联合体参加政府采购活动，无需提供联合协议。</w:t>
      </w:r>
      <w:r>
        <w:rPr>
          <w:rFonts w:hint="eastAsia" w:ascii="仿宋_GB2312" w:hAnsi="仿宋_GB2312" w:eastAsia="仿宋_GB2312" w:cs="仿宋_GB2312"/>
          <w:b/>
          <w:color w:val="auto"/>
          <w:sz w:val="24"/>
          <w:highlight w:val="none"/>
        </w:rPr>
        <w:t xml:space="preserve"> </w:t>
      </w:r>
    </w:p>
    <w:p>
      <w:pPr>
        <w:kinsoku/>
        <w:wordWrap w:val="0"/>
        <w:overflowPunct/>
        <w:topLinePunct w:val="0"/>
        <w:bidi w:val="0"/>
        <w:spacing w:line="360" w:lineRule="auto"/>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C、</w:t>
      </w:r>
      <w:r>
        <w:rPr>
          <w:rFonts w:hint="eastAsia" w:ascii="仿宋_GB2312" w:hAnsi="仿宋_GB2312" w:eastAsia="仿宋_GB2312" w:cs="仿宋_GB2312"/>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_GB2312" w:hAnsi="仿宋_GB2312" w:eastAsia="仿宋_GB2312" w:cs="仿宋_GB2312"/>
          <w:color w:val="auto"/>
          <w:spacing w:val="8"/>
          <w:kern w:val="0"/>
          <w:sz w:val="24"/>
          <w:highlight w:val="none"/>
        </w:rPr>
        <w:t>并相应达到了前述比例要求，</w:t>
      </w:r>
      <w:r>
        <w:rPr>
          <w:rFonts w:hint="eastAsia" w:ascii="仿宋_GB2312" w:hAnsi="仿宋_GB2312" w:eastAsia="仿宋_GB2312" w:cs="仿宋_GB2312"/>
          <w:color w:val="auto"/>
          <w:sz w:val="24"/>
          <w:highlight w:val="none"/>
        </w:rPr>
        <w:t>视同符合了资格条件，无需再向中小企业分包，无需提供分包意向协议。</w:t>
      </w:r>
    </w:p>
    <w:p>
      <w:pPr>
        <w:widowControl/>
        <w:kinsoku/>
        <w:wordWrap w:val="0"/>
        <w:overflowPunct/>
        <w:topLinePunct w:val="0"/>
        <w:bidi w:val="0"/>
        <w:spacing w:line="360" w:lineRule="auto"/>
        <w:ind w:left="150"/>
        <w:jc w:val="center"/>
        <w:rPr>
          <w:rFonts w:hint="eastAsia" w:ascii="仿宋_GB2312" w:hAnsi="仿宋_GB2312" w:eastAsia="仿宋_GB2312" w:cs="仿宋_GB2312"/>
          <w:b/>
          <w:color w:val="auto"/>
          <w:kern w:val="0"/>
          <w:sz w:val="32"/>
          <w:szCs w:val="32"/>
          <w:highlight w:val="none"/>
        </w:rPr>
      </w:pPr>
    </w:p>
    <w:p>
      <w:pPr>
        <w:widowControl/>
        <w:kinsoku/>
        <w:wordWrap w:val="0"/>
        <w:overflowPunct/>
        <w:topLinePunct w:val="0"/>
        <w:bidi w:val="0"/>
        <w:spacing w:line="360" w:lineRule="auto"/>
        <w:ind w:left="15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eastAsia="zh-CN"/>
        </w:rPr>
        <w:t>五</w:t>
      </w:r>
      <w:r>
        <w:rPr>
          <w:rFonts w:hint="eastAsia" w:ascii="仿宋_GB2312" w:hAnsi="仿宋_GB2312" w:eastAsia="仿宋_GB2312" w:cs="仿宋_GB2312"/>
          <w:b/>
          <w:color w:val="auto"/>
          <w:kern w:val="0"/>
          <w:sz w:val="32"/>
          <w:szCs w:val="32"/>
          <w:highlight w:val="none"/>
        </w:rPr>
        <w:t>、本项目的特定资格要求</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（根据招标公告本项目的特定资格要求提供相应的材料；未要求的，无需提供）</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24"/>
          <w:highlight w:val="none"/>
        </w:rPr>
      </w:pPr>
    </w:p>
    <w:p>
      <w:pPr>
        <w:keepNext w:val="0"/>
        <w:keepLines w:val="0"/>
        <w:pageBreakBefore/>
        <w:widowControl w:val="0"/>
        <w:kinsoku/>
        <w:wordWrap w:val="0"/>
        <w:overflowPunct/>
        <w:topLinePunct w:val="0"/>
        <w:autoSpaceDE/>
        <w:autoSpaceDN/>
        <w:bidi w:val="0"/>
        <w:adjustRightInd w:val="0"/>
        <w:snapToGrid/>
        <w:spacing w:line="336" w:lineRule="auto"/>
        <w:jc w:val="center"/>
        <w:textAlignment w:val="auto"/>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商务技术文件部分</w:t>
      </w:r>
    </w:p>
    <w:p>
      <w:pPr>
        <w:kinsoku/>
        <w:wordWrap w:val="0"/>
        <w:overflowPunct/>
        <w:topLinePunct w:val="0"/>
        <w:bidi w:val="0"/>
        <w:spacing w:line="336" w:lineRule="auto"/>
        <w:jc w:val="center"/>
        <w:outlineLvl w:val="0"/>
        <w:rPr>
          <w:rFonts w:hint="eastAsia" w:ascii="仿宋_GB2312" w:hAnsi="仿宋_GB2312" w:eastAsia="仿宋_GB2312" w:cs="仿宋_GB2312"/>
          <w:b/>
          <w:color w:val="auto"/>
          <w:kern w:val="0"/>
          <w:sz w:val="24"/>
          <w:highlight w:val="none"/>
        </w:rPr>
      </w:pPr>
    </w:p>
    <w:p>
      <w:pPr>
        <w:kinsoku/>
        <w:wordWrap w:val="0"/>
        <w:overflowPunct/>
        <w:topLinePunct w:val="0"/>
        <w:bidi w:val="0"/>
        <w:spacing w:line="336" w:lineRule="auto"/>
        <w:jc w:val="center"/>
        <w:outlineLvl w:val="0"/>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目录</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eastAsia="zh-CN"/>
        </w:rPr>
        <w:t>投标函</w:t>
      </w:r>
      <w:r>
        <w:rPr>
          <w:rFonts w:hint="eastAsia" w:ascii="仿宋_GB2312" w:hAnsi="仿宋_GB2312" w:eastAsia="仿宋_GB2312" w:cs="仿宋_GB2312"/>
          <w:color w:val="auto"/>
          <w:highlight w:val="none"/>
        </w:rPr>
        <w:t>…………………………………………………………………………（页码）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en-US"/>
        </w:rPr>
        <w:t>法定代表人授权委托书</w:t>
      </w:r>
      <w:r>
        <w:rPr>
          <w:rFonts w:hint="eastAsia" w:ascii="仿宋_GB2312" w:hAnsi="仿宋_GB2312" w:eastAsia="仿宋_GB2312" w:cs="仿宋_GB2312"/>
          <w:color w:val="auto"/>
          <w:highlight w:val="none"/>
        </w:rPr>
        <w:t xml:space="preserve"> …………………………………………………… （页码）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法定代表人及其授权代表身份证复印件……………………………………（页码）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lang w:val="en-US" w:eastAsia="zh-CN"/>
        </w:rPr>
        <w:t>授权代表社保证明</w:t>
      </w:r>
      <w:r>
        <w:rPr>
          <w:rFonts w:hint="eastAsia" w:ascii="仿宋_GB2312" w:hAnsi="仿宋_GB2312" w:eastAsia="仿宋_GB2312" w:cs="仿宋_GB2312"/>
          <w:color w:val="auto"/>
          <w:highlight w:val="none"/>
        </w:rPr>
        <w:t>……………………………………………………………（页码）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法定代表人身份证明书………………………………………………………（页码）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商务技术</w:t>
      </w:r>
      <w:r>
        <w:rPr>
          <w:rFonts w:hint="eastAsia" w:ascii="仿宋_GB2312" w:hAnsi="仿宋_GB2312" w:eastAsia="仿宋_GB2312" w:cs="仿宋_GB2312"/>
          <w:color w:val="auto"/>
          <w:highlight w:val="none"/>
          <w:lang w:eastAsia="zh-CN"/>
        </w:rPr>
        <w:t>偏离表</w:t>
      </w:r>
      <w:r>
        <w:rPr>
          <w:rFonts w:hint="eastAsia" w:ascii="仿宋_GB2312" w:hAnsi="仿宋_GB2312" w:eastAsia="仿宋_GB2312" w:cs="仿宋_GB2312"/>
          <w:color w:val="auto"/>
          <w:highlight w:val="none"/>
        </w:rPr>
        <w:t>………………………………………………………………（页码）</w:t>
      </w:r>
    </w:p>
    <w:p>
      <w:pPr>
        <w:pStyle w:val="905"/>
        <w:numPr>
          <w:ilvl w:val="0"/>
          <w:numId w:val="2"/>
        </w:numPr>
        <w:kinsoku/>
        <w:wordWrap w:val="0"/>
        <w:overflowPunct/>
        <w:topLinePunct w:val="0"/>
        <w:bidi w:val="0"/>
        <w:spacing w:line="336" w:lineRule="auto"/>
        <w:ind w:left="0" w:firstLine="0" w:firstLineChars="0"/>
        <w:jc w:val="both"/>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zh-CN"/>
        </w:rPr>
        <w:t>政府采购供应商廉洁自律承诺书</w:t>
      </w:r>
      <w:r>
        <w:rPr>
          <w:rFonts w:hint="eastAsia" w:ascii="仿宋_GB2312" w:hAnsi="仿宋_GB2312" w:eastAsia="仿宋_GB2312" w:cs="仿宋_GB2312"/>
          <w:color w:val="auto"/>
          <w:highlight w:val="none"/>
        </w:rPr>
        <w:t>……………………………………………（页码）</w:t>
      </w:r>
    </w:p>
    <w:p>
      <w:pPr>
        <w:kinsoku/>
        <w:wordWrap w:val="0"/>
        <w:overflowPunct/>
        <w:topLinePunct w:val="0"/>
        <w:bidi w:val="0"/>
        <w:adjustRightInd w:val="0"/>
        <w:spacing w:line="360" w:lineRule="auto"/>
        <w:ind w:right="-510" w:rightChars="-243"/>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8</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zh-CN"/>
        </w:rPr>
        <w:t>主要业绩证明…………………………………………………</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zh-CN"/>
        </w:rPr>
        <w:t>……</w:t>
      </w:r>
      <w:r>
        <w:rPr>
          <w:rFonts w:hint="eastAsia" w:ascii="仿宋_GB2312" w:hAnsi="仿宋_GB2312" w:eastAsia="仿宋_GB2312" w:cs="仿宋_GB2312"/>
          <w:color w:val="auto"/>
          <w:sz w:val="24"/>
          <w:highlight w:val="none"/>
        </w:rPr>
        <w:t>（页码）</w:t>
      </w:r>
    </w:p>
    <w:p>
      <w:pPr>
        <w:kinsoku/>
        <w:wordWrap w:val="0"/>
        <w:overflowPunct/>
        <w:topLinePunct w:val="0"/>
        <w:bidi w:val="0"/>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kern w:val="0"/>
          <w:sz w:val="24"/>
          <w:highlight w:val="none"/>
        </w:rPr>
        <w:t>）技术解决方案…………………………………………………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rPr>
        <w:t>组织实施方案……………………………………………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11</w:t>
      </w:r>
      <w:r>
        <w:rPr>
          <w:rFonts w:hint="eastAsia" w:ascii="仿宋_GB2312" w:hAnsi="仿宋_GB2312" w:eastAsia="仿宋_GB2312" w:cs="仿宋_GB2312"/>
          <w:color w:val="auto"/>
          <w:kern w:val="0"/>
          <w:sz w:val="24"/>
          <w:highlight w:val="none"/>
        </w:rPr>
        <w:t>）售后服务方案……………………………………………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rPr>
        <w:t xml:space="preserve"> </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12）</w:t>
      </w:r>
      <w:r>
        <w:rPr>
          <w:rFonts w:hint="eastAsia" w:ascii="仿宋_GB2312" w:hAnsi="仿宋_GB2312" w:eastAsia="仿宋_GB2312" w:cs="仿宋_GB2312"/>
          <w:color w:val="auto"/>
          <w:sz w:val="24"/>
          <w:highlight w:val="none"/>
        </w:rPr>
        <w:t>供应商售后服务证明材料……………………………………………………（页码）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13</w:t>
      </w:r>
      <w:r>
        <w:rPr>
          <w:rFonts w:hint="eastAsia" w:ascii="仿宋_GB2312" w:hAnsi="仿宋_GB2312" w:eastAsia="仿宋_GB2312" w:cs="仿宋_GB2312"/>
          <w:color w:val="auto"/>
          <w:kern w:val="0"/>
          <w:sz w:val="24"/>
          <w:highlight w:val="none"/>
        </w:rPr>
        <w:t>）项目小组人员名单………………………………………</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14</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优惠条件及特殊承诺……………………………………</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15</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16</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培训计划………………………………………………………</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510" w:rightChars="-243"/>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17</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验收方案…………………………………………………………</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pacing w:line="360" w:lineRule="auto"/>
        <w:ind w:right="-368" w:rightChars="-175"/>
        <w:jc w:val="both"/>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18</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认为需要的其他商务技术文件或说明…………</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bidi w:val="0"/>
        <w:snapToGrid w:val="0"/>
        <w:spacing w:line="360" w:lineRule="auto"/>
        <w:jc w:val="both"/>
        <w:rPr>
          <w:rFonts w:hint="eastAsia" w:ascii="仿宋_GB2312" w:hAnsi="仿宋_GB2312" w:eastAsia="仿宋_GB2312" w:cs="仿宋_GB2312"/>
          <w:b/>
          <w:color w:val="auto"/>
          <w:kern w:val="0"/>
          <w:sz w:val="32"/>
          <w:szCs w:val="32"/>
          <w:highlight w:val="none"/>
          <w:lang w:val="zh-CN"/>
        </w:rPr>
      </w:pPr>
    </w:p>
    <w:p>
      <w:pPr>
        <w:widowControl/>
        <w:kinsoku/>
        <w:wordWrap w:val="0"/>
        <w:overflowPunct/>
        <w:topLinePunct w:val="0"/>
        <w:bidi w:val="0"/>
        <w:adjustRightInd/>
        <w:jc w:val="lef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br w:type="page"/>
      </w:r>
    </w:p>
    <w:p>
      <w:pPr>
        <w:kinsoku/>
        <w:wordWrap w:val="0"/>
        <w:overflowPunct/>
        <w:topLinePunct w:val="0"/>
        <w:bidi w:val="0"/>
        <w:snapToGrid w:val="0"/>
        <w:spacing w:line="360" w:lineRule="auto"/>
        <w:jc w:val="center"/>
        <w:outlineLvl w:val="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kern w:val="0"/>
          <w:sz w:val="32"/>
          <w:szCs w:val="32"/>
          <w:highlight w:val="none"/>
        </w:rPr>
        <w:t>一、投标</w:t>
      </w:r>
      <w:r>
        <w:rPr>
          <w:rFonts w:hint="eastAsia" w:ascii="仿宋_GB2312" w:hAnsi="仿宋_GB2312" w:eastAsia="仿宋_GB2312" w:cs="仿宋_GB2312"/>
          <w:b/>
          <w:color w:val="auto"/>
          <w:sz w:val="32"/>
          <w:szCs w:val="32"/>
          <w:highlight w:val="none"/>
        </w:rPr>
        <w:t>函</w:t>
      </w:r>
    </w:p>
    <w:p>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致：</w:t>
      </w:r>
      <w:r>
        <w:rPr>
          <w:rFonts w:hint="eastAsia" w:ascii="仿宋_GB2312" w:hAnsi="仿宋_GB2312" w:eastAsia="仿宋_GB2312" w:cs="仿宋_GB2312"/>
          <w:color w:val="auto"/>
          <w:szCs w:val="24"/>
          <w:u w:val="single"/>
          <w:lang w:eastAsia="zh-CN"/>
        </w:rPr>
        <w:t>绍兴市人力资源和社会保障局</w:t>
      </w:r>
      <w:r>
        <w:rPr>
          <w:rFonts w:hint="eastAsia" w:ascii="仿宋_GB2312" w:hAnsi="仿宋_GB2312" w:eastAsia="仿宋_GB2312" w:cs="仿宋_GB2312"/>
          <w:color w:val="auto"/>
          <w:szCs w:val="24"/>
          <w:u w:val="single"/>
        </w:rPr>
        <w:t>、绍兴市公共资源交易中心</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根据贵方招标文件（</w:t>
      </w:r>
      <w:r>
        <w:rPr>
          <w:rFonts w:hint="eastAsia" w:ascii="仿宋_GB2312" w:hAnsi="仿宋_GB2312" w:eastAsia="仿宋_GB2312" w:cs="仿宋_GB2312"/>
          <w:b/>
          <w:color w:val="auto"/>
          <w:sz w:val="24"/>
          <w:szCs w:val="24"/>
          <w:highlight w:val="none"/>
          <w:u w:val="single"/>
        </w:rPr>
        <w:t>填写招标编号：</w:t>
      </w:r>
      <w:r>
        <w:rPr>
          <w:rFonts w:hint="eastAsia" w:ascii="仿宋_GB2312" w:hAnsi="仿宋_GB2312" w:eastAsia="仿宋_GB2312" w:cs="仿宋_GB2312"/>
          <w:color w:val="auto"/>
          <w:sz w:val="24"/>
          <w:szCs w:val="24"/>
          <w:highlight w:val="none"/>
        </w:rPr>
        <w:t>）的要求，正式授权</w:t>
      </w:r>
      <w:r>
        <w:rPr>
          <w:rFonts w:hint="eastAsia" w:ascii="仿宋_GB2312" w:hAnsi="仿宋_GB2312" w:eastAsia="仿宋_GB2312" w:cs="仿宋_GB2312"/>
          <w:b/>
          <w:color w:val="auto"/>
          <w:sz w:val="24"/>
          <w:szCs w:val="24"/>
          <w:highlight w:val="none"/>
          <w:u w:val="single"/>
        </w:rPr>
        <w:t>（全权代表姓名    、单位    、职务   ）</w:t>
      </w:r>
      <w:r>
        <w:rPr>
          <w:rFonts w:hint="eastAsia" w:ascii="仿宋_GB2312" w:hAnsi="仿宋_GB2312" w:eastAsia="仿宋_GB2312" w:cs="仿宋_GB2312"/>
          <w:color w:val="auto"/>
          <w:sz w:val="24"/>
          <w:szCs w:val="24"/>
          <w:highlight w:val="none"/>
        </w:rPr>
        <w:t>代表投标人</w:t>
      </w:r>
      <w:r>
        <w:rPr>
          <w:rFonts w:hint="eastAsia" w:ascii="仿宋_GB2312" w:hAnsi="仿宋_GB2312" w:eastAsia="仿宋_GB2312" w:cs="仿宋_GB2312"/>
          <w:color w:val="auto"/>
          <w:sz w:val="24"/>
          <w:szCs w:val="24"/>
          <w:highlight w:val="none"/>
          <w:u w:val="single"/>
        </w:rPr>
        <w:t>（</w:t>
      </w:r>
      <w:r>
        <w:rPr>
          <w:rFonts w:hint="eastAsia" w:ascii="仿宋_GB2312" w:hAnsi="仿宋_GB2312" w:eastAsia="仿宋_GB2312" w:cs="仿宋_GB2312"/>
          <w:b/>
          <w:color w:val="auto"/>
          <w:sz w:val="24"/>
          <w:szCs w:val="24"/>
          <w:highlight w:val="none"/>
          <w:u w:val="single"/>
        </w:rPr>
        <w:t xml:space="preserve">填写单位    、地址   </w:t>
      </w:r>
      <w:r>
        <w:rPr>
          <w:rFonts w:hint="eastAsia" w:ascii="仿宋_GB2312" w:hAnsi="仿宋_GB2312" w:eastAsia="仿宋_GB2312" w:cs="仿宋_GB2312"/>
          <w:color w:val="auto"/>
          <w:sz w:val="24"/>
          <w:szCs w:val="24"/>
          <w:highlight w:val="none"/>
          <w:u w:val="single"/>
        </w:rPr>
        <w:t>）</w:t>
      </w:r>
      <w:r>
        <w:rPr>
          <w:rFonts w:hint="eastAsia" w:ascii="仿宋_GB2312" w:hAnsi="仿宋_GB2312" w:eastAsia="仿宋_GB2312" w:cs="仿宋_GB2312"/>
          <w:color w:val="auto"/>
          <w:sz w:val="24"/>
          <w:szCs w:val="24"/>
          <w:highlight w:val="none"/>
        </w:rPr>
        <w:t>提交投标文件。</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我方已完全明白招标文件的所有条款要求，兹声明同意如下：</w:t>
      </w:r>
    </w:p>
    <w:p>
      <w:pPr>
        <w:pStyle w:val="17"/>
        <w:keepNext w:val="0"/>
        <w:keepLines w:val="0"/>
        <w:pageBreakBefore w:val="0"/>
        <w:tabs>
          <w:tab w:val="clear" w:pos="1697"/>
        </w:tabs>
        <w:kinsoku/>
        <w:wordWrap w:val="0"/>
        <w:overflowPunct/>
        <w:topLinePunct w:val="0"/>
        <w:autoSpaceDE/>
        <w:autoSpaceDN/>
        <w:bidi w:val="0"/>
        <w:spacing w:after="0" w:line="336" w:lineRule="auto"/>
        <w:ind w:left="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1.我方同意在投标人</w:t>
      </w:r>
      <w:r>
        <w:rPr>
          <w:rFonts w:hint="eastAsia" w:ascii="仿宋_GB2312" w:hAnsi="仿宋_GB2312" w:eastAsia="仿宋_GB2312" w:cs="仿宋_GB2312"/>
          <w:color w:val="auto"/>
          <w:kern w:val="44"/>
          <w:sz w:val="24"/>
          <w:szCs w:val="24"/>
          <w:highlight w:val="none"/>
        </w:rPr>
        <w:t>须知</w:t>
      </w:r>
      <w:r>
        <w:rPr>
          <w:rFonts w:hint="eastAsia" w:ascii="仿宋_GB2312" w:hAnsi="仿宋_GB2312" w:eastAsia="仿宋_GB2312" w:cs="仿宋_GB2312"/>
          <w:color w:val="auto"/>
          <w:sz w:val="24"/>
          <w:szCs w:val="24"/>
          <w:highlight w:val="none"/>
        </w:rPr>
        <w:t>规定的开标日期起遵守本投标文件中的承诺且在投标有效期满之前均具有约束力。</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2.我方承诺已经具备《中华人民共和国政府采购法》中规定的参加政府采购活动的供应商应当具备的条件。</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_GB2312" w:hAnsi="仿宋_GB2312" w:eastAsia="仿宋_GB2312" w:cs="仿宋_GB2312"/>
          <w:color w:val="auto"/>
          <w:sz w:val="24"/>
          <w:szCs w:val="24"/>
          <w:highlight w:val="none"/>
          <w:lang w:eastAsia="zh-CN"/>
        </w:rPr>
        <w:t>采购代理机构</w:t>
      </w:r>
      <w:r>
        <w:rPr>
          <w:rFonts w:hint="eastAsia" w:ascii="仿宋_GB2312" w:hAnsi="仿宋_GB2312" w:eastAsia="仿宋_GB2312" w:cs="仿宋_GB2312"/>
          <w:color w:val="auto"/>
          <w:sz w:val="24"/>
          <w:szCs w:val="24"/>
          <w:highlight w:val="none"/>
        </w:rPr>
        <w:t>提供可能另外要求的与投标有关的任何数据或资料。</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4.我方理解贵方将不受你们所收到的最低报价的约束。</w:t>
      </w:r>
    </w:p>
    <w:p>
      <w:pPr>
        <w:pStyle w:val="17"/>
        <w:keepNext w:val="0"/>
        <w:keepLines w:val="0"/>
        <w:pageBreakBefore w:val="0"/>
        <w:tabs>
          <w:tab w:val="clear" w:pos="1697"/>
        </w:tabs>
        <w:kinsoku/>
        <w:wordWrap w:val="0"/>
        <w:overflowPunct/>
        <w:topLinePunct w:val="0"/>
        <w:autoSpaceDE/>
        <w:autoSpaceDN/>
        <w:bidi w:val="0"/>
        <w:spacing w:after="0" w:line="336" w:lineRule="auto"/>
        <w:ind w:left="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5.本投标自开标之日（投标截止之日）起90天内有效。</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a)提供虚假材料谋取中标、成交的；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b)采取不正当手段诋毁、排挤其他供应商的；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c)与采购人、其它供应商或者采购代理机构恶意串通的；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d)向采购人、采购代理机构行贿或者提供其他不正当利益的；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e)在招标采购过程中与采购人进行协商谈判的；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f)拒绝有关部门监督检查或提供虚假情况的。</w:t>
      </w:r>
    </w:p>
    <w:p>
      <w:pPr>
        <w:keepNext w:val="0"/>
        <w:keepLines w:val="0"/>
        <w:pageBreakBefore w:val="0"/>
        <w:kinsoku/>
        <w:wordWrap w:val="0"/>
        <w:overflowPunct/>
        <w:topLinePunct w:val="0"/>
        <w:autoSpaceDE/>
        <w:autoSpaceDN/>
        <w:bidi w:val="0"/>
        <w:snapToGrid w:val="0"/>
        <w:spacing w:line="336"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供应商有前款第a)至e)项情形之一的，中标、成交无效。</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　　　　　　　　　　　　　　　邮政编码：</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电话：                              传真：</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开户银行：                          帐号：</w:t>
      </w:r>
    </w:p>
    <w:p>
      <w:pPr>
        <w:pStyle w:val="396"/>
        <w:keepNext w:val="0"/>
        <w:keepLines w:val="0"/>
        <w:pageBreakBefore w:val="0"/>
        <w:kinsoku/>
        <w:wordWrap w:val="0"/>
        <w:overflowPunct/>
        <w:topLinePunct w:val="0"/>
        <w:autoSpaceDE/>
        <w:autoSpaceDN/>
        <w:bidi w:val="0"/>
        <w:spacing w:after="0" w:line="336" w:lineRule="auto"/>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法定代表人或其授权代表(签字或盖章)：</w:t>
      </w:r>
    </w:p>
    <w:p>
      <w:pPr>
        <w:keepNext w:val="0"/>
        <w:keepLines w:val="0"/>
        <w:pageBreakBefore w:val="0"/>
        <w:kinsoku/>
        <w:wordWrap w:val="0"/>
        <w:overflowPunct/>
        <w:topLinePunct w:val="0"/>
        <w:autoSpaceDE/>
        <w:autoSpaceDN/>
        <w:bidi w:val="0"/>
        <w:snapToGrid w:val="0"/>
        <w:spacing w:line="336" w:lineRule="auto"/>
        <w:ind w:firstLine="480" w:firstLineChars="200"/>
        <w:jc w:val="left"/>
        <w:textAlignment w:val="auto"/>
        <w:rPr>
          <w:rFonts w:hint="eastAsia" w:ascii="仿宋_GB2312" w:hAnsi="仿宋_GB2312" w:eastAsia="仿宋_GB2312" w:cs="仿宋_GB2312"/>
          <w:color w:val="auto"/>
          <w:sz w:val="24"/>
          <w:szCs w:val="24"/>
          <w:highlight w:val="none"/>
        </w:rPr>
      </w:pPr>
    </w:p>
    <w:p>
      <w:pPr>
        <w:keepNext w:val="0"/>
        <w:keepLines w:val="0"/>
        <w:pageBreakBefore w:val="0"/>
        <w:kinsoku/>
        <w:wordWrap w:val="0"/>
        <w:overflowPunct/>
        <w:topLinePunct w:val="0"/>
        <w:autoSpaceDE/>
        <w:autoSpaceDN/>
        <w:bidi w:val="0"/>
        <w:snapToGrid w:val="0"/>
        <w:spacing w:line="336" w:lineRule="auto"/>
        <w:ind w:firstLine="480" w:firstLineChars="200"/>
        <w:jc w:val="left"/>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sz w:val="24"/>
          <w:szCs w:val="24"/>
          <w:highlight w:val="none"/>
        </w:rPr>
        <w:t xml:space="preserve">投标人(电子签章)：　　　　　　　　　日期：  </w:t>
      </w:r>
    </w:p>
    <w:p>
      <w:pPr>
        <w:pageBreakBefore/>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二</w:t>
      </w:r>
      <w:r>
        <w:rPr>
          <w:rFonts w:hint="eastAsia" w:ascii="仿宋_GB2312" w:hAnsi="仿宋_GB2312" w:eastAsia="仿宋_GB2312" w:cs="仿宋_GB2312"/>
          <w:b/>
          <w:color w:val="auto"/>
          <w:sz w:val="30"/>
          <w:szCs w:val="30"/>
          <w:highlight w:val="none"/>
        </w:rPr>
        <w:t xml:space="preserve">、法定代表人授权委托书（格式） </w:t>
      </w:r>
      <w:r>
        <w:rPr>
          <w:rFonts w:hint="eastAsia" w:ascii="仿宋_GB2312" w:hAnsi="仿宋_GB2312" w:eastAsia="仿宋_GB2312" w:cs="仿宋_GB2312"/>
          <w:b/>
          <w:color w:val="auto"/>
          <w:kern w:val="0"/>
          <w:sz w:val="32"/>
          <w:szCs w:val="32"/>
          <w:highlight w:val="none"/>
          <w:lang w:val="zh-CN"/>
        </w:rPr>
        <w:t>（适用于非联合体投标）</w:t>
      </w:r>
    </w:p>
    <w:p>
      <w:pPr>
        <w:kinsoku/>
        <w:wordWrap w:val="0"/>
        <w:overflowPunct/>
        <w:topLinePunct w:val="0"/>
        <w:bidi w:val="0"/>
        <w:jc w:val="center"/>
        <w:rPr>
          <w:rFonts w:hint="eastAsia" w:ascii="仿宋_GB2312" w:hAnsi="仿宋_GB2312" w:eastAsia="仿宋_GB2312" w:cs="仿宋_GB2312"/>
          <w:b/>
          <w:color w:val="auto"/>
          <w:sz w:val="24"/>
          <w:highlight w:val="none"/>
        </w:rPr>
      </w:pPr>
    </w:p>
    <w:p>
      <w:pPr>
        <w:kinsoku/>
        <w:wordWrap w:val="0"/>
        <w:overflowPunct/>
        <w:topLinePunct w:val="0"/>
        <w:bidi w:val="0"/>
        <w:snapToGrid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本授权委托书声明：我</w:t>
      </w:r>
      <w:r>
        <w:rPr>
          <w:rFonts w:hint="eastAsia" w:ascii="仿宋_GB2312" w:hAnsi="仿宋_GB2312" w:eastAsia="仿宋_GB2312" w:cs="仿宋_GB2312"/>
          <w:color w:val="auto"/>
          <w:sz w:val="24"/>
          <w:highlight w:val="none"/>
          <w:u w:val="single"/>
        </w:rPr>
        <w:t xml:space="preserve">         (填写姓名)</w:t>
      </w: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（填写投标人单位全称）</w:t>
      </w:r>
      <w:r>
        <w:rPr>
          <w:rFonts w:hint="eastAsia" w:ascii="仿宋_GB2312" w:hAnsi="仿宋_GB2312" w:eastAsia="仿宋_GB2312" w:cs="仿宋_GB2312"/>
          <w:color w:val="auto"/>
          <w:sz w:val="24"/>
          <w:highlight w:val="none"/>
        </w:rPr>
        <w:t>的法定代表人，现授权委托</w:t>
      </w:r>
      <w:r>
        <w:rPr>
          <w:rFonts w:hint="eastAsia" w:ascii="仿宋_GB2312" w:hAnsi="仿宋_GB2312" w:eastAsia="仿宋_GB2312" w:cs="仿宋_GB2312"/>
          <w:color w:val="auto"/>
          <w:sz w:val="24"/>
          <w:highlight w:val="none"/>
          <w:u w:val="single"/>
        </w:rPr>
        <w:t xml:space="preserve">                  （填写单位全称）</w:t>
      </w:r>
      <w:r>
        <w:rPr>
          <w:rFonts w:hint="eastAsia" w:ascii="仿宋_GB2312" w:hAnsi="仿宋_GB2312" w:eastAsia="仿宋_GB2312" w:cs="仿宋_GB2312"/>
          <w:color w:val="auto"/>
          <w:sz w:val="24"/>
          <w:highlight w:val="none"/>
        </w:rPr>
        <w:t>的（填写姓名）为我公司授权代表，</w:t>
      </w:r>
      <w:r>
        <w:rPr>
          <w:rFonts w:hint="eastAsia" w:ascii="仿宋_GB2312" w:hAnsi="仿宋_GB2312" w:eastAsia="仿宋_GB2312" w:cs="仿宋_GB2312"/>
          <w:color w:val="auto"/>
          <w:sz w:val="24"/>
          <w:highlight w:val="none"/>
          <w:u w:val="single"/>
        </w:rPr>
        <w:t>（填写身份证号码：                       ）</w:t>
      </w:r>
      <w:r>
        <w:rPr>
          <w:rFonts w:hint="eastAsia" w:ascii="仿宋_GB2312" w:hAnsi="仿宋_GB2312" w:eastAsia="仿宋_GB2312" w:cs="仿宋_GB2312"/>
          <w:color w:val="auto"/>
          <w:sz w:val="24"/>
          <w:highlight w:val="none"/>
        </w:rPr>
        <w:t>。以本公司的名义参加</w:t>
      </w:r>
      <w:r>
        <w:rPr>
          <w:rFonts w:hint="eastAsia" w:ascii="仿宋_GB2312" w:hAnsi="仿宋_GB2312" w:eastAsia="仿宋_GB2312" w:cs="仿宋_GB2312"/>
          <w:color w:val="auto"/>
          <w:sz w:val="24"/>
          <w:highlight w:val="none"/>
          <w:u w:val="single"/>
          <w:lang w:val="en-US" w:eastAsia="zh-CN"/>
        </w:rPr>
        <w:t xml:space="preserve"> 绍兴市人力资源和社会保障局、绍兴市公共资源交易中心 </w:t>
      </w:r>
      <w:r>
        <w:rPr>
          <w:rFonts w:hint="eastAsia" w:ascii="仿宋_GB2312" w:hAnsi="仿宋_GB2312" w:eastAsia="仿宋_GB2312" w:cs="仿宋_GB2312"/>
          <w:color w:val="auto"/>
          <w:sz w:val="24"/>
          <w:highlight w:val="none"/>
        </w:rPr>
        <w:t>组织的</w:t>
      </w:r>
      <w:r>
        <w:rPr>
          <w:rFonts w:hint="eastAsia" w:ascii="仿宋_GB2312" w:hAnsi="仿宋_GB2312" w:eastAsia="仿宋_GB2312" w:cs="仿宋_GB2312"/>
          <w:color w:val="auto"/>
          <w:sz w:val="24"/>
          <w:highlight w:val="none"/>
          <w:u w:val="single"/>
          <w:lang w:val="en-US" w:eastAsia="zh-CN"/>
        </w:rPr>
        <w:t xml:space="preserve"> 绍兴市人力资源和社会保障局2025年绍兴市人力资源和社会保障局“互联网+绍兴人社”云资源租赁项目 （招标编号:2025-03-0028） </w:t>
      </w:r>
      <w:r>
        <w:rPr>
          <w:rFonts w:hint="eastAsia" w:ascii="仿宋_GB2312" w:hAnsi="仿宋_GB2312" w:eastAsia="仿宋_GB2312" w:cs="仿宋_GB2312"/>
          <w:color w:val="auto"/>
          <w:sz w:val="24"/>
          <w:highlight w:val="none"/>
        </w:rPr>
        <w:t>投标活动。授权代表在开标、评标、合同谈判过程中所签署的一切文件和处理与之有关的一切事务，我均予以承认。</w:t>
      </w:r>
    </w:p>
    <w:p>
      <w:pPr>
        <w:kinsoku/>
        <w:wordWrap w:val="0"/>
        <w:overflowPunct/>
        <w:topLinePunct w:val="0"/>
        <w:bidi w:val="0"/>
        <w:snapToGrid w:val="0"/>
        <w:spacing w:line="56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在撤销授权的书面通知以前，本授权书一直有效。全权代表在授权书有效期内签署的所有文件不因授权的撤销而失效。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授权代表无转委托权。特此委托。</w:t>
      </w:r>
    </w:p>
    <w:p>
      <w:pPr>
        <w:kinsoku/>
        <w:wordWrap w:val="0"/>
        <w:overflowPunct/>
        <w:topLinePunct w:val="0"/>
        <w:bidi w:val="0"/>
        <w:snapToGrid w:val="0"/>
        <w:spacing w:line="600" w:lineRule="exact"/>
        <w:jc w:val="lef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授权代表姓名：              性别：               年龄：</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                      部门：               职务：</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widowControl/>
        <w:kinsoku/>
        <w:wordWrap w:val="0"/>
        <w:overflowPunct/>
        <w:topLinePunct w:val="0"/>
        <w:bidi w:val="0"/>
        <w:snapToGrid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办公地址：                  联系电话：           传真：</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投标人（电子签章）：</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法定代表人（签字或盖章）：</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ind w:firstLine="5280" w:firstLineChars="2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日期：    年   月   日</w:t>
      </w:r>
    </w:p>
    <w:p>
      <w:pPr>
        <w:kinsoku/>
        <w:wordWrap w:val="0"/>
        <w:overflowPunct/>
        <w:topLinePunct w:val="0"/>
        <w:bidi w:val="0"/>
        <w:ind w:firstLine="4920" w:firstLineChars="2050"/>
        <w:jc w:val="left"/>
        <w:rPr>
          <w:rFonts w:hint="eastAsia" w:ascii="仿宋_GB2312" w:hAnsi="仿宋_GB2312" w:eastAsia="仿宋_GB2312" w:cs="仿宋_GB2312"/>
          <w:color w:val="auto"/>
          <w:sz w:val="24"/>
          <w:highlight w:val="none"/>
        </w:rPr>
      </w:pP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pageBreakBefore/>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 xml:space="preserve">法定代表人授权委托书（格式） </w:t>
      </w:r>
      <w:r>
        <w:rPr>
          <w:rFonts w:hint="eastAsia" w:ascii="仿宋_GB2312" w:hAnsi="仿宋_GB2312" w:eastAsia="仿宋_GB2312" w:cs="仿宋_GB2312"/>
          <w:b/>
          <w:color w:val="auto"/>
          <w:kern w:val="0"/>
          <w:sz w:val="32"/>
          <w:szCs w:val="32"/>
          <w:highlight w:val="none"/>
          <w:lang w:val="zh-CN"/>
        </w:rPr>
        <w:t>（适用于联合体投标）</w:t>
      </w:r>
    </w:p>
    <w:p>
      <w:pPr>
        <w:kinsoku/>
        <w:wordWrap w:val="0"/>
        <w:overflowPunct/>
        <w:topLinePunct w:val="0"/>
        <w:bidi w:val="0"/>
        <w:jc w:val="center"/>
        <w:rPr>
          <w:rFonts w:hint="eastAsia" w:ascii="仿宋_GB2312" w:hAnsi="仿宋_GB2312" w:eastAsia="仿宋_GB2312" w:cs="仿宋_GB2312"/>
          <w:b/>
          <w:color w:val="auto"/>
          <w:sz w:val="24"/>
          <w:highlight w:val="none"/>
        </w:rPr>
      </w:pPr>
    </w:p>
    <w:p>
      <w:pPr>
        <w:kinsoku/>
        <w:wordWrap w:val="0"/>
        <w:overflowPunct/>
        <w:topLinePunct w:val="0"/>
        <w:bidi w:val="0"/>
        <w:snapToGrid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本授权委托书声明：</w:t>
      </w:r>
    </w:p>
    <w:p>
      <w:pPr>
        <w:kinsoku/>
        <w:wordWrap w:val="0"/>
        <w:overflowPunct/>
        <w:topLinePunct w:val="0"/>
        <w:bidi w:val="0"/>
        <w:snapToGrid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现授权委托</w:t>
      </w:r>
      <w:r>
        <w:rPr>
          <w:rFonts w:hint="eastAsia" w:ascii="仿宋_GB2312" w:hAnsi="仿宋_GB2312" w:eastAsia="仿宋_GB2312" w:cs="仿宋_GB2312"/>
          <w:color w:val="auto"/>
          <w:sz w:val="24"/>
          <w:highlight w:val="none"/>
          <w:u w:val="single"/>
        </w:rPr>
        <w:t xml:space="preserve">                  （填写单位全称）</w:t>
      </w:r>
      <w:r>
        <w:rPr>
          <w:rFonts w:hint="eastAsia" w:ascii="仿宋_GB2312" w:hAnsi="仿宋_GB2312" w:eastAsia="仿宋_GB2312" w:cs="仿宋_GB2312"/>
          <w:color w:val="auto"/>
          <w:sz w:val="24"/>
          <w:highlight w:val="none"/>
        </w:rPr>
        <w:t>的（填写姓名）为我方授权代表，</w:t>
      </w:r>
      <w:r>
        <w:rPr>
          <w:rFonts w:hint="eastAsia" w:ascii="仿宋_GB2312" w:hAnsi="仿宋_GB2312" w:eastAsia="仿宋_GB2312" w:cs="仿宋_GB2312"/>
          <w:color w:val="auto"/>
          <w:sz w:val="24"/>
          <w:highlight w:val="none"/>
          <w:u w:val="single"/>
        </w:rPr>
        <w:t>（填写身份证号码：                       ）</w:t>
      </w:r>
      <w:r>
        <w:rPr>
          <w:rFonts w:hint="eastAsia" w:ascii="仿宋_GB2312" w:hAnsi="仿宋_GB2312" w:eastAsia="仿宋_GB2312" w:cs="仿宋_GB2312"/>
          <w:color w:val="auto"/>
          <w:sz w:val="24"/>
          <w:highlight w:val="none"/>
        </w:rPr>
        <w:t>。以我方的名义参加</w:t>
      </w:r>
      <w:r>
        <w:rPr>
          <w:rFonts w:hint="eastAsia" w:ascii="仿宋_GB2312" w:hAnsi="仿宋_GB2312" w:eastAsia="仿宋_GB2312" w:cs="仿宋_GB2312"/>
          <w:color w:val="auto"/>
          <w:sz w:val="24"/>
          <w:highlight w:val="none"/>
          <w:u w:val="single"/>
          <w:lang w:val="en-US" w:eastAsia="zh-CN"/>
        </w:rPr>
        <w:t xml:space="preserve"> 绍兴市人力资源和社会保障局、绍兴市公共资源交易中心 </w:t>
      </w:r>
      <w:r>
        <w:rPr>
          <w:rFonts w:hint="eastAsia" w:ascii="仿宋_GB2312" w:hAnsi="仿宋_GB2312" w:eastAsia="仿宋_GB2312" w:cs="仿宋_GB2312"/>
          <w:color w:val="auto"/>
          <w:sz w:val="24"/>
          <w:highlight w:val="none"/>
        </w:rPr>
        <w:t>组织的</w:t>
      </w:r>
      <w:r>
        <w:rPr>
          <w:rFonts w:hint="eastAsia" w:ascii="仿宋_GB2312" w:hAnsi="仿宋_GB2312" w:eastAsia="仿宋_GB2312" w:cs="仿宋_GB2312"/>
          <w:color w:val="auto"/>
          <w:sz w:val="24"/>
          <w:highlight w:val="none"/>
          <w:u w:val="single"/>
          <w:lang w:val="en-US" w:eastAsia="zh-CN"/>
        </w:rPr>
        <w:t xml:space="preserve"> 绍兴市人力资源和社会保障局2025年绍兴市人力资源和社会保障局“互联网+绍兴人社”云资源租赁项目 （招标编号:2025-03-0028） </w:t>
      </w:r>
      <w:r>
        <w:rPr>
          <w:rFonts w:hint="eastAsia" w:ascii="仿宋_GB2312" w:hAnsi="仿宋_GB2312" w:eastAsia="仿宋_GB2312" w:cs="仿宋_GB2312"/>
          <w:color w:val="auto"/>
          <w:sz w:val="24"/>
          <w:highlight w:val="none"/>
        </w:rPr>
        <w:t>投标活动。授权代表在开标、评标、合同谈判过程中所签署的一切文件和处理与之有关的一切事务，我均予以承认。</w:t>
      </w:r>
    </w:p>
    <w:p>
      <w:pPr>
        <w:kinsoku/>
        <w:wordWrap w:val="0"/>
        <w:overflowPunct/>
        <w:topLinePunct w:val="0"/>
        <w:bidi w:val="0"/>
        <w:snapToGrid w:val="0"/>
        <w:spacing w:line="56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在撤销授权的书面通知以前，本授权书一直有效。全权代表在授权书有效期内签署的所有文件不因授权的撤销而失效。</w:t>
      </w:r>
    </w:p>
    <w:p>
      <w:pPr>
        <w:kinsoku/>
        <w:wordWrap w:val="0"/>
        <w:overflowPunct/>
        <w:topLinePunct w:val="0"/>
        <w:bidi w:val="0"/>
        <w:spacing w:line="56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授权代表无转委托权。特此委托。</w:t>
      </w:r>
    </w:p>
    <w:p>
      <w:pPr>
        <w:kinsoku/>
        <w:wordWrap w:val="0"/>
        <w:overflowPunct/>
        <w:topLinePunct w:val="0"/>
        <w:bidi w:val="0"/>
        <w:snapToGrid w:val="0"/>
        <w:spacing w:line="600" w:lineRule="exact"/>
        <w:jc w:val="lef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授权代表姓名：              性别：               年龄：</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                      部门：               职务：</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widowControl/>
        <w:kinsoku/>
        <w:wordWrap w:val="0"/>
        <w:overflowPunct/>
        <w:topLinePunct w:val="0"/>
        <w:bidi w:val="0"/>
        <w:snapToGrid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办公地址：                  联系电话：           传真：</w:t>
      </w: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spacing w:line="360" w:lineRule="exact"/>
        <w:rPr>
          <w:rFonts w:hint="eastAsia" w:ascii="仿宋_GB2312" w:hAnsi="仿宋_GB2312" w:eastAsia="仿宋_GB2312" w:cs="仿宋_GB2312"/>
          <w:color w:val="auto"/>
          <w:sz w:val="24"/>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firstLine="5040" w:firstLineChars="21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insoku/>
        <w:wordWrap w:val="0"/>
        <w:overflowPunct/>
        <w:topLinePunct w:val="0"/>
        <w:bidi w:val="0"/>
        <w:snapToGrid w:val="0"/>
        <w:spacing w:line="360" w:lineRule="auto"/>
        <w:ind w:firstLine="5760" w:firstLineChars="24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kern w:val="0"/>
          <w:sz w:val="32"/>
          <w:szCs w:val="32"/>
          <w:highlight w:val="none"/>
          <w:lang w:val="zh-CN"/>
        </w:rPr>
      </w:pPr>
    </w:p>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kern w:val="0"/>
          <w:sz w:val="32"/>
          <w:szCs w:val="32"/>
          <w:highlight w:val="none"/>
          <w:lang w:val="zh-CN"/>
        </w:rPr>
      </w:pPr>
    </w:p>
    <w:p>
      <w:pPr>
        <w:pageBreakBefore/>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三、授权代表社保证明（复印件）</w:t>
      </w:r>
    </w:p>
    <w:p>
      <w:pPr>
        <w:kinsoku/>
        <w:wordWrap w:val="0"/>
        <w:overflowPunct/>
        <w:topLinePunct w:val="0"/>
        <w:bidi w:val="0"/>
        <w:spacing w:line="800" w:lineRule="exact"/>
        <w:ind w:firstLine="480" w:firstLineChars="200"/>
        <w:rPr>
          <w:rFonts w:hint="eastAsia" w:ascii="仿宋_GB2312" w:hAnsi="仿宋_GB2312" w:eastAsia="仿宋_GB2312" w:cs="仿宋_GB2312"/>
          <w:color w:val="auto"/>
          <w:sz w:val="24"/>
          <w:highlight w:val="none"/>
          <w:u w:val="wave"/>
        </w:rPr>
      </w:pPr>
      <w:r>
        <w:rPr>
          <w:rFonts w:hint="eastAsia" w:ascii="仿宋_GB2312" w:hAnsi="仿宋_GB2312" w:eastAsia="仿宋_GB2312" w:cs="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val="en-US" w:eastAsia="zh-CN"/>
        </w:rPr>
        <w:t>四</w:t>
      </w:r>
      <w:r>
        <w:rPr>
          <w:rFonts w:hint="eastAsia" w:ascii="仿宋_GB2312" w:hAnsi="仿宋_GB2312" w:eastAsia="仿宋_GB2312" w:cs="仿宋_GB2312"/>
          <w:b/>
          <w:color w:val="auto"/>
          <w:sz w:val="30"/>
          <w:szCs w:val="30"/>
          <w:highlight w:val="none"/>
        </w:rPr>
        <w:t>、法定代表人及其授权代表身份证复印件（正反面）</w:t>
      </w: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kinsoku/>
        <w:wordWrap w:val="0"/>
        <w:overflowPunct/>
        <w:topLinePunct w:val="0"/>
        <w:bidi w:val="0"/>
        <w:spacing w:line="800" w:lineRule="exact"/>
        <w:rPr>
          <w:rFonts w:hint="eastAsia" w:ascii="仿宋_GB2312" w:hAnsi="仿宋_GB2312" w:eastAsia="仿宋_GB2312" w:cs="仿宋_GB2312"/>
          <w:b/>
          <w:color w:val="auto"/>
          <w:sz w:val="24"/>
          <w:highlight w:val="none"/>
        </w:rPr>
      </w:pPr>
    </w:p>
    <w:p>
      <w:pPr>
        <w:kinsoku/>
        <w:wordWrap w:val="0"/>
        <w:overflowPunct/>
        <w:topLinePunct w:val="0"/>
        <w:bidi w:val="0"/>
        <w:spacing w:line="800" w:lineRule="exact"/>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val="en-US" w:eastAsia="zh-CN"/>
        </w:rPr>
        <w:t>五</w:t>
      </w:r>
      <w:r>
        <w:rPr>
          <w:rFonts w:hint="eastAsia" w:ascii="仿宋_GB2312" w:hAnsi="仿宋_GB2312" w:eastAsia="仿宋_GB2312" w:cs="仿宋_GB2312"/>
          <w:b/>
          <w:color w:val="auto"/>
          <w:sz w:val="30"/>
          <w:szCs w:val="30"/>
          <w:highlight w:val="none"/>
        </w:rPr>
        <w:t>、法定代表人身份证明书(格式)</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 标 人：</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姓    名：</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身份证号码：</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ind w:right="281" w:rightChars="134"/>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   务：</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系</w:t>
      </w:r>
      <w:r>
        <w:rPr>
          <w:rFonts w:hint="eastAsia" w:ascii="仿宋_GB2312" w:hAnsi="仿宋_GB2312" w:eastAsia="仿宋_GB2312" w:cs="仿宋_GB2312"/>
          <w:color w:val="auto"/>
          <w:sz w:val="24"/>
          <w:highlight w:val="none"/>
          <w:u w:val="single"/>
        </w:rPr>
        <w:t xml:space="preserve">                           （填写投标人名称）</w:t>
      </w:r>
      <w:r>
        <w:rPr>
          <w:rFonts w:hint="eastAsia" w:ascii="仿宋_GB2312" w:hAnsi="仿宋_GB2312" w:eastAsia="仿宋_GB2312" w:cs="仿宋_GB2312"/>
          <w:color w:val="auto"/>
          <w:sz w:val="24"/>
          <w:highlight w:val="none"/>
        </w:rPr>
        <w:t>的法定代表人。</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特此证明。</w:t>
      </w: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p>
    <w:p>
      <w:pPr>
        <w:kinsoku/>
        <w:wordWrap w:val="0"/>
        <w:overflowPunct/>
        <w:topLinePunct w:val="0"/>
        <w:bidi w:val="0"/>
        <w:spacing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w:t>
      </w:r>
      <w:r>
        <w:rPr>
          <w:rFonts w:hint="eastAsia" w:ascii="仿宋_GB2312" w:hAnsi="仿宋_GB2312" w:eastAsia="仿宋_GB2312" w:cs="仿宋_GB2312"/>
          <w:color w:val="auto"/>
          <w:sz w:val="24"/>
          <w:highlight w:val="none"/>
          <w:lang w:eastAsia="zh-CN"/>
        </w:rPr>
        <w:t>名称</w:t>
      </w:r>
      <w:r>
        <w:rPr>
          <w:rFonts w:hint="eastAsia" w:ascii="仿宋_GB2312" w:hAnsi="仿宋_GB2312" w:eastAsia="仿宋_GB2312" w:cs="仿宋_GB2312"/>
          <w:color w:val="auto"/>
          <w:sz w:val="24"/>
          <w:highlight w:val="none"/>
        </w:rPr>
        <w:t>：                             （电子签章）</w:t>
      </w:r>
    </w:p>
    <w:p>
      <w:pPr>
        <w:kinsoku/>
        <w:wordWrap w:val="0"/>
        <w:overflowPunct/>
        <w:topLinePunct w:val="0"/>
        <w:bidi w:val="0"/>
        <w:spacing w:line="440" w:lineRule="exact"/>
        <w:ind w:right="480"/>
        <w:rPr>
          <w:rFonts w:hint="eastAsia" w:ascii="仿宋_GB2312" w:hAnsi="仿宋_GB2312" w:eastAsia="仿宋_GB2312" w:cs="仿宋_GB2312"/>
          <w:color w:val="auto"/>
          <w:sz w:val="24"/>
          <w:highlight w:val="none"/>
        </w:rPr>
      </w:pPr>
    </w:p>
    <w:p>
      <w:pPr>
        <w:kinsoku/>
        <w:wordWrap w:val="0"/>
        <w:overflowPunct/>
        <w:topLinePunct w:val="0"/>
        <w:bidi w:val="0"/>
        <w:spacing w:line="440" w:lineRule="exact"/>
        <w:ind w:right="720"/>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   月   日</w:t>
      </w: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both"/>
        <w:rPr>
          <w:rFonts w:hint="eastAsia" w:ascii="仿宋_GB2312" w:hAnsi="仿宋_GB2312" w:eastAsia="仿宋_GB2312" w:cs="仿宋_GB2312"/>
          <w:b/>
          <w:color w:val="auto"/>
          <w:kern w:val="0"/>
          <w:sz w:val="32"/>
          <w:szCs w:val="32"/>
          <w:highlight w:val="none"/>
        </w:rPr>
      </w:pP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lang w:val="en-US" w:eastAsia="zh-CN"/>
        </w:rPr>
        <w:t>六</w:t>
      </w:r>
      <w:r>
        <w:rPr>
          <w:rFonts w:hint="eastAsia" w:ascii="仿宋_GB2312" w:hAnsi="仿宋_GB2312" w:eastAsia="仿宋_GB2312" w:cs="仿宋_GB2312"/>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序号</w:t>
            </w:r>
          </w:p>
        </w:tc>
        <w:tc>
          <w:tcPr>
            <w:tcW w:w="3683"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招标文件章节及具体内容</w:t>
            </w:r>
          </w:p>
        </w:tc>
        <w:tc>
          <w:tcPr>
            <w:tcW w:w="3546"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投标文件章节及具体内容</w:t>
            </w:r>
          </w:p>
        </w:tc>
        <w:tc>
          <w:tcPr>
            <w:tcW w:w="1276" w:type="dxa"/>
          </w:tcPr>
          <w:p>
            <w:pPr>
              <w:kinsoku/>
              <w:wordWrap w:val="0"/>
              <w:overflowPunct/>
              <w:topLinePunct w:val="0"/>
              <w:bidi w:val="0"/>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insoku/>
              <w:wordWrap w:val="0"/>
              <w:overflowPunct/>
              <w:topLinePunct w:val="0"/>
              <w:bidi w:val="0"/>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p>
        </w:tc>
        <w:tc>
          <w:tcPr>
            <w:tcW w:w="3683"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354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c>
          <w:tcPr>
            <w:tcW w:w="1276" w:type="dxa"/>
          </w:tcPr>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tc>
      </w:tr>
    </w:tbl>
    <w:p>
      <w:pPr>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投标人保证：除商务技术偏离表列出的偏离外，投标人响应招标文件的全部要求</w:t>
      </w:r>
    </w:p>
    <w:p>
      <w:pPr>
        <w:kinsoku/>
        <w:wordWrap w:val="0"/>
        <w:overflowPunct/>
        <w:topLinePunct w:val="0"/>
        <w:bidi w:val="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pacing w:line="360" w:lineRule="auto"/>
        <w:ind w:right="420"/>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24"/>
          <w:highlight w:val="none"/>
        </w:rPr>
        <w:t>注：按本格式和要求提供。</w:t>
      </w:r>
    </w:p>
    <w:p>
      <w:pPr>
        <w:widowControl/>
        <w:kinsoku/>
        <w:wordWrap w:val="0"/>
        <w:overflowPunct/>
        <w:topLinePunct w:val="0"/>
        <w:bidi w:val="0"/>
        <w:adjustRightInd/>
        <w:jc w:val="left"/>
        <w:rPr>
          <w:rFonts w:hint="eastAsia" w:ascii="仿宋_GB2312" w:hAnsi="仿宋_GB2312" w:eastAsia="仿宋_GB2312" w:cs="仿宋_GB2312"/>
          <w:b/>
          <w:bCs/>
          <w:color w:val="auto"/>
          <w:sz w:val="32"/>
          <w:szCs w:val="32"/>
          <w:highlight w:val="none"/>
          <w:lang w:eastAsia="zh-CN"/>
        </w:rPr>
      </w:pPr>
    </w:p>
    <w:p>
      <w:pPr>
        <w:keepNext w:val="0"/>
        <w:keepLines w:val="0"/>
        <w:pageBreakBefore/>
        <w:widowControl/>
        <w:kinsoku/>
        <w:wordWrap w:val="0"/>
        <w:overflowPunct/>
        <w:topLinePunct w:val="0"/>
        <w:autoSpaceDE/>
        <w:autoSpaceDN/>
        <w:bidi w:val="0"/>
        <w:adjustRightInd/>
        <w:snapToGrid/>
        <w:jc w:val="center"/>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color w:val="auto"/>
          <w:kern w:val="0"/>
          <w:sz w:val="32"/>
          <w:szCs w:val="32"/>
          <w:highlight w:val="none"/>
        </w:rPr>
        <w:t>、</w:t>
      </w:r>
      <w:r>
        <w:rPr>
          <w:rFonts w:hint="eastAsia" w:ascii="仿宋_GB2312" w:hAnsi="仿宋_GB2312" w:eastAsia="仿宋_GB2312" w:cs="仿宋_GB2312"/>
          <w:b/>
          <w:color w:val="auto"/>
          <w:kern w:val="0"/>
          <w:sz w:val="32"/>
          <w:szCs w:val="32"/>
          <w:highlight w:val="none"/>
          <w:lang w:val="zh-CN"/>
        </w:rPr>
        <w:t>政府采购供应商廉洁自律承诺书</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绍兴市人力资源和社会保障局</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kern w:val="0"/>
          <w:sz w:val="24"/>
          <w:highlight w:val="none"/>
          <w:lang w:val="zh-CN"/>
        </w:rPr>
        <w:t>：</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一、不向项目有关人员及部门赠送礼金礼物、有价证券、回扣以及中介费、介绍费、咨询费等好处费；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二、不为项目有关人员及部门报销应由你方单位或个人支付的费用；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三、不向项目有关人员及部门提供有可能影响公正的宴请和健身娱乐等活动； </w:t>
      </w:r>
    </w:p>
    <w:p>
      <w:pPr>
        <w:kinsoku/>
        <w:wordWrap w:val="0"/>
        <w:overflowPunct/>
        <w:topLinePunct w:val="0"/>
        <w:autoSpaceDE w:val="0"/>
        <w:autoSpaceDN w:val="0"/>
        <w:bidi w:val="0"/>
        <w:spacing w:line="360" w:lineRule="auto"/>
        <w:ind w:left="2" w:leftChars="1"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kinsoku/>
        <w:wordWrap w:val="0"/>
        <w:overflowPunct/>
        <w:topLinePunct w:val="0"/>
        <w:autoSpaceDE w:val="0"/>
        <w:autoSpaceDN w:val="0"/>
        <w:bidi w:val="0"/>
        <w:spacing w:line="360" w:lineRule="auto"/>
        <w:ind w:left="481" w:leftChars="229"/>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kinsoku/>
        <w:wordWrap w:val="0"/>
        <w:overflowPunct/>
        <w:topLinePunct w:val="0"/>
        <w:autoSpaceDE w:val="0"/>
        <w:autoSpaceDN w:val="0"/>
        <w:bidi w:val="0"/>
        <w:spacing w:line="360" w:lineRule="auto"/>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kinsoku/>
        <w:wordWrap w:val="0"/>
        <w:overflowPunct/>
        <w:topLinePunct w:val="0"/>
        <w:autoSpaceDE w:val="0"/>
        <w:autoSpaceDN w:val="0"/>
        <w:bidi w:val="0"/>
        <w:spacing w:line="360" w:lineRule="auto"/>
        <w:ind w:left="481" w:leftChars="229"/>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仿宋_GB2312" w:eastAsia="仿宋_GB2312" w:cs="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仿宋_GB2312" w:eastAsia="仿宋_GB2312" w:cs="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kinsoku/>
        <w:wordWrap w:val="0"/>
        <w:overflowPunct/>
        <w:topLinePunct w:val="0"/>
        <w:autoSpaceDE w:val="0"/>
        <w:autoSpaceDN w:val="0"/>
        <w:bidi w:val="0"/>
        <w:spacing w:line="360" w:lineRule="auto"/>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仿宋_GB2312" w:eastAsia="仿宋_GB2312" w:cs="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 xml:space="preserve">等法律法规，诚实守信，合法经营，坚决抵制各种违法违纪行为。 </w:t>
      </w:r>
    </w:p>
    <w:p>
      <w:pPr>
        <w:kinsoku/>
        <w:wordWrap w:val="0"/>
        <w:overflowPunct/>
        <w:topLinePunct w:val="0"/>
        <w:autoSpaceDE w:val="0"/>
        <w:autoSpaceDN w:val="0"/>
        <w:bidi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jc w:val="left"/>
        <w:rPr>
          <w:rFonts w:hint="eastAsia" w:ascii="仿宋_GB2312" w:hAnsi="仿宋_GB2312" w:eastAsia="仿宋_GB2312" w:cs="仿宋_GB2312"/>
          <w:color w:val="auto"/>
          <w:kern w:val="0"/>
          <w:sz w:val="24"/>
          <w:highlight w:val="none"/>
          <w:lang w:val="zh-CN"/>
        </w:rPr>
      </w:pPr>
    </w:p>
    <w:p>
      <w:pPr>
        <w:kinsoku/>
        <w:wordWrap w:val="0"/>
        <w:overflowPunct/>
        <w:topLinePunct w:val="0"/>
        <w:autoSpaceDE w:val="0"/>
        <w:autoSpaceDN w:val="0"/>
        <w:bidi w:val="0"/>
        <w:spacing w:line="360" w:lineRule="auto"/>
        <w:ind w:left="2" w:leftChars="1" w:right="1120" w:firstLine="4560" w:firstLineChars="19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_GB2312"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 xml:space="preserve">）：                                                                                                                                                                                                               </w:t>
      </w:r>
    </w:p>
    <w:p>
      <w:pPr>
        <w:kinsoku/>
        <w:wordWrap w:val="0"/>
        <w:overflowPunct/>
        <w:topLinePunct w:val="0"/>
        <w:bidi w:val="0"/>
        <w:spacing w:line="360" w:lineRule="auto"/>
        <w:ind w:left="4620" w:leftChars="2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 xml:space="preserve">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pPr>
        <w:kinsoku/>
        <w:wordWrap w:val="0"/>
        <w:overflowPunct/>
        <w:topLinePunct w:val="0"/>
        <w:autoSpaceDE w:val="0"/>
        <w:autoSpaceDN w:val="0"/>
        <w:bidi w:val="0"/>
        <w:spacing w:line="360" w:lineRule="auto"/>
        <w:ind w:firstLine="12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648"/>
        <w:kinsoku/>
        <w:wordWrap w:val="0"/>
        <w:overflowPunct/>
        <w:topLinePunct w:val="0"/>
        <w:bidi w:val="0"/>
        <w:ind w:firstLine="0"/>
        <w:jc w:val="both"/>
        <w:rPr>
          <w:rFonts w:hint="eastAsia" w:ascii="仿宋_GB2312" w:hAnsi="仿宋_GB2312" w:eastAsia="仿宋_GB2312" w:cs="仿宋_GB2312"/>
          <w:color w:val="auto"/>
          <w:highlight w:val="none"/>
        </w:rPr>
      </w:pP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p>
      <w:pPr>
        <w:kinsoku/>
        <w:wordWrap w:val="0"/>
        <w:overflowPunct/>
        <w:topLinePunct w:val="0"/>
        <w:bidi w:val="0"/>
        <w:snapToGrid w:val="0"/>
        <w:spacing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160" w:type="dxa"/>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234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080"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1332" w:type="dxa"/>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pacing w:val="6"/>
          <w:sz w:val="24"/>
          <w:highlight w:val="none"/>
        </w:rPr>
      </w:pPr>
      <w:r>
        <w:rPr>
          <w:rFonts w:hint="eastAsia" w:ascii="仿宋_GB2312" w:hAnsi="仿宋_GB2312" w:eastAsia="仿宋_GB2312" w:cs="仿宋_GB2312"/>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hint="eastAsia"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pPr>
        <w:kinsoku/>
        <w:wordWrap w:val="0"/>
        <w:overflowPunct/>
        <w:topLinePunct w:val="0"/>
        <w:autoSpaceDE w:val="0"/>
        <w:autoSpaceDN w:val="0"/>
        <w:bidi w:val="0"/>
        <w:spacing w:line="360" w:lineRule="auto"/>
        <w:ind w:firstLine="4560" w:firstLineChars="1900"/>
        <w:rPr>
          <w:rFonts w:hint="eastAsia" w:ascii="仿宋_GB2312" w:hAnsi="仿宋_GB2312" w:eastAsia="仿宋_GB2312" w:cs="仿宋_GB2312"/>
          <w:color w:val="auto"/>
          <w:kern w:val="0"/>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tabs>
          <w:tab w:val="left" w:pos="2790"/>
          <w:tab w:val="center" w:pos="3835"/>
          <w:tab w:val="left" w:pos="4230"/>
          <w:tab w:val="left" w:pos="4695"/>
        </w:tabs>
        <w:kinsoku/>
        <w:wordWrap w:val="0"/>
        <w:overflowPunct/>
        <w:topLinePunct w:val="0"/>
        <w:autoSpaceDE w:val="0"/>
        <w:autoSpaceDN w:val="0"/>
        <w:bidi w:val="0"/>
        <w:spacing w:line="360" w:lineRule="auto"/>
        <w:ind w:right="1400"/>
        <w:jc w:val="left"/>
        <w:outlineLvl w:val="1"/>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pPr>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6"/>
          <w:szCs w:val="36"/>
          <w:highlight w:val="none"/>
          <w:lang w:val="zh-CN"/>
        </w:rPr>
      </w:pPr>
    </w:p>
    <w:p>
      <w:pPr>
        <w:pageBreakBefore/>
        <w:tabs>
          <w:tab w:val="left" w:pos="2790"/>
          <w:tab w:val="left" w:pos="4230"/>
        </w:tabs>
        <w:kinsoku/>
        <w:wordWrap w:val="0"/>
        <w:overflowPunct/>
        <w:topLinePunct w:val="0"/>
        <w:autoSpaceDE w:val="0"/>
        <w:autoSpaceDN w:val="0"/>
        <w:bidi w:val="0"/>
        <w:spacing w:line="360" w:lineRule="auto"/>
        <w:ind w:right="1400"/>
        <w:jc w:val="center"/>
        <w:outlineLvl w:val="1"/>
        <w:rPr>
          <w:rFonts w:hint="eastAsia"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tabs>
          <w:tab w:val="left" w:pos="2790"/>
          <w:tab w:val="left" w:pos="4230"/>
        </w:tabs>
        <w:kinsoku/>
        <w:wordWrap w:val="0"/>
        <w:overflowPunct/>
        <w:topLinePunct w:val="0"/>
        <w:autoSpaceDE w:val="0"/>
        <w:autoSpaceDN w:val="0"/>
        <w:bidi w:val="0"/>
        <w:spacing w:line="360" w:lineRule="auto"/>
        <w:ind w:right="1400"/>
        <w:outlineLvl w:val="1"/>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2"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c>
          <w:tcPr>
            <w:tcW w:w="553" w:type="dxa"/>
          </w:tcPr>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lang w:eastAsia="zh-CN"/>
        </w:rPr>
      </w:pPr>
    </w:p>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62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4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2175"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pPr>
        <w:kinsoku/>
        <w:wordWrap w:val="0"/>
        <w:overflowPunct/>
        <w:topLinePunct w:val="0"/>
        <w:autoSpaceDE w:val="0"/>
        <w:autoSpaceDN w:val="0"/>
        <w:bidi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240" w:lineRule="exact"/>
              <w:ind w:left="-36" w:leftChars="-17" w:right="-181" w:rightChars="-86"/>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kinsoku/>
              <w:wordWrap w:val="0"/>
              <w:overflowPunct/>
              <w:topLinePunct w:val="0"/>
              <w:autoSpaceDE w:val="0"/>
              <w:autoSpaceDN w:val="0"/>
              <w:bidi w:val="0"/>
              <w:spacing w:line="2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240" w:lineRule="exact"/>
              <w:rPr>
                <w:rFonts w:hint="eastAsia" w:ascii="仿宋_GB2312" w:hAnsi="仿宋_GB2312" w:eastAsia="仿宋_GB2312" w:cs="仿宋_GB2312"/>
                <w:color w:val="auto"/>
                <w:sz w:val="24"/>
                <w:highlight w:val="none"/>
              </w:rPr>
            </w:pPr>
          </w:p>
        </w:tc>
      </w:tr>
    </w:tbl>
    <w:p>
      <w:pPr>
        <w:kinsoku/>
        <w:wordWrap w:val="0"/>
        <w:overflowPunct/>
        <w:topLinePunct w:val="0"/>
        <w:bidi w:val="0"/>
        <w:spacing w:line="360" w:lineRule="auto"/>
        <w:ind w:firstLine="480" w:firstLineChars="200"/>
        <w:jc w:val="right"/>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ind w:firstLine="3600" w:firstLineChars="1500"/>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rPr>
          <w:rFonts w:hint="eastAsia" w:ascii="仿宋_GB2312" w:hAnsi="仿宋_GB2312" w:eastAsia="仿宋_GB2312" w:cs="仿宋_GB2312"/>
          <w:b/>
          <w:color w:val="auto"/>
          <w:sz w:val="30"/>
          <w:szCs w:val="30"/>
          <w:highlight w:val="none"/>
          <w:lang w:eastAsia="zh-CN"/>
        </w:rPr>
      </w:pPr>
    </w:p>
    <w:p>
      <w:pPr>
        <w:pStyle w:val="80"/>
        <w:kinsoku/>
        <w:wordWrap w:val="0"/>
        <w:overflowPunct/>
        <w:topLinePunct w:val="0"/>
        <w:bidi w:val="0"/>
        <w:rPr>
          <w:rFonts w:hint="eastAsia" w:ascii="仿宋_GB2312" w:hAnsi="仿宋_GB2312" w:eastAsia="仿宋_GB2312" w:cs="仿宋_GB2312"/>
          <w:color w:val="auto"/>
          <w:highlight w:val="none"/>
          <w:lang w:eastAsia="zh-CN"/>
        </w:rPr>
      </w:pPr>
    </w:p>
    <w:p>
      <w:pPr>
        <w:kinsoku/>
        <w:wordWrap w:val="0"/>
        <w:overflowPunct/>
        <w:topLinePunct w:val="0"/>
        <w:bidi w:val="0"/>
        <w:spacing w:line="360" w:lineRule="auto"/>
        <w:jc w:val="center"/>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80"/>
        <w:kinsoku/>
        <w:wordWrap w:val="0"/>
        <w:overflowPunct/>
        <w:topLinePunct w:val="0"/>
        <w:bidi w:val="0"/>
        <w:rPr>
          <w:rFonts w:hint="eastAsia" w:ascii="仿宋_GB2312" w:hAnsi="仿宋_GB2312" w:eastAsia="仿宋_GB2312" w:cs="仿宋_GB2312"/>
          <w:color w:val="auto"/>
          <w:highlight w:val="none"/>
        </w:rPr>
      </w:pP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eepNext/>
        <w:kinsoku/>
        <w:wordWrap w:val="0"/>
        <w:overflowPunct/>
        <w:topLinePunct w:val="0"/>
        <w:autoSpaceDE w:val="0"/>
        <w:autoSpaceDN w:val="0"/>
        <w:bidi w:val="0"/>
        <w:spacing w:line="360" w:lineRule="auto"/>
        <w:ind w:firstLine="477"/>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kinsoku/>
        <w:wordWrap w:val="0"/>
        <w:overflowPunct/>
        <w:topLinePunct w:val="0"/>
        <w:bidi w:val="0"/>
        <w:spacing w:line="360" w:lineRule="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pPr>
        <w:kinsoku/>
        <w:wordWrap w:val="0"/>
        <w:overflowPunct/>
        <w:topLinePunct w:val="0"/>
        <w:bidi w:val="0"/>
        <w:spacing w:line="360" w:lineRule="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名称（电子签名）：</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napToGrid w:val="0"/>
        <w:spacing w:line="360" w:lineRule="auto"/>
        <w:ind w:firstLine="6907" w:firstLineChars="2150"/>
        <w:rPr>
          <w:rFonts w:hint="eastAsia" w:ascii="仿宋_GB2312" w:hAnsi="仿宋_GB2312" w:eastAsia="仿宋_GB2312" w:cs="仿宋_GB2312"/>
          <w:b/>
          <w:bCs/>
          <w:color w:val="auto"/>
          <w:sz w:val="32"/>
          <w:szCs w:val="32"/>
          <w:highlight w:val="none"/>
        </w:rPr>
      </w:pPr>
    </w:p>
    <w:p>
      <w:pPr>
        <w:kinsoku/>
        <w:wordWrap w:val="0"/>
        <w:overflowPunct/>
        <w:topLinePunct w:val="0"/>
        <w:bidi w:val="0"/>
        <w:snapToGrid w:val="0"/>
        <w:spacing w:line="360" w:lineRule="auto"/>
        <w:ind w:right="960"/>
        <w:jc w:val="both"/>
        <w:rPr>
          <w:rFonts w:hint="eastAsia" w:ascii="仿宋_GB2312" w:hAnsi="仿宋_GB2312" w:eastAsia="仿宋_GB2312" w:cs="仿宋_GB2312"/>
          <w:color w:val="auto"/>
          <w:kern w:val="0"/>
          <w:sz w:val="24"/>
          <w:highlight w:val="none"/>
          <w:lang w:val="zh-CN"/>
        </w:rPr>
      </w:pPr>
    </w:p>
    <w:p>
      <w:pPr>
        <w:kinsoku/>
        <w:wordWrap w:val="0"/>
        <w:overflowPunct/>
        <w:topLinePunct w:val="0"/>
        <w:bidi w:val="0"/>
        <w:snapToGrid w:val="0"/>
        <w:spacing w:line="360" w:lineRule="auto"/>
        <w:ind w:right="960"/>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rPr>
          <w:rFonts w:hint="eastAsia" w:ascii="仿宋_GB2312" w:hAnsi="仿宋_GB2312" w:eastAsia="仿宋_GB2312" w:cs="仿宋_GB2312"/>
          <w:color w:val="auto"/>
          <w:sz w:val="18"/>
          <w:szCs w:val="18"/>
          <w:highlight w:val="none"/>
        </w:rPr>
      </w:pPr>
    </w:p>
    <w:p>
      <w:pPr>
        <w:pStyle w:val="80"/>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rPr>
          <w:rFonts w:hint="eastAsia" w:ascii="仿宋_GB2312" w:hAnsi="仿宋_GB2312" w:eastAsia="仿宋_GB2312" w:cs="仿宋_GB2312"/>
          <w:b/>
          <w:bCs/>
          <w:color w:val="auto"/>
          <w:sz w:val="18"/>
          <w:szCs w:val="18"/>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napToGrid w:val="0"/>
        <w:spacing w:line="360" w:lineRule="auto"/>
        <w:ind w:right="960"/>
        <w:jc w:val="right"/>
        <w:rPr>
          <w:rFonts w:hint="eastAsia" w:ascii="仿宋_GB2312" w:hAnsi="仿宋_GB2312" w:eastAsia="仿宋_GB2312" w:cs="仿宋_GB2312"/>
          <w:color w:val="auto"/>
          <w:kern w:val="0"/>
          <w:sz w:val="24"/>
          <w:highlight w:val="none"/>
          <w:lang w:val="zh-CN"/>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insoku/>
        <w:wordWrap w:val="0"/>
        <w:overflowPunct/>
        <w:topLinePunct w:val="0"/>
        <w:bidi w:val="0"/>
        <w:spacing w:line="360" w:lineRule="auto"/>
        <w:rPr>
          <w:rFonts w:hint="eastAsia" w:ascii="仿宋_GB2312" w:hAnsi="仿宋_GB2312" w:eastAsia="仿宋_GB2312" w:cs="仿宋_GB2312"/>
          <w:b/>
          <w:bCs/>
          <w:color w:val="auto"/>
          <w:sz w:val="32"/>
          <w:szCs w:val="32"/>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keepNext/>
        <w:kinsoku/>
        <w:wordWrap w:val="0"/>
        <w:overflowPunct/>
        <w:topLinePunct w:val="0"/>
        <w:autoSpaceDE w:val="0"/>
        <w:autoSpaceDN w:val="0"/>
        <w:bidi w:val="0"/>
        <w:spacing w:line="360" w:lineRule="auto"/>
        <w:ind w:firstLine="477"/>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kinsoku/>
              <w:wordWrap w:val="0"/>
              <w:overflowPunct/>
              <w:topLinePunct w:val="0"/>
              <w:autoSpaceDE w:val="0"/>
              <w:autoSpaceDN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wordWrap w:val="0"/>
        <w:overflowPunct/>
        <w:topLinePunct w:val="0"/>
        <w:autoSpaceDE w:val="0"/>
        <w:autoSpaceDN w:val="0"/>
        <w:bidi w:val="0"/>
        <w:adjustRightInd w:val="0"/>
        <w:spacing w:line="360" w:lineRule="auto"/>
        <w:ind w:left="1069" w:hanging="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pPr>
        <w:kinsoku/>
        <w:wordWrap w:val="0"/>
        <w:overflowPunct/>
        <w:topLinePunct w:val="0"/>
        <w:autoSpaceDE w:val="0"/>
        <w:autoSpaceDN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pPr>
        <w:kinsoku/>
        <w:wordWrap w:val="0"/>
        <w:overflowPunct/>
        <w:topLinePunct w:val="0"/>
        <w:autoSpaceDE w:val="0"/>
        <w:autoSpaceDN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szCs w:val="20"/>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ageBreakBefore/>
        <w:kinsoku/>
        <w:wordWrap w:val="0"/>
        <w:overflowPunct/>
        <w:topLinePunct w:val="0"/>
        <w:bidi w:val="0"/>
        <w:spacing w:line="360" w:lineRule="auto"/>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spacing w:line="360" w:lineRule="auto"/>
        <w:jc w:val="center"/>
        <w:rPr>
          <w:rFonts w:hint="eastAsia" w:ascii="仿宋_GB2312" w:hAnsi="仿宋_GB2312" w:eastAsia="仿宋_GB2312" w:cs="仿宋_GB2312"/>
          <w:b/>
          <w:bCs/>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p>
    <w:p>
      <w:pPr>
        <w:kinsoku/>
        <w:wordWrap w:val="0"/>
        <w:overflowPunct/>
        <w:topLinePunct w:val="0"/>
        <w:bidi w:val="0"/>
        <w:spacing w:line="336" w:lineRule="auto"/>
        <w:ind w:firstLine="3600" w:firstLineChars="15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 xml:space="preserve">名称（电子签名）：                          </w:t>
      </w:r>
    </w:p>
    <w:p>
      <w:pPr>
        <w:kinsoku/>
        <w:wordWrap w:val="0"/>
        <w:overflowPunct/>
        <w:topLinePunct w:val="0"/>
        <w:bidi w:val="0"/>
        <w:spacing w:line="336"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pStyle w:val="81"/>
        <w:kinsoku/>
        <w:wordWrap w:val="0"/>
        <w:overflowPunct/>
        <w:topLinePunct w:val="0"/>
        <w:bidi w:val="0"/>
        <w:rPr>
          <w:rFonts w:hint="eastAsia" w:ascii="仿宋_GB2312" w:hAnsi="仿宋_GB2312" w:eastAsia="仿宋_GB2312" w:cs="仿宋_GB2312"/>
          <w:color w:val="auto"/>
          <w:highlight w:val="none"/>
        </w:rPr>
        <w:sectPr>
          <w:headerReference r:id="rId12" w:type="first"/>
          <w:footerReference r:id="rId14" w:type="first"/>
          <w:footerReference r:id="rId13" w:type="default"/>
          <w:pgSz w:w="11906" w:h="16838"/>
          <w:pgMar w:top="1276" w:right="1418" w:bottom="1247" w:left="1418" w:header="851" w:footer="992" w:gutter="0"/>
          <w:pgNumType w:fmt="decimal"/>
          <w:cols w:space="720" w:num="1"/>
          <w:titlePg/>
          <w:docGrid w:linePitch="312" w:charSpace="0"/>
        </w:sectPr>
      </w:pP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报价文件部分</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kinsoku/>
        <w:wordWrap w:val="0"/>
        <w:overflowPunct/>
        <w:topLinePunct w:val="0"/>
        <w:bidi w:val="0"/>
        <w:spacing w:line="360" w:lineRule="auto"/>
        <w:jc w:val="center"/>
        <w:outlineLvl w:val="0"/>
        <w:rPr>
          <w:rFonts w:hint="eastAsia" w:ascii="仿宋_GB2312" w:hAnsi="仿宋_GB2312" w:eastAsia="仿宋_GB2312" w:cs="仿宋_GB2312"/>
          <w:b/>
          <w:color w:val="auto"/>
          <w:kern w:val="0"/>
          <w:sz w:val="36"/>
          <w:szCs w:val="36"/>
          <w:highlight w:val="none"/>
        </w:rPr>
      </w:pP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（1）开标一览表（报价表）………………………………………………………（页码）（</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kern w:val="0"/>
          <w:sz w:val="24"/>
        </w:rPr>
        <w:t>云服务项目清单</w:t>
      </w:r>
      <w:r>
        <w:rPr>
          <w:rFonts w:hint="eastAsia" w:ascii="仿宋_GB2312" w:hAnsi="仿宋_GB2312" w:eastAsia="仿宋_GB2312" w:cs="仿宋_GB2312"/>
          <w:color w:val="auto"/>
          <w:sz w:val="24"/>
          <w:highlight w:val="none"/>
        </w:rPr>
        <w:t>………………………………………………………………（页码）</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（2）中小企业声明函………………………………………………………………（页码）</w:t>
      </w:r>
    </w:p>
    <w:p>
      <w:pPr>
        <w:pStyle w:val="4"/>
        <w:numPr>
          <w:ilvl w:val="0"/>
          <w:numId w:val="0"/>
        </w:num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val="0"/>
          <w:bCs w:val="0"/>
          <w:i w:val="0"/>
          <w:iCs w:val="0"/>
          <w:color w:val="auto"/>
          <w:kern w:val="2"/>
          <w:sz w:val="24"/>
          <w:szCs w:val="24"/>
          <w:highlight w:val="none"/>
          <w:vertAlign w:val="baseline"/>
          <w:lang w:val="en-US" w:eastAsia="zh-CN" w:bidi="ar-SA"/>
        </w:rPr>
        <w:t>（3）残疾人福利性单位声明函……………………………………………………（页码）</w:t>
      </w: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center"/>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ind w:right="480"/>
        <w:jc w:val="both"/>
        <w:rPr>
          <w:rFonts w:hint="eastAsia" w:ascii="仿宋_GB2312" w:hAnsi="仿宋_GB2312" w:eastAsia="仿宋_GB2312" w:cs="仿宋_GB2312"/>
          <w:b/>
          <w:color w:val="auto"/>
          <w:kern w:val="0"/>
          <w:sz w:val="32"/>
          <w:szCs w:val="32"/>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sectPr>
          <w:footerReference r:id="rId17" w:type="first"/>
          <w:headerReference r:id="rId15" w:type="default"/>
          <w:footerReference r:id="rId16" w:type="default"/>
          <w:pgSz w:w="11906" w:h="16838"/>
          <w:pgMar w:top="1276" w:right="1418" w:bottom="1247" w:left="1418" w:header="851" w:footer="992" w:gutter="0"/>
          <w:pgNumType w:fmt="decimal"/>
          <w:cols w:space="720" w:num="1"/>
          <w:titlePg/>
          <w:docGrid w:linePitch="312" w:charSpace="0"/>
        </w:sect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一、开标一览表（报价表）</w:t>
      </w:r>
    </w:p>
    <w:p>
      <w:pPr>
        <w:kinsoku/>
        <w:wordWrap w:val="0"/>
        <w:overflowPunct/>
        <w:topLinePunct w:val="0"/>
        <w:bidi w:val="0"/>
        <w:snapToGrid w:val="0"/>
        <w:spacing w:line="360" w:lineRule="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绍兴市人力资源和社会保障局</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napToGrid w:val="0"/>
        <w:spacing w:line="360" w:lineRule="auto"/>
        <w:ind w:firstLine="482"/>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_GB2312" w:hAnsi="仿宋_GB2312" w:eastAsia="仿宋_GB2312" w:cs="仿宋_GB2312"/>
          <w:color w:val="auto"/>
          <w:sz w:val="24"/>
          <w:highlight w:val="non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kern w:val="0"/>
          <w:sz w:val="24"/>
          <w:highlight w:val="none"/>
          <w:lang w:val="zh-CN"/>
        </w:rPr>
        <w:t>【招标编号：</w:t>
      </w:r>
      <w:r>
        <w:rPr>
          <w:rFonts w:hint="eastAsia" w:ascii="仿宋_GB2312" w:hAnsi="仿宋_GB2312" w:eastAsia="仿宋_GB2312" w:cs="仿宋_GB2312"/>
          <w:color w:val="auto"/>
          <w:sz w:val="24"/>
          <w:highlight w:val="none"/>
          <w:lang w:eastAsia="zh-CN"/>
        </w:rPr>
        <w:t>2025-03-0028</w:t>
      </w:r>
      <w:r>
        <w:rPr>
          <w:rFonts w:hint="eastAsia" w:ascii="仿宋_GB2312" w:hAnsi="仿宋_GB2312" w:eastAsia="仿宋_GB2312" w:cs="仿宋_GB2312"/>
          <w:color w:val="auto"/>
          <w:sz w:val="24"/>
          <w:highlight w:val="none"/>
        </w:rPr>
        <w:t>】的实施</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pacing w:line="360" w:lineRule="auto"/>
        <w:jc w:val="center"/>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开标一览表（报价表）(单位均为人民币元)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87"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名称</w:t>
            </w:r>
          </w:p>
        </w:tc>
        <w:tc>
          <w:tcPr>
            <w:tcW w:w="657" w:type="pct"/>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服务范围</w:t>
            </w:r>
          </w:p>
        </w:tc>
        <w:tc>
          <w:tcPr>
            <w:tcW w:w="698"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服务要求</w:t>
            </w:r>
          </w:p>
        </w:tc>
        <w:tc>
          <w:tcPr>
            <w:tcW w:w="657"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服务时间</w:t>
            </w: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服务标准</w:t>
            </w: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服务人数</w:t>
            </w: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lang w:val="en-US" w:eastAsia="zh-CN"/>
              </w:rPr>
            </w:pPr>
            <w:r>
              <w:rPr>
                <w:rFonts w:hint="eastAsia" w:ascii="仿宋_GB2312" w:hAnsi="仿宋_GB2312" w:eastAsia="仿宋_GB2312" w:cs="仿宋_GB2312"/>
                <w:b/>
                <w:color w:val="auto"/>
                <w:sz w:val="24"/>
                <w:highlight w:val="none"/>
                <w:lang w:val="en-US" w:eastAsia="zh-CN"/>
              </w:rPr>
              <w:t>服务单价</w:t>
            </w: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备注（如有）</w:t>
            </w: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28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XX</w:t>
            </w: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98"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28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XX</w:t>
            </w: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98"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c>
          <w:tcPr>
            <w:tcW w:w="28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98"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28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98"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28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98"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57" w:type="pct"/>
            <w:vAlign w:val="center"/>
          </w:tcPr>
          <w:p>
            <w:pPr>
              <w:kinsoku/>
              <w:wordWrap w:val="0"/>
              <w:overflowPunct/>
              <w:topLinePunct w:val="0"/>
              <w:bidi w:val="0"/>
              <w:snapToGrid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6"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vAlign w:val="center"/>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投标报价（小写）</w:t>
            </w:r>
          </w:p>
        </w:tc>
        <w:tc>
          <w:tcPr>
            <w:tcW w:w="2504" w:type="pct"/>
            <w:gridSpan w:val="4"/>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投标报价（大写）</w:t>
            </w:r>
          </w:p>
        </w:tc>
        <w:tc>
          <w:tcPr>
            <w:tcW w:w="2504" w:type="pct"/>
            <w:gridSpan w:val="4"/>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c>
          <w:tcPr>
            <w:tcW w:w="615" w:type="pct"/>
          </w:tcPr>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rPr>
            </w:pPr>
          </w:p>
        </w:tc>
      </w:tr>
    </w:tbl>
    <w:p>
      <w:pPr>
        <w:kinsoku/>
        <w:wordWrap w:val="0"/>
        <w:overflowPunct/>
        <w:topLinePunct w:val="0"/>
        <w:bidi w:val="0"/>
        <w:snapToGrid w:val="0"/>
        <w:spacing w:line="360" w:lineRule="auto"/>
        <w:ind w:left="480"/>
        <w:rPr>
          <w:rFonts w:hint="eastAsia" w:ascii="仿宋_GB2312" w:hAnsi="仿宋_GB2312" w:eastAsia="仿宋_GB2312" w:cs="仿宋_GB2312"/>
          <w:b/>
          <w:color w:val="auto"/>
          <w:kern w:val="0"/>
          <w:sz w:val="24"/>
          <w:highlight w:val="none"/>
          <w:lang w:val="zh-CN"/>
        </w:rPr>
      </w:pPr>
    </w:p>
    <w:p>
      <w:pPr>
        <w:kinsoku/>
        <w:wordWrap w:val="0"/>
        <w:overflowPunct/>
        <w:topLinePunct w:val="0"/>
        <w:bidi w:val="0"/>
        <w:snapToGrid w:val="0"/>
        <w:spacing w:line="360" w:lineRule="auto"/>
        <w:ind w:left="480" w:firstLine="9120" w:firstLineChars="3800"/>
        <w:rPr>
          <w:rFonts w:hint="eastAsia" w:ascii="仿宋_GB2312" w:hAnsi="仿宋_GB2312" w:eastAsia="仿宋_GB2312" w:cs="仿宋_GB2312"/>
          <w:b/>
          <w:color w:val="auto"/>
          <w:kern w:val="0"/>
          <w:sz w:val="24"/>
          <w:highlight w:val="none"/>
          <w:lang w:val="en-US"/>
        </w:rPr>
      </w:pP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名称（电子签名）</w:t>
      </w:r>
      <w:r>
        <w:rPr>
          <w:rFonts w:hint="eastAsia" w:ascii="仿宋_GB2312" w:hAnsi="仿宋_GB2312" w:eastAsia="仿宋_GB2312" w:cs="仿宋_GB2312"/>
          <w:color w:val="auto"/>
          <w:sz w:val="24"/>
          <w:highlight w:val="none"/>
          <w:lang w:val="en-US"/>
        </w:rPr>
        <w:t>:</w:t>
      </w:r>
    </w:p>
    <w:p>
      <w:pPr>
        <w:kinsoku/>
        <w:wordWrap w:val="0"/>
        <w:overflowPunct/>
        <w:topLinePunct w:val="0"/>
        <w:bidi w:val="0"/>
        <w:snapToGrid w:val="0"/>
        <w:spacing w:line="360" w:lineRule="auto"/>
        <w:ind w:firstLine="9600" w:firstLineChars="4000"/>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sz w:val="24"/>
          <w:highlight w:val="none"/>
        </w:rPr>
        <w:t>日期：  年   月   日</w:t>
      </w:r>
    </w:p>
    <w:p>
      <w:pPr>
        <w:kinsoku/>
        <w:wordWrap w:val="0"/>
        <w:overflowPunct/>
        <w:topLinePunct w:val="0"/>
        <w:bidi w:val="0"/>
        <w:snapToGrid w:val="0"/>
        <w:spacing w:line="360" w:lineRule="auto"/>
        <w:ind w:left="480"/>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b/>
          <w:color w:val="auto"/>
          <w:kern w:val="0"/>
          <w:sz w:val="24"/>
          <w:highlight w:val="none"/>
          <w:lang w:val="zh-CN"/>
        </w:rPr>
        <w:t>注：</w:t>
      </w:r>
    </w:p>
    <w:p>
      <w:pPr>
        <w:kinsoku/>
        <w:wordWrap w:val="0"/>
        <w:overflowPunct/>
        <w:topLinePunct w:val="0"/>
        <w:bidi w:val="0"/>
        <w:spacing w:line="360" w:lineRule="auto"/>
        <w:ind w:left="-2" w:leftChars="-1" w:firstLine="480" w:firstLineChars="20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1、投标人需按本表格式填写</w:t>
      </w:r>
      <w:r>
        <w:rPr>
          <w:rFonts w:hint="eastAsia" w:ascii="仿宋_GB2312" w:hAnsi="仿宋_GB2312" w:eastAsia="仿宋_GB2312" w:cs="仿宋_GB2312"/>
          <w:b/>
          <w:color w:val="auto"/>
          <w:kern w:val="0"/>
          <w:sz w:val="24"/>
          <w:highlight w:val="none"/>
          <w:lang w:val="zh-CN"/>
        </w:rPr>
        <w:t>，</w:t>
      </w:r>
      <w:r>
        <w:rPr>
          <w:rFonts w:hint="eastAsia" w:ascii="仿宋_GB2312" w:hAnsi="仿宋_GB2312" w:eastAsia="仿宋_GB2312" w:cs="仿宋_GB2312"/>
          <w:b/>
          <w:color w:val="auto"/>
          <w:kern w:val="0"/>
          <w:sz w:val="24"/>
          <w:highlight w:val="none"/>
        </w:rPr>
        <w:t>否则视为</w:t>
      </w:r>
      <w:r>
        <w:rPr>
          <w:rFonts w:hint="eastAsia" w:ascii="仿宋_GB2312" w:hAnsi="仿宋_GB2312" w:eastAsia="仿宋_GB2312" w:cs="仿宋_GB2312"/>
          <w:b/>
          <w:color w:val="auto"/>
          <w:sz w:val="24"/>
          <w:highlight w:val="none"/>
        </w:rPr>
        <w:t>投标文件含有采购人不能接受的附加条件，投标无效</w:t>
      </w:r>
      <w:r>
        <w:rPr>
          <w:rFonts w:hint="eastAsia" w:ascii="仿宋_GB2312" w:hAnsi="仿宋_GB2312" w:eastAsia="仿宋_GB2312" w:cs="仿宋_GB2312"/>
          <w:b/>
          <w:color w:val="auto"/>
          <w:kern w:val="0"/>
          <w:sz w:val="24"/>
          <w:highlight w:val="none"/>
          <w:lang w:val="zh-CN"/>
        </w:rPr>
        <w:t>；</w:t>
      </w:r>
      <w:r>
        <w:rPr>
          <w:rFonts w:hint="eastAsia" w:ascii="仿宋_GB2312" w:hAnsi="仿宋_GB2312" w:eastAsia="仿宋_GB2312" w:cs="仿宋_GB2312"/>
          <w:color w:val="auto"/>
          <w:kern w:val="0"/>
          <w:sz w:val="24"/>
          <w:highlight w:val="none"/>
          <w:lang w:val="zh-CN"/>
        </w:rPr>
        <w:t>。</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2、有关本项目实施所涉及的一切费用均计入报价。</w:t>
      </w:r>
      <w:r>
        <w:rPr>
          <w:rFonts w:hint="eastAsia" w:ascii="仿宋_GB2312" w:hAnsi="仿宋_GB2312"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color w:val="auto"/>
          <w:kern w:val="0"/>
          <w:sz w:val="24"/>
          <w:highlight w:val="none"/>
          <w:lang w:val="zh-CN"/>
        </w:rPr>
        <w:t>不得出现“0元”“免费赠送”等形式的无偿报价，</w:t>
      </w:r>
      <w:r>
        <w:rPr>
          <w:rFonts w:hint="eastAsia" w:ascii="仿宋_GB2312" w:hAnsi="仿宋_GB2312" w:eastAsia="仿宋_GB2312" w:cs="仿宋_GB2312"/>
          <w:b/>
          <w:color w:val="auto"/>
          <w:kern w:val="0"/>
          <w:sz w:val="24"/>
          <w:highlight w:val="none"/>
        </w:rPr>
        <w:t>否则视为</w:t>
      </w:r>
      <w:r>
        <w:rPr>
          <w:rFonts w:hint="eastAsia" w:ascii="仿宋_GB2312" w:hAnsi="仿宋_GB2312" w:eastAsia="仿宋_GB2312" w:cs="仿宋_GB2312"/>
          <w:b/>
          <w:color w:val="auto"/>
          <w:sz w:val="24"/>
          <w:highlight w:val="none"/>
        </w:rPr>
        <w:t>投标文件含有采购人不能接受的附加条件，投标无效</w:t>
      </w:r>
      <w:r>
        <w:rPr>
          <w:rFonts w:hint="eastAsia" w:ascii="仿宋_GB2312" w:hAnsi="仿宋_GB2312" w:eastAsia="仿宋_GB2312" w:cs="仿宋_GB2312"/>
          <w:b/>
          <w:color w:val="auto"/>
          <w:kern w:val="0"/>
          <w:sz w:val="24"/>
          <w:highlight w:val="none"/>
          <w:lang w:val="zh-CN"/>
        </w:rPr>
        <w:t>；采购内容未包含在《开标一览表（报价表）》名称栏中，投标人不能作出合理解释的，</w:t>
      </w:r>
      <w:r>
        <w:rPr>
          <w:rFonts w:hint="eastAsia" w:ascii="仿宋_GB2312" w:hAnsi="仿宋_GB2312" w:eastAsia="仿宋_GB2312" w:cs="仿宋_GB2312"/>
          <w:b/>
          <w:color w:val="auto"/>
          <w:kern w:val="0"/>
          <w:sz w:val="24"/>
          <w:highlight w:val="none"/>
        </w:rPr>
        <w:t>视为</w:t>
      </w:r>
      <w:r>
        <w:rPr>
          <w:rFonts w:hint="eastAsia" w:ascii="仿宋_GB2312" w:hAnsi="仿宋_GB2312" w:eastAsia="仿宋_GB2312" w:cs="仿宋_GB2312"/>
          <w:b/>
          <w:color w:val="auto"/>
          <w:sz w:val="24"/>
          <w:highlight w:val="none"/>
        </w:rPr>
        <w:t>投标文件含有采购人不能接受的附加条件的，投标无效。</w:t>
      </w:r>
    </w:p>
    <w:p>
      <w:pPr>
        <w:kinsoku/>
        <w:wordWrap w:val="0"/>
        <w:overflowPunct/>
        <w:topLinePunct w:val="0"/>
        <w:bidi w:val="0"/>
        <w:snapToGrid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kinsoku/>
        <w:wordWrap w:val="0"/>
        <w:overflowPunct/>
        <w:topLinePunct w:val="0"/>
        <w:bidi w:val="0"/>
        <w:snapToGrid w:val="0"/>
        <w:spacing w:line="360" w:lineRule="auto"/>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szCs w:val="22"/>
          <w:highlight w:val="none"/>
          <w:lang w:val="zh-CN"/>
        </w:rPr>
        <w:t>4、</w:t>
      </w:r>
      <w:r>
        <w:rPr>
          <w:rFonts w:hint="eastAsia" w:ascii="仿宋_GB2312" w:hAnsi="仿宋_GB2312" w:eastAsia="仿宋_GB2312" w:cs="仿宋_GB2312"/>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2"/>
        <w:rPr>
          <w:rFonts w:hint="eastAsia"/>
          <w:lang w:val="zh-CN"/>
        </w:rPr>
      </w:pPr>
    </w:p>
    <w:p>
      <w:pPr>
        <w:kinsoku/>
        <w:wordWrap w:val="0"/>
        <w:overflowPunct/>
        <w:topLinePunct w:val="0"/>
        <w:bidi w:val="0"/>
        <w:spacing w:line="360" w:lineRule="auto"/>
        <w:ind w:firstLine="482" w:firstLineChars="200"/>
        <w:rPr>
          <w:rFonts w:hint="eastAsia" w:ascii="仿宋_GB2312" w:hAnsi="仿宋_GB2312" w:eastAsia="仿宋_GB2312" w:cs="仿宋_GB2312"/>
          <w:b/>
          <w:color w:val="auto"/>
          <w:kern w:val="0"/>
          <w:sz w:val="24"/>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pPr>
    </w:p>
    <w:p>
      <w:pPr>
        <w:pStyle w:val="692"/>
        <w:keepNext w:val="0"/>
        <w:pageBreakBefore w:val="0"/>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pPr>
        <w:pStyle w:val="692"/>
        <w:keepNext w:val="0"/>
        <w:pageBreakBefore w:val="0"/>
        <w:numPr>
          <w:ilvl w:val="0"/>
          <w:numId w:val="0"/>
        </w:numPr>
        <w:tabs>
          <w:tab w:val="clear" w:pos="720"/>
        </w:tabs>
        <w:kinsoku/>
        <w:wordWrap w:val="0"/>
        <w:overflowPunct/>
        <w:topLinePunct w:val="0"/>
        <w:bidi w:val="0"/>
        <w:snapToGrid w:val="0"/>
        <w:spacing w:before="120" w:after="120"/>
        <w:jc w:val="center"/>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二、</w:t>
      </w:r>
      <w:r>
        <w:rPr>
          <w:rFonts w:hint="eastAsia" w:ascii="仿宋_GB2312" w:hAnsi="仿宋_GB2312" w:eastAsia="仿宋_GB2312" w:cs="仿宋_GB2312"/>
          <w:color w:val="auto"/>
          <w:sz w:val="32"/>
          <w:szCs w:val="32"/>
          <w:highlight w:val="none"/>
        </w:rPr>
        <w:t>云服务项目清单（必须在报价文件中提供）</w:t>
      </w:r>
    </w:p>
    <w:p>
      <w:pPr>
        <w:keepNext w:val="0"/>
        <w:keepLines w:val="0"/>
        <w:pageBreakBefore w:val="0"/>
        <w:kinsoku/>
        <w:wordWrap/>
        <w:overflowPunct/>
        <w:topLinePunct w:val="0"/>
        <w:autoSpaceDE/>
        <w:autoSpaceDN/>
        <w:bidi w:val="0"/>
        <w:adjustRightInd w:val="0"/>
        <w:snapToGrid/>
        <w:spacing w:line="440" w:lineRule="exact"/>
        <w:ind w:left="425" w:right="42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①云主机及负载均衡服务</w:t>
      </w:r>
    </w:p>
    <w:tbl>
      <w:tblPr>
        <w:tblStyle w:val="63"/>
        <w:tblW w:w="4997" w:type="pct"/>
        <w:jc w:val="center"/>
        <w:tblLayout w:type="autofit"/>
        <w:tblCellMar>
          <w:top w:w="0" w:type="dxa"/>
          <w:left w:w="108" w:type="dxa"/>
          <w:bottom w:w="0" w:type="dxa"/>
          <w:right w:w="108" w:type="dxa"/>
        </w:tblCellMar>
      </w:tblPr>
      <w:tblGrid>
        <w:gridCol w:w="746"/>
        <w:gridCol w:w="1354"/>
        <w:gridCol w:w="2403"/>
        <w:gridCol w:w="2853"/>
        <w:gridCol w:w="1021"/>
        <w:gridCol w:w="903"/>
      </w:tblGrid>
      <w:tr>
        <w:tblPrEx>
          <w:tblCellMar>
            <w:top w:w="0" w:type="dxa"/>
            <w:left w:w="108" w:type="dxa"/>
            <w:bottom w:w="0" w:type="dxa"/>
            <w:right w:w="108" w:type="dxa"/>
          </w:tblCellMar>
        </w:tblPrEx>
        <w:trPr>
          <w:trHeight w:val="529" w:hRule="atLeast"/>
          <w:jc w:val="center"/>
        </w:trPr>
        <w:tc>
          <w:tcPr>
            <w:tcW w:w="402" w:type="pct"/>
            <w:tcBorders>
              <w:top w:val="single" w:color="auto" w:sz="8" w:space="0"/>
              <w:left w:val="single" w:color="auto" w:sz="8" w:space="0"/>
              <w:bottom w:val="single" w:color="000000"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序号</w:t>
            </w:r>
          </w:p>
        </w:tc>
        <w:tc>
          <w:tcPr>
            <w:tcW w:w="729" w:type="pct"/>
            <w:tcBorders>
              <w:top w:val="single" w:color="auto" w:sz="8" w:space="0"/>
              <w:left w:val="single" w:color="auto" w:sz="8" w:space="0"/>
              <w:bottom w:val="single" w:color="000000"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项 目</w:t>
            </w:r>
          </w:p>
        </w:tc>
        <w:tc>
          <w:tcPr>
            <w:tcW w:w="1294" w:type="pct"/>
            <w:tcBorders>
              <w:top w:val="single" w:color="auto" w:sz="8" w:space="0"/>
              <w:left w:val="single" w:color="auto" w:sz="8" w:space="0"/>
              <w:bottom w:val="single" w:color="000000"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计费项</w:t>
            </w:r>
          </w:p>
        </w:tc>
        <w:tc>
          <w:tcPr>
            <w:tcW w:w="1536" w:type="pct"/>
            <w:tcBorders>
              <w:top w:val="single" w:color="auto" w:sz="8" w:space="0"/>
              <w:left w:val="single" w:color="auto" w:sz="8" w:space="0"/>
              <w:bottom w:val="single" w:color="000000"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规格</w:t>
            </w:r>
          </w:p>
        </w:tc>
        <w:tc>
          <w:tcPr>
            <w:tcW w:w="550" w:type="pct"/>
            <w:tcBorders>
              <w:top w:val="single" w:color="auto" w:sz="8" w:space="0"/>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kern w:val="0"/>
                <w:sz w:val="24"/>
                <w:szCs w:val="24"/>
              </w:rPr>
              <w:t>元/月</w:t>
            </w:r>
          </w:p>
        </w:tc>
        <w:tc>
          <w:tcPr>
            <w:tcW w:w="486" w:type="pct"/>
            <w:tcBorders>
              <w:top w:val="single" w:color="auto" w:sz="8" w:space="0"/>
              <w:left w:val="single" w:color="auto" w:sz="8" w:space="0"/>
              <w:bottom w:val="single" w:color="000000"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备注</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一核,1GB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一核,2GB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一核,4GB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一核,8GB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两核,2GB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两核,4GB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7</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两核,8GB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8</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两核,12GB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9</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两核,16GB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10</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四核,8GB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11</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四核,12GB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12</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四核,16GB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13</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四核,24GB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14</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四核,32GB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八核,12GB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八核,16GB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17</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八核,24GB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18</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八核,32GB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19</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八核,48GB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20</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八核,64GB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21</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16核,32GB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22</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16核,48GB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23</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16核,64GB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24</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16核,80GB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25</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16核,96GB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26</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16核,128GB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27</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16核,256GB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28</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16核,384GB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29</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20核,512GB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30</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32核,64GB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31</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32核,128GB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32</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32核,192GB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33</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32核,256GB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34</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40核,512GB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35</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156核,1344GB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36</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云机及操作系统</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160核,1024GB</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37</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增配cpu</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增加1核CPU</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38</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增配cpu</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增加2核CPU</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39</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增配cpu</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增加4核CPU</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40</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增配内存</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增加1G内存</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41</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增配内存</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增加2G内存</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28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42</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增配内存</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增加4G内存</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43</w:t>
            </w:r>
          </w:p>
        </w:tc>
        <w:tc>
          <w:tcPr>
            <w:tcW w:w="729"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云主机存储</w:t>
            </w:r>
          </w:p>
        </w:tc>
        <w:tc>
          <w:tcPr>
            <w:tcW w:w="1536" w:type="pct"/>
            <w:tcBorders>
              <w:top w:val="nil"/>
              <w:left w:val="nil"/>
              <w:bottom w:val="single" w:color="auto" w:sz="8"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以100GB为单价,100GB（10000转及以上服务器磁盘）</w:t>
            </w:r>
          </w:p>
        </w:tc>
        <w:tc>
          <w:tcPr>
            <w:tcW w:w="550" w:type="pct"/>
            <w:tcBorders>
              <w:top w:val="nil"/>
              <w:left w:val="nil"/>
              <w:bottom w:val="single" w:color="auto" w:sz="8"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8"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nil"/>
              <w:left w:val="single" w:color="auto" w:sz="8" w:space="0"/>
              <w:bottom w:val="single" w:color="auto" w:sz="4"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44</w:t>
            </w:r>
          </w:p>
        </w:tc>
        <w:tc>
          <w:tcPr>
            <w:tcW w:w="729" w:type="pct"/>
            <w:tcBorders>
              <w:top w:val="nil"/>
              <w:left w:val="nil"/>
              <w:bottom w:val="single" w:color="auto" w:sz="4"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nil"/>
              <w:left w:val="nil"/>
              <w:bottom w:val="single" w:color="auto" w:sz="4"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云主机高端存储</w:t>
            </w:r>
          </w:p>
        </w:tc>
        <w:tc>
          <w:tcPr>
            <w:tcW w:w="1536" w:type="pct"/>
            <w:tcBorders>
              <w:top w:val="nil"/>
              <w:left w:val="nil"/>
              <w:bottom w:val="single" w:color="auto" w:sz="4" w:space="0"/>
              <w:right w:val="single" w:color="auto" w:sz="8"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以100GB为单价,100GB（15000转及以上服务器磁盘）</w:t>
            </w:r>
          </w:p>
        </w:tc>
        <w:tc>
          <w:tcPr>
            <w:tcW w:w="550" w:type="pct"/>
            <w:tcBorders>
              <w:top w:val="nil"/>
              <w:left w:val="nil"/>
              <w:bottom w:val="single" w:color="auto" w:sz="4" w:space="0"/>
              <w:right w:val="single" w:color="auto" w:sz="8"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nil"/>
              <w:left w:val="nil"/>
              <w:bottom w:val="single" w:color="auto" w:sz="4" w:space="0"/>
              <w:right w:val="single" w:color="auto" w:sz="8"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45</w:t>
            </w:r>
          </w:p>
        </w:tc>
        <w:tc>
          <w:tcPr>
            <w:tcW w:w="729"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w:t>
            </w:r>
          </w:p>
        </w:tc>
        <w:tc>
          <w:tcPr>
            <w:tcW w:w="1294"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云主机SSD存储</w:t>
            </w:r>
          </w:p>
        </w:tc>
        <w:tc>
          <w:tcPr>
            <w:tcW w:w="1536"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以100GB为单价,100GB（SSD固态SSD盘）</w:t>
            </w:r>
          </w:p>
        </w:tc>
        <w:tc>
          <w:tcPr>
            <w:tcW w:w="55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w:t>
            </w:r>
          </w:p>
        </w:tc>
      </w:tr>
      <w:tr>
        <w:tblPrEx>
          <w:tblCellMar>
            <w:top w:w="0" w:type="dxa"/>
            <w:left w:w="108" w:type="dxa"/>
            <w:bottom w:w="0" w:type="dxa"/>
            <w:right w:w="108" w:type="dxa"/>
          </w:tblCellMar>
        </w:tblPrEx>
        <w:trPr>
          <w:trHeight w:val="525" w:hRule="atLeast"/>
          <w:jc w:val="center"/>
        </w:trPr>
        <w:tc>
          <w:tcPr>
            <w:tcW w:w="402"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46</w:t>
            </w:r>
          </w:p>
        </w:tc>
        <w:tc>
          <w:tcPr>
            <w:tcW w:w="729"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负载均衡</w:t>
            </w:r>
          </w:p>
        </w:tc>
        <w:tc>
          <w:tcPr>
            <w:tcW w:w="1294"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负载均衡服务</w:t>
            </w:r>
          </w:p>
        </w:tc>
        <w:tc>
          <w:tcPr>
            <w:tcW w:w="1536" w:type="pct"/>
            <w:tcBorders>
              <w:top w:val="single" w:color="auto" w:sz="4" w:space="0"/>
              <w:left w:val="single" w:color="auto" w:sz="4" w:space="0"/>
              <w:bottom w:val="single" w:color="auto" w:sz="4" w:space="0"/>
              <w:right w:val="single" w:color="auto" w:sz="4" w:space="0"/>
            </w:tcBorders>
            <w:shd w:val="clear" w:color="000000"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1服务实例</w:t>
            </w:r>
          </w:p>
        </w:tc>
        <w:tc>
          <w:tcPr>
            <w:tcW w:w="55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8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rPr>
                <w:rFonts w:hint="eastAsia" w:ascii="仿宋_GB2312" w:hAnsi="仿宋_GB2312" w:eastAsia="仿宋_GB2312" w:cs="仿宋_GB2312"/>
                <w:kern w:val="0"/>
                <w:sz w:val="24"/>
                <w:szCs w:val="24"/>
              </w:rPr>
            </w:pPr>
          </w:p>
        </w:tc>
      </w:tr>
    </w:tbl>
    <w:p>
      <w:pPr>
        <w:keepNext w:val="0"/>
        <w:keepLines w:val="0"/>
        <w:pageBreakBefore w:val="0"/>
        <w:kinsoku/>
        <w:wordWrap/>
        <w:overflowPunct/>
        <w:topLinePunct w:val="0"/>
        <w:autoSpaceDE/>
        <w:autoSpaceDN/>
        <w:bidi w:val="0"/>
        <w:adjustRightInd w:val="0"/>
        <w:snapToGrid/>
        <w:spacing w:line="440" w:lineRule="exact"/>
        <w:ind w:left="425" w:right="42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②云安全服务</w:t>
      </w:r>
    </w:p>
    <w:tbl>
      <w:tblPr>
        <w:tblStyle w:val="6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647"/>
        <w:gridCol w:w="1171"/>
        <w:gridCol w:w="1821"/>
        <w:gridCol w:w="3511"/>
        <w:gridCol w:w="1171"/>
        <w:gridCol w:w="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序号</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项 目</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计费项</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规格</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元/月</w:t>
            </w: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云主机杀毒软件</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单台云主机杀毒软件。</w:t>
            </w:r>
          </w:p>
        </w:tc>
        <w:tc>
          <w:tcPr>
            <w:tcW w:w="643" w:type="pct"/>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云WAF</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保护站点授权1个，防护流量1000Mbps。</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网页防篡改</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支持1个网站防护。</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数据防泄漏</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漏洞扫描</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主机入侵防御IPS</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7</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病毒网关</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8</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威胁处置及主动响应服务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9</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渗透测试服务（现场排查主机及系统漏洞及风险等级评估等）</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以每个云应用系统为单位，按1次服务计费。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10</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主机安全加固（webshell检测、防暴力破解、安全基线、网卡流量统计）</w:t>
            </w:r>
          </w:p>
        </w:tc>
        <w:tc>
          <w:tcPr>
            <w:tcW w:w="1928" w:type="pct"/>
            <w:shd w:val="clear" w:color="auto" w:fill="FFFFFF"/>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按每个IP计费。</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11</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综合日志审计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支持1个IP。</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12</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综合日志审计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支持5个IP。</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13</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综合日志审计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支持10个IP。</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14</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综合日志审计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支持50个IP。</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综合日志审计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支持100个IP。</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数据库审计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支持1数据库实例。</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17</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数据库审计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支持5数据库实例。</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1" w:hRule="atLeast"/>
          <w:jc w:val="center"/>
        </w:trPr>
        <w:tc>
          <w:tcPr>
            <w:tcW w:w="356"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18</w:t>
            </w:r>
          </w:p>
        </w:tc>
        <w:tc>
          <w:tcPr>
            <w:tcW w:w="643"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安全服务</w:t>
            </w:r>
          </w:p>
        </w:tc>
        <w:tc>
          <w:tcPr>
            <w:tcW w:w="1000" w:type="pct"/>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数据库审计</w:t>
            </w:r>
          </w:p>
        </w:tc>
        <w:tc>
          <w:tcPr>
            <w:tcW w:w="1928"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left"/>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支持10数据库实例。</w:t>
            </w:r>
          </w:p>
        </w:tc>
        <w:tc>
          <w:tcPr>
            <w:tcW w:w="643"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28"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bl>
    <w:p>
      <w:pPr>
        <w:keepNext w:val="0"/>
        <w:keepLines w:val="0"/>
        <w:pageBreakBefore w:val="0"/>
        <w:kinsoku/>
        <w:wordWrap/>
        <w:overflowPunct/>
        <w:topLinePunct w:val="0"/>
        <w:autoSpaceDE/>
        <w:autoSpaceDN/>
        <w:bidi w:val="0"/>
        <w:adjustRightInd w:val="0"/>
        <w:snapToGrid/>
        <w:spacing w:line="440" w:lineRule="exact"/>
        <w:ind w:left="425" w:right="42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③其他服务</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730"/>
        <w:gridCol w:w="1907"/>
        <w:gridCol w:w="1914"/>
        <w:gridCol w:w="2460"/>
        <w:gridCol w:w="1338"/>
        <w:gridCol w:w="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85" w:hRule="atLeast"/>
        </w:trPr>
        <w:tc>
          <w:tcPr>
            <w:tcW w:w="40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序号</w:t>
            </w:r>
          </w:p>
        </w:tc>
        <w:tc>
          <w:tcPr>
            <w:tcW w:w="1047"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项 目</w:t>
            </w:r>
          </w:p>
        </w:tc>
        <w:tc>
          <w:tcPr>
            <w:tcW w:w="105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计费项</w:t>
            </w:r>
          </w:p>
        </w:tc>
        <w:tc>
          <w:tcPr>
            <w:tcW w:w="135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规格</w:t>
            </w:r>
          </w:p>
        </w:tc>
        <w:tc>
          <w:tcPr>
            <w:tcW w:w="735" w:type="pct"/>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元/月</w:t>
            </w:r>
          </w:p>
        </w:tc>
        <w:tc>
          <w:tcPr>
            <w:tcW w:w="412" w:type="pct"/>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b/>
                <w:sz w:val="24"/>
                <w:szCs w:val="24"/>
              </w:rPr>
            </w:pPr>
            <w:r>
              <w:rPr>
                <w:rFonts w:hint="eastAsia" w:ascii="仿宋_GB2312" w:hAnsi="仿宋_GB2312" w:eastAsia="仿宋_GB2312" w:cs="仿宋_GB2312"/>
                <w:b/>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85" w:hRule="atLeast"/>
        </w:trPr>
        <w:tc>
          <w:tcPr>
            <w:tcW w:w="40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047" w:type="pct"/>
            <w:shd w:val="clear" w:color="auto" w:fill="FFFFFF"/>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本地安全运营服务</w:t>
            </w:r>
          </w:p>
        </w:tc>
        <w:tc>
          <w:tcPr>
            <w:tcW w:w="1051" w:type="pct"/>
            <w:shd w:val="clear" w:color="auto" w:fill="FFFFFF"/>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本地安全运营服务</w:t>
            </w:r>
          </w:p>
        </w:tc>
        <w:tc>
          <w:tcPr>
            <w:tcW w:w="135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提供7*24小时本地化安全服务，包含：管理制度梳理、漏洞扫描与分析服务、人工渗透测试服务、安全监测服务、安全巡检及加固服务、本地化应急响应服务、安全培训。</w:t>
            </w:r>
          </w:p>
        </w:tc>
        <w:tc>
          <w:tcPr>
            <w:tcW w:w="735" w:type="pct"/>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p>
        </w:tc>
        <w:tc>
          <w:tcPr>
            <w:tcW w:w="412"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85" w:hRule="atLeast"/>
        </w:trPr>
        <w:tc>
          <w:tcPr>
            <w:tcW w:w="40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047" w:type="pct"/>
            <w:shd w:val="clear" w:color="auto" w:fill="FFFFFF"/>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p>
        </w:tc>
        <w:tc>
          <w:tcPr>
            <w:tcW w:w="1051" w:type="pct"/>
            <w:shd w:val="clear" w:color="auto" w:fill="FFFFFF"/>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kern w:val="0"/>
                <w:sz w:val="24"/>
                <w:szCs w:val="24"/>
              </w:rPr>
            </w:pPr>
          </w:p>
        </w:tc>
        <w:tc>
          <w:tcPr>
            <w:tcW w:w="1351" w:type="pct"/>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_GB2312" w:hAnsi="仿宋_GB2312" w:eastAsia="仿宋_GB2312" w:cs="仿宋_GB2312"/>
                <w:kern w:val="0"/>
                <w:sz w:val="24"/>
                <w:szCs w:val="24"/>
              </w:rPr>
            </w:pPr>
          </w:p>
        </w:tc>
        <w:tc>
          <w:tcPr>
            <w:tcW w:w="735" w:type="pct"/>
            <w:noWrap w:val="0"/>
            <w:vAlign w:val="center"/>
          </w:tcPr>
          <w:p>
            <w:pPr>
              <w:keepNext w:val="0"/>
              <w:keepLines w:val="0"/>
              <w:pageBreakBefore w:val="0"/>
              <w:kinsoku/>
              <w:wordWrap/>
              <w:overflowPunct/>
              <w:topLinePunct w:val="0"/>
              <w:autoSpaceDE/>
              <w:autoSpaceDN/>
              <w:bidi w:val="0"/>
              <w:adjustRightInd w:val="0"/>
              <w:snapToGrid/>
              <w:spacing w:line="440" w:lineRule="exact"/>
              <w:jc w:val="center"/>
              <w:rPr>
                <w:rFonts w:hint="eastAsia" w:ascii="仿宋_GB2312" w:hAnsi="仿宋_GB2312" w:eastAsia="仿宋_GB2312" w:cs="仿宋_GB2312"/>
                <w:sz w:val="24"/>
                <w:szCs w:val="24"/>
              </w:rPr>
            </w:pPr>
          </w:p>
        </w:tc>
        <w:tc>
          <w:tcPr>
            <w:tcW w:w="412" w:type="pct"/>
            <w:noWrap w:val="0"/>
            <w:vAlign w:val="center"/>
          </w:tcPr>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tc>
      </w:tr>
    </w:tbl>
    <w:p>
      <w:pPr>
        <w:keepNext w:val="0"/>
        <w:keepLines w:val="0"/>
        <w:pageBreakBefore w:val="0"/>
        <w:kinsoku/>
        <w:wordWrap/>
        <w:overflowPunct/>
        <w:topLinePunct w:val="0"/>
        <w:autoSpaceDE/>
        <w:autoSpaceDN/>
        <w:bidi w:val="0"/>
        <w:adjustRightInd w:val="0"/>
        <w:snapToGrid/>
        <w:spacing w:line="440" w:lineRule="exact"/>
        <w:rPr>
          <w:rFonts w:hint="eastAsia" w:ascii="仿宋_GB2312" w:hAnsi="仿宋_GB2312" w:eastAsia="仿宋_GB2312" w:cs="仿宋_GB2312"/>
          <w:sz w:val="24"/>
          <w:szCs w:val="24"/>
        </w:rPr>
      </w:pPr>
    </w:p>
    <w:p>
      <w:pPr>
        <w:pStyle w:val="692"/>
        <w:keepNext w:val="0"/>
        <w:pageBreakBefore w:val="0"/>
        <w:numPr>
          <w:ilvl w:val="0"/>
          <w:numId w:val="4"/>
        </w:numPr>
        <w:tabs>
          <w:tab w:val="clear" w:pos="720"/>
        </w:tabs>
        <w:kinsoku/>
        <w:wordWrap w:val="0"/>
        <w:overflowPunct/>
        <w:topLinePunct w:val="0"/>
        <w:bidi w:val="0"/>
        <w:snapToGrid w:val="0"/>
        <w:spacing w:before="120" w:after="120"/>
        <w:ind w:firstLine="643"/>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中小企业声明函（如有）</w:t>
      </w:r>
    </w:p>
    <w:p>
      <w:pPr>
        <w:widowControl/>
        <w:kinsoku/>
        <w:wordWrap w:val="0"/>
        <w:overflowPunct/>
        <w:topLinePunct w:val="0"/>
        <w:bidi w:val="0"/>
        <w:spacing w:line="360" w:lineRule="auto"/>
        <w:ind w:firstLine="120" w:firstLineChars="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0"/>
        <w:kinsoku/>
        <w:wordWrap w:val="0"/>
        <w:overflowPunct/>
        <w:topLinePunct w:val="0"/>
        <w:bidi w:val="0"/>
        <w:rPr>
          <w:rFonts w:hint="eastAsia" w:ascii="仿宋_GB2312" w:hAnsi="仿宋_GB2312" w:eastAsia="仿宋_GB2312" w:cs="仿宋_GB2312"/>
          <w:b/>
          <w:color w:val="auto"/>
          <w:sz w:val="24"/>
          <w:highlight w:val="none"/>
        </w:rPr>
      </w:pPr>
    </w:p>
    <w:p>
      <w:pPr>
        <w:pStyle w:val="81"/>
        <w:kinsoku/>
        <w:wordWrap w:val="0"/>
        <w:overflowPunct/>
        <w:topLinePunct w:val="0"/>
        <w:bidi w:val="0"/>
        <w:rPr>
          <w:rFonts w:hint="eastAsia" w:ascii="仿宋_GB2312" w:hAnsi="仿宋_GB2312" w:eastAsia="仿宋_GB2312" w:cs="仿宋_GB2312"/>
          <w:b/>
          <w:color w:val="auto"/>
          <w:sz w:val="24"/>
          <w:highlight w:val="none"/>
        </w:rPr>
      </w:pPr>
    </w:p>
    <w:p>
      <w:pPr>
        <w:kinsoku/>
        <w:wordWrap w:val="0"/>
        <w:overflowPunct/>
        <w:topLinePunct w:val="0"/>
        <w:bidi w:val="0"/>
        <w:rPr>
          <w:rFonts w:hint="eastAsia" w:ascii="仿宋_GB2312" w:hAnsi="仿宋_GB2312" w:eastAsia="仿宋_GB2312" w:cs="仿宋_GB2312"/>
          <w:b/>
          <w:color w:val="auto"/>
          <w:sz w:val="24"/>
          <w:highlight w:val="none"/>
        </w:rPr>
      </w:pPr>
    </w:p>
    <w:p>
      <w:pPr>
        <w:pStyle w:val="80"/>
        <w:kinsoku/>
        <w:wordWrap w:val="0"/>
        <w:overflowPunct/>
        <w:topLinePunct w:val="0"/>
        <w:bidi w:val="0"/>
        <w:rPr>
          <w:rFonts w:hint="eastAsia" w:ascii="仿宋_GB2312" w:hAnsi="仿宋_GB2312" w:eastAsia="仿宋_GB2312" w:cs="仿宋_GB2312"/>
          <w:b/>
          <w:color w:val="auto"/>
          <w:sz w:val="24"/>
          <w:highlight w:val="none"/>
        </w:rPr>
      </w:pPr>
    </w:p>
    <w:p>
      <w:pPr>
        <w:pStyle w:val="81"/>
        <w:kinsoku/>
        <w:wordWrap w:val="0"/>
        <w:overflowPunct/>
        <w:topLinePunct w:val="0"/>
        <w:bidi w:val="0"/>
        <w:rPr>
          <w:rFonts w:hint="eastAsia" w:ascii="仿宋_GB2312" w:hAnsi="仿宋_GB2312" w:eastAsia="仿宋_GB2312" w:cs="仿宋_GB2312"/>
          <w:b/>
          <w:color w:val="auto"/>
          <w:sz w:val="24"/>
          <w:highlight w:val="none"/>
        </w:rPr>
      </w:pPr>
    </w:p>
    <w:p>
      <w:pPr>
        <w:kinsoku/>
        <w:wordWrap w:val="0"/>
        <w:overflowPunct/>
        <w:topLinePunct w:val="0"/>
        <w:bidi w:val="0"/>
        <w:rPr>
          <w:rFonts w:hint="eastAsia" w:ascii="仿宋_GB2312" w:hAnsi="仿宋_GB2312" w:eastAsia="仿宋_GB2312" w:cs="仿宋_GB2312"/>
          <w:color w:val="auto"/>
          <w:highlight w:val="none"/>
          <w:lang w:eastAsia="zh-CN"/>
        </w:rPr>
      </w:pPr>
    </w:p>
    <w:p>
      <w:pPr>
        <w:widowControl/>
        <w:kinsoku/>
        <w:wordWrap w:val="0"/>
        <w:overflowPunct/>
        <w:topLinePunct w:val="0"/>
        <w:bidi w:val="0"/>
        <w:spacing w:line="360" w:lineRule="auto"/>
        <w:ind w:firstLine="161" w:firstLineChars="50"/>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四</w:t>
      </w:r>
      <w:r>
        <w:rPr>
          <w:rFonts w:hint="eastAsia" w:ascii="仿宋_GB2312" w:hAnsi="仿宋_GB2312" w:eastAsia="仿宋_GB2312" w:cs="仿宋_GB2312"/>
          <w:b/>
          <w:color w:val="auto"/>
          <w:sz w:val="32"/>
          <w:szCs w:val="32"/>
          <w:highlight w:val="none"/>
          <w:lang w:eastAsia="zh-CN"/>
        </w:rPr>
        <w:t>、残疾人福利性单位声明函（如有）</w:t>
      </w:r>
    </w:p>
    <w:p>
      <w:pPr>
        <w:pStyle w:val="4"/>
        <w:widowControl/>
        <w:numPr>
          <w:ilvl w:val="0"/>
          <w:numId w:val="0"/>
        </w:numPr>
        <w:kinsoku/>
        <w:wordWrap w:val="0"/>
        <w:overflowPunct/>
        <w:topLinePunct w:val="0"/>
        <w:bidi w:val="0"/>
        <w:spacing w:line="360" w:lineRule="auto"/>
        <w:ind w:firstLine="120" w:firstLineChars="5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eastAsia="zh-CN"/>
        </w:rPr>
        <w:t>[符合条件的残疾人福利性单位，提供残疾人福利性单位声明函(附件6)，否则不需要提供。]</w:t>
      </w: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kinsoku/>
        <w:wordWrap w:val="0"/>
        <w:overflowPunct/>
        <w:topLinePunct w:val="0"/>
        <w:bidi w:val="0"/>
        <w:spacing w:line="360" w:lineRule="auto"/>
        <w:ind w:right="420" w:firstLine="3614" w:firstLineChars="1000"/>
        <w:rPr>
          <w:rFonts w:hint="eastAsia" w:ascii="仿宋_GB2312" w:hAnsi="仿宋_GB2312" w:eastAsia="仿宋_GB2312" w:cs="仿宋_GB2312"/>
          <w:b/>
          <w:color w:val="auto"/>
          <w:kern w:val="0"/>
          <w:sz w:val="36"/>
          <w:szCs w:val="36"/>
          <w:highlight w:val="none"/>
        </w:rPr>
      </w:pPr>
    </w:p>
    <w:p>
      <w:pPr>
        <w:pStyle w:val="6"/>
        <w:keepNext w:val="0"/>
        <w:keepLines w:val="0"/>
        <w:pageBreakBefore/>
        <w:widowControl/>
        <w:kinsoku/>
        <w:wordWrap w:val="0"/>
        <w:overflowPunct/>
        <w:topLinePunct w:val="0"/>
        <w:bidi w:val="0"/>
        <w:spacing w:before="100" w:beforeAutospacing="1" w:after="100" w:afterAutospacing="1" w:line="360" w:lineRule="auto"/>
        <w:ind w:left="1290" w:firstLine="3092" w:firstLineChars="7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附件</w:t>
      </w:r>
    </w:p>
    <w:p>
      <w:pPr>
        <w:kinsoku/>
        <w:wordWrap w:val="0"/>
        <w:overflowPunct/>
        <w:topLinePunct w:val="0"/>
        <w:bidi w:val="0"/>
        <w:spacing w:line="360" w:lineRule="auto"/>
        <w:jc w:val="left"/>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附件1：质疑函范本及制作说明</w:t>
      </w: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质疑函范本</w:t>
      </w:r>
    </w:p>
    <w:p>
      <w:pPr>
        <w:kinsoku/>
        <w:wordWrap w:val="0"/>
        <w:overflowPunct/>
        <w:topLinePunct w:val="0"/>
        <w:bidi w:val="0"/>
        <w:snapToGrid w:val="0"/>
        <w:spacing w:before="240" w:beforeLines="100"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一、质疑供应商基本信息</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质疑供应商：</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地址： </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二、质疑项目基本情况</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采购文件获取日期：</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三、质疑事项具体内容</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质疑事项1：</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质疑事项2</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kinsoku/>
        <w:wordWrap w:val="0"/>
        <w:overflowPunct/>
        <w:topLinePunct w:val="0"/>
        <w:bidi w:val="0"/>
        <w:snapToGrid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四、与质疑事项相关的质疑请求</w:t>
      </w:r>
    </w:p>
    <w:p>
      <w:pPr>
        <w:kinsoku/>
        <w:wordWrap w:val="0"/>
        <w:overflowPunct/>
        <w:topLinePunct w:val="0"/>
        <w:bidi w:val="0"/>
        <w:snapToGrid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pPr>
        <w:kinsoku/>
        <w:wordWrap w:val="0"/>
        <w:overflowPunct/>
        <w:topLinePunct w:val="0"/>
        <w:bidi w:val="0"/>
        <w:spacing w:line="360" w:lineRule="auto"/>
        <w:jc w:val="center"/>
        <w:rPr>
          <w:rFonts w:hint="eastAsia" w:ascii="仿宋_GB2312" w:hAnsi="仿宋_GB2312" w:eastAsia="仿宋_GB2312" w:cs="仿宋_GB2312"/>
          <w:b/>
          <w:bCs/>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质疑函制作说明：</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1.供应商提出质疑时，应提交质疑函和必要的证明材料。</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2.质疑供应商若委托代理人进行质疑的，质疑函应按要求列明“授权代表”的有关内容，并在附件中提交由质疑</w:t>
      </w:r>
      <w:r>
        <w:rPr>
          <w:rFonts w:hint="eastAsia" w:ascii="仿宋_GB2312" w:hAnsi="仿宋_GB2312" w:eastAsia="仿宋_GB2312" w:cs="仿宋_GB2312"/>
          <w:color w:val="auto"/>
          <w:kern w:val="0"/>
          <w:sz w:val="24"/>
          <w:highlight w:val="none"/>
        </w:rPr>
        <w:t>供应商签署的授权委托书。授权委托书应载明代理人的姓名或者名称、代理事项、具体权限、期限和相关事项。</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3.质疑供应商若对项目的某一分包进行质疑，质疑函中应列明具体分包号。</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4.质疑函的质疑事项应具体、明确，并有必要的事实依据和法律依据。</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5.质疑函的质疑请求应与质疑事项相关。</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kinsoku/>
        <w:wordWrap w:val="0"/>
        <w:overflowPunct/>
        <w:topLinePunct w:val="0"/>
        <w:bidi w:val="0"/>
        <w:spacing w:line="360" w:lineRule="auto"/>
        <w:ind w:firstLine="600" w:firstLineChars="200"/>
        <w:jc w:val="left"/>
        <w:rPr>
          <w:rFonts w:hint="eastAsia" w:ascii="仿宋_GB2312" w:hAnsi="仿宋_GB2312" w:eastAsia="仿宋_GB2312" w:cs="仿宋_GB2312"/>
          <w:color w:val="auto"/>
          <w:sz w:val="30"/>
          <w:szCs w:val="30"/>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left"/>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left"/>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pacing w:line="360" w:lineRule="auto"/>
        <w:jc w:val="left"/>
        <w:rPr>
          <w:rFonts w:hint="eastAsia" w:ascii="仿宋_GB2312" w:hAnsi="仿宋_GB2312" w:eastAsia="仿宋_GB2312" w:cs="仿宋_GB2312"/>
          <w:b/>
          <w:color w:val="auto"/>
          <w:spacing w:val="6"/>
          <w:sz w:val="32"/>
          <w:szCs w:val="32"/>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left"/>
        <w:textAlignment w:val="auto"/>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2</w:t>
      </w:r>
      <w:r>
        <w:rPr>
          <w:rFonts w:hint="eastAsia" w:ascii="仿宋_GB2312" w:hAnsi="仿宋_GB2312" w:eastAsia="仿宋_GB2312" w:cs="仿宋_GB2312"/>
          <w:b/>
          <w:color w:val="auto"/>
          <w:spacing w:val="6"/>
          <w:sz w:val="32"/>
          <w:szCs w:val="32"/>
          <w:highlight w:val="none"/>
        </w:rPr>
        <w:t>：投诉书范本及制作说明</w:t>
      </w:r>
    </w:p>
    <w:p>
      <w:pPr>
        <w:kinsoku/>
        <w:wordWrap w:val="0"/>
        <w:overflowPunct/>
        <w:topLinePunct w:val="0"/>
        <w:bidi w:val="0"/>
        <w:spacing w:line="360" w:lineRule="auto"/>
        <w:jc w:val="center"/>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jc w:val="cente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投诉书范本</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一、投诉相关主体基本情况</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tabs>
          <w:tab w:val="left" w:pos="6510"/>
        </w:tabs>
        <w:kinsoku/>
        <w:wordWrap w:val="0"/>
        <w:overflowPunct/>
        <w:topLinePunct w:val="0"/>
        <w:bidi w:val="0"/>
        <w:spacing w:line="360"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法定代表人/主要负责人：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tabs>
          <w:tab w:val="left" w:pos="6510"/>
        </w:tabs>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被投诉人1：</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被投诉人2</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相关供应商：</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二、投诉项目基本情况</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采购项目名称：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采购项目编号：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代理机构名称：</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采购文件公告: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采购结果公告: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三、质疑基本情况</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日,向</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提出质疑，质疑事项为：</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采购人/代理机构</w:t>
      </w:r>
      <w:r>
        <w:rPr>
          <w:rFonts w:hint="eastAsia" w:ascii="仿宋_GB2312" w:hAnsi="仿宋_GB2312" w:eastAsia="仿宋_GB2312" w:cs="仿宋_GB2312"/>
          <w:color w:val="auto"/>
          <w:sz w:val="24"/>
          <w:highlight w:val="none"/>
        </w:rPr>
        <w:t>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日,就质疑事项作出了答复/没有在法定期限内作出答复。</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四、投诉事项具体内容</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投诉事项 1：</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投诉事项2</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五、与投诉事项相关的投诉请求</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 xml:space="preserve">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pPr>
        <w:kinsoku/>
        <w:wordWrap w:val="0"/>
        <w:overflowPunct/>
        <w:topLinePunct w:val="0"/>
        <w:bidi w:val="0"/>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投诉书制作说明：</w:t>
      </w:r>
    </w:p>
    <w:p>
      <w:pPr>
        <w:widowControl/>
        <w:kinsoku/>
        <w:wordWrap w:val="0"/>
        <w:overflowPunct/>
        <w:topLinePunct w:val="0"/>
        <w:bidi w:val="0"/>
        <w:spacing w:line="360" w:lineRule="auto"/>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1.投诉人提起投诉时，应当提交投诉书和必要的证明材料，并按照被投诉人和与投诉事项有关的供应商数量提供投诉书副本。</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2.投诉人若委托代理人进行投诉的，投诉书应按照要求列明“授权代表”的有关内容，并在附件中提交由</w:t>
      </w:r>
      <w:r>
        <w:rPr>
          <w:rFonts w:hint="eastAsia" w:ascii="仿宋_GB2312" w:hAnsi="仿宋_GB2312" w:eastAsia="仿宋_GB2312" w:cs="仿宋_GB2312"/>
          <w:color w:val="auto"/>
          <w:kern w:val="0"/>
          <w:sz w:val="24"/>
          <w:highlight w:val="none"/>
        </w:rPr>
        <w:t>投诉人签署的授权委托书。授权委托书应当载明代理人的姓名或者名称、代理事项、具体权限、期限和相关事项。</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3.投诉人若对项目的某一分包进行投诉，投诉书应列明具体分包号。</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4.投诉书应简要列明质疑事项，质疑函、质疑答复等作为附件材料提供。</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5.投诉书的投诉事项应具体、明确，并有必要的事实依据和法律依据。</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6.投诉书的投诉请求应与投诉事项相关。</w:t>
      </w:r>
    </w:p>
    <w:p>
      <w:pPr>
        <w:widowControl/>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kinsoku/>
        <w:wordWrap w:val="0"/>
        <w:overflowPunct/>
        <w:topLinePunct w:val="0"/>
        <w:bidi w:val="0"/>
        <w:spacing w:line="360" w:lineRule="auto"/>
        <w:rPr>
          <w:rFonts w:hint="eastAsia" w:ascii="仿宋_GB2312" w:hAnsi="仿宋_GB2312" w:eastAsia="仿宋_GB2312" w:cs="仿宋_GB2312"/>
          <w:b/>
          <w:color w:val="auto"/>
          <w:sz w:val="24"/>
          <w:highlight w:val="none"/>
        </w:rPr>
      </w:pPr>
    </w:p>
    <w:p>
      <w:pPr>
        <w:keepNext w:val="0"/>
        <w:keepLines w:val="0"/>
        <w:pageBreakBefore/>
        <w:widowControl w:val="0"/>
        <w:kinsoku/>
        <w:wordWrap w:val="0"/>
        <w:overflowPunct/>
        <w:topLinePunct w:val="0"/>
        <w:autoSpaceDE w:val="0"/>
        <w:autoSpaceDN w:val="0"/>
        <w:bidi w:val="0"/>
        <w:adjustRightInd w:val="0"/>
        <w:snapToGrid/>
        <w:jc w:val="center"/>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3</w:t>
      </w:r>
      <w:r>
        <w:rPr>
          <w:rFonts w:hint="eastAsia" w:ascii="仿宋_GB2312" w:hAnsi="仿宋_GB2312" w:eastAsia="仿宋_GB2312" w:cs="仿宋_GB2312"/>
          <w:b/>
          <w:color w:val="auto"/>
          <w:spacing w:val="6"/>
          <w:sz w:val="32"/>
          <w:szCs w:val="32"/>
          <w:highlight w:val="none"/>
        </w:rPr>
        <w:t>：</w:t>
      </w:r>
      <w:r>
        <w:rPr>
          <w:rFonts w:hint="eastAsia" w:ascii="仿宋_GB2312" w:hAnsi="仿宋_GB2312" w:eastAsia="仿宋_GB2312" w:cs="仿宋_GB2312"/>
          <w:b/>
          <w:bCs/>
          <w:color w:val="auto"/>
          <w:sz w:val="32"/>
          <w:szCs w:val="32"/>
          <w:highlight w:val="none"/>
        </w:rPr>
        <w:t>业务专用章使用说明函</w:t>
      </w:r>
    </w:p>
    <w:p>
      <w:pPr>
        <w:kinsoku/>
        <w:wordWrap w:val="0"/>
        <w:overflowPunct/>
        <w:topLinePunct w:val="0"/>
        <w:bidi w:val="0"/>
        <w:spacing w:line="360" w:lineRule="auto"/>
        <w:rPr>
          <w:rFonts w:hint="eastAsia" w:ascii="仿宋_GB2312" w:hAnsi="仿宋_GB2312" w:eastAsia="仿宋_GB2312" w:cs="仿宋_GB2312"/>
          <w:color w:val="auto"/>
          <w:sz w:val="24"/>
          <w:highlight w:val="none"/>
          <w:u w:val="single"/>
        </w:rPr>
      </w:pPr>
    </w:p>
    <w:p>
      <w:pPr>
        <w:keepNext w:val="0"/>
        <w:keepLines w:val="0"/>
        <w:pageBreakBefore w:val="0"/>
        <w:widowControl w:val="0"/>
        <w:kinsoku/>
        <w:wordWrap w:val="0"/>
        <w:overflowPunct/>
        <w:topLinePunct w:val="0"/>
        <w:autoSpaceDE/>
        <w:autoSpaceDN/>
        <w:bidi w:val="0"/>
        <w:adjustRightInd w:val="0"/>
        <w:snapToGrid/>
        <w:spacing w:line="44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single"/>
          <w:lang w:eastAsia="zh-CN"/>
        </w:rPr>
        <w:t>绍兴市人力资源和社会保障局</w:t>
      </w:r>
      <w:r>
        <w:rPr>
          <w:rFonts w:hint="eastAsia" w:ascii="仿宋_GB2312" w:hAnsi="仿宋_GB2312" w:eastAsia="仿宋_GB2312" w:cs="仿宋_GB2312"/>
          <w:color w:val="auto"/>
          <w:sz w:val="24"/>
          <w:highlight w:val="none"/>
          <w:u w:val="single"/>
        </w:rPr>
        <w:t>、</w:t>
      </w:r>
      <w:r>
        <w:rPr>
          <w:rFonts w:hint="eastAsia" w:ascii="仿宋_GB2312" w:hAnsi="仿宋_GB2312" w:eastAsia="仿宋_GB2312" w:cs="仿宋_GB2312"/>
          <w:color w:val="auto"/>
          <w:sz w:val="24"/>
          <w:highlight w:val="none"/>
          <w:u w:val="single"/>
          <w:lang w:eastAsia="zh-CN"/>
        </w:rPr>
        <w:t>绍兴市公共资源交易中心</w:t>
      </w:r>
      <w:r>
        <w:rPr>
          <w:rFonts w:hint="eastAsia" w:ascii="仿宋_GB2312" w:hAnsi="仿宋_GB2312" w:eastAsia="仿宋_GB2312" w:cs="仿宋_GB2312"/>
          <w:color w:val="auto"/>
          <w:sz w:val="24"/>
          <w:highlight w:val="none"/>
          <w:u w:val="single"/>
        </w:rPr>
        <w:t>：</w:t>
      </w:r>
    </w:p>
    <w:p>
      <w:pPr>
        <w:keepNext w:val="0"/>
        <w:keepLines w:val="0"/>
        <w:pageBreakBefore w:val="0"/>
        <w:widowControl w:val="0"/>
        <w:kinsoku/>
        <w:wordWrap w:val="0"/>
        <w:overflowPunct/>
        <w:topLinePunct w:val="0"/>
        <w:autoSpaceDE/>
        <w:autoSpaceDN/>
        <w:bidi w:val="0"/>
        <w:adjustRightInd w:val="0"/>
        <w:snapToGrid/>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我方</w:t>
      </w:r>
      <w:r>
        <w:rPr>
          <w:rFonts w:hint="eastAsia" w:ascii="仿宋_GB2312" w:hAnsi="仿宋_GB2312" w:eastAsia="仿宋_GB2312" w:cs="仿宋_GB2312"/>
          <w:color w:val="auto"/>
          <w:kern w:val="0"/>
          <w:sz w:val="24"/>
          <w:highlight w:val="none"/>
          <w:u w:val="single"/>
          <w:lang w:val="zh-CN"/>
        </w:rPr>
        <w:t xml:space="preserve">                         </w:t>
      </w:r>
      <w:r>
        <w:rPr>
          <w:rFonts w:hint="eastAsia" w:ascii="仿宋_GB2312" w:hAnsi="仿宋_GB2312" w:eastAsia="仿宋_GB2312" w:cs="仿宋_GB2312"/>
          <w:color w:val="auto"/>
          <w:sz w:val="24"/>
          <w:highlight w:val="none"/>
        </w:rPr>
        <w:t>(投标人全称)是中华人民共和国依法登记注册的合法企业，</w:t>
      </w:r>
      <w:r>
        <w:rPr>
          <w:rFonts w:hint="eastAsia" w:ascii="仿宋_GB2312" w:hAnsi="仿宋_GB2312" w:eastAsia="仿宋_GB2312" w:cs="仿宋_GB2312"/>
          <w:bCs/>
          <w:color w:val="auto"/>
          <w:sz w:val="24"/>
          <w:highlight w:val="none"/>
        </w:rPr>
        <w:t>在参加</w:t>
      </w:r>
      <w:r>
        <w:rPr>
          <w:rFonts w:hint="eastAsia" w:ascii="仿宋_GB2312" w:hAnsi="仿宋_GB2312" w:eastAsia="仿宋_GB2312" w:cs="仿宋_GB2312"/>
          <w:color w:val="auto"/>
          <w:sz w:val="24"/>
          <w:highlight w:val="none"/>
        </w:rPr>
        <w:t>你方组织的</w:t>
      </w:r>
      <w:r>
        <w:rPr>
          <w:rFonts w:hint="eastAsia" w:ascii="仿宋_GB2312" w:hAnsi="仿宋_GB2312" w:eastAsia="仿宋_GB2312" w:cs="仿宋_GB2312"/>
          <w:color w:val="auto"/>
          <w:sz w:val="24"/>
          <w:highlight w:val="non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2025-03-0028</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Cs/>
          <w:color w:val="auto"/>
          <w:sz w:val="24"/>
          <w:highlight w:val="none"/>
        </w:rPr>
        <w:t>投标活动中作如下说明：</w:t>
      </w:r>
      <w:r>
        <w:rPr>
          <w:rFonts w:hint="eastAsia" w:ascii="仿宋_GB2312" w:hAnsi="仿宋_GB2312" w:eastAsia="仿宋_GB2312" w:cs="仿宋_GB2312"/>
          <w:color w:val="auto"/>
          <w:sz w:val="24"/>
          <w:highlight w:val="none"/>
        </w:rPr>
        <w:t xml:space="preserve">我方所使用的“XX专用章”与法定名称章具有同等的法律效力，对使用“XX专用章”的行为予以完全承认，并愿意承担相应责任。   </w:t>
      </w:r>
    </w:p>
    <w:p>
      <w:pPr>
        <w:keepNext w:val="0"/>
        <w:keepLines w:val="0"/>
        <w:pageBreakBefore w:val="0"/>
        <w:widowControl w:val="0"/>
        <w:kinsoku/>
        <w:wordWrap w:val="0"/>
        <w:overflowPunct/>
        <w:topLinePunct w:val="0"/>
        <w:autoSpaceDE/>
        <w:autoSpaceDN/>
        <w:bidi w:val="0"/>
        <w:adjustRightInd w:val="0"/>
        <w:snapToGrid/>
        <w:spacing w:line="440" w:lineRule="exact"/>
        <w:ind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特此说明。</w:t>
      </w: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94"/>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right="480" w:firstLine="4080" w:firstLineChars="17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投标单位（法定名称章）：</w:t>
      </w:r>
    </w:p>
    <w:p>
      <w:pPr>
        <w:kinsoku/>
        <w:wordWrap w:val="0"/>
        <w:overflowPunct/>
        <w:topLinePunct w:val="0"/>
        <w:bidi w:val="0"/>
        <w:ind w:right="1440" w:firstLine="494"/>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日期：       年     月     日</w:t>
      </w:r>
    </w:p>
    <w:p>
      <w:pPr>
        <w:kinsoku/>
        <w:wordWrap w:val="0"/>
        <w:overflowPunct/>
        <w:topLinePunct w:val="0"/>
        <w:bidi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附：</w:t>
      </w:r>
    </w:p>
    <w:p>
      <w:pPr>
        <w:kinsoku/>
        <w:wordWrap w:val="0"/>
        <w:overflowPunct/>
        <w:topLinePunct w:val="0"/>
        <w:bidi w:val="0"/>
        <w:spacing w:line="360" w:lineRule="auto"/>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_GB2312" w:hAnsi="仿宋_GB2312" w:eastAsia="仿宋_GB2312" w:cs="仿宋_GB2312"/>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_GB2312" w:hAnsi="仿宋_GB2312" w:eastAsia="仿宋_GB2312" w:cs="仿宋_GB2312"/>
          <w:color w:val="auto"/>
          <w:sz w:val="24"/>
          <w:highlight w:val="none"/>
        </w:rPr>
        <w:t>投标单位法定名称章（印模）                投标单位“XX专用章”（印模）</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eepNext w:val="0"/>
        <w:keepLines w:val="0"/>
        <w:pageBreakBefore/>
        <w:widowControl w:val="0"/>
        <w:kinsoku/>
        <w:wordWrap w:val="0"/>
        <w:overflowPunct/>
        <w:topLinePunct w:val="0"/>
        <w:autoSpaceDE w:val="0"/>
        <w:autoSpaceDN w:val="0"/>
        <w:bidi w:val="0"/>
        <w:adjustRightInd w:val="0"/>
        <w:snapToGrid/>
        <w:jc w:val="center"/>
        <w:textAlignment w:val="auto"/>
        <w:rPr>
          <w:rFonts w:hint="eastAsia"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4</w:t>
      </w:r>
      <w:r>
        <w:rPr>
          <w:rFonts w:hint="eastAsia" w:ascii="仿宋_GB2312" w:hAnsi="仿宋_GB2312" w:eastAsia="仿宋_GB2312" w:cs="仿宋_GB2312"/>
          <w:b/>
          <w:color w:val="auto"/>
          <w:spacing w:val="6"/>
          <w:sz w:val="32"/>
          <w:szCs w:val="32"/>
          <w:highlight w:val="none"/>
        </w:rPr>
        <w:t>：</w:t>
      </w:r>
      <w:r>
        <w:rPr>
          <w:rFonts w:hint="eastAsia" w:ascii="仿宋_GB2312" w:hAnsi="仿宋_GB2312" w:eastAsia="仿宋_GB2312" w:cs="仿宋_GB2312"/>
          <w:b/>
          <w:color w:val="auto"/>
          <w:kern w:val="0"/>
          <w:sz w:val="32"/>
          <w:szCs w:val="32"/>
          <w:highlight w:val="none"/>
          <w:lang w:val="zh-CN"/>
        </w:rPr>
        <w:t>联合协议</w:t>
      </w:r>
    </w:p>
    <w:p>
      <w:pPr>
        <w:keepNext w:val="0"/>
        <w:keepLines w:val="0"/>
        <w:pageBreakBefore w:val="0"/>
        <w:widowControl/>
        <w:kinsoku/>
        <w:wordWrap w:val="0"/>
        <w:overflowPunct/>
        <w:topLinePunct w:val="0"/>
        <w:autoSpaceDE/>
        <w:autoSpaceDN/>
        <w:bidi w:val="0"/>
        <w:adjustRightInd w:val="0"/>
        <w:spacing w:line="440" w:lineRule="exact"/>
        <w:ind w:right="0" w:firstLine="482" w:firstLineChars="200"/>
        <w:jc w:val="left"/>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（以联合体形式投标的，提供联合协议；本项目不接受联合体投标或者投标人不以联合体形式投标的，则不需要提供）</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（联合体所有成员名称）</w:t>
      </w:r>
      <w:r>
        <w:rPr>
          <w:rFonts w:hint="eastAsia" w:ascii="仿宋_GB2312" w:hAnsi="仿宋_GB2312" w:eastAsia="仿宋_GB2312" w:cs="仿宋_GB2312"/>
          <w:color w:val="auto"/>
          <w:kern w:val="0"/>
          <w:sz w:val="24"/>
          <w:highlight w:val="none"/>
        </w:rPr>
        <w:t>自愿</w:t>
      </w:r>
      <w:r>
        <w:rPr>
          <w:rFonts w:hint="eastAsia" w:ascii="仿宋_GB2312" w:hAnsi="仿宋_GB2312" w:eastAsia="仿宋_GB2312" w:cs="仿宋_GB2312"/>
          <w:color w:val="auto"/>
          <w:kern w:val="0"/>
          <w:sz w:val="24"/>
          <w:highlight w:val="none"/>
          <w:lang w:val="zh-CN"/>
        </w:rPr>
        <w:t>组成一个联合体，以一个投标人的身份</w:t>
      </w:r>
      <w:r>
        <w:rPr>
          <w:rFonts w:hint="eastAsia" w:ascii="仿宋_GB2312" w:hAnsi="仿宋_GB2312" w:eastAsia="仿宋_GB2312" w:cs="仿宋_GB2312"/>
          <w:color w:val="auto"/>
          <w:kern w:val="0"/>
          <w:sz w:val="24"/>
          <w:highlight w:val="none"/>
        </w:rPr>
        <w:t>参加</w:t>
      </w:r>
      <w:r>
        <w:rPr>
          <w:rFonts w:hint="eastAsia" w:ascii="仿宋_GB2312" w:hAnsi="仿宋_GB2312" w:eastAsia="仿宋_GB2312" w:cs="仿宋_GB2312"/>
          <w:color w:val="auto"/>
          <w:sz w:val="24"/>
          <w:highlight w:val="non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2025-03-0028</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 xml:space="preserve">投标。 </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一、各方一致决定，</w:t>
      </w:r>
      <w:r>
        <w:rPr>
          <w:rFonts w:hint="eastAsia" w:ascii="仿宋_GB2312" w:hAnsi="仿宋_GB2312" w:eastAsia="仿宋_GB2312" w:cs="仿宋_GB2312"/>
          <w:color w:val="auto"/>
          <w:kern w:val="0"/>
          <w:sz w:val="24"/>
          <w:highlight w:val="none"/>
          <w:u w:val="single"/>
        </w:rPr>
        <w:t>（某联合体成员名称）</w:t>
      </w:r>
      <w:r>
        <w:rPr>
          <w:rFonts w:hint="eastAsia" w:ascii="仿宋_GB2312" w:hAnsi="仿宋_GB2312" w:eastAsia="仿宋_GB2312" w:cs="仿宋_GB2312"/>
          <w:color w:val="auto"/>
          <w:kern w:val="0"/>
          <w:sz w:val="24"/>
          <w:highlight w:val="none"/>
        </w:rPr>
        <w:t>为联合体</w:t>
      </w:r>
      <w:r>
        <w:rPr>
          <w:rFonts w:hint="eastAsia" w:ascii="仿宋_GB2312" w:hAnsi="仿宋_GB2312" w:eastAsia="仿宋_GB2312" w:cs="仿宋_GB2312"/>
          <w:color w:val="auto"/>
          <w:kern w:val="0"/>
          <w:sz w:val="24"/>
          <w:highlight w:val="none"/>
          <w:lang w:val="zh-CN"/>
        </w:rPr>
        <w:t>牵头人</w:t>
      </w:r>
      <w:r>
        <w:rPr>
          <w:rFonts w:hint="eastAsia" w:ascii="仿宋_GB2312" w:hAnsi="仿宋_GB2312" w:eastAsia="仿宋_GB2312" w:cs="仿宋_GB2312"/>
          <w:color w:val="auto"/>
          <w:sz w:val="24"/>
          <w:highlight w:val="none"/>
        </w:rPr>
        <w:t>，代表所有联合体成员负责投标和合同实施阶段的主办、协调工作</w:t>
      </w:r>
      <w:r>
        <w:rPr>
          <w:rFonts w:hint="eastAsia" w:ascii="仿宋_GB2312" w:hAnsi="仿宋_GB2312" w:eastAsia="仿宋_GB2312" w:cs="仿宋_GB2312"/>
          <w:color w:val="auto"/>
          <w:kern w:val="0"/>
          <w:sz w:val="24"/>
          <w:highlight w:val="none"/>
          <w:lang w:val="zh-CN"/>
        </w:rPr>
        <w:t>。</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w:t>
      </w:r>
      <w:r>
        <w:rPr>
          <w:rFonts w:hint="eastAsia" w:ascii="仿宋_GB2312" w:hAnsi="仿宋_GB2312" w:eastAsia="仿宋_GB2312" w:cs="仿宋_GB2312"/>
          <w:color w:val="auto"/>
          <w:sz w:val="24"/>
          <w:highlight w:val="none"/>
        </w:rPr>
        <w:t>所有联合体成员各方签署授权书，授权书载明的</w:t>
      </w:r>
      <w:r>
        <w:rPr>
          <w:rFonts w:hint="eastAsia" w:ascii="仿宋_GB2312" w:hAnsi="仿宋_GB2312" w:eastAsia="仿宋_GB2312" w:cs="仿宋_GB2312"/>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三、本次联合投标中，分工如下：</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（联合体成员1）</w:t>
      </w:r>
      <w:r>
        <w:rPr>
          <w:rFonts w:hint="eastAsia" w:ascii="仿宋_GB2312" w:hAnsi="仿宋_GB2312" w:eastAsia="仿宋_GB2312" w:cs="仿宋_GB2312"/>
          <w:color w:val="auto"/>
          <w:kern w:val="0"/>
          <w:sz w:val="24"/>
          <w:highlight w:val="none"/>
          <w:lang w:val="zh-CN"/>
        </w:rPr>
        <w:t>承担的工作和义务为：</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lang w:val="zh-CN"/>
        </w:rPr>
        <w:t>；</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（联合体成员2）</w:t>
      </w:r>
      <w:r>
        <w:rPr>
          <w:rFonts w:hint="eastAsia" w:ascii="仿宋_GB2312" w:hAnsi="仿宋_GB2312" w:eastAsia="仿宋_GB2312" w:cs="仿宋_GB2312"/>
          <w:color w:val="auto"/>
          <w:kern w:val="0"/>
          <w:sz w:val="24"/>
          <w:highlight w:val="none"/>
          <w:lang w:val="zh-CN"/>
        </w:rPr>
        <w:t>承担的工作和义务为：</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lang w:val="zh-CN"/>
        </w:rPr>
        <w:t>；</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四、联合体成员中小企业合同份额。</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kern w:val="0"/>
          <w:sz w:val="24"/>
          <w:highlight w:val="none"/>
          <w:lang w:val="zh-CN"/>
        </w:rPr>
        <w:t>1、</w:t>
      </w:r>
      <w:r>
        <w:rPr>
          <w:rFonts w:hint="eastAsia" w:ascii="仿宋_GB2312" w:hAnsi="仿宋_GB2312" w:eastAsia="仿宋_GB2312" w:cs="仿宋_GB2312"/>
          <w:color w:val="auto"/>
          <w:kern w:val="0"/>
          <w:sz w:val="24"/>
          <w:highlight w:val="none"/>
          <w:u w:val="single"/>
        </w:rPr>
        <w:t>（</w:t>
      </w:r>
      <w:bookmarkStart w:id="178" w:name="_Hlk101131882"/>
      <w:r>
        <w:rPr>
          <w:rFonts w:hint="eastAsia" w:ascii="仿宋_GB2312" w:hAnsi="仿宋_GB2312" w:eastAsia="仿宋_GB2312" w:cs="仿宋_GB2312"/>
          <w:color w:val="auto"/>
          <w:kern w:val="0"/>
          <w:sz w:val="24"/>
          <w:highlight w:val="none"/>
          <w:u w:val="single"/>
        </w:rPr>
        <w:t>联合体成员X,……</w:t>
      </w:r>
      <w:bookmarkEnd w:id="178"/>
      <w:r>
        <w:rPr>
          <w:rFonts w:hint="eastAsia" w:ascii="仿宋_GB2312" w:hAnsi="仿宋_GB2312" w:eastAsia="仿宋_GB2312" w:cs="仿宋_GB2312"/>
          <w:color w:val="auto"/>
          <w:kern w:val="0"/>
          <w:sz w:val="24"/>
          <w:highlight w:val="none"/>
          <w:u w:val="single"/>
        </w:rPr>
        <w:t>）</w:t>
      </w:r>
      <w:r>
        <w:rPr>
          <w:rFonts w:hint="eastAsia" w:ascii="仿宋_GB2312" w:hAnsi="仿宋_GB2312" w:eastAsia="仿宋_GB2312" w:cs="仿宋_GB2312"/>
          <w:color w:val="auto"/>
          <w:kern w:val="0"/>
          <w:sz w:val="24"/>
          <w:highlight w:val="none"/>
        </w:rPr>
        <w:t>提供的服务由小微企业承接，其合同份额占到合同总金额</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%以上</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color w:val="auto"/>
          <w:kern w:val="0"/>
          <w:sz w:val="24"/>
          <w:highlight w:val="none"/>
          <w:lang w:val="zh-CN"/>
        </w:rPr>
        <w:t>（</w:t>
      </w:r>
      <w:bookmarkStart w:id="179" w:name="_Hlk101133598"/>
      <w:r>
        <w:rPr>
          <w:rFonts w:hint="eastAsia" w:ascii="仿宋_GB2312" w:hAnsi="仿宋_GB2312" w:eastAsia="仿宋_GB2312" w:cs="仿宋_GB2312"/>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_GB2312" w:eastAsia="仿宋_GB2312" w:cs="仿宋_GB2312"/>
          <w:b/>
          <w:color w:val="auto"/>
          <w:sz w:val="24"/>
          <w:highlight w:val="none"/>
        </w:rPr>
        <w:t>拟享受以上价格扣除政策的，填写有关内容。</w:t>
      </w:r>
      <w:bookmarkEnd w:id="179"/>
      <w:r>
        <w:rPr>
          <w:rFonts w:hint="eastAsia" w:ascii="仿宋_GB2312" w:hAnsi="仿宋_GB2312" w:eastAsia="仿宋_GB2312" w:cs="仿宋_GB2312"/>
          <w:b/>
          <w:color w:val="auto"/>
          <w:kern w:val="0"/>
          <w:sz w:val="24"/>
          <w:highlight w:val="none"/>
          <w:lang w:val="zh-CN"/>
        </w:rPr>
        <w:t>）</w:t>
      </w:r>
    </w:p>
    <w:p>
      <w:pPr>
        <w:keepNext w:val="0"/>
        <w:keepLines w:val="0"/>
        <w:pageBreakBefore w:val="0"/>
        <w:kinsoku/>
        <w:wordWrap w:val="0"/>
        <w:overflowPunct/>
        <w:topLinePunct w:val="0"/>
        <w:autoSpaceDE/>
        <w:autoSpaceDN/>
        <w:bidi w:val="0"/>
        <w:adjustRightInd w:val="0"/>
        <w:spacing w:line="440" w:lineRule="exact"/>
        <w:ind w:right="0" w:firstLine="600" w:firstLineChars="250"/>
        <w:textAlignment w:val="auto"/>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color w:val="auto"/>
          <w:sz w:val="24"/>
          <w:highlight w:val="none"/>
        </w:rPr>
        <w:t>2、</w:t>
      </w:r>
      <w:bookmarkStart w:id="180" w:name="_Hlk101133173"/>
      <w:r>
        <w:rPr>
          <w:rFonts w:hint="eastAsia" w:ascii="仿宋_GB2312" w:hAnsi="仿宋_GB2312" w:eastAsia="仿宋_GB2312" w:cs="仿宋_GB2312"/>
          <w:color w:val="auto"/>
          <w:sz w:val="24"/>
          <w:highlight w:val="none"/>
        </w:rPr>
        <w:t>中小企业合同金额达到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%，小微企业合同金额达到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bCs/>
          <w:color w:val="auto"/>
          <w:kern w:val="0"/>
          <w:sz w:val="24"/>
          <w:highlight w:val="none"/>
          <w:lang w:val="zh-CN"/>
        </w:rPr>
        <w:t>（</w:t>
      </w:r>
      <w:r>
        <w:rPr>
          <w:rFonts w:hint="eastAsia" w:ascii="仿宋_GB2312" w:hAnsi="仿宋_GB2312" w:eastAsia="仿宋_GB2312" w:cs="仿宋_GB2312"/>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_GB2312" w:eastAsia="仿宋_GB2312" w:cs="仿宋_GB2312"/>
          <w:b/>
          <w:bCs/>
          <w:color w:val="auto"/>
          <w:kern w:val="0"/>
          <w:sz w:val="24"/>
          <w:highlight w:val="none"/>
          <w:lang w:val="zh-CN"/>
        </w:rPr>
        <w:t>）</w:t>
      </w:r>
      <w:bookmarkEnd w:id="180"/>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五、如果中标，</w:t>
      </w:r>
      <w:r>
        <w:rPr>
          <w:rFonts w:hint="eastAsia" w:ascii="仿宋_GB2312" w:hAnsi="仿宋_GB2312" w:eastAsia="仿宋_GB2312" w:cs="仿宋_GB2312"/>
          <w:color w:val="auto"/>
          <w:sz w:val="24"/>
          <w:highlight w:val="none"/>
        </w:rPr>
        <w:t>联合体各成员方共同与采购人签订合同，并就采购合同约定的事项对采购人承担连带责任。</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六、有关本次联合投标的其他事宜：</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1、联合体各方不再单独参加或者与其他供应商另外组成联合体参加同一合同项下的政府采购活动。</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2、联合体中有同类资质的各方按照联合体分工承担相同工作的，按照资质等级较低的供应商确定资质等级。</w:t>
      </w:r>
    </w:p>
    <w:p>
      <w:pPr>
        <w:keepNext w:val="0"/>
        <w:keepLines w:val="0"/>
        <w:pageBreakBefore w:val="0"/>
        <w:kinsoku/>
        <w:wordWrap w:val="0"/>
        <w:overflowPunct/>
        <w:topLinePunct w:val="0"/>
        <w:autoSpaceDE/>
        <w:autoSpaceDN/>
        <w:bidi w:val="0"/>
        <w:adjustRightInd w:val="0"/>
        <w:snapToGrid w:val="0"/>
        <w:spacing w:line="440" w:lineRule="exact"/>
        <w:ind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3、本协议提交采购人、采购代理机构后，联合体各方不得以任何形式对上述内容进行修改或撤销。</w:t>
      </w:r>
    </w:p>
    <w:p>
      <w:pPr>
        <w:keepNext w:val="0"/>
        <w:keepLines w:val="0"/>
        <w:pageBreakBefore w:val="0"/>
        <w:kinsoku/>
        <w:wordWrap w:val="0"/>
        <w:overflowPunct/>
        <w:topLinePunct w:val="0"/>
        <w:autoSpaceDE/>
        <w:autoSpaceDN/>
        <w:bidi w:val="0"/>
        <w:adjustRightInd w:val="0"/>
        <w:snapToGrid w:val="0"/>
        <w:spacing w:line="440" w:lineRule="exact"/>
        <w:ind w:right="0" w:firstLine="5040" w:firstLineChars="2100"/>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eepNext w:val="0"/>
        <w:keepLines w:val="0"/>
        <w:pageBreakBefore w:val="0"/>
        <w:kinsoku/>
        <w:wordWrap w:val="0"/>
        <w:overflowPunct/>
        <w:topLinePunct w:val="0"/>
        <w:autoSpaceDE/>
        <w:autoSpaceDN/>
        <w:bidi w:val="0"/>
        <w:adjustRightInd w:val="0"/>
        <w:snapToGrid w:val="0"/>
        <w:spacing w:line="440" w:lineRule="exact"/>
        <w:ind w:right="0" w:firstLine="5040" w:firstLineChars="2100"/>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联合体成员名称(电子签名/公章)：</w:t>
      </w:r>
    </w:p>
    <w:p>
      <w:pPr>
        <w:keepNext w:val="0"/>
        <w:keepLines w:val="0"/>
        <w:pageBreakBefore w:val="0"/>
        <w:kinsoku/>
        <w:wordWrap w:val="0"/>
        <w:overflowPunct/>
        <w:topLinePunct w:val="0"/>
        <w:autoSpaceDE/>
        <w:autoSpaceDN/>
        <w:bidi w:val="0"/>
        <w:adjustRightInd w:val="0"/>
        <w:snapToGrid w:val="0"/>
        <w:spacing w:line="440" w:lineRule="exact"/>
        <w:ind w:right="0"/>
        <w:jc w:val="center"/>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p>
    <w:p>
      <w:pPr>
        <w:keepNext w:val="0"/>
        <w:keepLines w:val="0"/>
        <w:pageBreakBefore w:val="0"/>
        <w:kinsoku/>
        <w:wordWrap w:val="0"/>
        <w:overflowPunct/>
        <w:topLinePunct w:val="0"/>
        <w:autoSpaceDE/>
        <w:autoSpaceDN/>
        <w:bidi w:val="0"/>
        <w:adjustRightInd w:val="0"/>
        <w:snapToGrid w:val="0"/>
        <w:spacing w:line="440" w:lineRule="exact"/>
        <w:ind w:right="0"/>
        <w:jc w:val="right"/>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  年  月   日</w:t>
      </w:r>
    </w:p>
    <w:p>
      <w:pPr>
        <w:keepNext w:val="0"/>
        <w:keepLines w:val="0"/>
        <w:pageBreakBefore w:val="0"/>
        <w:kinsoku/>
        <w:wordWrap w:val="0"/>
        <w:overflowPunct/>
        <w:topLinePunct w:val="0"/>
        <w:autoSpaceDE/>
        <w:autoSpaceDN/>
        <w:bidi w:val="0"/>
        <w:adjustRightInd w:val="0"/>
        <w:spacing w:line="440" w:lineRule="exact"/>
        <w:ind w:right="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snapToGrid w:val="0"/>
        <w:spacing w:line="360" w:lineRule="auto"/>
        <w:ind w:firstLine="3666" w:firstLineChars="1100"/>
        <w:rPr>
          <w:rFonts w:hint="eastAsia" w:ascii="仿宋_GB2312" w:hAnsi="仿宋_GB2312" w:eastAsia="仿宋_GB2312" w:cs="仿宋_GB2312"/>
          <w:b/>
          <w:color w:val="auto"/>
          <w:spacing w:val="6"/>
          <w:sz w:val="32"/>
          <w:szCs w:val="32"/>
          <w:highlight w:val="none"/>
        </w:rPr>
      </w:pPr>
    </w:p>
    <w:p>
      <w:pPr>
        <w:widowControl/>
        <w:kinsoku/>
        <w:wordWrap w:val="0"/>
        <w:overflowPunct/>
        <w:topLinePunct w:val="0"/>
        <w:bidi w:val="0"/>
        <w:adjustRightInd/>
        <w:jc w:val="left"/>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br w:type="page"/>
      </w:r>
    </w:p>
    <w:p>
      <w:pPr>
        <w:kinsoku/>
        <w:wordWrap w:val="0"/>
        <w:overflowPunct/>
        <w:topLinePunct w:val="0"/>
        <w:bidi w:val="0"/>
        <w:snapToGrid w:val="0"/>
        <w:spacing w:line="360" w:lineRule="auto"/>
        <w:jc w:val="center"/>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5</w:t>
      </w:r>
      <w:r>
        <w:rPr>
          <w:rFonts w:hint="eastAsia" w:ascii="仿宋_GB2312" w:hAnsi="仿宋_GB2312" w:eastAsia="仿宋_GB2312" w:cs="仿宋_GB2312"/>
          <w:b/>
          <w:color w:val="auto"/>
          <w:spacing w:val="6"/>
          <w:sz w:val="32"/>
          <w:szCs w:val="32"/>
          <w:highlight w:val="none"/>
        </w:rPr>
        <w:t>：</w:t>
      </w:r>
      <w:r>
        <w:rPr>
          <w:rFonts w:hint="eastAsia" w:ascii="仿宋_GB2312" w:hAnsi="仿宋_GB2312" w:eastAsia="仿宋_GB2312" w:cs="仿宋_GB2312"/>
          <w:b/>
          <w:color w:val="auto"/>
          <w:kern w:val="0"/>
          <w:sz w:val="32"/>
          <w:szCs w:val="32"/>
          <w:highlight w:val="none"/>
        </w:rPr>
        <w:t>分包意向协议</w:t>
      </w:r>
    </w:p>
    <w:p>
      <w:pPr>
        <w:pageBreakBefore w:val="0"/>
        <w:widowControl/>
        <w:kinsoku/>
        <w:wordWrap w:val="0"/>
        <w:overflowPunct/>
        <w:topLinePunct w:val="0"/>
        <w:autoSpaceDE/>
        <w:autoSpaceDN/>
        <w:bidi w:val="0"/>
        <w:spacing w:line="440" w:lineRule="exact"/>
        <w:ind w:left="0" w:leftChars="0" w:right="0" w:firstLine="120" w:firstLineChars="5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_GB2312" w:eastAsia="仿宋_GB2312" w:cs="仿宋_GB2312"/>
          <w:color w:val="auto"/>
          <w:sz w:val="24"/>
          <w:highlight w:val="none"/>
        </w:rPr>
        <w:t>）</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lang w:val="zh-CN"/>
        </w:rPr>
        <w:t>若成为</w:t>
      </w:r>
      <w:r>
        <w:rPr>
          <w:rFonts w:hint="eastAsia" w:ascii="仿宋_GB2312" w:hAnsi="仿宋_GB2312" w:eastAsia="仿宋_GB2312" w:cs="仿宋_GB2312"/>
          <w:color w:val="auto"/>
          <w:sz w:val="24"/>
          <w:highlight w:val="non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rPr>
        <w:t>【招标编号：</w:t>
      </w:r>
      <w:r>
        <w:rPr>
          <w:rFonts w:hint="eastAsia" w:ascii="仿宋_GB2312" w:hAnsi="仿宋_GB2312" w:eastAsia="仿宋_GB2312" w:cs="仿宋_GB2312"/>
          <w:color w:val="auto"/>
          <w:sz w:val="24"/>
          <w:highlight w:val="none"/>
          <w:lang w:eastAsia="zh-CN"/>
        </w:rPr>
        <w:t>2025-03-0028</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的中标供应商，将依法采取分包方式履行合同。</w:t>
      </w: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rPr>
        <w:t>与</w:t>
      </w:r>
      <w:r>
        <w:rPr>
          <w:rFonts w:hint="eastAsia" w:ascii="仿宋_GB2312" w:hAnsi="仿宋_GB2312" w:eastAsia="仿宋_GB2312" w:cs="仿宋_GB2312"/>
          <w:color w:val="auto"/>
          <w:kern w:val="0"/>
          <w:sz w:val="24"/>
          <w:highlight w:val="none"/>
          <w:u w:val="single"/>
        </w:rPr>
        <w:t>（所有分包供应商名称）</w:t>
      </w:r>
      <w:r>
        <w:rPr>
          <w:rFonts w:hint="eastAsia" w:ascii="仿宋_GB2312" w:hAnsi="仿宋_GB2312" w:eastAsia="仿宋_GB2312" w:cs="仿宋_GB2312"/>
          <w:color w:val="auto"/>
          <w:kern w:val="0"/>
          <w:sz w:val="24"/>
          <w:highlight w:val="none"/>
        </w:rPr>
        <w:t>达成分包意向协议</w:t>
      </w:r>
      <w:r>
        <w:rPr>
          <w:rFonts w:hint="eastAsia" w:ascii="仿宋_GB2312" w:hAnsi="仿宋_GB2312" w:eastAsia="仿宋_GB2312" w:cs="仿宋_GB2312"/>
          <w:color w:val="auto"/>
          <w:kern w:val="0"/>
          <w:sz w:val="24"/>
          <w:highlight w:val="none"/>
          <w:lang w:val="zh-CN"/>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一、分包标的及数量</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u w:val="single"/>
        </w:rPr>
        <w:t>（投标人名称）</w:t>
      </w:r>
      <w:r>
        <w:rPr>
          <w:rFonts w:hint="eastAsia" w:ascii="仿宋_GB2312" w:hAnsi="仿宋_GB2312" w:eastAsia="仿宋_GB2312" w:cs="仿宋_GB2312"/>
          <w:color w:val="auto"/>
          <w:kern w:val="0"/>
          <w:sz w:val="24"/>
          <w:highlight w:val="none"/>
          <w:lang w:val="zh-CN"/>
        </w:rPr>
        <w:t>将</w:t>
      </w:r>
      <w:r>
        <w:rPr>
          <w:rFonts w:hint="eastAsia" w:ascii="仿宋_GB2312" w:hAnsi="仿宋_GB2312" w:eastAsia="仿宋_GB2312" w:cs="仿宋_GB2312"/>
          <w:color w:val="auto"/>
          <w:highlight w:val="none"/>
          <w:u w:val="single"/>
        </w:rPr>
        <w:t xml:space="preserve">  </w:t>
      </w:r>
      <w:r>
        <w:rPr>
          <w:rFonts w:hint="eastAsia" w:ascii="仿宋_GB2312" w:hAnsi="仿宋_GB2312" w:eastAsia="仿宋_GB2312" w:cs="仿宋_GB2312"/>
          <w:color w:val="auto"/>
          <w:kern w:val="0"/>
          <w:sz w:val="24"/>
          <w:highlight w:val="none"/>
          <w:u w:val="single"/>
        </w:rPr>
        <w:t xml:space="preserve"> XX工作内容   </w:t>
      </w:r>
      <w:r>
        <w:rPr>
          <w:rFonts w:hint="eastAsia" w:ascii="仿宋_GB2312" w:hAnsi="仿宋_GB2312" w:eastAsia="仿宋_GB2312" w:cs="仿宋_GB2312"/>
          <w:color w:val="auto"/>
          <w:sz w:val="24"/>
          <w:highlight w:val="none"/>
        </w:rPr>
        <w:t>分包给</w:t>
      </w:r>
      <w:r>
        <w:rPr>
          <w:rFonts w:hint="eastAsia" w:ascii="仿宋_GB2312" w:hAnsi="仿宋_GB2312" w:eastAsia="仿宋_GB2312" w:cs="仿宋_GB2312"/>
          <w:color w:val="auto"/>
          <w:kern w:val="0"/>
          <w:sz w:val="24"/>
          <w:highlight w:val="none"/>
          <w:u w:val="single"/>
        </w:rPr>
        <w:t>（分包供应商1名称）</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u w:val="single"/>
        </w:rPr>
        <w:t>（分包供应商2名称），</w:t>
      </w:r>
      <w:r>
        <w:rPr>
          <w:rFonts w:hint="eastAsia" w:ascii="仿宋_GB2312" w:hAnsi="仿宋_GB2312" w:eastAsia="仿宋_GB2312" w:cs="仿宋_GB2312"/>
          <w:color w:val="auto"/>
          <w:kern w:val="0"/>
          <w:sz w:val="24"/>
          <w:highlight w:val="none"/>
          <w:lang w:val="zh-CN"/>
        </w:rPr>
        <w:t>具备承</w:t>
      </w:r>
      <w:r>
        <w:rPr>
          <w:rFonts w:hint="eastAsia" w:ascii="仿宋_GB2312" w:hAnsi="仿宋_GB2312" w:eastAsia="仿宋_GB2312" w:cs="仿宋_GB2312"/>
          <w:color w:val="auto"/>
          <w:kern w:val="0"/>
          <w:sz w:val="24"/>
          <w:highlight w:val="none"/>
        </w:rPr>
        <w:t>担</w:t>
      </w:r>
      <w:r>
        <w:rPr>
          <w:rFonts w:hint="eastAsia" w:ascii="仿宋_GB2312" w:hAnsi="仿宋_GB2312" w:eastAsia="仿宋_GB2312" w:cs="仿宋_GB2312"/>
          <w:color w:val="auto"/>
          <w:kern w:val="0"/>
          <w:sz w:val="24"/>
          <w:highlight w:val="none"/>
          <w:u w:val="single"/>
          <w:lang w:val="zh-CN"/>
        </w:rPr>
        <w:t>XX工作内容</w:t>
      </w:r>
      <w:r>
        <w:rPr>
          <w:rFonts w:hint="eastAsia" w:ascii="仿宋_GB2312" w:hAnsi="仿宋_GB2312" w:eastAsia="仿宋_GB2312" w:cs="仿宋_GB2312"/>
          <w:color w:val="auto"/>
          <w:kern w:val="0"/>
          <w:sz w:val="24"/>
          <w:highlight w:val="none"/>
          <w:lang w:val="zh-CN"/>
        </w:rPr>
        <w:t>相应资质条件且不得再次分包；</w:t>
      </w:r>
    </w:p>
    <w:p>
      <w:pPr>
        <w:pStyle w:val="7"/>
        <w:pageBreakBefore w:val="0"/>
        <w:kinsoku/>
        <w:wordWrap w:val="0"/>
        <w:overflowPunct/>
        <w:topLinePunct w:val="0"/>
        <w:autoSpaceDE/>
        <w:autoSpaceDN/>
        <w:bidi w:val="0"/>
        <w:spacing w:line="440" w:lineRule="exact"/>
        <w:ind w:left="0" w:leftChars="0" w:right="0" w:firstLine="229" w:firstLineChars="95"/>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w:t>
      </w:r>
    </w:p>
    <w:p>
      <w:pPr>
        <w:pageBreakBefore w:val="0"/>
        <w:kinsoku/>
        <w:wordWrap w:val="0"/>
        <w:overflowPunct/>
        <w:topLinePunct w:val="0"/>
        <w:autoSpaceDE/>
        <w:autoSpaceDN/>
        <w:bidi w:val="0"/>
        <w:spacing w:line="440" w:lineRule="exact"/>
        <w:ind w:left="0" w:leftChars="0" w:right="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zh-CN"/>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二、分包供应商中小企业合同份额</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kern w:val="0"/>
          <w:sz w:val="24"/>
          <w:highlight w:val="none"/>
        </w:rPr>
        <w:t>1、</w:t>
      </w:r>
      <w:r>
        <w:rPr>
          <w:rFonts w:hint="eastAsia" w:ascii="仿宋_GB2312" w:hAnsi="仿宋_GB2312" w:eastAsia="仿宋_GB2312" w:cs="仿宋_GB2312"/>
          <w:color w:val="auto"/>
          <w:kern w:val="0"/>
          <w:sz w:val="24"/>
          <w:highlight w:val="none"/>
          <w:u w:val="single"/>
        </w:rPr>
        <w:t>（分包供应商X,……）提供的服务全部由小微企业承接，</w:t>
      </w:r>
      <w:r>
        <w:rPr>
          <w:rFonts w:hint="eastAsia" w:ascii="仿宋_GB2312" w:hAnsi="仿宋_GB2312" w:eastAsia="仿宋_GB2312" w:cs="仿宋_GB2312"/>
          <w:color w:val="auto"/>
          <w:kern w:val="0"/>
          <w:sz w:val="24"/>
          <w:highlight w:val="none"/>
        </w:rPr>
        <w:t>其合同份额占到合同总金额</w:t>
      </w:r>
      <w:r>
        <w:rPr>
          <w:rFonts w:hint="eastAsia" w:ascii="仿宋_GB2312" w:hAnsi="仿宋_GB2312" w:eastAsia="仿宋_GB2312" w:cs="仿宋_GB2312"/>
          <w:color w:val="auto"/>
          <w:kern w:val="0"/>
          <w:sz w:val="24"/>
          <w:highlight w:val="none"/>
          <w:u w:val="single"/>
        </w:rPr>
        <w:t xml:space="preserve">     </w:t>
      </w:r>
      <w:r>
        <w:rPr>
          <w:rFonts w:hint="eastAsia" w:ascii="仿宋_GB2312" w:hAnsi="仿宋_GB2312" w:eastAsia="仿宋_GB2312" w:cs="仿宋_GB2312"/>
          <w:color w:val="auto"/>
          <w:kern w:val="0"/>
          <w:sz w:val="24"/>
          <w:highlight w:val="none"/>
        </w:rPr>
        <w:t>%以上</w:t>
      </w:r>
      <w:r>
        <w:rPr>
          <w:rFonts w:hint="eastAsia" w:ascii="仿宋_GB2312" w:hAnsi="仿宋_GB2312" w:eastAsia="仿宋_GB2312" w:cs="仿宋_GB2312"/>
          <w:color w:val="auto"/>
          <w:highlight w:val="none"/>
        </w:rPr>
        <w:t>。</w:t>
      </w:r>
      <w:r>
        <w:rPr>
          <w:rFonts w:hint="eastAsia" w:ascii="仿宋_GB2312" w:hAnsi="仿宋_GB2312" w:eastAsia="仿宋_GB2312" w:cs="仿宋_GB2312"/>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_GB2312" w:eastAsia="仿宋_GB2312" w:cs="仿宋_GB2312"/>
          <w:b/>
          <w:color w:val="auto"/>
          <w:sz w:val="24"/>
          <w:highlight w:val="none"/>
        </w:rPr>
        <w:t>拟享受以上价格扣除政策的，填写有关内容。</w:t>
      </w:r>
      <w:r>
        <w:rPr>
          <w:rFonts w:hint="eastAsia" w:ascii="仿宋_GB2312" w:hAnsi="仿宋_GB2312" w:eastAsia="仿宋_GB2312" w:cs="仿宋_GB2312"/>
          <w:b/>
          <w:color w:val="auto"/>
          <w:kern w:val="0"/>
          <w:sz w:val="24"/>
          <w:highlight w:val="none"/>
          <w:lang w:val="zh-CN"/>
        </w:rPr>
        <w:t>）</w:t>
      </w:r>
    </w:p>
    <w:p>
      <w:pPr>
        <w:pageBreakBefore w:val="0"/>
        <w:kinsoku/>
        <w:wordWrap w:val="0"/>
        <w:overflowPunct/>
        <w:topLinePunct w:val="0"/>
        <w:autoSpaceDE/>
        <w:autoSpaceDN/>
        <w:bidi w:val="0"/>
        <w:spacing w:line="440" w:lineRule="exact"/>
        <w:ind w:left="0" w:leftChars="0" w:right="0" w:firstLine="480" w:firstLineChars="200"/>
        <w:textAlignment w:val="auto"/>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color w:val="auto"/>
          <w:sz w:val="24"/>
          <w:highlight w:val="none"/>
        </w:rPr>
        <w:t>2、中小企业合同金额达到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%，小微企业合同金额达到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b/>
          <w:bCs/>
          <w:color w:val="auto"/>
          <w:kern w:val="0"/>
          <w:sz w:val="24"/>
          <w:highlight w:val="none"/>
          <w:lang w:val="zh-CN"/>
        </w:rPr>
        <w:t>（</w:t>
      </w:r>
      <w:r>
        <w:rPr>
          <w:rFonts w:hint="eastAsia" w:ascii="仿宋_GB2312" w:hAnsi="仿宋_GB2312" w:eastAsia="仿宋_GB2312" w:cs="仿宋_GB2312"/>
          <w:b/>
          <w:bCs/>
          <w:color w:val="auto"/>
          <w:sz w:val="24"/>
          <w:highlight w:val="none"/>
        </w:rPr>
        <w:t>要求合同分包形式参加的项目或采购包，供应商按招标文件第一部分招标公告申请人的资格要求中规定的</w:t>
      </w:r>
      <w:r>
        <w:rPr>
          <w:rFonts w:hint="eastAsia" w:ascii="仿宋_GB2312" w:hAnsi="仿宋_GB2312" w:eastAsia="仿宋_GB2312" w:cs="仿宋_GB2312"/>
          <w:b/>
          <w:color w:val="auto"/>
          <w:kern w:val="0"/>
          <w:sz w:val="24"/>
          <w:highlight w:val="none"/>
          <w:lang w:val="zh-CN"/>
        </w:rPr>
        <w:t>分包意向协议</w:t>
      </w:r>
      <w:r>
        <w:rPr>
          <w:rFonts w:hint="eastAsia" w:ascii="仿宋_GB2312" w:hAnsi="仿宋_GB2312" w:eastAsia="仿宋_GB2312" w:cs="仿宋_GB2312"/>
          <w:b/>
          <w:bCs/>
          <w:color w:val="auto"/>
          <w:sz w:val="24"/>
          <w:highlight w:val="none"/>
        </w:rPr>
        <w:t>中中小企业、小微企业合同金额应当达到的比例要求填写。</w:t>
      </w:r>
      <w:r>
        <w:rPr>
          <w:rFonts w:hint="eastAsia" w:ascii="仿宋_GB2312" w:hAnsi="仿宋_GB2312" w:eastAsia="仿宋_GB2312" w:cs="仿宋_GB2312"/>
          <w:b/>
          <w:bCs/>
          <w:color w:val="auto"/>
          <w:kern w:val="0"/>
          <w:sz w:val="24"/>
          <w:highlight w:val="none"/>
          <w:lang w:val="zh-CN"/>
        </w:rPr>
        <w:t>）</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三、分包工作履行期限、地点、方式</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u w:val="single"/>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四、质量</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highlight w:val="none"/>
          <w:u w:val="single"/>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五、价款或者报酬</w:t>
      </w:r>
    </w:p>
    <w:p>
      <w:pPr>
        <w:pageBreakBefore w:val="0"/>
        <w:kinsoku/>
        <w:wordWrap w:val="0"/>
        <w:overflowPunct/>
        <w:topLinePunct w:val="0"/>
        <w:autoSpaceDE/>
        <w:autoSpaceDN/>
        <w:bidi w:val="0"/>
        <w:snapToGrid w:val="0"/>
        <w:spacing w:line="440" w:lineRule="exact"/>
        <w:ind w:left="0" w:leftChars="0" w:right="0" w:firstLine="525" w:firstLineChars="250"/>
        <w:textAlignment w:val="auto"/>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u w:val="single"/>
        </w:rPr>
        <w:t xml:space="preserve">                                                                                 </w:t>
      </w:r>
    </w:p>
    <w:p>
      <w:pPr>
        <w:pageBreakBefore w:val="0"/>
        <w:kinsoku/>
        <w:wordWrap w:val="0"/>
        <w:overflowPunct/>
        <w:topLinePunct w:val="0"/>
        <w:autoSpaceDE/>
        <w:autoSpaceDN/>
        <w:bidi w:val="0"/>
        <w:snapToGrid w:val="0"/>
        <w:spacing w:line="440" w:lineRule="exact"/>
        <w:ind w:left="0" w:leftChars="0" w:right="0" w:firstLine="600" w:firstLineChars="250"/>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六、违约责任</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highlight w:val="none"/>
          <w:u w:val="single"/>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七、争议解决的办法</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highlight w:val="none"/>
          <w:u w:val="single"/>
        </w:rPr>
      </w:pPr>
      <w:r>
        <w:rPr>
          <w:rFonts w:hint="eastAsia" w:ascii="仿宋_GB2312" w:hAnsi="仿宋_GB2312" w:eastAsia="仿宋_GB2312" w:cs="仿宋_GB2312"/>
          <w:color w:val="auto"/>
          <w:highlight w:val="none"/>
          <w:u w:val="single"/>
        </w:rPr>
        <w:t xml:space="preserve">                                                                                </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八、其他</w:t>
      </w:r>
    </w:p>
    <w:p>
      <w:pPr>
        <w:pageBreakBefore w:val="0"/>
        <w:kinsoku/>
        <w:wordWrap w:val="0"/>
        <w:overflowPunct/>
        <w:topLinePunct w:val="0"/>
        <w:autoSpaceDE/>
        <w:autoSpaceDN/>
        <w:bidi w:val="0"/>
        <w:snapToGrid w:val="0"/>
        <w:spacing w:line="440" w:lineRule="exact"/>
        <w:ind w:left="0" w:leftChars="0" w:right="0" w:firstLine="576"/>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rPr>
        <w:t>中小企业合同金额达到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%，小微企业合同金额达到</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lang w:val="zh-CN"/>
        </w:rPr>
        <w:t xml:space="preserve">  。                                           投标人名称(电子签名)：</w:t>
      </w:r>
    </w:p>
    <w:p>
      <w:pPr>
        <w:pageBreakBefore w:val="0"/>
        <w:kinsoku/>
        <w:wordWrap w:val="0"/>
        <w:overflowPunct/>
        <w:topLinePunct w:val="0"/>
        <w:autoSpaceDE/>
        <w:autoSpaceDN/>
        <w:bidi w:val="0"/>
        <w:snapToGrid w:val="0"/>
        <w:spacing w:line="440" w:lineRule="exact"/>
        <w:ind w:left="0" w:leftChars="0" w:right="0"/>
        <w:jc w:val="right"/>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分包供应商名称(电子签名/公章)：</w:t>
      </w:r>
    </w:p>
    <w:p>
      <w:pPr>
        <w:pageBreakBefore w:val="0"/>
        <w:kinsoku/>
        <w:wordWrap w:val="0"/>
        <w:overflowPunct/>
        <w:topLinePunct w:val="0"/>
        <w:autoSpaceDE/>
        <w:autoSpaceDN/>
        <w:bidi w:val="0"/>
        <w:snapToGrid w:val="0"/>
        <w:spacing w:line="440" w:lineRule="exact"/>
        <w:ind w:left="0" w:leftChars="0" w:right="0" w:firstLine="5760" w:firstLineChars="24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 w:val="24"/>
          <w:highlight w:val="none"/>
          <w:lang w:val="zh-CN"/>
        </w:rPr>
        <w:t>……</w:t>
      </w:r>
    </w:p>
    <w:p>
      <w:pPr>
        <w:pageBreakBefore w:val="0"/>
        <w:kinsoku/>
        <w:wordWrap w:val="0"/>
        <w:overflowPunct/>
        <w:topLinePunct w:val="0"/>
        <w:autoSpaceDE/>
        <w:autoSpaceDN/>
        <w:bidi w:val="0"/>
        <w:snapToGrid w:val="0"/>
        <w:spacing w:line="440" w:lineRule="exact"/>
        <w:ind w:left="5040" w:leftChars="0" w:right="0" w:hanging="5040" w:hangingChars="2100"/>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pageBreakBefore w:val="0"/>
        <w:kinsoku/>
        <w:wordWrap w:val="0"/>
        <w:overflowPunct/>
        <w:topLinePunct w:val="0"/>
        <w:autoSpaceDE/>
        <w:autoSpaceDN/>
        <w:bidi w:val="0"/>
        <w:spacing w:line="440" w:lineRule="exact"/>
        <w:ind w:left="0" w:leftChars="0" w:right="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注：按本格式和要求提供。</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1"/>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kinsoku/>
        <w:wordWrap w:val="0"/>
        <w:overflowPunct/>
        <w:topLinePunct w:val="0"/>
        <w:bidi w:val="0"/>
        <w:rPr>
          <w:rFonts w:hint="eastAsia" w:ascii="仿宋_GB2312" w:hAnsi="仿宋_GB2312" w:eastAsia="仿宋_GB2312" w:cs="仿宋_GB2312"/>
          <w:b/>
          <w:color w:val="auto"/>
          <w:spacing w:val="6"/>
          <w:sz w:val="32"/>
          <w:szCs w:val="32"/>
          <w:highlight w:val="none"/>
        </w:rPr>
      </w:pPr>
    </w:p>
    <w:p>
      <w:pPr>
        <w:pStyle w:val="80"/>
        <w:kinsoku/>
        <w:wordWrap w:val="0"/>
        <w:overflowPunct/>
        <w:topLinePunct w:val="0"/>
        <w:bidi w:val="0"/>
        <w:rPr>
          <w:rFonts w:hint="eastAsia" w:ascii="仿宋_GB2312" w:hAnsi="仿宋_GB2312" w:eastAsia="仿宋_GB2312" w:cs="仿宋_GB2312"/>
          <w:color w:val="auto"/>
          <w:highlight w:val="none"/>
        </w:rPr>
      </w:pPr>
    </w:p>
    <w:p>
      <w:pPr>
        <w:keepNext w:val="0"/>
        <w:keepLines w:val="0"/>
        <w:pageBreakBefore/>
        <w:widowControl w:val="0"/>
        <w:kinsoku/>
        <w:wordWrap w:val="0"/>
        <w:overflowPunct/>
        <w:topLinePunct w:val="0"/>
        <w:autoSpaceDE/>
        <w:autoSpaceDN/>
        <w:bidi w:val="0"/>
        <w:adjustRightInd w:val="0"/>
        <w:snapToGrid/>
        <w:spacing w:line="360" w:lineRule="auto"/>
        <w:jc w:val="center"/>
        <w:textAlignment w:val="auto"/>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6</w:t>
      </w:r>
      <w:r>
        <w:rPr>
          <w:rFonts w:hint="eastAsia" w:ascii="仿宋_GB2312" w:hAnsi="仿宋_GB2312" w:eastAsia="仿宋_GB2312" w:cs="仿宋_GB2312"/>
          <w:b/>
          <w:color w:val="auto"/>
          <w:spacing w:val="6"/>
          <w:sz w:val="32"/>
          <w:szCs w:val="32"/>
          <w:highlight w:val="none"/>
        </w:rPr>
        <w:t>：</w:t>
      </w:r>
      <w:bookmarkStart w:id="181" w:name="OLE_LINK13"/>
      <w:bookmarkStart w:id="182" w:name="OLE_LINK14"/>
      <w:r>
        <w:rPr>
          <w:rFonts w:hint="eastAsia" w:ascii="仿宋_GB2312" w:hAnsi="仿宋_GB2312" w:eastAsia="仿宋_GB2312" w:cs="仿宋_GB2312"/>
          <w:b/>
          <w:color w:val="auto"/>
          <w:spacing w:val="6"/>
          <w:sz w:val="32"/>
          <w:szCs w:val="32"/>
          <w:highlight w:val="none"/>
        </w:rPr>
        <w:t>残疾人福利性单位声明函</w:t>
      </w:r>
    </w:p>
    <w:bookmarkEnd w:id="181"/>
    <w:bookmarkEnd w:id="182"/>
    <w:p>
      <w:pPr>
        <w:kinsoku/>
        <w:wordWrap w:val="0"/>
        <w:overflowPunct/>
        <w:topLinePunct w:val="0"/>
        <w:bidi w:val="0"/>
        <w:spacing w:line="360" w:lineRule="auto"/>
        <w:rPr>
          <w:rFonts w:hint="eastAsia" w:ascii="仿宋_GB2312" w:hAnsi="仿宋_GB2312" w:eastAsia="仿宋_GB2312" w:cs="仿宋_GB2312"/>
          <w:b/>
          <w:color w:val="auto"/>
          <w:spacing w:val="6"/>
          <w:sz w:val="30"/>
          <w:szCs w:val="30"/>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color w:val="auto"/>
          <w:sz w:val="24"/>
          <w:highlight w:val="none"/>
          <w:u w:val="single"/>
          <w:lang w:eastAsia="zh-CN"/>
        </w:rPr>
        <w:t>绍兴市人力资源和社会保障局</w:t>
      </w:r>
      <w:r>
        <w:rPr>
          <w:rFonts w:hint="eastAsia" w:ascii="仿宋_GB2312" w:hAnsi="仿宋_GB2312" w:eastAsia="仿宋_GB2312" w:cs="仿宋_GB2312"/>
          <w:color w:val="auto"/>
          <w:sz w:val="24"/>
          <w:highlight w:val="none"/>
        </w:rPr>
        <w:t>单位的</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none"/>
          <w:lang w:val="en-US" w:eastAsia="zh-CN"/>
        </w:rPr>
        <w:t>项目</w:t>
      </w:r>
      <w:r>
        <w:rPr>
          <w:rFonts w:hint="eastAsia" w:ascii="仿宋_GB2312" w:hAnsi="仿宋_GB2312" w:eastAsia="仿宋_GB2312" w:cs="仿宋_GB2312"/>
          <w:color w:val="auto"/>
          <w:sz w:val="24"/>
          <w:highlight w:val="none"/>
        </w:rPr>
        <w:t>采购活动提供本单位制造的货物（由本单位承担工程/提供服务），或者提供其他残疾人福利性单位制造的货物（不包括使用非残疾人福利性单位注册商标的货物）。</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本单位对上述声明的真实性负责。如有虚假，将依法承担相应责任。</w:t>
      </w: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firstLine="480" w:firstLineChars="200"/>
        <w:rPr>
          <w:rFonts w:hint="eastAsia" w:ascii="仿宋_GB2312" w:hAnsi="仿宋_GB2312" w:eastAsia="仿宋_GB2312" w:cs="仿宋_GB2312"/>
          <w:color w:val="auto"/>
          <w:sz w:val="24"/>
          <w:highlight w:val="none"/>
        </w:rPr>
      </w:pPr>
    </w:p>
    <w:p>
      <w:pPr>
        <w:tabs>
          <w:tab w:val="left" w:pos="4860"/>
        </w:tabs>
        <w:kinsoku/>
        <w:wordWrap w:val="0"/>
        <w:overflowPunct/>
        <w:topLinePunct w:val="0"/>
        <w:bidi w:val="0"/>
        <w:spacing w:line="360" w:lineRule="auto"/>
        <w:ind w:right="1560" w:firstLine="480" w:firstLineChars="20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kern w:val="0"/>
          <w:sz w:val="24"/>
          <w:highlight w:val="none"/>
          <w:lang w:val="zh-CN"/>
        </w:rPr>
        <w:t>投标人名称（电子签名）</w:t>
      </w:r>
      <w:r>
        <w:rPr>
          <w:rFonts w:hint="eastAsia" w:ascii="仿宋_GB2312" w:hAnsi="仿宋_GB2312" w:eastAsia="仿宋_GB2312" w:cs="仿宋_GB2312"/>
          <w:color w:val="auto"/>
          <w:sz w:val="24"/>
          <w:highlight w:val="none"/>
        </w:rPr>
        <w:t>：</w:t>
      </w:r>
    </w:p>
    <w:p>
      <w:pPr>
        <w:tabs>
          <w:tab w:val="left" w:pos="4860"/>
        </w:tabs>
        <w:kinsoku/>
        <w:wordWrap w:val="0"/>
        <w:overflowPunct/>
        <w:topLinePunct w:val="0"/>
        <w:bidi w:val="0"/>
        <w:spacing w:line="360" w:lineRule="auto"/>
        <w:ind w:right="1560" w:firstLine="480" w:firstLineChars="200"/>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日  期：</w:t>
      </w: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kinsoku/>
        <w:wordWrap w:val="0"/>
        <w:overflowPunct/>
        <w:topLinePunct w:val="0"/>
        <w:autoSpaceDE w:val="0"/>
        <w:autoSpaceDN w:val="0"/>
        <w:bidi w:val="0"/>
        <w:jc w:val="center"/>
        <w:rPr>
          <w:rFonts w:hint="eastAsia" w:ascii="仿宋_GB2312" w:hAnsi="仿宋_GB2312" w:eastAsia="仿宋_GB2312" w:cs="仿宋_GB2312"/>
          <w:b/>
          <w:color w:val="auto"/>
          <w:spacing w:val="6"/>
          <w:sz w:val="32"/>
          <w:szCs w:val="32"/>
          <w:highlight w:val="none"/>
        </w:rPr>
      </w:pPr>
    </w:p>
    <w:p>
      <w:pPr>
        <w:pStyle w:val="4"/>
        <w:kinsoku/>
        <w:wordWrap w:val="0"/>
        <w:overflowPunct/>
        <w:topLinePunct w:val="0"/>
        <w:bidi w:val="0"/>
        <w:rPr>
          <w:rFonts w:hint="eastAsia" w:ascii="仿宋_GB2312" w:hAnsi="仿宋_GB2312" w:eastAsia="仿宋_GB2312" w:cs="仿宋_GB2312"/>
          <w:color w:val="auto"/>
          <w:highlight w:val="none"/>
        </w:rPr>
      </w:pPr>
    </w:p>
    <w:p>
      <w:pPr>
        <w:kinsoku/>
        <w:wordWrap w:val="0"/>
        <w:overflowPunct/>
        <w:topLinePunct w:val="0"/>
        <w:bidi w:val="0"/>
        <w:snapToGrid w:val="0"/>
        <w:spacing w:line="360" w:lineRule="auto"/>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rPr>
          <w:rFonts w:hint="eastAsia" w:ascii="仿宋_GB2312" w:hAnsi="仿宋_GB2312" w:eastAsia="仿宋_GB2312" w:cs="仿宋_GB2312"/>
          <w:b/>
          <w:color w:val="auto"/>
          <w:kern w:val="0"/>
          <w:sz w:val="32"/>
          <w:szCs w:val="32"/>
          <w:highlight w:val="none"/>
        </w:rPr>
      </w:pPr>
    </w:p>
    <w:p>
      <w:pPr>
        <w:kinsoku/>
        <w:wordWrap w:val="0"/>
        <w:overflowPunct/>
        <w:topLinePunct w:val="0"/>
        <w:bidi w:val="0"/>
        <w:snapToGrid w:val="0"/>
        <w:spacing w:line="360" w:lineRule="auto"/>
        <w:rPr>
          <w:rFonts w:hint="eastAsia" w:ascii="仿宋_GB2312" w:hAnsi="仿宋_GB2312" w:eastAsia="仿宋_GB2312" w:cs="仿宋_GB2312"/>
          <w:b/>
          <w:color w:val="auto"/>
          <w:kern w:val="0"/>
          <w:sz w:val="32"/>
          <w:szCs w:val="32"/>
          <w:highlight w:val="none"/>
        </w:rPr>
      </w:pPr>
    </w:p>
    <w:p>
      <w:pPr>
        <w:keepNext w:val="0"/>
        <w:keepLines w:val="0"/>
        <w:pageBreakBefore/>
        <w:widowControl w:val="0"/>
        <w:kinsoku/>
        <w:wordWrap w:val="0"/>
        <w:overflowPunct/>
        <w:topLinePunct w:val="0"/>
        <w:autoSpaceDE/>
        <w:autoSpaceDN/>
        <w:bidi w:val="0"/>
        <w:adjustRightInd w:val="0"/>
        <w:snapToGrid w:val="0"/>
        <w:spacing w:line="360" w:lineRule="auto"/>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附件</w:t>
      </w:r>
      <w:r>
        <w:rPr>
          <w:rFonts w:hint="eastAsia" w:ascii="仿宋_GB2312" w:hAnsi="仿宋_GB2312" w:eastAsia="仿宋_GB2312" w:cs="仿宋_GB2312"/>
          <w:b/>
          <w:color w:val="auto"/>
          <w:kern w:val="0"/>
          <w:sz w:val="32"/>
          <w:szCs w:val="32"/>
          <w:highlight w:val="none"/>
          <w:lang w:val="en-US" w:eastAsia="zh-CN"/>
        </w:rPr>
        <w:t>7</w:t>
      </w:r>
      <w:r>
        <w:rPr>
          <w:rFonts w:hint="eastAsia" w:ascii="仿宋_GB2312" w:hAnsi="仿宋_GB2312" w:eastAsia="仿宋_GB2312" w:cs="仿宋_GB2312"/>
          <w:b/>
          <w:color w:val="auto"/>
          <w:kern w:val="0"/>
          <w:sz w:val="32"/>
          <w:szCs w:val="32"/>
          <w:highlight w:val="none"/>
        </w:rPr>
        <w:t>：中小企业声明函</w:t>
      </w:r>
    </w:p>
    <w:p>
      <w:pPr>
        <w:kinsoku/>
        <w:wordWrap w:val="0"/>
        <w:overflowPunct/>
        <w:topLinePunct w:val="0"/>
        <w:bidi w:val="0"/>
        <w:spacing w:line="360" w:lineRule="auto"/>
        <w:jc w:val="center"/>
        <w:rPr>
          <w:rFonts w:hint="eastAsia" w:ascii="仿宋_GB2312" w:hAnsi="仿宋_GB2312" w:eastAsia="仿宋_GB2312" w:cs="仿宋_GB2312"/>
          <w:color w:val="auto"/>
          <w:sz w:val="24"/>
          <w:highlight w:val="none"/>
          <w:u w:val="single"/>
        </w:rPr>
      </w:pPr>
    </w:p>
    <w:p>
      <w:pPr>
        <w:kinsoku/>
        <w:wordWrap w:val="0"/>
        <w:overflowPunct/>
        <w:topLinePunct w:val="0"/>
        <w:bidi w:val="0"/>
        <w:spacing w:line="360" w:lineRule="auto"/>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中小企业声明函（服务）</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本公司（联合体）郑重声明，根据《政府采购促进中小企业发展管理办法》（财库﹝2020﹞46 号）的规定，本公司（联合体）参加 </w:t>
      </w:r>
      <w:r>
        <w:rPr>
          <w:rFonts w:hint="eastAsia" w:ascii="仿宋_GB2312" w:hAnsi="仿宋_GB2312" w:eastAsia="仿宋_GB2312" w:cs="仿宋_GB2312"/>
          <w:color w:val="auto"/>
          <w:sz w:val="24"/>
          <w:highlight w:val="none"/>
          <w:u w:val="single"/>
          <w:lang w:eastAsia="zh-CN"/>
        </w:rPr>
        <w:t>绍兴市人力资源和社会保障局</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 xml:space="preserve">绍兴市人力资源和社会保障局2025年绍兴市人力资源和社会保障局“互联网+绍兴人社”云资源租赁项目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采购活动</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服务全部由符合政策要求的中小企业承接。相关企业（含联合体中的中小企业、签订分包意向协议的中小企业）的具体情况如下：</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color w:val="auto"/>
          <w:sz w:val="24"/>
          <w:highlight w:val="none"/>
          <w:u w:val="single"/>
        </w:rPr>
        <w:t>（标的名称）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 xml:space="preserve"> （采购文件中明确的所属行业）</w:t>
      </w:r>
      <w:r>
        <w:rPr>
          <w:rFonts w:hint="eastAsia" w:ascii="仿宋_GB2312" w:hAnsi="仿宋_GB2312" w:eastAsia="仿宋_GB2312" w:cs="仿宋_GB2312"/>
          <w:color w:val="auto"/>
          <w:sz w:val="24"/>
          <w:highlight w:val="none"/>
        </w:rPr>
        <w:t xml:space="preserve"> ；承建（承接）企业为 </w:t>
      </w:r>
      <w:r>
        <w:rPr>
          <w:rFonts w:hint="eastAsia" w:ascii="仿宋_GB2312" w:hAnsi="仿宋_GB2312" w:eastAsia="仿宋_GB2312" w:cs="仿宋_GB2312"/>
          <w:color w:val="auto"/>
          <w:sz w:val="24"/>
          <w:highlight w:val="none"/>
          <w:u w:val="single"/>
        </w:rPr>
        <w:t>（企业名称）</w:t>
      </w:r>
      <w:r>
        <w:rPr>
          <w:rFonts w:hint="eastAsia" w:ascii="仿宋_GB2312" w:hAnsi="仿宋_GB2312" w:eastAsia="仿宋_GB2312" w:cs="仿宋_GB2312"/>
          <w:color w:val="auto"/>
          <w:sz w:val="24"/>
          <w:highlight w:val="none"/>
        </w:rPr>
        <w:t xml:space="preserve"> ，从业人员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 </w:t>
      </w: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 xml:space="preserve">属于 </w:t>
      </w:r>
      <w:r>
        <w:rPr>
          <w:rFonts w:hint="eastAsia" w:ascii="仿宋_GB2312" w:hAnsi="仿宋_GB2312" w:eastAsia="仿宋_GB2312" w:cs="仿宋_GB2312"/>
          <w:color w:val="auto"/>
          <w:sz w:val="24"/>
          <w:highlight w:val="none"/>
          <w:u w:val="single"/>
        </w:rPr>
        <w:t xml:space="preserve">（采购文件中明确的所属行业） </w:t>
      </w:r>
      <w:r>
        <w:rPr>
          <w:rFonts w:hint="eastAsia" w:ascii="仿宋_GB2312" w:hAnsi="仿宋_GB2312" w:eastAsia="仿宋_GB2312" w:cs="仿宋_GB2312"/>
          <w:color w:val="auto"/>
          <w:sz w:val="24"/>
          <w:highlight w:val="none"/>
        </w:rPr>
        <w:t xml:space="preserve">；承建（承接）企业为 </w:t>
      </w:r>
      <w:r>
        <w:rPr>
          <w:rFonts w:hint="eastAsia" w:ascii="仿宋_GB2312" w:hAnsi="仿宋_GB2312" w:eastAsia="仿宋_GB2312" w:cs="仿宋_GB2312"/>
          <w:color w:val="auto"/>
          <w:sz w:val="24"/>
          <w:highlight w:val="none"/>
          <w:u w:val="single"/>
        </w:rPr>
        <w:t>（企业名称）</w:t>
      </w:r>
      <w:r>
        <w:rPr>
          <w:rFonts w:hint="eastAsia" w:ascii="仿宋_GB2312" w:hAnsi="仿宋_GB2312" w:eastAsia="仿宋_GB2312" w:cs="仿宋_GB2312"/>
          <w:color w:val="auto"/>
          <w:sz w:val="24"/>
          <w:highlight w:val="none"/>
        </w:rPr>
        <w:t xml:space="preserve"> ，从业人员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 </w:t>
      </w: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kinsoku/>
        <w:wordWrap w:val="0"/>
        <w:overflowPunct/>
        <w:topLinePunct w:val="0"/>
        <w:bidi w:val="0"/>
        <w:spacing w:line="360"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kinsoku/>
        <w:wordWrap w:val="0"/>
        <w:overflowPunct/>
        <w:topLinePunct w:val="0"/>
        <w:bidi w:val="0"/>
        <w:spacing w:line="360" w:lineRule="auto"/>
        <w:ind w:right="1760"/>
        <w:jc w:val="righ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投标人名称（电子签名）：</w:t>
      </w:r>
    </w:p>
    <w:p>
      <w:pPr>
        <w:kinsoku/>
        <w:wordWrap w:val="0"/>
        <w:overflowPunct/>
        <w:topLinePunct w:val="0"/>
        <w:bidi w:val="0"/>
        <w:spacing w:line="360" w:lineRule="auto"/>
        <w:ind w:right="1120" w:firstLine="4680" w:firstLineChars="195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 期：</w:t>
      </w:r>
    </w:p>
    <w:p>
      <w:pPr>
        <w:kinsoku/>
        <w:wordWrap w:val="0"/>
        <w:overflowPunct/>
        <w:topLinePunct w:val="0"/>
        <w:bidi w:val="0"/>
        <w:spacing w:line="360" w:lineRule="auto"/>
        <w:ind w:firstLine="310" w:firstLineChars="147"/>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color w:val="auto"/>
          <w:szCs w:val="21"/>
          <w:highlight w:val="none"/>
        </w:rPr>
        <w:t>从业人员、营业收入、资产总额填报上一年度数据，无上一年度数据的新成立企业可不填报。</w:t>
      </w: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注：</w:t>
      </w:r>
    </w:p>
    <w:p>
      <w:pPr>
        <w:kinsoku/>
        <w:wordWrap w:val="0"/>
        <w:overflowPunct/>
        <w:topLinePunct w:val="0"/>
        <w:bidi w:val="0"/>
        <w:spacing w:line="360" w:lineRule="auto"/>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kinsoku/>
        <w:wordWrap w:val="0"/>
        <w:overflowPunct/>
        <w:topLinePunct w:val="0"/>
        <w:bidi w:val="0"/>
        <w:spacing w:line="360" w:lineRule="auto"/>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7"/>
        <w:kinsoku/>
        <w:wordWrap w:val="0"/>
        <w:overflowPunct/>
        <w:topLinePunct w:val="0"/>
        <w:bidi w:val="0"/>
        <w:rPr>
          <w:rFonts w:hint="eastAsia" w:ascii="仿宋_GB2312" w:hAnsi="仿宋_GB2312" w:eastAsia="仿宋_GB2312" w:cs="仿宋_GB2312"/>
          <w:color w:val="auto"/>
          <w:highlight w:val="none"/>
          <w:lang w:val="en-US"/>
        </w:rPr>
      </w:pPr>
    </w:p>
    <w:p>
      <w:pPr>
        <w:pageBreakBefore/>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国家统计局关于印发《统计上大中小微型企业划分办法（2017）》的通知</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各省、自治区、直辖市统计局，新疆生产建设兵团统计局，国务院各有关部门，国家统计局各调查总队：</w:t>
      </w:r>
    </w:p>
    <w:p>
      <w:pPr>
        <w:widowControl/>
        <w:shd w:val="clear" w:color="auto" w:fill="FFFFFF"/>
        <w:kinsoku/>
        <w:wordWrap w:val="0"/>
        <w:overflowPunct/>
        <w:topLinePunct w:val="0"/>
        <w:bidi w:val="0"/>
        <w:spacing w:before="150" w:line="420" w:lineRule="atLeast"/>
        <w:ind w:firstLine="420" w:firstLineChars="200"/>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kinsoku/>
        <w:wordWrap w:val="0"/>
        <w:overflowPunct/>
        <w:topLinePunct w:val="0"/>
        <w:bidi w:val="0"/>
        <w:jc w:val="left"/>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附件：《统计上大中小微型企业划分办法（2017）》修订说明</w:t>
      </w:r>
    </w:p>
    <w:p>
      <w:pPr>
        <w:widowControl/>
        <w:shd w:val="clear" w:color="auto" w:fill="FFFFFF"/>
        <w:kinsoku/>
        <w:wordWrap w:val="0"/>
        <w:overflowPunct/>
        <w:topLinePunct w:val="0"/>
        <w:bidi w:val="0"/>
        <w:spacing w:before="150" w:line="420" w:lineRule="atLeast"/>
        <w:ind w:right="825"/>
        <w:jc w:val="righ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国家统计局  </w:t>
      </w:r>
    </w:p>
    <w:p>
      <w:pPr>
        <w:widowControl/>
        <w:shd w:val="clear" w:color="auto" w:fill="FFFFFF"/>
        <w:kinsoku/>
        <w:wordWrap w:val="0"/>
        <w:overflowPunct/>
        <w:topLinePunct w:val="0"/>
        <w:bidi w:val="0"/>
        <w:spacing w:before="150" w:line="420" w:lineRule="atLeast"/>
        <w:ind w:right="825"/>
        <w:jc w:val="righ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2017年12月28日</w:t>
      </w:r>
    </w:p>
    <w:p>
      <w:pPr>
        <w:pStyle w:val="4"/>
        <w:kinsoku/>
        <w:wordWrap w:val="0"/>
        <w:overflowPunct/>
        <w:topLinePunct w:val="0"/>
        <w:bidi w:val="0"/>
        <w:rPr>
          <w:rFonts w:hint="eastAsia" w:ascii="仿宋_GB2312" w:hAnsi="仿宋_GB2312" w:eastAsia="仿宋_GB2312" w:cs="仿宋_GB2312"/>
          <w:color w:val="auto"/>
          <w:highlight w:val="none"/>
          <w:lang w:val="en-US" w:eastAsia="zh-CN"/>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统计上大中小微型企业划分办法（2017）</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五、企业划分由政府综合统计部门根据统计年报每年确定一次，定报统计原则上不进行调整。</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六、本办法自印发之日起执行，国家统计局2011年印发的《统计上大中小微型企业划分办法》（国统字〔2011〕75号）同时废止。</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附表：统计上大中小微型企业划分标准</w:t>
      </w: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行业名称</w:t>
            </w:r>
          </w:p>
        </w:tc>
        <w:tc>
          <w:tcPr>
            <w:tcW w:w="1560"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指标名称</w:t>
            </w:r>
          </w:p>
        </w:tc>
        <w:tc>
          <w:tcPr>
            <w:tcW w:w="67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计量单位</w:t>
            </w:r>
          </w:p>
        </w:tc>
        <w:tc>
          <w:tcPr>
            <w:tcW w:w="123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大型</w:t>
            </w:r>
          </w:p>
        </w:tc>
        <w:tc>
          <w:tcPr>
            <w:tcW w:w="1891"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中型</w:t>
            </w:r>
          </w:p>
        </w:tc>
        <w:tc>
          <w:tcPr>
            <w:tcW w:w="1730"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小型</w:t>
            </w:r>
          </w:p>
        </w:tc>
        <w:tc>
          <w:tcPr>
            <w:tcW w:w="1203"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农、林、牧、渔业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50≤Y＜500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工业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Y≥40000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2000≤Y＜40000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建筑业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Y≥80000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6000≤Y＜80000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300≤Y＜6000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Z≥80000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5000≤Z＜80000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300≤Z＜5000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批发业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20≤X＜200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5≤X＜20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Y≥40000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5000≤Y＜40000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零售业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10≤X＜50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100≤Y＜500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交通运输业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200≤Y＜3000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仓储业*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100≤X＜200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邮政业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Y≥30000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2000≤Y＜30000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住宿业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餐饮业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100≤Y＜2000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信息传输业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X≥2000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100≤X＜2000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1000≤Y＜100000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软件和信息技术服务业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房地产开发经营</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Y≥200000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1000≤Y＜200000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5000≤Z＜10000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2000≤Z＜5000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物业管理</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300≤X＜1000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营业收入(Y)</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1000≤Y＜5000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500≤Y＜1000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租赁和商务服务业</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资产总额(Z)</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万元</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Z≥120000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8000≤Z＜120000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100≤Z＜8000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其他未列明行业 *</w:t>
            </w:r>
          </w:p>
        </w:tc>
        <w:tc>
          <w:tcPr>
            <w:tcW w:w="156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从业人员(X)</w:t>
            </w:r>
          </w:p>
        </w:tc>
        <w:tc>
          <w:tcPr>
            <w:tcW w:w="67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人</w:t>
            </w:r>
          </w:p>
        </w:tc>
        <w:tc>
          <w:tcPr>
            <w:tcW w:w="123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X≥300</w:t>
            </w:r>
          </w:p>
        </w:tc>
        <w:tc>
          <w:tcPr>
            <w:tcW w:w="1891"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100≤X＜300</w:t>
            </w:r>
          </w:p>
        </w:tc>
        <w:tc>
          <w:tcPr>
            <w:tcW w:w="1730"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10≤X＜100</w:t>
            </w:r>
          </w:p>
        </w:tc>
        <w:tc>
          <w:tcPr>
            <w:tcW w:w="1203"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X＜10</w:t>
            </w:r>
          </w:p>
        </w:tc>
      </w:tr>
    </w:tbl>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说明：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1.大型、中型和小型企业须同时满足所列指标的下限，否则下划一档；微型企业只须满足所列指标中的一项即可。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3.企业划分指标以现行统计制度为准。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（1）从业人员，是指期末从业人员数，没有期末从业人员数的，采用全年平均人员数代替。</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（3）资产总额，采用资产总计代替。</w:t>
      </w: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《统计上大中小微型企业划分办法（2017）》修订说明</w:t>
      </w:r>
    </w:p>
    <w:p>
      <w:pPr>
        <w:widowControl/>
        <w:shd w:val="clear" w:color="auto" w:fill="FFFFFF"/>
        <w:kinsoku/>
        <w:wordWrap w:val="0"/>
        <w:overflowPunct/>
        <w:topLinePunct w:val="0"/>
        <w:bidi w:val="0"/>
        <w:spacing w:before="150" w:line="540" w:lineRule="atLeast"/>
        <w:jc w:val="left"/>
        <w:textAlignment w:val="baseline"/>
        <w:rPr>
          <w:rFonts w:hint="eastAsia" w:ascii="仿宋_GB2312" w:hAnsi="仿宋_GB2312" w:eastAsia="仿宋_GB2312" w:cs="仿宋_GB2312"/>
          <w:b/>
          <w:bCs/>
          <w:color w:val="auto"/>
          <w:kern w:val="0"/>
          <w:sz w:val="27"/>
          <w:szCs w:val="27"/>
          <w:highlight w:val="none"/>
        </w:rPr>
      </w:pPr>
      <w:r>
        <w:rPr>
          <w:rFonts w:hint="eastAsia" w:ascii="仿宋_GB2312" w:hAnsi="仿宋_GB2312" w:eastAsia="仿宋_GB2312" w:cs="仿宋_GB2312"/>
          <w:b/>
          <w:bCs/>
          <w:color w:val="auto"/>
          <w:kern w:val="0"/>
          <w:sz w:val="27"/>
          <w:szCs w:val="27"/>
          <w:highlight w:val="none"/>
        </w:rPr>
        <w:t>一、修订背景</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kinsoku/>
        <w:wordWrap w:val="0"/>
        <w:overflowPunct/>
        <w:topLinePunct w:val="0"/>
        <w:bidi w:val="0"/>
        <w:spacing w:before="150" w:line="540" w:lineRule="atLeast"/>
        <w:jc w:val="left"/>
        <w:textAlignment w:val="baseline"/>
        <w:rPr>
          <w:rFonts w:hint="eastAsia" w:ascii="仿宋_GB2312" w:hAnsi="仿宋_GB2312" w:eastAsia="仿宋_GB2312" w:cs="仿宋_GB2312"/>
          <w:b/>
          <w:bCs/>
          <w:color w:val="auto"/>
          <w:kern w:val="0"/>
          <w:sz w:val="27"/>
          <w:szCs w:val="27"/>
          <w:highlight w:val="none"/>
        </w:rPr>
      </w:pPr>
      <w:r>
        <w:rPr>
          <w:rFonts w:hint="eastAsia" w:ascii="仿宋_GB2312" w:hAnsi="仿宋_GB2312" w:eastAsia="仿宋_GB2312" w:cs="仿宋_GB2312"/>
          <w:b/>
          <w:bCs/>
          <w:color w:val="auto"/>
          <w:kern w:val="0"/>
          <w:sz w:val="27"/>
          <w:szCs w:val="27"/>
          <w:highlight w:val="none"/>
        </w:rPr>
        <w:t>二、修订主要内容</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将交通运输业中包括的“装卸搬运和运输代理业”修改为“多式联运和运输代理业、装卸搬运”。</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仓储业所包括的行业中类，根据《国民经济行业分类》（GB/T4754—2017）调整为“通用仓储，低温仓储，危险品仓储，谷物、棉花等农产品仓储，中药材仓储和其他仓储业”。</w:t>
      </w: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kinsoku/>
        <w:wordWrap w:val="0"/>
        <w:overflowPunct/>
        <w:topLinePunct w:val="0"/>
        <w:bidi w:val="0"/>
        <w:jc w:val="left"/>
        <w:rPr>
          <w:rFonts w:hint="eastAsia" w:ascii="仿宋_GB2312" w:hAnsi="仿宋_GB2312" w:eastAsia="仿宋_GB2312" w:cs="仿宋_GB2312"/>
          <w:color w:val="auto"/>
          <w:kern w:val="0"/>
          <w:sz w:val="18"/>
          <w:szCs w:val="18"/>
          <w:highlight w:val="none"/>
        </w:rPr>
      </w:pP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中国人民银行中国银行业监督管理委员会</w:t>
      </w: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中国证券监督管理委员会中国保险监督管理委员会</w:t>
      </w:r>
    </w:p>
    <w:p>
      <w:pPr>
        <w:widowControl/>
        <w:shd w:val="clear" w:color="auto" w:fill="FFFFFF"/>
        <w:kinsoku/>
        <w:wordWrap w:val="0"/>
        <w:overflowPunct/>
        <w:topLinePunct w:val="0"/>
        <w:bidi w:val="0"/>
        <w:spacing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国家统计局关于印发《金融业企业划型标准规定》的通知</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附件：金融业企业划型标准规定</w:t>
      </w: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金融业企业划型标准规定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二、适用范围。本规定适用于从事《国民经济行业分类》(GB/T4754-2011)中J门类（金融业）活动的企业。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四、划型标准指标。采用一个完整会计年度中四个季度末法人并表口径的资产总额（信托公司为信托资产）平均值作为划型指标，该指标以监管部门数据为准。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五、指标标准值。依据指标标准值，将各类金融业企业划分为大、中、小、微四个规模类型，中型企业标准上限及以上的为大型企业。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  七、标准值的评估和调整。金融业企业划型标准工作组毎五年对划型标准值受经济发展与通货膨胀等因素的响程度进行评估和调整。</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rPr>
        <w:t xml:space="preserve"> </w:t>
      </w:r>
      <w:r>
        <w:rPr>
          <w:rFonts w:hint="eastAsia" w:ascii="仿宋_GB2312" w:hAnsi="仿宋_GB2312" w:eastAsia="仿宋_GB2312" w:cs="仿宋_GB2312"/>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eastAsia="zh-CN"/>
        </w:rPr>
        <w:t xml:space="preserve"> </w:t>
      </w:r>
      <w:r>
        <w:rPr>
          <w:rFonts w:hint="eastAsia" w:ascii="仿宋_GB2312" w:hAnsi="仿宋_GB2312" w:eastAsia="仿宋_GB2312" w:cs="仿宋_GB2312"/>
          <w:color w:val="auto"/>
          <w:kern w:val="0"/>
          <w:szCs w:val="21"/>
          <w:highlight w:val="none"/>
        </w:rPr>
        <w:t>九</w:t>
      </w:r>
      <w:r>
        <w:rPr>
          <w:rFonts w:hint="eastAsia" w:ascii="仿宋_GB2312" w:hAnsi="仿宋_GB2312" w:eastAsia="仿宋_GB2312" w:cs="仿宋_GB2312"/>
          <w:color w:val="auto"/>
          <w:kern w:val="0"/>
          <w:szCs w:val="21"/>
          <w:highlight w:val="none"/>
          <w:lang w:eastAsia="zh-CN"/>
        </w:rPr>
        <w:t>、</w:t>
      </w:r>
      <w:r>
        <w:rPr>
          <w:rFonts w:hint="eastAsia" w:ascii="仿宋_GB2312" w:hAnsi="仿宋_GB2312" w:eastAsia="仿宋_GB2312" w:cs="仿宋_GB2312"/>
          <w:color w:val="auto"/>
          <w:kern w:val="0"/>
          <w:szCs w:val="21"/>
          <w:highlight w:val="none"/>
        </w:rPr>
        <w:t>融资担保公司参照本规定中“除贷款公司、小额贷款公司、典当行以外的其他金融机构”标准划型。</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eastAsia="zh-CN"/>
        </w:rPr>
        <w:t xml:space="preserve"> </w:t>
      </w:r>
      <w:r>
        <w:rPr>
          <w:rFonts w:hint="eastAsia" w:ascii="仿宋_GB2312" w:hAnsi="仿宋_GB2312" w:eastAsia="仿宋_GB2312" w:cs="仿宋_GB2312"/>
          <w:color w:val="auto"/>
          <w:kern w:val="0"/>
          <w:szCs w:val="21"/>
          <w:highlight w:val="none"/>
        </w:rPr>
        <w:t>十、本规定由人民银行会同银监会，证监会、保监会和统计局负责解释。</w:t>
      </w:r>
    </w:p>
    <w:p>
      <w:pPr>
        <w:widowControl/>
        <w:shd w:val="clear" w:color="auto" w:fill="FFFFFF"/>
        <w:kinsoku/>
        <w:wordWrap w:val="0"/>
        <w:overflowPunct/>
        <w:topLinePunct w:val="0"/>
        <w:bidi w:val="0"/>
        <w:spacing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    </w:t>
      </w:r>
      <w:r>
        <w:rPr>
          <w:rFonts w:hint="eastAsia" w:ascii="仿宋_GB2312" w:hAnsi="仿宋_GB2312" w:eastAsia="仿宋_GB2312" w:cs="仿宋_GB2312"/>
          <w:color w:val="auto"/>
          <w:kern w:val="0"/>
          <w:szCs w:val="21"/>
          <w:highlight w:val="none"/>
          <w:lang w:val="en-US" w:eastAsia="zh-CN"/>
        </w:rPr>
        <w:t xml:space="preserve"> </w:t>
      </w:r>
      <w:r>
        <w:rPr>
          <w:rFonts w:hint="eastAsia" w:ascii="仿宋_GB2312" w:hAnsi="仿宋_GB2312" w:eastAsia="仿宋_GB2312" w:cs="仿宋_GB2312"/>
          <w:color w:val="auto"/>
          <w:kern w:val="0"/>
          <w:szCs w:val="21"/>
          <w:highlight w:val="none"/>
        </w:rPr>
        <w:t>十一、本规定自发布之日起实施。</w:t>
      </w:r>
    </w:p>
    <w:p>
      <w:pPr>
        <w:widowControl/>
        <w:shd w:val="clear" w:color="auto" w:fill="FFFFFF"/>
        <w:kinsoku/>
        <w:wordWrap w:val="0"/>
        <w:overflowPunct/>
        <w:topLinePunct w:val="0"/>
        <w:bidi w:val="0"/>
        <w:spacing w:before="150" w:line="420" w:lineRule="atLeast"/>
        <w:jc w:val="left"/>
        <w:textAlignment w:val="baseline"/>
        <w:rPr>
          <w:rFonts w:hint="eastAsia" w:ascii="仿宋_GB2312" w:hAnsi="仿宋_GB2312" w:eastAsia="仿宋_GB2312" w:cs="仿宋_GB2312"/>
          <w:color w:val="auto"/>
          <w:kern w:val="0"/>
          <w:szCs w:val="21"/>
          <w:highlight w:val="none"/>
        </w:rPr>
      </w:pPr>
      <w:r>
        <w:rPr>
          <w:rFonts w:hint="eastAsia" w:ascii="仿宋_GB2312" w:hAnsi="仿宋_GB2312" w:eastAsia="仿宋_GB2312" w:cs="仿宋_GB2312"/>
          <w:color w:val="auto"/>
          <w:kern w:val="0"/>
          <w:szCs w:val="21"/>
          <w:highlight w:val="none"/>
        </w:rPr>
        <w:t>附：金融业企业划型标准</w:t>
      </w:r>
    </w:p>
    <w:p>
      <w:pPr>
        <w:widowControl/>
        <w:shd w:val="clear" w:color="auto" w:fill="FFFFFF"/>
        <w:kinsoku/>
        <w:wordWrap w:val="0"/>
        <w:overflowPunct/>
        <w:topLinePunct w:val="0"/>
        <w:bidi w:val="0"/>
        <w:spacing w:before="150" w:line="600" w:lineRule="atLeast"/>
        <w:jc w:val="center"/>
        <w:textAlignment w:val="baseline"/>
        <w:rPr>
          <w:rFonts w:hint="eastAsia" w:ascii="仿宋_GB2312" w:hAnsi="仿宋_GB2312" w:eastAsia="仿宋_GB2312" w:cs="仿宋_GB2312"/>
          <w:b/>
          <w:bCs/>
          <w:color w:val="auto"/>
          <w:kern w:val="0"/>
          <w:sz w:val="36"/>
          <w:szCs w:val="36"/>
          <w:highlight w:val="none"/>
        </w:rPr>
      </w:pPr>
      <w:r>
        <w:rPr>
          <w:rFonts w:hint="eastAsia" w:ascii="仿宋_GB2312" w:hAnsi="仿宋_GB2312" w:eastAsia="仿宋_GB2312" w:cs="仿宋_GB2312"/>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行业</w:t>
            </w:r>
          </w:p>
        </w:tc>
        <w:tc>
          <w:tcPr>
            <w:tcW w:w="283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类别</w:t>
            </w:r>
          </w:p>
        </w:tc>
        <w:tc>
          <w:tcPr>
            <w:tcW w:w="60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类型</w:t>
            </w:r>
          </w:p>
        </w:tc>
        <w:tc>
          <w:tcPr>
            <w:tcW w:w="3326" w:type="dxa"/>
            <w:tcMar>
              <w:top w:w="75" w:type="dxa"/>
              <w:left w:w="75" w:type="dxa"/>
              <w:bottom w:w="75" w:type="dxa"/>
              <w:right w:w="75" w:type="dxa"/>
            </w:tcMar>
            <w:vAlign w:val="bottom"/>
          </w:tcPr>
          <w:p>
            <w:pPr>
              <w:widowControl/>
              <w:kinsoku/>
              <w:wordWrap w:val="0"/>
              <w:overflowPunct/>
              <w:topLinePunct w:val="0"/>
              <w:bidi w:val="0"/>
              <w:jc w:val="center"/>
              <w:rPr>
                <w:rFonts w:hint="eastAsia" w:ascii="仿宋_GB2312" w:hAnsi="仿宋_GB2312" w:eastAsia="仿宋_GB2312" w:cs="仿宋_GB2312"/>
                <w:b/>
                <w:bCs/>
                <w:color w:val="auto"/>
                <w:kern w:val="0"/>
                <w:szCs w:val="21"/>
                <w:highlight w:val="none"/>
              </w:rPr>
            </w:pPr>
            <w:r>
              <w:rPr>
                <w:rFonts w:hint="eastAsia" w:ascii="仿宋_GB2312" w:hAnsi="仿宋_GB2312" w:eastAsia="仿宋_GB2312" w:cs="仿宋_GB2312"/>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货币金融服务</w:t>
            </w: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货币银行服务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银行业存款类金融机构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非货币银行服务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银行业非存款类金融机构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贷款公司、小额贷款公司及典当行</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资本市场服务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证券业金融机构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保险业</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保险业金融机构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其他金融业</w:t>
            </w: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金融信托与管理服务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信托公司</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控股公司服务</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金融控股公司</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其他未包括的金融业</w:t>
            </w:r>
          </w:p>
        </w:tc>
        <w:tc>
          <w:tcPr>
            <w:tcW w:w="2836" w:type="dxa"/>
            <w:vMerge w:val="restart"/>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除贷款公司、小额贷款公司及典当行以外的其他金融机构</w:t>
            </w: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小型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1025"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2836" w:type="dxa"/>
            <w:vMerge w:val="continue"/>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p>
        </w:tc>
        <w:tc>
          <w:tcPr>
            <w:tcW w:w="60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微型</w:t>
            </w:r>
          </w:p>
        </w:tc>
        <w:tc>
          <w:tcPr>
            <w:tcW w:w="3326" w:type="dxa"/>
            <w:vAlign w:val="center"/>
          </w:tcPr>
          <w:p>
            <w:pPr>
              <w:widowControl/>
              <w:kinsoku/>
              <w:wordWrap w:val="0"/>
              <w:overflowPunct/>
              <w:topLinePunct w:val="0"/>
              <w:bidi w:val="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50亿元以下</w:t>
            </w:r>
          </w:p>
        </w:tc>
      </w:tr>
    </w:tbl>
    <w:p>
      <w:pPr>
        <w:kinsoku/>
        <w:wordWrap w:val="0"/>
        <w:overflowPunct/>
        <w:topLinePunct w:val="0"/>
        <w:bidi w:val="0"/>
        <w:rPr>
          <w:rFonts w:hint="eastAsia" w:ascii="仿宋_GB2312" w:hAnsi="仿宋_GB2312" w:eastAsia="仿宋_GB2312" w:cs="仿宋_GB2312"/>
          <w:color w:val="auto"/>
          <w:sz w:val="24"/>
          <w:highlight w:val="none"/>
        </w:rPr>
      </w:pPr>
    </w:p>
    <w:p>
      <w:pPr>
        <w:kinsoku/>
        <w:wordWrap w:val="0"/>
        <w:overflowPunct/>
        <w:topLinePunct w:val="0"/>
        <w:bidi w:val="0"/>
        <w:ind w:firstLine="420" w:firstLineChars="200"/>
        <w:rPr>
          <w:rFonts w:hint="eastAsia" w:ascii="仿宋_GB2312" w:hAnsi="仿宋_GB2312" w:eastAsia="仿宋_GB2312" w:cs="仿宋_GB2312"/>
          <w:color w:val="auto"/>
          <w:highlight w:val="none"/>
        </w:rPr>
      </w:pPr>
    </w:p>
    <w:p>
      <w:pPr>
        <w:kinsoku/>
        <w:wordWrap w:val="0"/>
        <w:overflowPunct/>
        <w:topLinePunct w:val="0"/>
        <w:bidi w:val="0"/>
        <w:spacing w:line="360" w:lineRule="auto"/>
        <w:ind w:right="420"/>
        <w:rPr>
          <w:rFonts w:hint="eastAsia" w:ascii="仿宋_GB2312" w:hAnsi="仿宋_GB2312" w:eastAsia="仿宋_GB2312" w:cs="仿宋_GB2312"/>
          <w:color w:val="auto"/>
          <w:highlight w:val="none"/>
        </w:rPr>
      </w:pPr>
    </w:p>
    <w:p>
      <w:pPr>
        <w:kinsoku/>
        <w:wordWrap w:val="0"/>
        <w:overflowPunct/>
        <w:topLinePunct w:val="0"/>
        <w:bidi w:val="0"/>
        <w:spacing w:line="360" w:lineRule="auto"/>
        <w:rPr>
          <w:rFonts w:hint="eastAsia" w:ascii="仿宋_GB2312" w:hAnsi="仿宋_GB2312" w:eastAsia="仿宋_GB2312" w:cs="仿宋_GB2312"/>
          <w:bCs/>
          <w:color w:val="auto"/>
          <w:sz w:val="24"/>
          <w:highlight w:val="none"/>
        </w:rPr>
      </w:pPr>
    </w:p>
    <w:sectPr>
      <w:footerReference r:id="rId20" w:type="first"/>
      <w:footerReference r:id="rId18" w:type="default"/>
      <w:footerReference r:id="rId19"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lang w:val="en-US"/>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招标编号:2025-01-xxxx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tabs>
        <w:tab w:val="clear" w:pos="4153"/>
        <w:tab w:val="clear" w:pos="8306"/>
      </w:tabs>
      <w:jc w:val="both"/>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hint="default"/>
        <w:lang w:val="en-US"/>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招标编号:2025-03-0028</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tabs>
        <w:tab w:val="clear" w:pos="4153"/>
        <w:tab w:val="clear" w:pos="8306"/>
      </w:tabs>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lang w:val="en-US"/>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招标编号:2025-01-xxxx</w:t>
    </w:r>
  </w:p>
  <w:p>
    <w:pPr>
      <w:pStyle w:val="42"/>
      <w:pBdr>
        <w:bottom w:val="none" w:color="auto" w:sz="0" w:space="0"/>
      </w:pBdr>
      <w:tabs>
        <w:tab w:val="clear" w:pos="4153"/>
        <w:tab w:val="clear" w:pos="8306"/>
      </w:tabs>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b/>
        <w:i/>
        <w:sz w:val="18"/>
        <w:u w:val="single"/>
      </w:rPr>
    </w:pPr>
    <w:r>
      <w:rPr>
        <w:rFonts w:hint="eastAsia" w:ascii="仿宋" w:hAnsi="仿宋" w:eastAsia="仿宋" w:cs="仿宋"/>
        <w:sz w:val="20"/>
        <w:szCs w:val="20"/>
        <w:lang w:eastAsia="zh-CN"/>
      </w:rPr>
      <w:t>绍兴市公共资源交易中心</w:t>
    </w:r>
    <w:r>
      <w:rPr>
        <w:rFonts w:hint="eastAsia" w:ascii="仿宋" w:hAnsi="仿宋" w:eastAsia="仿宋" w:cs="仿宋"/>
        <w:sz w:val="20"/>
        <w:szCs w:val="20"/>
        <w:lang w:val="en-US" w:eastAsia="zh-CN"/>
      </w:rPr>
      <w:t xml:space="preserve">              </w:t>
    </w:r>
    <w:r>
      <w:rPr>
        <w:rFonts w:hint="eastAsia" w:ascii="仿宋" w:hAnsi="仿宋" w:eastAsia="仿宋" w:cs="仿宋"/>
        <w:sz w:val="20"/>
        <w:szCs w:val="20"/>
      </w:rPr>
      <w:t xml:space="preserve">               </w:t>
    </w:r>
    <w:r>
      <w:rPr>
        <w:rFonts w:hint="eastAsia" w:ascii="仿宋" w:hAnsi="仿宋" w:eastAsia="仿宋" w:cs="仿宋"/>
        <w:sz w:val="20"/>
        <w:szCs w:val="20"/>
        <w:lang w:eastAsia="zh-CN"/>
      </w:rPr>
      <w:t>招标编号:2025-01-xxxx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9B6333"/>
    <w:multiLevelType w:val="singleLevel"/>
    <w:tmpl w:val="FF9B6333"/>
    <w:lvl w:ilvl="0" w:tentative="0">
      <w:start w:val="1"/>
      <w:numFmt w:val="decimal"/>
      <w:suff w:val="nothing"/>
      <w:lvlText w:val="%1、"/>
      <w:lvlJc w:val="left"/>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4DB34E84"/>
    <w:multiLevelType w:val="singleLevel"/>
    <w:tmpl w:val="4DB34E84"/>
    <w:lvl w:ilvl="0" w:tentative="0">
      <w:start w:val="3"/>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290EF6"/>
    <w:rsid w:val="00B34AC1"/>
    <w:rsid w:val="00C874A1"/>
    <w:rsid w:val="00CC0779"/>
    <w:rsid w:val="012C5E9B"/>
    <w:rsid w:val="01F74BBE"/>
    <w:rsid w:val="035BEF8B"/>
    <w:rsid w:val="03DA3F2C"/>
    <w:rsid w:val="068F7A91"/>
    <w:rsid w:val="06EC145C"/>
    <w:rsid w:val="09253704"/>
    <w:rsid w:val="0C080F2B"/>
    <w:rsid w:val="0D05270C"/>
    <w:rsid w:val="0ED066DD"/>
    <w:rsid w:val="0F096B8F"/>
    <w:rsid w:val="0F63063F"/>
    <w:rsid w:val="0F8F6C52"/>
    <w:rsid w:val="10EE06E5"/>
    <w:rsid w:val="110F45BD"/>
    <w:rsid w:val="1158774F"/>
    <w:rsid w:val="11FC0231"/>
    <w:rsid w:val="12EA679E"/>
    <w:rsid w:val="14523964"/>
    <w:rsid w:val="15321013"/>
    <w:rsid w:val="15A74BA2"/>
    <w:rsid w:val="16543937"/>
    <w:rsid w:val="18E60774"/>
    <w:rsid w:val="1A63432A"/>
    <w:rsid w:val="1AA86437"/>
    <w:rsid w:val="1CE43FFB"/>
    <w:rsid w:val="1CF46385"/>
    <w:rsid w:val="1D2F1C3B"/>
    <w:rsid w:val="1D304A12"/>
    <w:rsid w:val="1E4A59F7"/>
    <w:rsid w:val="1E9F28EE"/>
    <w:rsid w:val="1EEE5318"/>
    <w:rsid w:val="1F9312CE"/>
    <w:rsid w:val="1FBB4AF5"/>
    <w:rsid w:val="1FBFFEB0"/>
    <w:rsid w:val="20D45A2B"/>
    <w:rsid w:val="21790939"/>
    <w:rsid w:val="21C23686"/>
    <w:rsid w:val="21C326D6"/>
    <w:rsid w:val="246C7EDA"/>
    <w:rsid w:val="26E12F35"/>
    <w:rsid w:val="27213C00"/>
    <w:rsid w:val="275DFFED"/>
    <w:rsid w:val="27936D88"/>
    <w:rsid w:val="27A4658C"/>
    <w:rsid w:val="27A81174"/>
    <w:rsid w:val="28B23A27"/>
    <w:rsid w:val="2A7F7380"/>
    <w:rsid w:val="2B2B22B3"/>
    <w:rsid w:val="2BE55846"/>
    <w:rsid w:val="2C26125D"/>
    <w:rsid w:val="2F0C0A43"/>
    <w:rsid w:val="30CD01D9"/>
    <w:rsid w:val="30DA577C"/>
    <w:rsid w:val="316545AD"/>
    <w:rsid w:val="31935FA5"/>
    <w:rsid w:val="31EF5C5F"/>
    <w:rsid w:val="325B74D9"/>
    <w:rsid w:val="326F4556"/>
    <w:rsid w:val="328F349E"/>
    <w:rsid w:val="32E927B7"/>
    <w:rsid w:val="343524A0"/>
    <w:rsid w:val="34985663"/>
    <w:rsid w:val="34D04EBC"/>
    <w:rsid w:val="36BB6208"/>
    <w:rsid w:val="36FC46C4"/>
    <w:rsid w:val="372A3366"/>
    <w:rsid w:val="38805C9A"/>
    <w:rsid w:val="38A71B3B"/>
    <w:rsid w:val="38D72BE1"/>
    <w:rsid w:val="3DF436D8"/>
    <w:rsid w:val="3E6DF6DC"/>
    <w:rsid w:val="3FCFDA4A"/>
    <w:rsid w:val="402C2517"/>
    <w:rsid w:val="40CC3269"/>
    <w:rsid w:val="41BE06AF"/>
    <w:rsid w:val="41ED279C"/>
    <w:rsid w:val="42054D9A"/>
    <w:rsid w:val="427E60E8"/>
    <w:rsid w:val="431510F4"/>
    <w:rsid w:val="43E20365"/>
    <w:rsid w:val="440973C9"/>
    <w:rsid w:val="44940677"/>
    <w:rsid w:val="45D027A7"/>
    <w:rsid w:val="471C2176"/>
    <w:rsid w:val="477A396D"/>
    <w:rsid w:val="49A83F2D"/>
    <w:rsid w:val="4A302C8A"/>
    <w:rsid w:val="4A9A622B"/>
    <w:rsid w:val="4AB656E6"/>
    <w:rsid w:val="4B822B15"/>
    <w:rsid w:val="4D494522"/>
    <w:rsid w:val="4F1636DC"/>
    <w:rsid w:val="4F357B5D"/>
    <w:rsid w:val="4F4B3D85"/>
    <w:rsid w:val="4F981E95"/>
    <w:rsid w:val="50017CF3"/>
    <w:rsid w:val="507001F1"/>
    <w:rsid w:val="50A76922"/>
    <w:rsid w:val="51457CA0"/>
    <w:rsid w:val="564A3920"/>
    <w:rsid w:val="573D66F9"/>
    <w:rsid w:val="5A087C92"/>
    <w:rsid w:val="5AA05645"/>
    <w:rsid w:val="5B3A5A13"/>
    <w:rsid w:val="5B41777E"/>
    <w:rsid w:val="5B73EE39"/>
    <w:rsid w:val="5C1A2FAD"/>
    <w:rsid w:val="5CFAC9C4"/>
    <w:rsid w:val="5F561B6F"/>
    <w:rsid w:val="5F57E5CA"/>
    <w:rsid w:val="5FD75EED"/>
    <w:rsid w:val="63046C6E"/>
    <w:rsid w:val="642E7CA1"/>
    <w:rsid w:val="643636B1"/>
    <w:rsid w:val="64AFCBD0"/>
    <w:rsid w:val="64D24E2B"/>
    <w:rsid w:val="65E0560D"/>
    <w:rsid w:val="669C35D3"/>
    <w:rsid w:val="66BB07E1"/>
    <w:rsid w:val="682014BB"/>
    <w:rsid w:val="69891001"/>
    <w:rsid w:val="69B3625A"/>
    <w:rsid w:val="69C75F7E"/>
    <w:rsid w:val="6AFF2A6C"/>
    <w:rsid w:val="6EBAEEF7"/>
    <w:rsid w:val="6EF472A6"/>
    <w:rsid w:val="6F943CEF"/>
    <w:rsid w:val="6FC37AD4"/>
    <w:rsid w:val="702A1CA8"/>
    <w:rsid w:val="71EA68D7"/>
    <w:rsid w:val="72425A75"/>
    <w:rsid w:val="726625DC"/>
    <w:rsid w:val="73666C95"/>
    <w:rsid w:val="761D2D89"/>
    <w:rsid w:val="778CFDC4"/>
    <w:rsid w:val="77D33BC9"/>
    <w:rsid w:val="77EDE09C"/>
    <w:rsid w:val="78AD1F79"/>
    <w:rsid w:val="78BB59A6"/>
    <w:rsid w:val="791B1DFC"/>
    <w:rsid w:val="794F0A43"/>
    <w:rsid w:val="79574D11"/>
    <w:rsid w:val="7B1A3687"/>
    <w:rsid w:val="7BA5741C"/>
    <w:rsid w:val="7CF829C4"/>
    <w:rsid w:val="7D275D37"/>
    <w:rsid w:val="7DFF3A1B"/>
    <w:rsid w:val="7F2A5316"/>
    <w:rsid w:val="7F306D99"/>
    <w:rsid w:val="7F387C2E"/>
    <w:rsid w:val="7FB129C4"/>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7">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9"/>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styleId="2">
    <w:name w:val="Body Text First Indent 2"/>
    <w:basedOn w:val="3"/>
    <w:next w:val="4"/>
    <w:link w:val="121"/>
    <w:qFormat/>
    <w:uiPriority w:val="0"/>
    <w:pPr>
      <w:adjustRightInd/>
      <w:spacing w:after="120" w:line="240" w:lineRule="auto"/>
      <w:ind w:left="420" w:leftChars="200" w:firstLine="210"/>
    </w:pPr>
    <w:rPr>
      <w:sz w:val="21"/>
    </w:rPr>
  </w:style>
  <w:style w:type="paragraph" w:styleId="3">
    <w:name w:val="Body Text Indent"/>
    <w:basedOn w:val="1"/>
    <w:next w:val="2"/>
    <w:link w:val="264"/>
    <w:qFormat/>
    <w:uiPriority w:val="0"/>
    <w:pPr>
      <w:spacing w:line="480" w:lineRule="exact"/>
      <w:ind w:firstLine="480" w:firstLineChars="200"/>
    </w:pPr>
    <w:rPr>
      <w:rFonts w:ascii="宋体" w:hAnsi="宋体"/>
      <w:sz w:val="24"/>
    </w:rPr>
  </w:style>
  <w:style w:type="paragraph" w:styleId="4">
    <w:name w:val="Body Text"/>
    <w:basedOn w:val="1"/>
    <w:next w:val="5"/>
    <w:link w:val="429"/>
    <w:qFormat/>
    <w:uiPriority w:val="0"/>
    <w:pPr>
      <w:autoSpaceDE w:val="0"/>
      <w:autoSpaceDN w:val="0"/>
      <w:spacing w:line="360" w:lineRule="auto"/>
    </w:pPr>
    <w:rPr>
      <w:rFonts w:ascii="宋体" w:hAnsi="Arial" w:cs="Arial"/>
      <w:snapToGrid w:val="0"/>
      <w:sz w:val="24"/>
      <w:szCs w:val="21"/>
      <w:lang w:val="zh-CN"/>
    </w:rPr>
  </w:style>
  <w:style w:type="paragraph" w:customStyle="1" w:styleId="5">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29"/>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2"/>
    <w:qFormat/>
    <w:uiPriority w:val="0"/>
    <w:pPr>
      <w:shd w:val="clear" w:color="auto" w:fill="000080"/>
    </w:pPr>
  </w:style>
  <w:style w:type="paragraph" w:styleId="23">
    <w:name w:val="annotation text"/>
    <w:basedOn w:val="1"/>
    <w:link w:val="343"/>
    <w:qFormat/>
    <w:uiPriority w:val="99"/>
    <w:pPr>
      <w:jc w:val="left"/>
    </w:pPr>
  </w:style>
  <w:style w:type="paragraph" w:styleId="24">
    <w:name w:val="Salutation"/>
    <w:basedOn w:val="1"/>
    <w:next w:val="1"/>
    <w:link w:val="297"/>
    <w:qFormat/>
    <w:uiPriority w:val="0"/>
    <w:rPr>
      <w:rFonts w:ascii="仿宋_GB2312" w:eastAsia="仿宋_GB2312"/>
      <w:sz w:val="28"/>
      <w:szCs w:val="20"/>
    </w:rPr>
  </w:style>
  <w:style w:type="paragraph" w:styleId="25">
    <w:name w:val="Body Text 3"/>
    <w:basedOn w:val="1"/>
    <w:link w:val="329"/>
    <w:qFormat/>
    <w:uiPriority w:val="0"/>
    <w:pPr>
      <w:jc w:val="center"/>
    </w:pPr>
    <w:rPr>
      <w:szCs w:val="20"/>
    </w:rPr>
  </w:style>
  <w:style w:type="paragraph" w:styleId="26">
    <w:name w:val="List Bullet 3"/>
    <w:basedOn w:val="1"/>
    <w:qFormat/>
    <w:uiPriority w:val="0"/>
    <w:pPr>
      <w:snapToGrid w:val="0"/>
      <w:spacing w:line="360" w:lineRule="auto"/>
      <w:ind w:left="360" w:right="238" w:hanging="360"/>
      <w:contextualSpacing/>
    </w:pPr>
    <w:rPr>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9"/>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basedOn w:val="1"/>
    <w:next w:val="1"/>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9"/>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6"/>
    <w:qFormat/>
    <w:uiPriority w:val="0"/>
    <w:rPr>
      <w:b/>
      <w:bCs/>
    </w:rPr>
  </w:style>
  <w:style w:type="paragraph" w:styleId="62">
    <w:name w:val="Body Text First Indent"/>
    <w:basedOn w:val="4"/>
    <w:next w:val="52"/>
    <w:link w:val="320"/>
    <w:qFormat/>
    <w:uiPriority w:val="0"/>
    <w:pPr>
      <w:ind w:firstLine="420"/>
    </w:pPr>
    <w:rPr>
      <w:rFonts w:hAnsi="Calibri" w:cs="Times New Roman"/>
      <w:snapToGrid/>
      <w:szCs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basedOn w:val="70"/>
    <w:qFormat/>
    <w:uiPriority w:val="0"/>
    <w:rPr>
      <w:rFonts w:hint="eastAsia" w:ascii="仿宋_GB2312" w:eastAsia="仿宋_GB2312" w:cs="仿宋_GB2312"/>
      <w:color w:val="000000"/>
      <w:sz w:val="22"/>
      <w:szCs w:val="22"/>
      <w:u w:val="none"/>
    </w:rPr>
  </w:style>
  <w:style w:type="character" w:customStyle="1" w:styleId="147">
    <w:name w:val="标题 6 Char"/>
    <w:link w:val="12"/>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7"/>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5"/>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9"/>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8"/>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2"/>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10"/>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20"/>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6"/>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11"/>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4"/>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10"/>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3"/>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2"/>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10"/>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5"/>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3"/>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4"/>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9"/>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10"/>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7"/>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7"/>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7"/>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6"/>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8"/>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11"/>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8"/>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7"/>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9"/>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6"/>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10"/>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7"/>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7"/>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8"/>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7"/>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8"/>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6"/>
    <w:qFormat/>
    <w:uiPriority w:val="0"/>
    <w:pPr>
      <w:tabs>
        <w:tab w:val="left" w:pos="840"/>
      </w:tabs>
      <w:adjustRightInd/>
      <w:ind w:left="840" w:hanging="420"/>
    </w:pPr>
  </w:style>
  <w:style w:type="paragraph" w:customStyle="1" w:styleId="625">
    <w:name w:val="样式 标题 2标题2H2Heading 2 HiddenHeading 2 CCBSheading 22nd lev..."/>
    <w:basedOn w:val="7"/>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7"/>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7"/>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6"/>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6"/>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10"/>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7"/>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8"/>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9"/>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8"/>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6"/>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10"/>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8"/>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2"/>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8"/>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6"/>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11"/>
    <w:next w:val="1"/>
    <w:qFormat/>
    <w:uiPriority w:val="0"/>
    <w:pPr>
      <w:tabs>
        <w:tab w:val="left" w:pos="1080"/>
      </w:tabs>
      <w:ind w:left="1080" w:hanging="1080"/>
    </w:pPr>
  </w:style>
  <w:style w:type="paragraph" w:customStyle="1" w:styleId="896">
    <w:name w:val="数字标题1"/>
    <w:basedOn w:val="6"/>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7"/>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5">
    <w:name w:val="reader-word-layer reader-word-s1-8"/>
    <w:basedOn w:val="1"/>
    <w:qFormat/>
    <w:uiPriority w:val="99"/>
    <w:pPr>
      <w:widowControl/>
      <w:adjustRightInd w:val="0"/>
      <w:spacing w:before="100" w:beforeAutospacing="1" w:after="100" w:afterAutospacing="1"/>
      <w:jc w:val="left"/>
    </w:pPr>
    <w:rPr>
      <w:rFonts w:ascii="宋体" w:hAnsi="宋体" w:cs="宋体"/>
      <w:kern w:val="0"/>
      <w:sz w:val="24"/>
    </w:rPr>
  </w:style>
  <w:style w:type="paragraph" w:customStyle="1" w:styleId="966">
    <w:name w:val="Style 4"/>
    <w:qFormat/>
    <w:uiPriority w:val="0"/>
    <w:pPr>
      <w:spacing w:line="444" w:lineRule="auto"/>
      <w:ind w:firstLine="400"/>
    </w:pPr>
    <w:rPr>
      <w:rFonts w:ascii="宋体" w:hAnsi="宋体" w:eastAsia="宋体" w:cs="宋体"/>
      <w:sz w:val="22"/>
      <w:szCs w:val="22"/>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40152</Words>
  <Characters>42752</Characters>
  <Paragraphs>1943</Paragraphs>
  <TotalTime>49</TotalTime>
  <ScaleCrop>false</ScaleCrop>
  <LinksUpToDate>false</LinksUpToDate>
  <CharactersWithSpaces>50218</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市交易中心</cp:lastModifiedBy>
  <cp:lastPrinted>2021-12-31T19:06:00Z</cp:lastPrinted>
  <dcterms:modified xsi:type="dcterms:W3CDTF">2025-03-20T07:07:07Z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