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val="0"/>
        <w:overflowPunct/>
        <w:topLinePunct w:val="0"/>
        <w:autoSpaceDE/>
        <w:autoSpaceDN/>
        <w:bidi w:val="0"/>
        <w:adjustRightInd/>
        <w:snapToGrid/>
        <w:spacing w:line="800" w:lineRule="exact"/>
        <w:jc w:val="center"/>
        <w:textAlignment w:val="auto"/>
        <w:rPr>
          <w:rFonts w:hint="eastAsia" w:ascii="隶书" w:hAnsi="隶书" w:eastAsia="隶书" w:cs="隶书"/>
          <w:b/>
          <w:bCs/>
          <w:color w:val="auto"/>
          <w:sz w:val="56"/>
          <w:szCs w:val="56"/>
          <w:highlight w:val="none"/>
          <w:lang w:eastAsia="zh-CN"/>
        </w:rPr>
      </w:pPr>
      <w:r>
        <w:rPr>
          <w:rFonts w:hint="eastAsia" w:ascii="隶书" w:hAnsi="隶书" w:eastAsia="隶书" w:cs="隶书"/>
          <w:b/>
          <w:bCs/>
          <w:color w:val="auto"/>
          <w:sz w:val="56"/>
          <w:szCs w:val="56"/>
          <w:highlight w:val="none"/>
          <w:lang w:eastAsia="zh-CN"/>
        </w:rPr>
        <w:t>绍兴市第一中学</w:t>
      </w:r>
    </w:p>
    <w:p>
      <w:pPr>
        <w:keepNext w:val="0"/>
        <w:keepLines w:val="0"/>
        <w:pageBreakBefore w:val="0"/>
        <w:widowControl w:val="0"/>
        <w:kinsoku/>
        <w:wordWrap w:val="0"/>
        <w:overflowPunct/>
        <w:topLinePunct w:val="0"/>
        <w:autoSpaceDE/>
        <w:autoSpaceDN/>
        <w:bidi w:val="0"/>
        <w:adjustRightInd/>
        <w:snapToGrid/>
        <w:spacing w:line="800" w:lineRule="exact"/>
        <w:jc w:val="center"/>
        <w:textAlignment w:val="auto"/>
        <w:rPr>
          <w:rFonts w:hint="eastAsia" w:ascii="隶书" w:hAnsi="隶书" w:eastAsia="隶书" w:cs="隶书"/>
          <w:b/>
          <w:bCs/>
          <w:color w:val="auto"/>
          <w:sz w:val="56"/>
          <w:szCs w:val="56"/>
          <w:highlight w:val="none"/>
          <w:lang w:eastAsia="zh-CN"/>
        </w:rPr>
      </w:pPr>
      <w:r>
        <w:rPr>
          <w:rFonts w:hint="eastAsia" w:ascii="隶书" w:hAnsi="隶书" w:eastAsia="隶书" w:cs="隶书"/>
          <w:b/>
          <w:bCs/>
          <w:color w:val="auto"/>
          <w:sz w:val="56"/>
          <w:szCs w:val="56"/>
          <w:highlight w:val="none"/>
          <w:lang w:eastAsia="zh-CN"/>
        </w:rPr>
        <w:t>2025年保洁、保安、绿化养护（租摆）与运行维护采购项目</w:t>
      </w:r>
    </w:p>
    <w:p>
      <w:pPr>
        <w:kinsoku/>
        <w:wordWrap w:val="0"/>
        <w:overflowPunct/>
        <w:topLinePunct w:val="0"/>
        <w:bidi w:val="0"/>
        <w:jc w:val="center"/>
        <w:outlineLvl w:val="0"/>
        <w:rPr>
          <w:rFonts w:hint="eastAsia" w:ascii="隶书" w:hAnsi="隶书" w:eastAsia="隶书" w:cs="隶书"/>
          <w:b/>
          <w:color w:val="auto"/>
          <w:sz w:val="72"/>
          <w:szCs w:val="72"/>
          <w:highlight w:val="none"/>
        </w:rPr>
      </w:pP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公</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开</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招</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标</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文</w:t>
      </w:r>
    </w:p>
    <w:p>
      <w:pPr>
        <w:kinsoku/>
        <w:wordWrap w:val="0"/>
        <w:overflowPunct/>
        <w:topLinePunct w:val="0"/>
        <w:bidi w:val="0"/>
        <w:jc w:val="center"/>
        <w:outlineLvl w:val="0"/>
        <w:rPr>
          <w:rFonts w:hint="eastAsia" w:ascii="隶书" w:hAnsi="隶书" w:eastAsia="隶书" w:cs="隶书"/>
          <w:color w:val="auto"/>
          <w:sz w:val="44"/>
          <w:highlight w:val="none"/>
        </w:rPr>
      </w:pPr>
      <w:r>
        <w:rPr>
          <w:rFonts w:hint="eastAsia" w:ascii="隶书" w:hAnsi="隶书" w:eastAsia="隶书" w:cs="隶书"/>
          <w:b/>
          <w:color w:val="auto"/>
          <w:sz w:val="72"/>
          <w:szCs w:val="72"/>
          <w:highlight w:val="none"/>
        </w:rPr>
        <w:t>件</w:t>
      </w:r>
    </w:p>
    <w:p>
      <w:pPr>
        <w:kinsoku/>
        <w:wordWrap w:val="0"/>
        <w:overflowPunct/>
        <w:topLinePunct w:val="0"/>
        <w:bidi w:val="0"/>
        <w:adjustRightInd/>
        <w:spacing w:line="360" w:lineRule="auto"/>
        <w:jc w:val="center"/>
        <w:rPr>
          <w:rFonts w:hint="eastAsia" w:ascii="隶书" w:hAnsi="隶书" w:eastAsia="隶书" w:cs="隶书"/>
          <w:b/>
          <w:color w:val="auto"/>
          <w:sz w:val="44"/>
          <w:szCs w:val="44"/>
          <w:highlight w:val="none"/>
        </w:rPr>
      </w:pPr>
      <w:r>
        <w:rPr>
          <w:rFonts w:hint="eastAsia" w:ascii="隶书" w:hAnsi="隶书" w:eastAsia="隶书" w:cs="隶书"/>
          <w:b/>
          <w:color w:val="auto"/>
          <w:sz w:val="44"/>
          <w:szCs w:val="44"/>
          <w:highlight w:val="none"/>
        </w:rPr>
        <w:t>（电子招投标）</w:t>
      </w:r>
    </w:p>
    <w:p>
      <w:pPr>
        <w:pStyle w:val="6"/>
        <w:kinsoku/>
        <w:wordWrap w:val="0"/>
        <w:overflowPunct/>
        <w:topLinePunct w:val="0"/>
        <w:bidi w:val="0"/>
        <w:rPr>
          <w:rFonts w:hint="eastAsia" w:ascii="隶书" w:hAnsi="隶书" w:eastAsia="隶书" w:cs="隶书"/>
          <w:b/>
          <w:color w:val="auto"/>
          <w:sz w:val="44"/>
          <w:szCs w:val="44"/>
          <w:highlight w:val="none"/>
        </w:rPr>
      </w:pPr>
    </w:p>
    <w:p>
      <w:pPr>
        <w:kinsoku/>
        <w:wordWrap w:val="0"/>
        <w:overflowPunct/>
        <w:topLinePunct w:val="0"/>
        <w:bidi w:val="0"/>
        <w:rPr>
          <w:rFonts w:hint="eastAsia"/>
          <w:color w:val="auto"/>
          <w:highlight w:val="none"/>
        </w:rPr>
      </w:pPr>
    </w:p>
    <w:p>
      <w:pPr>
        <w:kinsoku/>
        <w:wordWrap w:val="0"/>
        <w:overflowPunct/>
        <w:topLinePunct w:val="0"/>
        <w:bidi w:val="0"/>
        <w:jc w:val="center"/>
        <w:rPr>
          <w:rFonts w:hint="eastAsia" w:ascii="隶书" w:hAnsi="隶书" w:eastAsia="隶书" w:cs="隶书"/>
          <w:b w:val="0"/>
          <w:bCs/>
          <w:color w:val="auto"/>
          <w:sz w:val="28"/>
          <w:szCs w:val="28"/>
          <w:highlight w:val="none"/>
          <w:lang w:eastAsia="zh-CN"/>
        </w:rPr>
      </w:pPr>
      <w:r>
        <w:rPr>
          <w:rFonts w:hint="eastAsia" w:ascii="隶书" w:hAnsi="隶书" w:eastAsia="隶书" w:cs="隶书"/>
          <w:b/>
          <w:color w:val="auto"/>
          <w:sz w:val="44"/>
          <w:szCs w:val="44"/>
          <w:highlight w:val="none"/>
        </w:rPr>
        <w:t xml:space="preserve"> </w:t>
      </w:r>
      <w:r>
        <w:rPr>
          <w:rFonts w:hint="eastAsia" w:ascii="隶书" w:hAnsi="隶书" w:eastAsia="隶书" w:cs="隶书"/>
          <w:b w:val="0"/>
          <w:bCs/>
          <w:color w:val="auto"/>
          <w:sz w:val="28"/>
          <w:szCs w:val="28"/>
          <w:highlight w:val="none"/>
          <w:lang w:eastAsia="zh-CN"/>
        </w:rPr>
        <w:t>招标编号:</w:t>
      </w:r>
      <w:r>
        <w:rPr>
          <w:rFonts w:hint="eastAsia" w:ascii="隶书" w:hAnsi="隶书" w:eastAsia="隶书" w:cs="隶书"/>
          <w:b/>
          <w:bCs w:val="0"/>
          <w:color w:val="auto"/>
          <w:sz w:val="28"/>
          <w:szCs w:val="28"/>
          <w:highlight w:val="none"/>
          <w:lang w:eastAsia="zh-CN"/>
        </w:rPr>
        <w:t>2025-01-0002</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rPr>
              <w:t>采购单</w:t>
            </w:r>
            <w:r>
              <w:rPr>
                <w:rFonts w:hint="eastAsia" w:ascii="隶书" w:hAnsi="隶书" w:eastAsia="隶书" w:cs="隶书"/>
                <w:color w:val="auto"/>
                <w:spacing w:val="1"/>
                <w:kern w:val="0"/>
                <w:sz w:val="28"/>
                <w:szCs w:val="28"/>
                <w:highlight w:val="none"/>
              </w:rPr>
              <w:t>位</w:t>
            </w:r>
            <w:r>
              <w:rPr>
                <w:rFonts w:hint="eastAsia" w:ascii="隶书" w:hAnsi="隶书" w:eastAsia="隶书" w:cs="隶书"/>
                <w:color w:val="auto"/>
                <w:sz w:val="28"/>
                <w:szCs w:val="28"/>
                <w:highlight w:val="none"/>
              </w:rPr>
              <w:t>：</w:t>
            </w:r>
          </w:p>
        </w:tc>
        <w:tc>
          <w:tcPr>
            <w:tcW w:w="5445" w:type="dxa"/>
            <w:vAlign w:val="center"/>
          </w:tcPr>
          <w:p>
            <w:pPr>
              <w:kinsoku/>
              <w:wordWrap w:val="0"/>
              <w:overflowPunct/>
              <w:topLinePunct w:val="0"/>
              <w:bidi w:val="0"/>
              <w:spacing w:line="320" w:lineRule="exact"/>
              <w:outlineLvl w:val="0"/>
              <w:rPr>
                <w:rFonts w:hint="eastAsia" w:ascii="隶书" w:hAnsi="隶书" w:eastAsia="隶书" w:cs="隶书"/>
                <w:color w:val="auto"/>
                <w:sz w:val="28"/>
                <w:szCs w:val="28"/>
                <w:highlight w:val="none"/>
                <w:lang w:eastAsia="zh-CN"/>
              </w:rPr>
            </w:pPr>
            <w:r>
              <w:rPr>
                <w:rFonts w:hint="eastAsia" w:ascii="隶书" w:hAnsi="隶书" w:eastAsia="隶书" w:cs="隶书"/>
                <w:color w:val="auto"/>
                <w:sz w:val="28"/>
                <w:szCs w:val="28"/>
                <w:highlight w:val="none"/>
                <w:lang w:eastAsia="zh-CN"/>
              </w:rPr>
              <w:t>绍兴市第一中学</w:t>
            </w:r>
          </w:p>
        </w:tc>
      </w:tr>
      <w:tr>
        <w:tblPrEx>
          <w:tblCellMar>
            <w:top w:w="0" w:type="dxa"/>
            <w:left w:w="108" w:type="dxa"/>
            <w:bottom w:w="0" w:type="dxa"/>
            <w:right w:w="108" w:type="dxa"/>
          </w:tblCellMar>
        </w:tblPrEx>
        <w:trPr>
          <w:trHeight w:val="494" w:hRule="atLeast"/>
          <w:jc w:val="center"/>
        </w:trPr>
        <w:tc>
          <w:tcPr>
            <w:tcW w:w="2356" w:type="dxa"/>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0"/>
                <w:w w:val="100"/>
                <w:kern w:val="0"/>
                <w:sz w:val="28"/>
                <w:szCs w:val="28"/>
                <w:highlight w:val="none"/>
                <w:fitText w:val="1680" w:id="1811156363"/>
              </w:rPr>
              <w:t>采购代理机构</w:t>
            </w:r>
            <w:r>
              <w:rPr>
                <w:rFonts w:hint="eastAsia" w:ascii="隶书" w:hAnsi="隶书" w:eastAsia="隶书" w:cs="隶书"/>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fitText w:val="1680" w:id="652623389"/>
              </w:rPr>
              <w:t>监督单</w:t>
            </w:r>
            <w:r>
              <w:rPr>
                <w:rFonts w:hint="eastAsia" w:ascii="隶书" w:hAnsi="隶书" w:eastAsia="隶书" w:cs="隶书"/>
                <w:color w:val="auto"/>
                <w:spacing w:val="1"/>
                <w:kern w:val="0"/>
                <w:sz w:val="28"/>
                <w:szCs w:val="28"/>
                <w:highlight w:val="none"/>
                <w:fitText w:val="1680" w:id="652623389"/>
              </w:rPr>
              <w:t>位</w:t>
            </w:r>
            <w:r>
              <w:rPr>
                <w:rFonts w:hint="eastAsia" w:ascii="隶书" w:hAnsi="隶书" w:eastAsia="隶书" w:cs="隶书"/>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kinsoku/>
              <w:wordWrap w:val="0"/>
              <w:overflowPunct/>
              <w:topLinePunct w:val="0"/>
              <w:bidi w:val="0"/>
              <w:spacing w:after="100" w:afterAutospacing="1" w:line="440" w:lineRule="exact"/>
              <w:rPr>
                <w:rFonts w:hint="eastAsia" w:ascii="隶书" w:hAnsi="隶书" w:eastAsia="隶书" w:cs="隶书"/>
                <w:color w:val="auto"/>
                <w:spacing w:val="1400"/>
                <w:kern w:val="0"/>
                <w:sz w:val="28"/>
                <w:szCs w:val="28"/>
                <w:highlight w:val="none"/>
                <w:fitText w:val="1680" w:id="1"/>
              </w:rPr>
            </w:pP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kinsoku/>
              <w:wordWrap w:val="0"/>
              <w:overflowPunct/>
              <w:topLinePunct w:val="0"/>
              <w:bidi w:val="0"/>
              <w:spacing w:after="100" w:afterAutospacing="1" w:line="440" w:lineRule="exact"/>
              <w:jc w:val="center"/>
              <w:rPr>
                <w:rFonts w:hint="eastAsia" w:ascii="隶书" w:hAnsi="隶书" w:eastAsia="隶书" w:cs="隶书"/>
                <w:color w:val="auto"/>
                <w:sz w:val="28"/>
                <w:szCs w:val="28"/>
                <w:highlight w:val="none"/>
              </w:rPr>
            </w:pPr>
            <w:r>
              <w:rPr>
                <w:rFonts w:hint="eastAsia" w:ascii="隶书" w:hAnsi="隶书" w:eastAsia="隶书" w:cs="隶书"/>
                <w:color w:val="auto"/>
                <w:sz w:val="28"/>
                <w:szCs w:val="28"/>
                <w:highlight w:val="none"/>
              </w:rPr>
              <w:t>二○二</w:t>
            </w:r>
            <w:r>
              <w:rPr>
                <w:rFonts w:hint="eastAsia" w:ascii="隶书" w:hAnsi="隶书" w:eastAsia="隶书" w:cs="隶书"/>
                <w:color w:val="auto"/>
                <w:sz w:val="28"/>
                <w:szCs w:val="28"/>
                <w:highlight w:val="none"/>
                <w:lang w:val="en-US" w:eastAsia="zh-CN"/>
              </w:rPr>
              <w:t>五</w:t>
            </w:r>
            <w:r>
              <w:rPr>
                <w:rFonts w:hint="eastAsia" w:ascii="隶书" w:hAnsi="隶书" w:eastAsia="隶书" w:cs="隶书"/>
                <w:color w:val="auto"/>
                <w:sz w:val="28"/>
                <w:szCs w:val="28"/>
                <w:highlight w:val="none"/>
              </w:rPr>
              <w:t>年</w:t>
            </w:r>
            <w:r>
              <w:rPr>
                <w:rFonts w:hint="eastAsia" w:ascii="隶书" w:hAnsi="隶书" w:eastAsia="隶书" w:cs="隶书"/>
                <w:color w:val="auto"/>
                <w:sz w:val="28"/>
                <w:szCs w:val="28"/>
                <w:highlight w:val="none"/>
                <w:lang w:val="en-US" w:eastAsia="zh-CN"/>
              </w:rPr>
              <w:t>一</w:t>
            </w:r>
            <w:r>
              <w:rPr>
                <w:rFonts w:hint="eastAsia" w:ascii="隶书" w:hAnsi="隶书" w:eastAsia="隶书" w:cs="隶书"/>
                <w:color w:val="auto"/>
                <w:sz w:val="28"/>
                <w:szCs w:val="28"/>
                <w:highlight w:val="none"/>
              </w:rPr>
              <w:t>月</w:t>
            </w:r>
          </w:p>
        </w:tc>
      </w:tr>
    </w:tbl>
    <w:p>
      <w:pPr>
        <w:pStyle w:val="635"/>
        <w:kinsoku/>
        <w:wordWrap w:val="0"/>
        <w:overflowPunct/>
        <w:topLinePunct w:val="0"/>
        <w:bidi w:val="0"/>
        <w:rPr>
          <w:rFonts w:hint="eastAsia" w:ascii="仿宋" w:hAnsi="仿宋" w:eastAsia="仿宋" w:cs="仿宋"/>
          <w:color w:val="auto"/>
          <w:highlight w:val="none"/>
        </w:rPr>
        <w:sectPr>
          <w:headerReference r:id="rId4" w:type="first"/>
          <w:headerReference r:id="rId3" w:type="default"/>
          <w:footerReference r:id="rId5" w:type="default"/>
          <w:footerReference r:id="rId6" w:type="even"/>
          <w:pgSz w:w="11906" w:h="16838"/>
          <w:pgMar w:top="1474" w:right="1814" w:bottom="1474" w:left="1814" w:header="851" w:footer="992" w:gutter="0"/>
          <w:pgNumType w:fmt="decimal" w:start="1"/>
          <w:cols w:space="720" w:num="1"/>
          <w:titlePg/>
          <w:docGrid w:linePitch="312" w:charSpace="0"/>
        </w:sectPr>
      </w:pPr>
    </w:p>
    <w:p>
      <w:pPr>
        <w:pStyle w:val="635"/>
        <w:pageBreakBefore w:val="0"/>
        <w:widowControl w:val="0"/>
        <w:kinsoku/>
        <w:wordWrap w:val="0"/>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bookmarkStart w:id="0" w:name="_Hlt91233176"/>
      <w:bookmarkEnd w:id="0"/>
      <w:bookmarkStart w:id="1" w:name="_Toc91899869"/>
      <w:r>
        <w:rPr>
          <w:rFonts w:hint="eastAsia" w:ascii="仿宋_GB2312" w:hAnsi="仿宋_GB2312" w:eastAsia="仿宋_GB2312" w:cs="仿宋_GB2312"/>
          <w:b/>
          <w:color w:val="auto"/>
          <w:sz w:val="44"/>
          <w:szCs w:val="44"/>
          <w:highlight w:val="none"/>
        </w:rPr>
        <w:t>目录</w:t>
      </w: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color w:val="auto"/>
          <w:highlight w:val="none"/>
        </w:rPr>
      </w:pP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第一部分    招标公告</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 xml:space="preserve">第二部分   </w:t>
      </w:r>
      <w:r>
        <w:rPr>
          <w:rFonts w:hint="eastAsia" w:ascii="仿宋_GB2312" w:hAnsi="仿宋_GB2312" w:eastAsia="仿宋_GB2312" w:cs="仿宋_GB2312"/>
          <w:b/>
          <w:color w:val="auto"/>
          <w:sz w:val="36"/>
          <w:szCs w:val="36"/>
          <w:highlight w:val="none"/>
          <w:lang w:val="en-US" w:eastAsia="zh-CN"/>
        </w:rPr>
        <w:t xml:space="preserve"> </w:t>
      </w:r>
      <w:r>
        <w:rPr>
          <w:rFonts w:hint="eastAsia" w:ascii="仿宋_GB2312" w:hAnsi="仿宋_GB2312" w:eastAsia="仿宋_GB2312" w:cs="仿宋_GB2312"/>
          <w:b/>
          <w:color w:val="auto"/>
          <w:sz w:val="36"/>
          <w:szCs w:val="36"/>
          <w:highlight w:val="none"/>
        </w:rPr>
        <w:t>投标须知</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第三部分    招标项目范围及要求</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第四部分    合同的主要条款</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第六部分    投标文件及其附件格式</w:t>
      </w: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bookmarkEnd w:id="1"/>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sectPr>
          <w:headerReference r:id="rId8" w:type="first"/>
          <w:footerReference r:id="rId10" w:type="first"/>
          <w:headerReference r:id="rId7" w:type="default"/>
          <w:footerReference r:id="rId9" w:type="default"/>
          <w:pgSz w:w="11906" w:h="16838"/>
          <w:pgMar w:top="1474" w:right="1814" w:bottom="1474" w:left="1814" w:header="851" w:footer="992" w:gutter="0"/>
          <w:pgNumType w:fmt="decimal"/>
          <w:cols w:space="720" w:num="1"/>
          <w:titlePg/>
          <w:docGrid w:linePitch="312" w:charSpace="0"/>
        </w:sectPr>
      </w:pP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绍兴市第一中学2025年保洁、保安、绿化养护（租摆）与运行维护采购项目  </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6"/>
          <w:rFonts w:hint="eastAsia" w:ascii="仿宋_GB2312" w:hAnsi="仿宋_GB2312" w:eastAsia="仿宋_GB2312" w:cs="仿宋_GB2312"/>
          <w:snapToGrid/>
          <w:color w:val="auto"/>
          <w:kern w:val="2"/>
          <w:sz w:val="24"/>
          <w:szCs w:val="24"/>
          <w:highlight w:val="none"/>
        </w:rPr>
        <w:t>https://www.zcygov.cn/）获取（下载）招标文件，并于202 年 月 日 点 分</w:t>
      </w:r>
      <w:r>
        <w:rPr>
          <w:rStyle w:val="76"/>
          <w:rFonts w:hint="eastAsia" w:ascii="仿宋_GB2312" w:hAnsi="仿宋_GB2312" w:eastAsia="仿宋_GB2312" w:cs="仿宋_GB2312"/>
          <w:bCs/>
          <w:snapToGrid/>
          <w:color w:val="auto"/>
          <w:kern w:val="2"/>
          <w:sz w:val="24"/>
          <w:szCs w:val="24"/>
          <w:highlight w:val="none"/>
        </w:rPr>
        <w:t>00秒</w:t>
      </w:r>
      <w:r>
        <w:rPr>
          <w:rStyle w:val="76"/>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2025-01-0002</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Cs/>
          <w:color w:val="auto"/>
          <w:sz w:val="24"/>
          <w:highlight w:val="none"/>
          <w:lang w:eastAsia="zh-CN"/>
        </w:rPr>
        <w:t>绍兴市第一中学2025年保洁、保安、绿化养护（租摆）与运行维护采购项目</w:t>
      </w:r>
      <w:r>
        <w:rPr>
          <w:rFonts w:hint="eastAsia" w:ascii="仿宋_GB2312" w:hAnsi="仿宋_GB2312" w:eastAsia="仿宋_GB2312" w:cs="仿宋_GB2312"/>
          <w:color w:val="auto"/>
          <w:sz w:val="24"/>
          <w:highlight w:val="none"/>
          <w:lang w:val="en-US" w:eastAsia="zh-CN"/>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预算金额（元）：1343000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最高限价（元）：1343000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标项名称：</w:t>
      </w:r>
      <w:r>
        <w:rPr>
          <w:rFonts w:hint="eastAsia" w:ascii="仿宋_GB2312" w:hAnsi="仿宋_GB2312" w:eastAsia="仿宋_GB2312" w:cs="仿宋_GB2312"/>
          <w:bCs/>
          <w:color w:val="auto"/>
          <w:sz w:val="24"/>
          <w:highlight w:val="none"/>
          <w:lang w:eastAsia="zh-CN"/>
        </w:rPr>
        <w:t>2025年保洁、保安、绿化养护（租摆）与运行维护采购项目</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eastAsia="zh-CN"/>
        </w:rPr>
      </w:pPr>
      <w:r>
        <w:rPr>
          <w:rFonts w:hint="eastAsia" w:ascii="仿宋_GB2312" w:hAnsi="仿宋_GB2312" w:eastAsia="仿宋_GB2312" w:cs="仿宋_GB2312"/>
          <w:bCs/>
          <w:color w:val="auto"/>
          <w:sz w:val="24"/>
          <w:highlight w:val="none"/>
          <w:lang w:val="en-US" w:eastAsia="zh-CN"/>
        </w:rPr>
        <w:t>预算金额：1343000</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主要内容： 简要规格描述或项目基本概况介绍、用途，详见采购文件</w:t>
      </w:r>
      <w:r>
        <w:rPr>
          <w:rFonts w:hint="eastAsia" w:ascii="仿宋_GB2312" w:hAnsi="仿宋_GB2312" w:eastAsia="仿宋_GB2312" w:cs="仿宋_GB2312"/>
          <w:b w:val="0"/>
          <w:bCs/>
          <w:color w:val="auto"/>
          <w:sz w:val="24"/>
          <w:highlight w:val="none"/>
        </w:rPr>
        <w:t>。</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sdt>
        <w:sdtPr>
          <w:rPr>
            <w:rFonts w:hint="eastAsia" w:ascii="仿宋_GB2312" w:hAnsi="仿宋_GB2312" w:eastAsia="仿宋_GB2312" w:cs="仿宋_GB2312"/>
            <w:highlight w:val="none"/>
          </w:rPr>
          <w:id w:val="337506595"/>
        </w:sdtPr>
        <w:sdtEndPr>
          <w:rPr>
            <w:rFonts w:hint="eastAsia" w:ascii="仿宋_GB2312" w:hAnsi="仿宋_GB2312" w:eastAsia="仿宋_GB2312" w:cs="仿宋_GB2312"/>
            <w:highlight w:val="none"/>
          </w:rPr>
        </w:sdtEndPr>
        <w:sdtContent>
          <w:r>
            <w:rPr>
              <w:rFonts w:hint="eastAsia" w:ascii="仿宋_GB2312" w:hAnsi="仿宋_GB2312" w:eastAsia="仿宋_GB2312" w:cs="仿宋_GB2312"/>
              <w:highlight w:val="none"/>
            </w:rPr>
            <w:sym w:font="Wingdings" w:char="F0FE"/>
          </w:r>
        </w:sdtContent>
      </w:sdt>
      <w:r>
        <w:rPr>
          <w:rFonts w:hint="eastAsia" w:ascii="仿宋_GB2312" w:hAnsi="仿宋_GB2312" w:eastAsia="仿宋_GB2312" w:cs="仿宋_GB2312"/>
          <w:b/>
          <w:color w:val="auto"/>
          <w:sz w:val="24"/>
          <w:highlight w:val="none"/>
        </w:rPr>
        <w:t>是，</w:t>
      </w:r>
      <w:r>
        <w:rPr>
          <w:rFonts w:hint="eastAsia" w:ascii="仿宋_GB2312" w:hAnsi="仿宋_GB2312" w:eastAsia="仿宋_GB2312" w:cs="仿宋_GB2312"/>
          <w:szCs w:val="24"/>
          <w:highlight w:val="none"/>
        </w:rPr>
        <w:t>☐</w:t>
      </w:r>
      <w:r>
        <w:rPr>
          <w:rFonts w:hint="eastAsia" w:ascii="仿宋_GB2312" w:hAnsi="仿宋_GB2312" w:eastAsia="仿宋_GB2312" w:cs="仿宋_GB2312"/>
          <w:b/>
          <w:color w:val="auto"/>
          <w:sz w:val="24"/>
          <w:highlight w:val="none"/>
        </w:rPr>
        <w:t>否。</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A8"/>
          </w:r>
        </w:sdtContent>
      </w:sdt>
      <w:r>
        <w:rPr>
          <w:rFonts w:hint="eastAsia" w:ascii="仿宋_GB2312" w:hAnsi="仿宋_GB2312" w:eastAsia="仿宋_GB2312" w:cs="仿宋_GB2312"/>
          <w:color w:val="auto"/>
          <w:sz w:val="24"/>
          <w:highlight w:val="none"/>
        </w:rPr>
        <w:t>无；</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sz w:val="24"/>
          <w:highlight w:val="none"/>
        </w:rPr>
        <w:t>服务全部由符合政策要求的中小企业承接，提供中小企业声明函；</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sz w:val="24"/>
          <w:highlight w:val="none"/>
        </w:rPr>
        <w:t>服务全部由符合政策要求的小微企业承接，提供中小企业声明函；</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w:t>
      </w:r>
      <w:r>
        <w:rPr>
          <w:rFonts w:hint="eastAsia" w:ascii="仿宋_GB2312" w:hAnsi="仿宋_GB2312" w:eastAsia="仿宋_GB2312" w:cs="仿宋_GB2312"/>
          <w:color w:val="auto"/>
          <w:sz w:val="24"/>
          <w:highlight w:val="none"/>
          <w:lang w:val="en-US" w:eastAsia="zh-CN"/>
        </w:rPr>
        <w:t>无</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napToGrid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 年 月 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 年 月 日 点 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 年 月 日 点 分00秒</w:t>
      </w:r>
      <w:r>
        <w:rPr>
          <w:rFonts w:hint="eastAsia" w:ascii="仿宋_GB2312" w:hAnsi="仿宋_GB2312" w:eastAsia="仿宋_GB2312" w:cs="仿宋_GB2312"/>
          <w:bCs/>
          <w:color w:val="auto"/>
          <w:sz w:val="24"/>
          <w:highlight w:val="none"/>
          <w:u w:val="single"/>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pPr>
        <w:pStyle w:val="6"/>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szCs w:val="24"/>
          <w:highlight w:val="none"/>
        </w:rPr>
      </w:pPr>
      <w:bookmarkStart w:id="5" w:name="_Toc28359019"/>
      <w:bookmarkStart w:id="6" w:name="_Toc35393806"/>
      <w:bookmarkStart w:id="7" w:name="_Toc35393637"/>
      <w:bookmarkStart w:id="8" w:name="_Toc28359096"/>
      <w:r>
        <w:rPr>
          <w:rFonts w:hint="eastAsia" w:ascii="仿宋_GB2312" w:hAnsi="仿宋_GB2312" w:eastAsia="仿宋_GB2312" w:cs="仿宋_GB2312"/>
          <w:color w:val="auto"/>
          <w:sz w:val="24"/>
          <w:szCs w:val="24"/>
          <w:highlight w:val="none"/>
        </w:rPr>
        <w:t>1.采购人信息</w:t>
      </w:r>
      <w:bookmarkEnd w:id="5"/>
      <w:bookmarkEnd w:id="6"/>
      <w:bookmarkEnd w:id="7"/>
      <w:bookmarkEnd w:id="8"/>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名    称：</w:t>
      </w:r>
      <w:r>
        <w:rPr>
          <w:rFonts w:hint="eastAsia" w:ascii="仿宋_GB2312" w:hAnsi="仿宋_GB2312" w:eastAsia="仿宋_GB2312" w:cs="仿宋_GB2312"/>
          <w:color w:val="auto"/>
          <w:sz w:val="24"/>
          <w:highlight w:val="none"/>
          <w:lang w:eastAsia="zh-CN"/>
        </w:rPr>
        <w:t>绍兴市第一中学</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地    址：绍兴市越城区站前大道1898号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传    真：0575-85338008</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项目联系人（询问）：孟德超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项目联系方式（询问）：0575-85338008</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质疑联系人：陈昌勇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质疑联系方式：18906858101</w:t>
      </w:r>
    </w:p>
    <w:p>
      <w:pPr>
        <w:pStyle w:val="6"/>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bookmarkStart w:id="9" w:name="_Toc35393638"/>
      <w:bookmarkStart w:id="10" w:name="_Toc28359020"/>
      <w:bookmarkStart w:id="11" w:name="_Toc28359097"/>
      <w:bookmarkStart w:id="12" w:name="_Toc35393807"/>
      <w:r>
        <w:rPr>
          <w:rFonts w:hint="eastAsia" w:ascii="仿宋_GB2312" w:hAnsi="仿宋_GB2312" w:eastAsia="仿宋_GB2312" w:cs="仿宋_GB2312"/>
          <w:color w:val="auto"/>
          <w:sz w:val="24"/>
          <w:szCs w:val="24"/>
          <w:highlight w:val="none"/>
        </w:rPr>
        <w:t>2.采购代理机构信息</w:t>
      </w:r>
      <w:bookmarkEnd w:id="9"/>
      <w:bookmarkEnd w:id="10"/>
      <w:bookmarkEnd w:id="11"/>
      <w:bookmarkEnd w:id="12"/>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bookmarkStart w:id="13" w:name="_Toc35393639"/>
      <w:bookmarkStart w:id="14" w:name="_Toc28359021"/>
      <w:bookmarkStart w:id="15" w:name="_Toc35393808"/>
      <w:bookmarkStart w:id="16" w:name="_Toc28359098"/>
      <w:r>
        <w:rPr>
          <w:rFonts w:hint="eastAsia" w:ascii="仿宋_GB2312" w:hAnsi="仿宋_GB2312" w:eastAsia="仿宋_GB2312" w:cs="仿宋_GB2312"/>
          <w:color w:val="auto"/>
          <w:sz w:val="24"/>
          <w:highlight w:val="none"/>
        </w:rPr>
        <w:t>名    称：绍兴市公共资源交易中心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址：绍兴市越城区迪荡新城鼎盛时代大厦431室</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传    真：0575-88307029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项目联系人（询问）：黄世杰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项目联系方式（询问）：0575-88307028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质疑联系人：顾梁杰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color w:val="auto"/>
          <w:sz w:val="24"/>
          <w:highlight w:val="none"/>
        </w:rPr>
        <w:t>质疑联系方式：0575-88307026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kern w:val="2"/>
          <w:sz w:val="24"/>
          <w:szCs w:val="24"/>
          <w:highlight w:val="none"/>
          <w:lang w:val="zh-CN" w:eastAsia="zh-CN" w:bidi="ar-SA"/>
        </w:rPr>
        <w:t xml:space="preserve">3. 同级政府采购监督管理部门： </w:t>
      </w:r>
      <w:r>
        <w:rPr>
          <w:rFonts w:hint="eastAsia" w:ascii="仿宋_GB2312" w:hAnsi="仿宋_GB2312" w:eastAsia="仿宋_GB2312" w:cs="仿宋_GB2312"/>
          <w:color w:val="auto"/>
          <w:sz w:val="24"/>
          <w:highlight w:val="none"/>
        </w:rPr>
        <w:t xml:space="preserve">           </w:t>
      </w:r>
    </w:p>
    <w:bookmarkEnd w:id="13"/>
    <w:bookmarkEnd w:id="14"/>
    <w:bookmarkEnd w:id="15"/>
    <w:bookmarkEnd w:id="16"/>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名</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称：绍兴市财政局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地</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址：绍兴市越城区凤林西路151号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传</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真：0575-85209697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联 系 人 ：张婷婷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监督投诉电话：0575-85209697 </w:t>
      </w:r>
      <w:r>
        <w:rPr>
          <w:rFonts w:hint="eastAsia" w:ascii="仿宋_GB2312" w:hAnsi="仿宋_GB2312" w:eastAsia="仿宋_GB2312" w:cs="仿宋_GB2312"/>
          <w:color w:val="auto"/>
          <w:sz w:val="24"/>
          <w:highlight w:val="none"/>
        </w:rPr>
        <w:t xml:space="preserve">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pPr>
        <w:widowControl/>
        <w:kinsoku/>
        <w:wordWrap w:val="0"/>
        <w:overflowPunct/>
        <w:topLinePunct w:val="0"/>
        <w:bidi w:val="0"/>
        <w:adjustRightInd/>
        <w:jc w:val="left"/>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br w:type="page"/>
      </w: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第二部分</w:t>
      </w:r>
      <w:bookmarkEnd w:id="2"/>
      <w:r>
        <w:rPr>
          <w:rFonts w:hint="eastAsia" w:ascii="仿宋_GB2312" w:hAnsi="仿宋_GB2312" w:eastAsia="仿宋_GB2312" w:cs="仿宋_GB2312"/>
          <w:b/>
          <w:color w:val="auto"/>
          <w:sz w:val="36"/>
          <w:szCs w:val="20"/>
          <w:highlight w:val="none"/>
        </w:rPr>
        <w:t xml:space="preserve"> 投标须知</w:t>
      </w:r>
      <w:bookmarkEnd w:id="3"/>
    </w:p>
    <w:p>
      <w:pPr>
        <w:kinsoku/>
        <w:wordWrap w:val="0"/>
        <w:overflowPunct/>
        <w:topLinePunct w:val="0"/>
        <w:bidi w:val="0"/>
        <w:adjustRightInd/>
        <w:spacing w:line="360" w:lineRule="auto"/>
        <w:ind w:firstLine="3845" w:firstLineChars="1197"/>
        <w:outlineLvl w:val="0"/>
        <w:rPr>
          <w:rFonts w:hint="eastAsia" w:ascii="仿宋_GB2312" w:hAnsi="仿宋_GB2312" w:eastAsia="仿宋_GB2312" w:cs="仿宋_GB2312"/>
          <w:b/>
          <w:color w:val="auto"/>
          <w:sz w:val="32"/>
          <w:szCs w:val="20"/>
          <w:highlight w:val="none"/>
        </w:rPr>
      </w:pPr>
      <w:r>
        <w:rPr>
          <w:rFonts w:hint="eastAsia" w:ascii="仿宋_GB2312" w:hAnsi="仿宋_GB2312" w:eastAsia="仿宋_GB2312" w:cs="仿宋_GB2312"/>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370"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370" w:type="dxa"/>
            <w:gridSpan w:val="2"/>
            <w:vAlign w:val="center"/>
          </w:tcPr>
          <w:p>
            <w:pPr>
              <w:spacing w:line="440" w:lineRule="exact"/>
              <w:rPr>
                <w:rFonts w:hint="eastAsia" w:ascii="仿宋_GB2312" w:hAnsi="仿宋_GB2312" w:eastAsia="仿宋_GB2312" w:cs="仿宋_GB2312"/>
                <w:sz w:val="24"/>
                <w:highlight w:val="none"/>
              </w:rPr>
            </w:pPr>
            <w:r>
              <w:rPr>
                <w:rFonts w:hint="eastAsia" w:ascii="仿宋_GB2312" w:hAnsi="仿宋_GB2312" w:eastAsia="仿宋_GB2312" w:cs="仿宋_GB2312"/>
                <w:b/>
                <w:sz w:val="24"/>
                <w:highlight w:val="none"/>
              </w:rPr>
              <w:t>分包：</w:t>
            </w:r>
            <w:r>
              <w:rPr>
                <w:rFonts w:hint="eastAsia" w:ascii="仿宋_GB2312" w:hAnsi="仿宋_GB2312" w:eastAsia="仿宋_GB2312" w:cs="仿宋_GB2312"/>
                <w:kern w:val="0"/>
                <w:sz w:val="24"/>
                <w:highlight w:val="none"/>
              </w:rPr>
              <w:t>☐A</w:t>
            </w:r>
            <w:r>
              <w:rPr>
                <w:rFonts w:hint="eastAsia" w:ascii="仿宋_GB2312" w:hAnsi="仿宋_GB2312" w:eastAsia="仿宋_GB2312" w:cs="仿宋_GB2312"/>
                <w:sz w:val="24"/>
                <w:highlight w:val="none"/>
              </w:rPr>
              <w:t>同意将非主体、非关键性的</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工作分包。</w:t>
            </w:r>
          </w:p>
          <w:p>
            <w:pPr>
              <w:keepNext w:val="0"/>
              <w:keepLines w:val="0"/>
              <w:pageBreakBefore w:val="0"/>
              <w:widowControl w:val="0"/>
              <w:kinsoku/>
              <w:wordWrap w:val="0"/>
              <w:overflowPunct/>
              <w:topLinePunct w:val="0"/>
              <w:bidi w:val="0"/>
              <w:adjustRightInd w:val="0"/>
              <w:spacing w:line="440" w:lineRule="exact"/>
              <w:ind w:left="0" w:leftChars="0" w:right="0" w:rightChars="0" w:firstLine="720" w:firstLineChars="3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kern w:val="0"/>
                <w:sz w:val="24"/>
                <w:highlight w:val="none"/>
              </w:rPr>
              <w:sym w:font="Wingdings" w:char="F0FE"/>
            </w:r>
            <w:r>
              <w:rPr>
                <w:rFonts w:hint="eastAsia" w:ascii="仿宋_GB2312" w:hAnsi="仿宋_GB2312" w:eastAsia="仿宋_GB2312" w:cs="仿宋_GB2312"/>
                <w:kern w:val="0"/>
                <w:sz w:val="24"/>
                <w:highlight w:val="none"/>
              </w:rPr>
              <w:t>B</w:t>
            </w:r>
            <w:r>
              <w:rPr>
                <w:rFonts w:hint="eastAsia" w:ascii="仿宋_GB2312" w:hAnsi="仿宋_GB2312" w:eastAsia="仿宋_GB2312" w:cs="仿宋_GB2312"/>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370"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开标前答疑会或现场考察：</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109"/>
                <w:showingPlcHdr/>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不组织。</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kern w:val="0"/>
                  <w:sz w:val="24"/>
                  <w:highlight w:val="none"/>
                </w:rPr>
                <w:id w:val="109"/>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t>☐</w:t>
                </w:r>
              </w:sdtContent>
            </w:sdt>
            <w:r>
              <w:rPr>
                <w:rFonts w:hint="eastAsia" w:ascii="仿宋_GB2312" w:hAnsi="仿宋_GB2312" w:eastAsia="仿宋_GB2312" w:cs="仿宋_GB2312"/>
                <w:color w:val="auto"/>
                <w:kern w:val="0"/>
                <w:sz w:val="24"/>
                <w:highlight w:val="none"/>
              </w:rPr>
              <w:t>B组织，</w:t>
            </w:r>
            <w:r>
              <w:rPr>
                <w:rFonts w:hint="eastAsia" w:ascii="仿宋_GB2312" w:hAnsi="仿宋_GB2312" w:eastAsia="仿宋_GB2312" w:cs="仿宋_GB2312"/>
                <w:color w:val="auto"/>
                <w:sz w:val="24"/>
                <w:highlight w:val="none"/>
              </w:rPr>
              <w:t>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，联系方式：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B要求提供，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评标办法</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否；□是，检测机构的要求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sz w:val="24"/>
                <w:highlight w:val="none"/>
              </w:rPr>
              <w:t>（</w:t>
            </w:r>
            <w:r>
              <w:rPr>
                <w:rFonts w:hint="eastAsia" w:ascii="仿宋_GB2312" w:hAnsi="仿宋_GB2312" w:eastAsia="仿宋_GB2312" w:cs="仿宋_GB2312"/>
                <w:b w:val="0"/>
                <w:bCs w:val="0"/>
                <w:color w:val="auto"/>
                <w:sz w:val="24"/>
                <w:highlight w:val="none"/>
                <w:lang w:val="en-US"/>
              </w:rPr>
              <w:t>8</w:t>
            </w:r>
            <w:r>
              <w:rPr>
                <w:rFonts w:hint="eastAsia" w:ascii="仿宋_GB2312" w:hAnsi="仿宋_GB2312" w:eastAsia="仿宋_GB2312" w:cs="仿宋_GB2312"/>
                <w:b w:val="0"/>
                <w:bCs w:val="0"/>
                <w:color w:val="auto"/>
                <w:sz w:val="24"/>
                <w:highlight w:val="none"/>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370" w:type="dxa"/>
            <w:gridSpan w:val="2"/>
            <w:vAlign w:val="center"/>
          </w:tcPr>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方案讲解演示：</w:t>
            </w:r>
          </w:p>
          <w:p>
            <w:pPr>
              <w:spacing w:line="440" w:lineRule="exact"/>
              <w:rPr>
                <w:rFonts w:hint="eastAsia" w:ascii="仿宋_GB2312" w:hAnsi="仿宋_GB2312" w:eastAsia="仿宋_GB2312" w:cs="仿宋_GB2312"/>
                <w:sz w:val="24"/>
                <w:highlight w:val="none"/>
              </w:rPr>
            </w:pPr>
            <w:sdt>
              <w:sdtPr>
                <w:rPr>
                  <w:rFonts w:hint="eastAsia" w:ascii="仿宋_GB2312" w:hAnsi="仿宋_GB2312" w:eastAsia="仿宋_GB2312" w:cs="仿宋_GB2312"/>
                  <w:kern w:val="0"/>
                  <w:sz w:val="24"/>
                  <w:highlight w:val="none"/>
                </w:rPr>
                <w:id w:val="801731539"/>
              </w:sdtPr>
              <w:sdtEndPr>
                <w:rPr>
                  <w:rFonts w:hint="eastAsia" w:ascii="仿宋_GB2312" w:hAnsi="仿宋_GB2312" w:eastAsia="仿宋_GB2312" w:cs="仿宋_GB2312"/>
                  <w:kern w:val="0"/>
                  <w:sz w:val="24"/>
                  <w:highlight w:val="none"/>
                </w:rPr>
              </w:sdtEndPr>
              <w:sdtContent>
                <w:sdt>
                  <w:sdtPr>
                    <w:rPr>
                      <w:rFonts w:hint="eastAsia" w:ascii="仿宋_GB2312" w:hAnsi="仿宋_GB2312" w:eastAsia="仿宋_GB2312" w:cs="仿宋_GB2312"/>
                      <w:kern w:val="0"/>
                      <w:sz w:val="24"/>
                      <w:highlight w:val="none"/>
                    </w:rPr>
                    <w:id w:val="118"/>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sdtContent>
            </w:sdt>
            <w:r>
              <w:rPr>
                <w:rFonts w:hint="eastAsia" w:ascii="仿宋_GB2312" w:hAnsi="仿宋_GB2312" w:eastAsia="仿宋_GB2312" w:cs="仿宋_GB2312"/>
                <w:kern w:val="0"/>
                <w:sz w:val="24"/>
                <w:highlight w:val="none"/>
              </w:rPr>
              <w:t>A</w:t>
            </w:r>
            <w:r>
              <w:rPr>
                <w:rFonts w:hint="eastAsia" w:ascii="仿宋_GB2312" w:hAnsi="仿宋_GB2312" w:eastAsia="仿宋_GB2312" w:cs="仿宋_GB2312"/>
                <w:sz w:val="24"/>
                <w:highlight w:val="none"/>
              </w:rPr>
              <w:t>无方案讲解演示。</w:t>
            </w:r>
          </w:p>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□B有方案讲解演示：</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szCs w:val="24"/>
                <w:highlight w:val="none"/>
                <w:u w:val="single"/>
                <w:lang w:val="en-US" w:eastAsia="zh-CN"/>
              </w:rPr>
              <w:t xml:space="preserve">20 </w:t>
            </w:r>
            <w:r>
              <w:rPr>
                <w:rFonts w:hint="eastAsia" w:ascii="仿宋_GB2312" w:hAnsi="仿宋_GB2312" w:eastAsia="仿宋_GB2312" w:cs="仿宋_GB2312"/>
                <w:color w:val="auto"/>
                <w:sz w:val="24"/>
                <w:szCs w:val="24"/>
                <w:highlight w:val="none"/>
                <w:lang w:val="zh-CN"/>
              </w:rPr>
              <w:t>分钟，讲解次序以投标文件解密时间先后次序为准。讲解演示结束后按要求解答评标委员会提问。</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（2）方案讲解演示可选择以下其中一种方式：</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方式一：政采云平台在线讲解演示。政采云平台在线讲解需供应商根据政采云平台操作要求做好准备工作，提前完善软硬件配置环境。</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方式二：现场讲解演示。现场讲解地点为</w:t>
            </w:r>
            <w:r>
              <w:rPr>
                <w:rFonts w:hint="eastAsia" w:ascii="仿宋_GB2312" w:hAnsi="仿宋_GB2312" w:eastAsia="仿宋_GB2312" w:cs="仿宋_GB2312"/>
                <w:color w:val="auto"/>
                <w:sz w:val="24"/>
                <w:szCs w:val="24"/>
                <w:highlight w:val="none"/>
                <w:u w:val="single"/>
                <w:lang w:val="zh-CN"/>
              </w:rPr>
              <w:t xml:space="preserve">     </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lang w:val="en-US" w:eastAsia="zh-CN"/>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keepNext w:val="0"/>
              <w:keepLines w:val="0"/>
              <w:pageBreakBefore w:val="0"/>
              <w:widowControl w:val="0"/>
              <w:kinsoku/>
              <w:overflowPunct/>
              <w:topLinePunct w:val="0"/>
              <w:autoSpaceDE/>
              <w:autoSpaceDN/>
              <w:bidi w:val="0"/>
              <w:adjustRightInd w:val="0"/>
              <w:spacing w:line="440" w:lineRule="exact"/>
              <w:textAlignment w:val="auto"/>
              <w:rPr>
                <w:rFonts w:hint="eastAsia" w:ascii="仿宋_GB2312" w:hAnsi="仿宋_GB2312" w:eastAsia="仿宋_GB2312" w:cs="仿宋_GB2312"/>
                <w:kern w:val="0"/>
                <w:sz w:val="24"/>
                <w:highlight w:val="none"/>
              </w:rPr>
            </w:pPr>
            <w:sdt>
              <w:sdtPr>
                <w:rPr>
                  <w:rFonts w:hint="eastAsia" w:ascii="仿宋_GB2312" w:hAnsi="仿宋_GB2312" w:eastAsia="仿宋_GB2312" w:cs="仿宋_GB2312"/>
                  <w:kern w:val="0"/>
                  <w:sz w:val="24"/>
                  <w:highlight w:val="none"/>
                </w:rPr>
                <w:id w:val="120"/>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kern w:val="0"/>
                    <w:sz w:val="24"/>
                    <w:highlight w:val="none"/>
                  </w:rPr>
                  <w:sym w:font="Wingdings" w:char="F0FE"/>
                </w:r>
              </w:sdtContent>
            </w:sdt>
            <w:r>
              <w:rPr>
                <w:rFonts w:hint="eastAsia" w:ascii="仿宋_GB2312" w:hAnsi="仿宋_GB2312" w:eastAsia="仿宋_GB2312" w:cs="仿宋_GB2312"/>
                <w:color w:val="auto"/>
                <w:kern w:val="0"/>
                <w:sz w:val="24"/>
                <w:highlight w:val="none"/>
              </w:rPr>
              <w:t>本项目不允许采购进口产品。</w:t>
            </w:r>
          </w:p>
          <w:p>
            <w:pPr>
              <w:keepNext w:val="0"/>
              <w:keepLines w:val="0"/>
              <w:pageBreakBefore w:val="0"/>
              <w:widowControl w:val="0"/>
              <w:kinsoku/>
              <w:wordWrap w:val="0"/>
              <w:overflowPunct/>
              <w:topLinePunct w:val="0"/>
              <w:autoSpaceDE/>
              <w:autoSpaceDN/>
              <w:bidi w:val="0"/>
              <w:adjustRightInd w:val="0"/>
              <w:snapToGrid w:val="0"/>
              <w:spacing w:line="440" w:lineRule="exact"/>
              <w:ind w:left="0" w:leftChars="0" w:right="0" w:rightChars="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☐A货物类，单一产品或核心产品为：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120"/>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kern w:val="0"/>
                    <w:sz w:val="24"/>
                    <w:highlight w:val="none"/>
                  </w:rPr>
                  <w:sym w:font="Wingdings" w:char="F0FE"/>
                </w:r>
              </w:sdtContent>
            </w:sdt>
            <w:r>
              <w:rPr>
                <w:rFonts w:hint="eastAsia" w:ascii="仿宋_GB2312" w:hAnsi="仿宋_GB2312" w:eastAsia="仿宋_GB2312" w:cs="仿宋_GB2312"/>
                <w:color w:val="auto"/>
                <w:sz w:val="24"/>
                <w:highlight w:val="none"/>
              </w:rPr>
              <w:t>B服务类。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highlight w:val="none"/>
              </w:rPr>
            </w:pPr>
            <w:r>
              <w:rPr>
                <w:rFonts w:hint="eastAsia" w:ascii="仿宋_GB2312" w:hAnsi="仿宋_GB2312" w:eastAsia="仿宋_GB2312" w:cs="仿宋_GB2312"/>
                <w:kern w:val="0"/>
                <w:sz w:val="24"/>
                <w:highlight w:val="none"/>
              </w:rPr>
              <w:t>（1）标的：</w:t>
            </w:r>
            <w:r>
              <w:rPr>
                <w:rFonts w:hint="eastAsia" w:ascii="仿宋_GB2312" w:hAnsi="仿宋_GB2312" w:eastAsia="仿宋_GB2312" w:cs="仿宋_GB2312"/>
                <w:kern w:val="0"/>
                <w:sz w:val="24"/>
                <w:highlight w:val="none"/>
                <w:u w:val="single"/>
              </w:rPr>
              <w:t xml:space="preserve"> 01标 </w:t>
            </w:r>
            <w:r>
              <w:rPr>
                <w:rFonts w:hint="eastAsia" w:ascii="仿宋_GB2312" w:hAnsi="仿宋_GB2312" w:eastAsia="仿宋_GB2312" w:cs="仿宋_GB2312"/>
                <w:kern w:val="0"/>
                <w:sz w:val="24"/>
                <w:highlight w:val="none"/>
              </w:rPr>
              <w:t>，属于</w:t>
            </w:r>
            <w:r>
              <w:rPr>
                <w:rFonts w:hint="eastAsia" w:ascii="仿宋_GB2312" w:hAnsi="仿宋_GB2312" w:eastAsia="仿宋_GB2312" w:cs="仿宋_GB2312"/>
                <w:kern w:val="0"/>
                <w:sz w:val="24"/>
                <w:highlight w:val="none"/>
                <w:u w:val="single"/>
              </w:rPr>
              <w:t xml:space="preserve">  物业管理</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kern w:val="0"/>
                <w:sz w:val="24"/>
                <w:highlight w:val="none"/>
                <w:u w:val="single"/>
              </w:rPr>
              <w:t xml:space="preserve">  </w:t>
            </w:r>
            <w:r>
              <w:rPr>
                <w:rFonts w:hint="eastAsia" w:ascii="仿宋_GB2312" w:hAnsi="仿宋_GB2312" w:eastAsia="仿宋_GB2312" w:cs="仿宋_GB2312"/>
                <w:kern w:val="0"/>
                <w:sz w:val="24"/>
                <w:highlight w:val="none"/>
              </w:rPr>
              <w:t>行业；</w:t>
            </w:r>
            <w:r>
              <w:rPr>
                <w:rFonts w:hint="eastAsia" w:ascii="仿宋_GB2312" w:hAnsi="仿宋_GB2312" w:eastAsia="仿宋_GB2312" w:cs="仿宋_GB2312"/>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4</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5</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7</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p>
        </w:tc>
        <w:tc>
          <w:tcPr>
            <w:tcW w:w="8370" w:type="dxa"/>
            <w:gridSpan w:val="2"/>
            <w:vAlign w:val="center"/>
          </w:tcPr>
          <w:p>
            <w:pPr>
              <w:adjustRightInd w:val="0"/>
              <w:spacing w:line="440" w:lineRule="exact"/>
              <w:rPr>
                <w:rFonts w:hint="eastAsia" w:ascii="仿宋_GB2312" w:hAnsi="仿宋_GB2312" w:eastAsia="仿宋_GB2312" w:cs="仿宋_GB2312"/>
                <w:snapToGrid w:val="0"/>
                <w:kern w:val="28"/>
                <w:sz w:val="24"/>
                <w:highlight w:val="none"/>
              </w:rPr>
            </w:pPr>
            <w:sdt>
              <w:sdtPr>
                <w:rPr>
                  <w:rFonts w:hint="eastAsia" w:ascii="仿宋_GB2312" w:hAnsi="仿宋_GB2312" w:eastAsia="仿宋_GB2312" w:cs="仿宋_GB2312"/>
                  <w:kern w:val="0"/>
                  <w:sz w:val="24"/>
                  <w:szCs w:val="21"/>
                  <w:highlight w:val="none"/>
                </w:rPr>
                <w:id w:val="124"/>
              </w:sdtPr>
              <w:sdtEndPr>
                <w:rPr>
                  <w:rFonts w:hint="eastAsia" w:ascii="仿宋_GB2312" w:hAnsi="仿宋_GB2312" w:eastAsia="仿宋_GB2312" w:cs="仿宋_GB2312"/>
                  <w:kern w:val="0"/>
                  <w:sz w:val="24"/>
                  <w:szCs w:val="21"/>
                  <w:highlight w:val="none"/>
                </w:rPr>
              </w:sdtEndPr>
              <w:sdtContent>
                <w:r>
                  <w:rPr>
                    <w:rFonts w:hint="eastAsia" w:ascii="仿宋_GB2312" w:hAnsi="仿宋_GB2312" w:eastAsia="仿宋_GB2312" w:cs="仿宋_GB2312"/>
                    <w:kern w:val="0"/>
                    <w:sz w:val="24"/>
                    <w:highlight w:val="none"/>
                  </w:rPr>
                  <w:sym w:font="Wingdings" w:char="F0FE"/>
                </w:r>
              </w:sdtContent>
            </w:sdt>
            <w:r>
              <w:rPr>
                <w:rFonts w:hint="eastAsia" w:ascii="仿宋_GB2312" w:hAnsi="仿宋_GB2312" w:eastAsia="仿宋_GB2312" w:cs="仿宋_GB2312"/>
                <w:snapToGrid w:val="0"/>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kern w:val="0"/>
                  <w:sz w:val="24"/>
                  <w:szCs w:val="21"/>
                  <w:highlight w:val="none"/>
                </w:rPr>
                <w:id w:val="125"/>
              </w:sdtPr>
              <w:sdtEndPr>
                <w:rPr>
                  <w:rFonts w:hint="eastAsia" w:ascii="仿宋_GB2312" w:hAnsi="仿宋_GB2312" w:eastAsia="仿宋_GB2312" w:cs="仿宋_GB2312"/>
                  <w:kern w:val="0"/>
                  <w:sz w:val="24"/>
                  <w:szCs w:val="21"/>
                  <w:highlight w:val="none"/>
                </w:rPr>
              </w:sdtEndPr>
              <w:sdtContent>
                <w:r>
                  <w:rPr>
                    <w:rFonts w:hint="eastAsia" w:ascii="仿宋_GB2312" w:hAnsi="仿宋_GB2312" w:eastAsia="仿宋_GB2312" w:cs="仿宋_GB2312"/>
                    <w:kern w:val="0"/>
                    <w:sz w:val="24"/>
                    <w:highlight w:val="none"/>
                  </w:rPr>
                  <w:t>☐</w:t>
                </w:r>
              </w:sdtContent>
            </w:sdt>
            <w:r>
              <w:rPr>
                <w:rFonts w:hint="eastAsia" w:ascii="仿宋_GB2312" w:hAnsi="仿宋_GB2312" w:eastAsia="仿宋_GB2312" w:cs="仿宋_GB2312"/>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insoku/>
              <w:wordWrap w:val="0"/>
              <w:overflowPunct/>
              <w:topLinePunct w:val="0"/>
              <w:bidi w:val="0"/>
              <w:snapToGrid w:val="0"/>
              <w:spacing w:line="336" w:lineRule="auto"/>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lang w:val="en-US" w:eastAsia="zh-CN"/>
              </w:rPr>
              <w:t>18</w:t>
            </w:r>
          </w:p>
        </w:tc>
        <w:tc>
          <w:tcPr>
            <w:tcW w:w="8370" w:type="dxa"/>
            <w:gridSpan w:val="2"/>
            <w:vAlign w:val="center"/>
          </w:tcPr>
          <w:p>
            <w:pPr>
              <w:kinsoku/>
              <w:wordWrap w:val="0"/>
              <w:overflowPunct/>
              <w:topLinePunct w:val="0"/>
              <w:bidi w:val="0"/>
              <w:spacing w:line="336" w:lineRule="auto"/>
              <w:rPr>
                <w:rFonts w:hint="eastAsia" w:ascii="仿宋_GB2312" w:hAnsi="仿宋_GB2312" w:eastAsia="仿宋_GB2312" w:cs="仿宋_GB2312"/>
                <w:color w:val="auto"/>
                <w:kern w:val="2"/>
                <w:sz w:val="21"/>
                <w:szCs w:val="24"/>
                <w:highlight w:val="none"/>
                <w:lang w:val="en-US" w:eastAsia="zh-CN" w:bidi="ar-SA"/>
              </w:rPr>
            </w:pPr>
            <w:r>
              <w:rPr>
                <w:rFonts w:hint="eastAsia" w:ascii="仿宋_GB2312" w:hAnsi="仿宋_GB2312" w:eastAsia="仿宋_GB2312" w:cs="仿宋_GB2312"/>
                <w:b/>
                <w:color w:val="auto"/>
                <w:sz w:val="24"/>
                <w:highlight w:val="none"/>
              </w:rPr>
              <w:t>采购代理服务费：</w:t>
            </w:r>
            <w:r>
              <w:rPr>
                <w:rFonts w:hint="eastAsia" w:ascii="仿宋_GB2312" w:hAnsi="仿宋_GB2312" w:eastAsia="仿宋_GB2312" w:cs="仿宋_GB2312"/>
                <w:b/>
                <w:color w:val="auto"/>
                <w:sz w:val="24"/>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val="0"/>
        <w:overflowPunct/>
        <w:topLinePunct w:val="0"/>
        <w:autoSpaceDE/>
        <w:autoSpaceDN/>
        <w:bidi w:val="0"/>
        <w:adjustRightInd/>
        <w:snapToGrid/>
        <w:spacing w:line="360" w:lineRule="auto"/>
        <w:ind w:left="0"/>
        <w:jc w:val="center"/>
        <w:textAlignment w:val="auto"/>
        <w:outlineLvl w:val="0"/>
        <w:rPr>
          <w:rFonts w:hint="eastAsia" w:ascii="仿宋_GB2312" w:hAnsi="仿宋_GB2312" w:eastAsia="仿宋_GB2312" w:cs="仿宋_GB2312"/>
          <w:b/>
          <w:color w:val="auto"/>
          <w:sz w:val="32"/>
          <w:szCs w:val="32"/>
          <w:highlight w:val="none"/>
        </w:rPr>
      </w:pPr>
      <w:bookmarkStart w:id="17" w:name="_Toc164416483"/>
      <w:bookmarkStart w:id="18" w:name="第三部分"/>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一、总则</w:t>
      </w:r>
    </w:p>
    <w:p>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”系指适用本项目的要求，“☐”系指不适用本项目的要求。</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w:t>
      </w:r>
      <w:r>
        <w:rPr>
          <w:rFonts w:hint="eastAsia" w:ascii="仿宋_GB2312" w:hAnsi="仿宋_GB2312" w:eastAsia="仿宋_GB2312" w:cs="仿宋_GB2312"/>
          <w:bCs/>
          <w:color w:val="auto"/>
          <w:sz w:val="24"/>
          <w:highlight w:val="none"/>
        </w:rPr>
        <w:t>支持科技创新发展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pPr>
        <w:pStyle w:val="26"/>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3.投标费用</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pPr>
        <w:pStyle w:val="34"/>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“资格文件”、“商务技术文件资料”、</w:t>
      </w:r>
      <w:r>
        <w:rPr>
          <w:rFonts w:hint="eastAsia" w:ascii="仿宋_GB2312" w:hAnsi="仿宋_GB2312" w:eastAsia="仿宋_GB2312" w:cs="仿宋_GB2312"/>
          <w:color w:val="auto"/>
          <w:sz w:val="24"/>
          <w:highlight w:val="none"/>
        </w:rPr>
        <w:t>“报价文件资料”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eastAsia="zh-CN"/>
        </w:rPr>
      </w:pPr>
      <w:r>
        <w:rPr>
          <w:rFonts w:hint="eastAsia" w:ascii="仿宋_GB2312" w:hAnsi="仿宋_GB2312" w:eastAsia="仿宋_GB2312" w:cs="仿宋_GB2312"/>
          <w:b/>
          <w:color w:val="auto"/>
          <w:sz w:val="24"/>
          <w:highlight w:val="none"/>
          <w:lang w:val="zh-CN" w:eastAsia="zh-CN"/>
        </w:rPr>
        <w:t>2.</w:t>
      </w:r>
      <w:r>
        <w:rPr>
          <w:rFonts w:hint="eastAsia" w:ascii="仿宋_GB2312" w:hAnsi="仿宋_GB2312" w:eastAsia="仿宋_GB2312" w:cs="仿宋_GB2312"/>
          <w:b/>
          <w:color w:val="auto"/>
          <w:sz w:val="24"/>
          <w:highlight w:val="none"/>
          <w:lang w:val="en-US" w:eastAsia="zh-CN"/>
        </w:rPr>
        <w:t>2商务技术</w:t>
      </w:r>
      <w:r>
        <w:rPr>
          <w:rFonts w:hint="eastAsia" w:ascii="仿宋_GB2312" w:hAnsi="仿宋_GB2312" w:eastAsia="仿宋_GB2312" w:cs="仿宋_GB2312"/>
          <w:b/>
          <w:color w:val="auto"/>
          <w:sz w:val="24"/>
          <w:highlight w:val="none"/>
          <w:lang w:val="zh-CN" w:eastAsia="zh-CN"/>
        </w:rPr>
        <w:t>文件：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2.2.1投标函；</w:t>
      </w:r>
      <w:r>
        <w:rPr>
          <w:rFonts w:hint="eastAsia" w:ascii="仿宋_GB2312" w:hAnsi="仿宋_GB2312" w:eastAsia="仿宋_GB2312" w:cs="仿宋_GB2312"/>
          <w:color w:val="auto"/>
          <w:sz w:val="24"/>
          <w:highlight w:val="none"/>
          <w:lang w:val="zh-CN" w:eastAsia="zh-CN"/>
        </w:rPr>
        <w:t xml:space="preserve"> </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2.2.2法定代表人授权委托书；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2.2.3法定代表人及其授权代表身份证复印件；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2.2.4授权代表社保证明；</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2.2.5法定代表人身份证明书；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2.2.9供应商应提供针对项目的完整技术解决方案：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pPr>
        <w:pStyle w:val="3"/>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2.3.1开标一览表（报价表）；</w:t>
      </w:r>
    </w:p>
    <w:p>
      <w:pPr>
        <w:pStyle w:val="3"/>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2.3.2中小企业声明函（如有）；</w:t>
      </w:r>
    </w:p>
    <w:p>
      <w:pPr>
        <w:pStyle w:val="3"/>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2.3.3 残疾人福利性单位声明函（如有）。</w:t>
      </w:r>
    </w:p>
    <w:p>
      <w:pPr>
        <w:pStyle w:val="3"/>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2" w:firstLineChars="200"/>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rPr>
        <w:t>3.</w:t>
      </w:r>
      <w:r>
        <w:rPr>
          <w:rFonts w:hint="eastAsia" w:ascii="仿宋_GB2312" w:hAnsi="仿宋_GB2312" w:eastAsia="仿宋_GB2312" w:cs="仿宋_GB2312"/>
          <w:b/>
          <w:bCs/>
          <w:color w:val="auto"/>
          <w:sz w:val="24"/>
          <w:highlight w:val="none"/>
          <w:lang w:val="en-US" w:eastAsia="zh-CN"/>
        </w:rPr>
        <w:t>投标报价</w:t>
      </w:r>
    </w:p>
    <w:p>
      <w:pPr>
        <w:pStyle w:val="3"/>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3.1供应商应按招标文件中《开标一览表》等附表要求填写。</w:t>
      </w:r>
    </w:p>
    <w:p>
      <w:pPr>
        <w:pStyle w:val="3"/>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3.2报价为采购人可以合格使用产品的价格，包括货款、包装、运输、保险、货到就位以及安装、调试、培训、保修及产品知识产权等一切费用。</w:t>
      </w:r>
    </w:p>
    <w:p>
      <w:pPr>
        <w:pStyle w:val="3"/>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3.3招标文件未列明，而供应商认为必需的费用也需列入报价。</w:t>
      </w:r>
    </w:p>
    <w:p>
      <w:pPr>
        <w:pStyle w:val="3"/>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bCs/>
          <w:color w:val="auto"/>
          <w:sz w:val="24"/>
          <w:highlight w:val="none"/>
          <w:lang w:val="en-US" w:eastAsia="zh-CN"/>
        </w:rPr>
        <w:t>3.4投标报价只允许有一个报价，有选择的报价将不予接受（除指定外）</w:t>
      </w:r>
      <w:r>
        <w:rPr>
          <w:rFonts w:hint="eastAsia" w:ascii="仿宋_GB2312" w:hAnsi="仿宋_GB2312" w:eastAsia="仿宋_GB2312" w:cs="仿宋_GB2312"/>
          <w:b/>
          <w:bCs/>
          <w:color w:val="auto"/>
          <w:sz w:val="24"/>
          <w:highlight w:val="none"/>
          <w:lang w:val="en-US"/>
        </w:rPr>
        <w:t>。</w:t>
      </w: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pPr>
        <w:pStyle w:val="130"/>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0"/>
        <w:keepNext w:val="0"/>
        <w:keepLines w:val="0"/>
        <w:pageBreakBefore w:val="0"/>
        <w:widowControl w:val="0"/>
        <w:kinsoku/>
        <w:wordWrap w:val="0"/>
        <w:overflowPunct/>
        <w:topLinePunct w:val="0"/>
        <w:autoSpaceDE/>
        <w:autoSpaceDN/>
        <w:bidi w:val="0"/>
        <w:adjustRightInd w:val="0"/>
        <w:snapToGrid/>
        <w:spacing w:before="0" w:beforeAutospacing="0" w:line="360" w:lineRule="auto"/>
        <w:ind w:left="0" w:leftChars="0" w:firstLine="643"/>
        <w:textAlignment w:val="auto"/>
        <w:rPr>
          <w:rFonts w:hint="eastAsia" w:ascii="仿宋_GB2312" w:hAnsi="仿宋_GB2312" w:eastAsia="仿宋_GB2312" w:cs="仿宋_GB2312"/>
          <w:b/>
          <w:color w:val="auto"/>
          <w:sz w:val="32"/>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19" w:name="_Toc91899903"/>
      <w:r>
        <w:rPr>
          <w:rFonts w:hint="eastAsia" w:ascii="仿宋_GB2312" w:hAnsi="仿宋_GB2312" w:eastAsia="仿宋_GB2312" w:cs="仿宋_GB2312"/>
          <w:b/>
          <w:color w:val="auto"/>
          <w:sz w:val="32"/>
          <w:szCs w:val="32"/>
          <w:highlight w:val="none"/>
        </w:rPr>
        <w:t>四、开标和评标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8"/>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pPr>
        <w:pStyle w:val="18"/>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8.24投标文件出现不是唯一的、有选择性投标报价的；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bCs/>
          <w:color w:val="auto"/>
          <w:sz w:val="24"/>
          <w:highlight w:val="none"/>
          <w:lang w:val="en-US" w:eastAsia="zh-CN"/>
        </w:rPr>
        <w:t>8.25 未按招标文件要求提供样品或提供样品不满足采购需求实质性条件的；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rPr>
      </w:pPr>
      <w:r>
        <w:rPr>
          <w:rFonts w:hint="eastAsia" w:ascii="仿宋_GB2312" w:hAnsi="仿宋_GB2312" w:eastAsia="仿宋_GB2312" w:cs="仿宋_GB2312"/>
          <w:b/>
          <w:bCs/>
          <w:color w:val="auto"/>
          <w:sz w:val="24"/>
          <w:highlight w:val="none"/>
        </w:rPr>
        <w:t>8.2</w:t>
      </w:r>
      <w:r>
        <w:rPr>
          <w:rFonts w:hint="eastAsia" w:ascii="仿宋_GB2312" w:hAnsi="仿宋_GB2312" w:eastAsia="仿宋_GB2312" w:cs="仿宋_GB2312"/>
          <w:b/>
          <w:bCs/>
          <w:color w:val="auto"/>
          <w:sz w:val="24"/>
          <w:highlight w:val="none"/>
          <w:lang w:val="en-US"/>
        </w:rPr>
        <w:t>6参与同一个采购包(标段)的供应商存在下列情形之一的其投标(响应)文件无效: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8.26.1</w:t>
      </w:r>
      <w:r>
        <w:rPr>
          <w:rFonts w:hint="eastAsia" w:ascii="仿宋_GB2312" w:hAnsi="仿宋_GB2312" w:eastAsia="仿宋_GB2312" w:cs="仿宋_GB2312"/>
          <w:b w:val="0"/>
          <w:bCs w:val="0"/>
          <w:color w:val="auto"/>
          <w:sz w:val="24"/>
          <w:highlight w:val="none"/>
          <w:lang w:val="en-US"/>
        </w:rPr>
        <w:t>不同供应商的电子投标(响应)文件上传计算机的网卡MAC地址、CPU序列号和硬盘序列号等硬件信息相同的;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8.26.2</w:t>
      </w:r>
      <w:r>
        <w:rPr>
          <w:rFonts w:hint="eastAsia" w:ascii="仿宋_GB2312" w:hAnsi="仿宋_GB2312" w:eastAsia="仿宋_GB2312" w:cs="仿宋_GB2312"/>
          <w:b w:val="0"/>
          <w:bCs w:val="0"/>
          <w:color w:val="auto"/>
          <w:sz w:val="24"/>
          <w:highlight w:val="none"/>
          <w:lang w:val="en-US"/>
        </w:rPr>
        <w:t>上传的电子投标(响应)文件若出现使用本项目其他投标(响应)供应商的数字证书加密的，或者加盖本项目其他投标(响应)供应商的电子印章的;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8.26.3</w:t>
      </w:r>
      <w:r>
        <w:rPr>
          <w:rFonts w:hint="eastAsia" w:ascii="仿宋_GB2312" w:hAnsi="仿宋_GB2312" w:eastAsia="仿宋_GB2312" w:cs="仿宋_GB2312"/>
          <w:b w:val="0"/>
          <w:bCs w:val="0"/>
          <w:color w:val="auto"/>
          <w:sz w:val="24"/>
          <w:highlight w:val="none"/>
          <w:lang w:val="en-US"/>
        </w:rPr>
        <w:t>不同供应商的投标(响应)文件的内容存在三处(含)以上错误一致，且无法合理解释的;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val="0"/>
          <w:bCs w:val="0"/>
          <w:color w:val="auto"/>
          <w:sz w:val="24"/>
          <w:highlight w:val="none"/>
          <w:lang w:val="en-US" w:eastAsia="zh-CN"/>
        </w:rPr>
        <w:t>8.26.4</w:t>
      </w:r>
      <w:r>
        <w:rPr>
          <w:rFonts w:hint="eastAsia" w:ascii="仿宋_GB2312" w:hAnsi="仿宋_GB2312" w:eastAsia="仿宋_GB2312" w:cs="仿宋_GB2312"/>
          <w:b w:val="0"/>
          <w:bCs w:val="0"/>
          <w:color w:val="auto"/>
          <w:sz w:val="24"/>
          <w:highlight w:val="none"/>
          <w:lang w:val="en-US"/>
        </w:rPr>
        <w:t>不同供应商联系人为同一人或不同联系人的联系电话一致，且无法合理解释的。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rPr>
        <w:t>7</w:t>
      </w:r>
      <w:r>
        <w:rPr>
          <w:rFonts w:hint="eastAsia" w:ascii="仿宋_GB2312" w:hAnsi="仿宋_GB2312" w:eastAsia="仿宋_GB2312" w:cs="仿宋_GB2312"/>
          <w:b/>
          <w:color w:val="auto"/>
          <w:sz w:val="24"/>
          <w:highlight w:val="none"/>
        </w:rPr>
        <w:t>其他违反法律、法规的情形。</w:t>
      </w:r>
    </w:p>
    <w:p>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9.评标过程保密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19"/>
    <w:p>
      <w:pPr>
        <w:pStyle w:val="34"/>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20" w:name="_Hlt74707468"/>
      <w:bookmarkEnd w:id="20"/>
      <w:bookmarkStart w:id="21" w:name="_Hlt68073093"/>
      <w:bookmarkEnd w:id="21"/>
      <w:bookmarkStart w:id="22" w:name="_Hlt74730295"/>
      <w:bookmarkEnd w:id="22"/>
      <w:bookmarkStart w:id="23" w:name="_Hlt75236011"/>
      <w:bookmarkEnd w:id="23"/>
      <w:bookmarkStart w:id="24" w:name="_Hlt68057669"/>
      <w:bookmarkEnd w:id="24"/>
      <w:bookmarkStart w:id="25" w:name="_Hlt75236290"/>
      <w:bookmarkEnd w:id="25"/>
      <w:bookmarkStart w:id="26" w:name="_Hlt75236101"/>
      <w:bookmarkEnd w:id="26"/>
      <w:bookmarkStart w:id="27" w:name="_Hlt68403820"/>
      <w:bookmarkEnd w:id="27"/>
      <w:bookmarkStart w:id="28" w:name="_Hlt68072998"/>
      <w:bookmarkEnd w:id="28"/>
      <w:bookmarkStart w:id="29" w:name="_Hlt68072990"/>
      <w:bookmarkEnd w:id="29"/>
      <w:bookmarkStart w:id="30" w:name="_Hlt74714665"/>
      <w:bookmarkEnd w:id="30"/>
      <w:bookmarkStart w:id="31" w:name="_Hlt74729768"/>
      <w:bookmarkEnd w:id="31"/>
      <w:bookmarkStart w:id="32" w:name="_Toc84325929"/>
      <w:bookmarkStart w:id="33" w:name="_Toc81372776"/>
      <w:bookmarkStart w:id="34" w:name="_Toc81372953"/>
      <w:r>
        <w:rPr>
          <w:rFonts w:hint="eastAsia" w:ascii="仿宋_GB2312" w:hAnsi="仿宋_GB2312" w:eastAsia="仿宋_GB2312" w:cs="仿宋_GB2312"/>
          <w:b/>
          <w:color w:val="auto"/>
          <w:sz w:val="32"/>
          <w:szCs w:val="32"/>
          <w:highlight w:val="none"/>
        </w:rPr>
        <w:t>五、授予合同</w:t>
      </w:r>
    </w:p>
    <w:bookmarkEnd w:id="32"/>
    <w:bookmarkEnd w:id="33"/>
    <w:bookmarkEnd w:id="34"/>
    <w:p>
      <w:pPr>
        <w:pStyle w:val="18"/>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 供应商询问</w:t>
      </w:r>
    </w:p>
    <w:p>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_GB2312" w:hAnsi="仿宋_GB2312" w:eastAsia="仿宋_GB2312" w:cs="仿宋_GB2312"/>
          <w:b w:val="0"/>
          <w:bCs w:val="0"/>
          <w:i w:val="0"/>
          <w:iCs w:val="0"/>
          <w:color w:val="auto"/>
          <w:kern w:val="0"/>
          <w:sz w:val="24"/>
          <w:szCs w:val="24"/>
          <w:highlight w:val="none"/>
          <w:vertAlign w:val="baseline"/>
          <w:lang w:val="en-US" w:eastAsia="zh-CN" w:bidi="ar-SA"/>
        </w:rPr>
        <w:t xml:space="preserve"> </w:t>
      </w: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的，采购代理机构应当告知供应商向采购人提出。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 供应商质疑</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pPr>
        <w:pStyle w:val="2"/>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highlight w:val="none"/>
        </w:rPr>
        <w:sectPr>
          <w:footerReference r:id="rId11" w:type="default"/>
          <w:pgSz w:w="11906" w:h="16838"/>
          <w:pgMar w:top="1474" w:right="1814" w:bottom="1474" w:left="1814" w:header="851" w:footer="992" w:gutter="0"/>
          <w:pgNumType w:fmt="decimal"/>
          <w:cols w:space="720" w:num="1"/>
          <w:docGrid w:linePitch="312" w:charSpace="0"/>
        </w:sectPr>
      </w:pPr>
    </w:p>
    <w:bookmarkEnd w:id="17"/>
    <w:bookmarkEnd w:id="18"/>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bookmarkStart w:id="35" w:name="第四部分"/>
      <w:r>
        <w:rPr>
          <w:rFonts w:hint="eastAsia" w:ascii="仿宋_GB2312" w:hAnsi="仿宋_GB2312" w:eastAsia="仿宋_GB2312" w:cs="仿宋_GB2312"/>
          <w:b/>
          <w:color w:val="auto"/>
          <w:sz w:val="36"/>
          <w:szCs w:val="36"/>
          <w:highlight w:val="none"/>
        </w:rPr>
        <w:t>第三部分   招标项目范围及要求</w:t>
      </w:r>
    </w:p>
    <w:bookmarkEnd w:id="35"/>
    <w:p>
      <w:pPr>
        <w:keepNext w:val="0"/>
        <w:keepLines w:val="0"/>
        <w:pageBreakBefore w:val="0"/>
        <w:widowControl w:val="0"/>
        <w:kinsoku/>
        <w:wordWrap/>
        <w:overflowPunct/>
        <w:topLinePunct w:val="0"/>
        <w:autoSpaceDE/>
        <w:autoSpaceDN/>
        <w:bidi w:val="0"/>
        <w:adjustRightInd w:val="0"/>
        <w:snapToGrid/>
        <w:spacing w:line="360" w:lineRule="auto"/>
        <w:ind w:left="0" w:leftChars="0" w:firstLine="0" w:firstLineChars="0"/>
        <w:jc w:val="left"/>
        <w:textAlignment w:val="auto"/>
        <w:outlineLvl w:val="0"/>
        <w:rPr>
          <w:rFonts w:hint="eastAsia" w:ascii="仿宋_GB2312" w:hAnsi="仿宋_GB2312" w:eastAsia="仿宋_GB2312" w:cs="仿宋_GB2312"/>
          <w:b/>
          <w:color w:val="auto"/>
          <w:sz w:val="36"/>
          <w:szCs w:val="36"/>
          <w:highlight w:val="none"/>
          <w:lang w:eastAsia="zh-CN"/>
        </w:rPr>
      </w:pPr>
      <w:bookmarkStart w:id="36" w:name="第五部分"/>
      <w:bookmarkStart w:id="37" w:name="_Toc86217003"/>
      <w:r>
        <w:rPr>
          <w:rFonts w:hint="eastAsia" w:ascii="仿宋_GB2312" w:hAnsi="仿宋_GB2312" w:eastAsia="仿宋_GB2312" w:cs="仿宋_GB2312"/>
          <w:b/>
          <w:bCs/>
          <w:sz w:val="24"/>
          <w:bdr w:val="single" w:color="auto" w:sz="4" w:space="0"/>
        </w:rPr>
        <w:t>01标</w:t>
      </w:r>
      <w:r>
        <w:rPr>
          <w:rFonts w:hint="eastAsia" w:ascii="仿宋_GB2312" w:hAnsi="仿宋_GB2312" w:eastAsia="仿宋_GB2312" w:cs="仿宋_GB2312"/>
          <w:b/>
          <w:bCs/>
          <w:sz w:val="24"/>
          <w:lang w:eastAsia="zh-CN"/>
        </w:rPr>
        <w:t>2025年保洁、保安、绿化养护（租摆）与运行维护采购项目</w:t>
      </w:r>
    </w:p>
    <w:p>
      <w:pPr>
        <w:tabs>
          <w:tab w:val="left" w:pos="3780"/>
        </w:tabs>
        <w:kinsoku/>
        <w:wordWrap/>
        <w:overflowPunct/>
        <w:topLinePunct w:val="0"/>
        <w:bidi w:val="0"/>
        <w:adjustRightInd w:val="0"/>
        <w:snapToGrid w:val="0"/>
        <w:spacing w:line="312"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一、项目名称与内容：</w:t>
      </w:r>
      <w:r>
        <w:rPr>
          <w:rFonts w:hint="eastAsia" w:ascii="仿宋_GB2312" w:hAnsi="仿宋_GB2312" w:eastAsia="仿宋_GB2312" w:cs="仿宋_GB2312"/>
          <w:sz w:val="24"/>
          <w:szCs w:val="24"/>
        </w:rPr>
        <w:t>202</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年绍兴市第一中学保洁、保安、绿化养护（租摆）与运行维护采购项目</w:t>
      </w:r>
    </w:p>
    <w:p>
      <w:pPr>
        <w:kinsoku/>
        <w:wordWrap/>
        <w:overflowPunct/>
        <w:topLinePunct w:val="0"/>
        <w:bidi w:val="0"/>
        <w:adjustRightInd w:val="0"/>
        <w:snapToGrid w:val="0"/>
        <w:spacing w:line="312" w:lineRule="auto"/>
        <w:ind w:firstLine="472" w:firstLineChars="196"/>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二、保安部分需求：</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hint="eastAsia" w:ascii="仿宋_GB2312" w:hAnsi="仿宋_GB2312" w:eastAsia="仿宋_GB2312" w:cs="仿宋_GB2312"/>
          <w:snapToGrid w:val="0"/>
          <w:kern w:val="28"/>
          <w:sz w:val="24"/>
          <w:szCs w:val="24"/>
        </w:rPr>
      </w:pPr>
      <w:r>
        <w:rPr>
          <w:rFonts w:hint="eastAsia" w:ascii="仿宋_GB2312" w:hAnsi="仿宋_GB2312" w:eastAsia="仿宋_GB2312" w:cs="仿宋_GB2312"/>
          <w:snapToGrid w:val="0"/>
          <w:kern w:val="28"/>
          <w:sz w:val="24"/>
          <w:szCs w:val="24"/>
        </w:rPr>
        <w:t>1、保安队员7名（包含保安队长1名及</w:t>
      </w:r>
      <w:r>
        <w:rPr>
          <w:rFonts w:hint="eastAsia" w:ascii="仿宋_GB2312" w:hAnsi="仿宋_GB2312" w:eastAsia="仿宋_GB2312" w:cs="仿宋_GB2312"/>
          <w:sz w:val="24"/>
          <w:szCs w:val="24"/>
        </w:rPr>
        <w:t>消控负责人1名</w:t>
      </w:r>
      <w:r>
        <w:rPr>
          <w:rFonts w:hint="eastAsia" w:ascii="仿宋_GB2312" w:hAnsi="仿宋_GB2312" w:eastAsia="仿宋_GB2312" w:cs="仿宋_GB2312"/>
          <w:snapToGrid w:val="0"/>
          <w:kern w:val="28"/>
          <w:sz w:val="24"/>
          <w:szCs w:val="24"/>
        </w:rPr>
        <w:t>），其中至少3名</w:t>
      </w:r>
      <w:r>
        <w:rPr>
          <w:rFonts w:hint="eastAsia" w:ascii="仿宋_GB2312" w:hAnsi="仿宋_GB2312" w:eastAsia="仿宋_GB2312" w:cs="仿宋_GB2312"/>
          <w:kern w:val="0"/>
          <w:sz w:val="24"/>
          <w:szCs w:val="24"/>
        </w:rPr>
        <w:t>持有</w:t>
      </w:r>
      <w:r>
        <w:rPr>
          <w:rFonts w:hint="eastAsia" w:ascii="仿宋_GB2312" w:hAnsi="仿宋_GB2312" w:eastAsia="仿宋_GB2312" w:cs="仿宋_GB2312"/>
          <w:sz w:val="24"/>
          <w:szCs w:val="24"/>
        </w:rPr>
        <w:t>公安部门颁发的保安员</w:t>
      </w:r>
      <w:r>
        <w:rPr>
          <w:rFonts w:hint="eastAsia" w:ascii="仿宋_GB2312" w:hAnsi="仿宋_GB2312" w:eastAsia="仿宋_GB2312" w:cs="仿宋_GB2312"/>
          <w:kern w:val="0"/>
          <w:sz w:val="24"/>
          <w:szCs w:val="24"/>
        </w:rPr>
        <w:t>证书</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sz w:val="24"/>
          <w:szCs w:val="24"/>
        </w:rPr>
        <w:t>持有人社部门颁发或认可的建（构）筑物消防员证书或消防设施操作员证书</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保安队长需</w:t>
      </w:r>
      <w:r>
        <w:rPr>
          <w:rFonts w:hint="eastAsia" w:ascii="仿宋_GB2312" w:hAnsi="仿宋_GB2312" w:eastAsia="仿宋_GB2312" w:cs="仿宋_GB2312"/>
          <w:sz w:val="24"/>
          <w:szCs w:val="24"/>
        </w:rPr>
        <w:t>具有大专及以上学历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持有公安部门颁发的保安员证书</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持有市场监督管理部门颁发的安全管理和作业人员证（特种设备安全管理）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消控负责人</w:t>
      </w:r>
      <w:r>
        <w:rPr>
          <w:rFonts w:hint="eastAsia"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rPr>
        <w:t>持有人社部门颁发或认可的</w:t>
      </w:r>
      <w:r>
        <w:rPr>
          <w:rFonts w:hint="eastAsia" w:ascii="仿宋_GB2312" w:hAnsi="仿宋_GB2312" w:eastAsia="仿宋_GB2312" w:cs="仿宋_GB2312"/>
          <w:sz w:val="24"/>
          <w:szCs w:val="24"/>
          <w:lang w:val="en-US" w:eastAsia="zh-CN"/>
        </w:rPr>
        <w:t>中级及以上</w:t>
      </w:r>
      <w:r>
        <w:rPr>
          <w:rFonts w:hint="eastAsia" w:ascii="仿宋_GB2312" w:hAnsi="仿宋_GB2312" w:eastAsia="仿宋_GB2312" w:cs="仿宋_GB2312"/>
          <w:sz w:val="24"/>
          <w:szCs w:val="24"/>
        </w:rPr>
        <w:t>建（构）筑物消防员证书或</w:t>
      </w:r>
      <w:r>
        <w:rPr>
          <w:rFonts w:hint="eastAsia" w:ascii="仿宋_GB2312" w:hAnsi="仿宋_GB2312" w:eastAsia="仿宋_GB2312" w:cs="仿宋_GB2312"/>
          <w:sz w:val="24"/>
          <w:szCs w:val="24"/>
          <w:lang w:val="en-US" w:eastAsia="zh-CN"/>
        </w:rPr>
        <w:t>中级及以上</w:t>
      </w:r>
      <w:r>
        <w:rPr>
          <w:rFonts w:hint="eastAsia" w:ascii="仿宋_GB2312" w:hAnsi="仿宋_GB2312" w:eastAsia="仿宋_GB2312" w:cs="仿宋_GB2312"/>
          <w:sz w:val="24"/>
          <w:szCs w:val="24"/>
        </w:rPr>
        <w:t>消防设施操作员证书</w:t>
      </w:r>
      <w:r>
        <w:rPr>
          <w:rFonts w:hint="eastAsia" w:ascii="仿宋_GB2312" w:hAnsi="仿宋_GB2312" w:eastAsia="仿宋_GB2312" w:cs="仿宋_GB2312"/>
          <w:sz w:val="24"/>
          <w:szCs w:val="24"/>
          <w:lang w:eastAsia="zh-CN"/>
        </w:rPr>
        <w:t>。</w:t>
      </w:r>
    </w:p>
    <w:p>
      <w:pPr>
        <w:kinsoku/>
        <w:wordWrap/>
        <w:overflowPunct/>
        <w:topLinePunct w:val="0"/>
        <w:bidi w:val="0"/>
        <w:adjustRightInd w:val="0"/>
        <w:snapToGrid w:val="0"/>
        <w:spacing w:line="312" w:lineRule="auto"/>
        <w:ind w:firstLine="470" w:firstLineChars="196"/>
        <w:rPr>
          <w:rFonts w:hint="eastAsia" w:ascii="仿宋_GB2312" w:hAnsi="仿宋_GB2312" w:eastAsia="仿宋_GB2312" w:cs="仿宋_GB2312"/>
          <w:snapToGrid w:val="0"/>
          <w:kern w:val="28"/>
          <w:sz w:val="24"/>
          <w:szCs w:val="24"/>
        </w:rPr>
      </w:pPr>
      <w:r>
        <w:rPr>
          <w:rFonts w:hint="eastAsia" w:ascii="仿宋_GB2312" w:hAnsi="仿宋_GB2312" w:eastAsia="仿宋_GB2312" w:cs="仿宋_GB2312"/>
          <w:snapToGrid w:val="0"/>
          <w:kern w:val="28"/>
          <w:sz w:val="24"/>
          <w:szCs w:val="24"/>
        </w:rPr>
        <w:t>2、服务范围：绍兴市第一中学园内及校园周边的安全和维护，包括但不限于保卫、治安、防火、防盗、 防诈骗、防暴力、车辆进出和停放管理等工作，协助处理发生在校园内的突发性事件，确保治安、刑事案件发生率为零。</w:t>
      </w:r>
    </w:p>
    <w:p>
      <w:pPr>
        <w:kinsoku/>
        <w:wordWrap/>
        <w:overflowPunct/>
        <w:topLinePunct w:val="0"/>
        <w:bidi w:val="0"/>
        <w:adjustRightInd w:val="0"/>
        <w:snapToGrid w:val="0"/>
        <w:spacing w:line="312"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3、保安服务内容及标准：</w:t>
      </w:r>
    </w:p>
    <w:p>
      <w:pPr>
        <w:kinsoku/>
        <w:wordWrap/>
        <w:overflowPunct/>
        <w:topLinePunct w:val="0"/>
        <w:bidi w:val="0"/>
        <w:adjustRightInd w:val="0"/>
        <w:snapToGrid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服务内容：负责校园内门卫管理、校内及周边环境巡逻检查，处理治安及其他突发事件，维护公共秩序；负责校内机动车和非机动车的行驶引导及停放管理;负责消控、监控设施设备运行监控与管理等；负责校内信件、报纸、教职工快递的归类与发放；维护传达室周边卫生环境。</w:t>
      </w:r>
    </w:p>
    <w:p>
      <w:pPr>
        <w:kinsoku/>
        <w:wordWrap/>
        <w:overflowPunct/>
        <w:topLinePunct w:val="0"/>
        <w:bidi w:val="0"/>
        <w:adjustRightInd w:val="0"/>
        <w:snapToGrid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3.2服务质量标准：</w:t>
      </w:r>
    </w:p>
    <w:p>
      <w:pPr>
        <w:kinsoku/>
        <w:wordWrap/>
        <w:overflowPunct/>
        <w:topLinePunct w:val="0"/>
        <w:bidi w:val="0"/>
        <w:adjustRightInd w:val="0"/>
        <w:snapToGrid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（1）门卫管理。校门出入口应安排24小时值岗，严格出入问询登记制度，对物品进出实施分类管理，杜绝闲杂人员和危险物品进入校园。</w:t>
      </w:r>
    </w:p>
    <w:p>
      <w:pPr>
        <w:kinsoku/>
        <w:wordWrap/>
        <w:overflowPunct/>
        <w:topLinePunct w:val="0"/>
        <w:bidi w:val="0"/>
        <w:adjustRightInd w:val="0"/>
        <w:snapToGrid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（2）巡视检查。明确巡视工作职责，对重要区域、部位、设备机房进行重点巡视并记录巡</w:t>
      </w:r>
      <w:bookmarkStart w:id="38" w:name="_Toc72051336"/>
      <w:bookmarkStart w:id="39" w:name="_Toc72059869"/>
      <w:r>
        <w:rPr>
          <w:rFonts w:hint="eastAsia" w:ascii="仿宋_GB2312" w:hAnsi="仿宋_GB2312" w:eastAsia="仿宋_GB2312" w:cs="仿宋_GB2312"/>
          <w:sz w:val="24"/>
          <w:szCs w:val="24"/>
        </w:rPr>
        <w:t>视情况，及时发现和处理各种安全和事故隐患。</w:t>
      </w:r>
      <w:bookmarkEnd w:id="38"/>
      <w:bookmarkEnd w:id="39"/>
    </w:p>
    <w:p>
      <w:pPr>
        <w:kinsoku/>
        <w:wordWrap/>
        <w:overflowPunct/>
        <w:topLinePunct w:val="0"/>
        <w:bidi w:val="0"/>
        <w:adjustRightInd w:val="0"/>
        <w:snapToGrid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消控、监控管理。消控、监控设施设备应保持24小时开通，并保持完整的监控记录，保证对学校各出入口、内部重点区域的安全监控、录像及协助布警。监控室收到异常情况报警信号后，应及时报警，并派专人赶到现场进行前期处理。监控资料应至少保持30天。做好防盗、防火报警监控设备日常使用管理。</w:t>
      </w:r>
    </w:p>
    <w:p>
      <w:pPr>
        <w:kinsoku/>
        <w:wordWrap/>
        <w:overflowPunct/>
        <w:topLinePunct w:val="0"/>
        <w:bidi w:val="0"/>
        <w:adjustRightInd w:val="0"/>
        <w:snapToGrid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车辆管理。对进出学校的各类车辆进行管理，设置行车指示标志，规定车辆行驶路线，指定车辆停放区域，对校园内未按规定停放的车辆进行管理。非机动车定点有序停放，停车区域无易燃、易爆等物品存放。</w:t>
      </w:r>
    </w:p>
    <w:p>
      <w:pPr>
        <w:kinsoku/>
        <w:wordWrap/>
        <w:overflowPunct/>
        <w:topLinePunct w:val="0"/>
        <w:bidi w:val="0"/>
        <w:adjustRightInd w:val="0"/>
        <w:snapToGrid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突发事件处理。按照要求制订突发事件应急预案，并在保安值班室、监控室等处张榜悬挂。在各楼层固定位置悬挂疏散示意图及引路标志，每年组织不少于1次的突发事件应急演习。当发生台风、暴雨、雪灾等灾害性天气及其他突发事件时，应对设备机房、停车场、花木、广告牌、电线杆、灯柱等露天设施进行检查和加固。各岗位人员必须按规定实行岗位警戒，根据不同突发事件的现场情况进行应变处理。对待上访人员做到耐心说服，及时报告有关部门予以妥善处置。</w:t>
      </w:r>
    </w:p>
    <w:p>
      <w:pPr>
        <w:kinsoku/>
        <w:wordWrap/>
        <w:overflowPunct/>
        <w:topLinePunct w:val="0"/>
        <w:bidi w:val="0"/>
        <w:adjustRightInd w:val="0"/>
        <w:snapToGrid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（6）保安培训。对保安定期定时进行制度、操作、安全等培训，以提高保安业务知识与技能，提升服务质量与水平。每次培训结束后，及时将培训记录（包含培训方案、签到表、现场照片等）做成档案给</w:t>
      </w:r>
      <w:r>
        <w:rPr>
          <w:rFonts w:hint="eastAsia" w:ascii="仿宋_GB2312" w:hAnsi="仿宋_GB2312" w:eastAsia="仿宋_GB2312" w:cs="仿宋_GB2312"/>
          <w:sz w:val="24"/>
          <w:szCs w:val="24"/>
          <w:lang w:val="en-US" w:eastAsia="zh-CN"/>
        </w:rPr>
        <w:t>采购人</w:t>
      </w:r>
      <w:r>
        <w:rPr>
          <w:rFonts w:hint="eastAsia" w:ascii="仿宋_GB2312" w:hAnsi="仿宋_GB2312" w:eastAsia="仿宋_GB2312" w:cs="仿宋_GB2312"/>
          <w:sz w:val="24"/>
          <w:szCs w:val="24"/>
        </w:rPr>
        <w:t>存档。</w:t>
      </w:r>
    </w:p>
    <w:p>
      <w:pPr>
        <w:kinsoku/>
        <w:wordWrap/>
        <w:overflowPunct/>
        <w:topLinePunct w:val="0"/>
        <w:bidi w:val="0"/>
        <w:spacing w:line="312" w:lineRule="auto"/>
        <w:rPr>
          <w:rFonts w:hint="eastAsia" w:ascii="仿宋_GB2312" w:hAnsi="仿宋_GB2312" w:eastAsia="仿宋_GB2312" w:cs="仿宋_GB2312"/>
          <w:snapToGrid w:val="0"/>
          <w:kern w:val="28"/>
          <w:sz w:val="24"/>
          <w:szCs w:val="24"/>
        </w:rPr>
      </w:pPr>
      <w:r>
        <w:rPr>
          <w:rFonts w:hint="eastAsia" w:ascii="仿宋_GB2312" w:hAnsi="仿宋_GB2312" w:eastAsia="仿宋_GB2312" w:cs="仿宋_GB2312"/>
          <w:b/>
          <w:sz w:val="24"/>
          <w:szCs w:val="24"/>
        </w:rPr>
        <w:t xml:space="preserve">   </w:t>
      </w:r>
      <w:r>
        <w:rPr>
          <w:rFonts w:hint="eastAsia" w:ascii="仿宋_GB2312" w:hAnsi="仿宋_GB2312" w:eastAsia="仿宋_GB2312" w:cs="仿宋_GB2312"/>
          <w:snapToGrid w:val="0"/>
          <w:kern w:val="28"/>
          <w:sz w:val="24"/>
          <w:szCs w:val="24"/>
        </w:rPr>
        <w:t xml:space="preserve"> 4、保安队员工作时间和休息休假</w:t>
      </w:r>
    </w:p>
    <w:p>
      <w:pPr>
        <w:kinsoku/>
        <w:wordWrap/>
        <w:overflowPunct/>
        <w:topLinePunct w:val="0"/>
        <w:bidi w:val="0"/>
        <w:adjustRightInd w:val="0"/>
        <w:snapToGrid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shd w:val="clear" w:color="auto" w:fill="FFFFFF"/>
        </w:rPr>
        <w:t>学生上下学及有学生在校期间，保安队员原则上不得休息，须坚守岗位，值班、执勤。保安队员晚上须值班巡逻。双休日及节假日根据校方需要轮流值班。寒暑假期间保安队员要服从学校的实际需要，进行值班和护校。</w:t>
      </w:r>
    </w:p>
    <w:p>
      <w:pPr>
        <w:kinsoku/>
        <w:wordWrap/>
        <w:overflowPunct/>
        <w:topLinePunct w:val="0"/>
        <w:bidi w:val="0"/>
        <w:spacing w:line="312" w:lineRule="auto"/>
        <w:ind w:firstLine="480" w:firstLineChars="200"/>
        <w:rPr>
          <w:rFonts w:hint="eastAsia" w:ascii="仿宋_GB2312" w:hAnsi="仿宋_GB2312" w:eastAsia="仿宋_GB2312" w:cs="仿宋_GB2312"/>
          <w:snapToGrid w:val="0"/>
          <w:kern w:val="28"/>
          <w:sz w:val="24"/>
          <w:szCs w:val="24"/>
        </w:rPr>
      </w:pPr>
      <w:r>
        <w:rPr>
          <w:rFonts w:hint="eastAsia" w:ascii="仿宋_GB2312" w:hAnsi="仿宋_GB2312" w:eastAsia="仿宋_GB2312" w:cs="仿宋_GB2312"/>
          <w:snapToGrid w:val="0"/>
          <w:kern w:val="28"/>
          <w:sz w:val="24"/>
          <w:szCs w:val="24"/>
        </w:rPr>
        <w:t>5、保安队员更换与合同解除</w:t>
      </w:r>
    </w:p>
    <w:p>
      <w:pPr>
        <w:kinsoku/>
        <w:wordWrap/>
        <w:overflowPunct/>
        <w:topLinePunct w:val="0"/>
        <w:bidi w:val="0"/>
        <w:spacing w:line="312" w:lineRule="auto"/>
        <w:ind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5.1所聘保安队员基本信息、身份证明、无违法犯罪纪录证明等由</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向市教育局安监处备案。</w:t>
      </w:r>
    </w:p>
    <w:p>
      <w:pPr>
        <w:kinsoku/>
        <w:wordWrap/>
        <w:overflowPunct/>
        <w:topLinePunct w:val="0"/>
        <w:bidi w:val="0"/>
        <w:snapToGrid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5.2为保证保安队伍的相对稳定，同时有利于学校工作，保安辞职或因病因事的正常人员更换，原则上在每年的节假日或假期办理。</w:t>
      </w:r>
    </w:p>
    <w:p>
      <w:pPr>
        <w:kinsoku/>
        <w:wordWrap/>
        <w:overflowPunct/>
        <w:topLinePunct w:val="0"/>
        <w:bidi w:val="0"/>
        <w:snapToGrid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5.3保安队员有下列情形之一的，学校可随时要求更换：</w:t>
      </w:r>
    </w:p>
    <w:p>
      <w:pPr>
        <w:kinsoku/>
        <w:wordWrap/>
        <w:overflowPunct/>
        <w:topLinePunct w:val="0"/>
        <w:bidi w:val="0"/>
        <w:snapToGrid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（1）与中标人投标时提供的情况和承诺不符的；</w:t>
      </w:r>
    </w:p>
    <w:p>
      <w:pPr>
        <w:kinsoku/>
        <w:wordWrap/>
        <w:overflowPunct/>
        <w:topLinePunct w:val="0"/>
        <w:bidi w:val="0"/>
        <w:snapToGrid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（2）有违反法律的行为，被司法机关采取人身限制措施的；</w:t>
      </w:r>
    </w:p>
    <w:p>
      <w:pPr>
        <w:kinsoku/>
        <w:wordWrap/>
        <w:overflowPunct/>
        <w:topLinePunct w:val="0"/>
        <w:bidi w:val="0"/>
        <w:snapToGrid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（3）在试用期内被证明不符合聘用条件的；</w:t>
      </w:r>
    </w:p>
    <w:p>
      <w:pPr>
        <w:kinsoku/>
        <w:wordWrap/>
        <w:overflowPunct/>
        <w:topLinePunct w:val="0"/>
        <w:bidi w:val="0"/>
        <w:snapToGrid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（4）违反学校规章制度或劳动纪律达到解聘条件的；</w:t>
      </w:r>
    </w:p>
    <w:p>
      <w:pPr>
        <w:kinsoku/>
        <w:wordWrap/>
        <w:overflowPunct/>
        <w:topLinePunct w:val="0"/>
        <w:bidi w:val="0"/>
        <w:snapToGrid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（5）签订合同时采取欺骗手段故意隐瞒个人重要信息的；</w:t>
      </w:r>
    </w:p>
    <w:p>
      <w:pPr>
        <w:kinsoku/>
        <w:wordWrap/>
        <w:overflowPunct/>
        <w:topLinePunct w:val="0"/>
        <w:bidi w:val="0"/>
        <w:snapToGrid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（6）故意不履行岗位职责，不完成分配的任务，给学校工作造成损失的；</w:t>
      </w:r>
    </w:p>
    <w:p>
      <w:pPr>
        <w:kinsoku/>
        <w:wordWrap/>
        <w:overflowPunct/>
        <w:topLinePunct w:val="0"/>
        <w:bidi w:val="0"/>
        <w:snapToGrid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（7）擅自离职的；</w:t>
      </w:r>
    </w:p>
    <w:p>
      <w:pPr>
        <w:pStyle w:val="964"/>
        <w:kinsoku/>
        <w:wordWrap/>
        <w:overflowPunct/>
        <w:topLinePunct w:val="0"/>
        <w:bidi w:val="0"/>
        <w:spacing w:before="0" w:beforeAutospacing="0" w:after="0" w:afterAutospacing="0" w:line="312" w:lineRule="auto"/>
        <w:ind w:firstLine="480" w:firstLineChars="20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（8）</w:t>
      </w:r>
      <w:r>
        <w:rPr>
          <w:rFonts w:hint="eastAsia" w:ascii="仿宋_GB2312" w:hAnsi="仿宋_GB2312" w:eastAsia="仿宋_GB2312" w:cs="仿宋_GB2312"/>
          <w:sz w:val="24"/>
          <w:szCs w:val="24"/>
        </w:rPr>
        <w:t>其他不适宜留任此岗位的。</w:t>
      </w:r>
    </w:p>
    <w:p>
      <w:pPr>
        <w:pStyle w:val="130"/>
        <w:kinsoku/>
        <w:wordWrap/>
        <w:overflowPunct/>
        <w:topLinePunct w:val="0"/>
        <w:bidi w:val="0"/>
        <w:adjustRightInd w:val="0"/>
        <w:snapToGrid w:val="0"/>
        <w:spacing w:before="0" w:line="312"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5.4学校根据上述情形向中标人发出非正常更换保安书面通知后，中标人须最迟在15天内完成更换工作，如在同一合同期内出现3次非正常更换保安队员现象，学校有权解除合同，由此引起的经济损失由中标人负责。</w:t>
      </w:r>
    </w:p>
    <w:p>
      <w:pPr>
        <w:pStyle w:val="130"/>
        <w:kinsoku/>
        <w:wordWrap/>
        <w:overflowPunct/>
        <w:topLinePunct w:val="0"/>
        <w:bidi w:val="0"/>
        <w:adjustRightInd w:val="0"/>
        <w:snapToGrid w:val="0"/>
        <w:spacing w:before="0" w:line="312"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6、其他要求</w:t>
      </w:r>
    </w:p>
    <w:p>
      <w:pPr>
        <w:pStyle w:val="130"/>
        <w:kinsoku/>
        <w:wordWrap/>
        <w:overflowPunct/>
        <w:topLinePunct w:val="0"/>
        <w:bidi w:val="0"/>
        <w:adjustRightInd w:val="0"/>
        <w:snapToGrid w:val="0"/>
        <w:spacing w:before="0" w:line="312"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6.1投标人应制订具体的质量保证措施及质量保证及相关服务的承诺。如因服务质量未达到目标，投标人应承担</w:t>
      </w:r>
      <w:r>
        <w:rPr>
          <w:rFonts w:hint="eastAsia" w:ascii="仿宋_GB2312" w:hAnsi="仿宋_GB2312" w:eastAsia="仿宋_GB2312" w:cs="仿宋_GB2312"/>
          <w:sz w:val="24"/>
          <w:szCs w:val="24"/>
          <w:lang w:val="en-US" w:eastAsia="zh-CN"/>
        </w:rPr>
        <w:t>相应的</w:t>
      </w:r>
      <w:r>
        <w:rPr>
          <w:rFonts w:hint="eastAsia" w:ascii="仿宋_GB2312" w:hAnsi="仿宋_GB2312" w:eastAsia="仿宋_GB2312" w:cs="仿宋_GB2312"/>
          <w:sz w:val="24"/>
          <w:szCs w:val="24"/>
        </w:rPr>
        <w:t>责任和经济赔偿。</w:t>
      </w:r>
    </w:p>
    <w:p>
      <w:pPr>
        <w:pStyle w:val="130"/>
        <w:kinsoku/>
        <w:wordWrap/>
        <w:overflowPunct/>
        <w:topLinePunct w:val="0"/>
        <w:bidi w:val="0"/>
        <w:adjustRightInd w:val="0"/>
        <w:snapToGrid w:val="0"/>
        <w:spacing w:before="0" w:line="312"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6.2投标人须提供</w:t>
      </w:r>
      <w:r>
        <w:rPr>
          <w:rFonts w:hint="eastAsia" w:ascii="仿宋_GB2312" w:hAnsi="仿宋_GB2312" w:eastAsia="仿宋_GB2312" w:cs="仿宋_GB2312"/>
          <w:sz w:val="24"/>
          <w:szCs w:val="24"/>
          <w:lang w:val="en-US" w:eastAsia="zh-CN"/>
        </w:rPr>
        <w:t>保安队长</w:t>
      </w:r>
      <w:r>
        <w:rPr>
          <w:rFonts w:hint="eastAsia" w:ascii="仿宋_GB2312" w:hAnsi="仿宋_GB2312" w:eastAsia="仿宋_GB2312" w:cs="仿宋_GB2312"/>
          <w:sz w:val="24"/>
          <w:szCs w:val="24"/>
        </w:rPr>
        <w:t>、保安等重要岗位人员的相关有效证件和信息，如果中标人不能提供，则采购人有权终止合同签订。其他人员聘用须将人员信息向采购人备案。</w:t>
      </w:r>
    </w:p>
    <w:p>
      <w:pPr>
        <w:pStyle w:val="130"/>
        <w:kinsoku/>
        <w:wordWrap/>
        <w:overflowPunct/>
        <w:topLinePunct w:val="0"/>
        <w:bidi w:val="0"/>
        <w:adjustRightInd w:val="0"/>
        <w:snapToGrid w:val="0"/>
        <w:spacing w:before="0" w:line="312"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6.3中标人应按要求并保持人员的稳定。遇调动或辞职时，</w:t>
      </w:r>
      <w:r>
        <w:rPr>
          <w:rFonts w:hint="eastAsia" w:ascii="仿宋_GB2312" w:hAnsi="仿宋_GB2312" w:eastAsia="仿宋_GB2312" w:cs="仿宋_GB2312"/>
          <w:sz w:val="24"/>
          <w:szCs w:val="24"/>
          <w:lang w:val="en-US" w:eastAsia="zh-CN"/>
        </w:rPr>
        <w:t>保安队长</w:t>
      </w:r>
      <w:r>
        <w:rPr>
          <w:rFonts w:hint="eastAsia" w:ascii="仿宋_GB2312" w:hAnsi="仿宋_GB2312" w:eastAsia="仿宋_GB2312" w:cs="仿宋_GB2312"/>
          <w:sz w:val="24"/>
          <w:szCs w:val="24"/>
        </w:rPr>
        <w:t>前20天、保安提前10天告知采购人并得到同意后才能更换，按要求及时补充相应人员，提前做好交接班。对采购人认为无能力、工作失职或不合适人员，应立即更换。岗位人数不足时，按相应岗位成本扣除服务费。</w:t>
      </w:r>
    </w:p>
    <w:p>
      <w:pPr>
        <w:pStyle w:val="130"/>
        <w:kinsoku/>
        <w:wordWrap/>
        <w:overflowPunct/>
        <w:topLinePunct w:val="0"/>
        <w:bidi w:val="0"/>
        <w:adjustRightInd w:val="0"/>
        <w:snapToGrid w:val="0"/>
        <w:spacing w:before="0" w:line="312"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6.4中标人应按国家和当地政府有关劳动法规、条例，向工作人员提供相应工种的劳动工资、加班工资、劳动保护等待遇。</w:t>
      </w:r>
    </w:p>
    <w:p>
      <w:pPr>
        <w:kinsoku/>
        <w:wordWrap/>
        <w:overflowPunct/>
        <w:topLinePunct w:val="0"/>
        <w:bidi w:val="0"/>
        <w:adjustRightInd w:val="0"/>
        <w:snapToGrid w:val="0"/>
        <w:spacing w:line="312" w:lineRule="auto"/>
        <w:ind w:firstLine="480" w:firstLineChars="200"/>
        <w:jc w:val="left"/>
        <w:rPr>
          <w:rFonts w:hint="eastAsia" w:ascii="仿宋_GB2312" w:hAnsi="仿宋_GB2312" w:eastAsia="仿宋_GB2312" w:cs="仿宋_GB2312"/>
          <w:bCs/>
          <w:sz w:val="24"/>
          <w:szCs w:val="24"/>
        </w:rPr>
      </w:pPr>
      <w:r>
        <w:rPr>
          <w:rFonts w:hint="eastAsia" w:ascii="仿宋_GB2312" w:hAnsi="仿宋_GB2312" w:eastAsia="仿宋_GB2312" w:cs="仿宋_GB2312"/>
          <w:sz w:val="24"/>
          <w:szCs w:val="24"/>
        </w:rPr>
        <w:t>6.5</w:t>
      </w:r>
      <w:r>
        <w:rPr>
          <w:rFonts w:hint="eastAsia" w:ascii="仿宋_GB2312" w:hAnsi="仿宋_GB2312" w:eastAsia="仿宋_GB2312" w:cs="仿宋_GB2312"/>
          <w:bCs/>
          <w:sz w:val="24"/>
          <w:szCs w:val="24"/>
        </w:rPr>
        <w:t>中标人按要求提供所有保安的各季制服，费用包含在投标报价内。</w:t>
      </w:r>
    </w:p>
    <w:p>
      <w:pPr>
        <w:pStyle w:val="130"/>
        <w:kinsoku/>
        <w:wordWrap/>
        <w:overflowPunct/>
        <w:topLinePunct w:val="0"/>
        <w:bidi w:val="0"/>
        <w:adjustRightInd w:val="0"/>
        <w:snapToGrid w:val="0"/>
        <w:spacing w:before="0" w:line="312"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6.6中标人所有的工作除应按采购人的内部流程实施外还应接受第三方的检查。中标人达不到采购人要求及各项服务承诺，采购人有权要求其整改，直至扣款或终止合同。</w:t>
      </w:r>
    </w:p>
    <w:p>
      <w:pPr>
        <w:pStyle w:val="130"/>
        <w:kinsoku/>
        <w:wordWrap/>
        <w:overflowPunct/>
        <w:topLinePunct w:val="0"/>
        <w:bidi w:val="0"/>
        <w:adjustRightInd w:val="0"/>
        <w:snapToGrid w:val="0"/>
        <w:spacing w:before="0" w:line="312" w:lineRule="auto"/>
        <w:ind w:firstLine="48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7、管理服务应达到的各项指标</w:t>
      </w:r>
      <w:r>
        <w:rPr>
          <w:rFonts w:hint="eastAsia" w:ascii="仿宋_GB2312" w:hAnsi="仿宋_GB2312" w:eastAsia="仿宋_GB2312" w:cs="仿宋_GB2312"/>
          <w:sz w:val="24"/>
          <w:szCs w:val="24"/>
          <w:lang w:eastAsia="zh-CN"/>
        </w:rPr>
        <w:t>：</w:t>
      </w:r>
    </w:p>
    <w:p>
      <w:pPr>
        <w:kinsoku/>
        <w:wordWrap/>
        <w:overflowPunct/>
        <w:topLinePunct w:val="0"/>
        <w:bidi w:val="0"/>
        <w:adjustRightInd w:val="0"/>
        <w:snapToGrid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7.1基本杜绝火灾责任事故和刑事案件；</w:t>
      </w:r>
    </w:p>
    <w:p>
      <w:pPr>
        <w:kinsoku/>
        <w:wordWrap/>
        <w:overflowPunct/>
        <w:topLinePunct w:val="0"/>
        <w:bidi w:val="0"/>
        <w:adjustRightInd w:val="0"/>
        <w:snapToGrid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7.2服务有效投诉少于1%，处理率100%；</w:t>
      </w:r>
    </w:p>
    <w:p>
      <w:pPr>
        <w:kinsoku/>
        <w:wordWrap/>
        <w:overflowPunct/>
        <w:topLinePunct w:val="0"/>
        <w:bidi w:val="0"/>
        <w:adjustRightInd w:val="0"/>
        <w:snapToGrid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7.3学校师生满意率95%以上；</w:t>
      </w:r>
    </w:p>
    <w:p>
      <w:pPr>
        <w:kinsoku/>
        <w:wordWrap/>
        <w:overflowPunct/>
        <w:topLinePunct w:val="0"/>
        <w:bidi w:val="0"/>
        <w:adjustRightInd w:val="0"/>
        <w:snapToGrid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7.4治安、刑事案件发生率为零。</w:t>
      </w:r>
    </w:p>
    <w:p>
      <w:pPr>
        <w:kinsoku/>
        <w:wordWrap/>
        <w:overflowPunct/>
        <w:topLinePunct w:val="0"/>
        <w:bidi w:val="0"/>
        <w:spacing w:line="312"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三、保洁部分需求</w:t>
      </w:r>
    </w:p>
    <w:p>
      <w:pPr>
        <w:kinsoku/>
        <w:wordWrap/>
        <w:overflowPunct/>
        <w:topLinePunct w:val="0"/>
        <w:bidi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1、保洁人员</w:t>
      </w:r>
      <w:r>
        <w:rPr>
          <w:rFonts w:hint="eastAsia" w:ascii="仿宋_GB2312" w:hAnsi="仿宋_GB2312" w:eastAsia="仿宋_GB2312" w:cs="仿宋_GB2312"/>
          <w:sz w:val="24"/>
          <w:szCs w:val="24"/>
          <w:lang w:eastAsia="zh-CN"/>
        </w:rPr>
        <w:t>不</w:t>
      </w:r>
      <w:r>
        <w:rPr>
          <w:rFonts w:hint="eastAsia" w:ascii="仿宋_GB2312" w:hAnsi="仿宋_GB2312" w:eastAsia="仿宋_GB2312" w:cs="仿宋_GB2312"/>
          <w:sz w:val="24"/>
          <w:szCs w:val="24"/>
        </w:rPr>
        <w:t>少于11人（包含保洁领班1人），负责校园保洁、空调清洗、水池清洗、雨污分流管网日常检查。</w:t>
      </w:r>
    </w:p>
    <w:p>
      <w:pPr>
        <w:kinsoku/>
        <w:wordWrap/>
        <w:overflowPunct/>
        <w:topLinePunct w:val="0"/>
        <w:bidi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2、工作时间</w:t>
      </w:r>
    </w:p>
    <w:p>
      <w:pPr>
        <w:kinsoku/>
        <w:wordWrap/>
        <w:overflowPunct/>
        <w:topLinePunct w:val="0"/>
        <w:bidi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2.1鉴于学校的工作特点，要求</w:t>
      </w:r>
      <w:r>
        <w:rPr>
          <w:rFonts w:hint="eastAsia" w:ascii="仿宋_GB2312" w:hAnsi="仿宋_GB2312" w:eastAsia="仿宋_GB2312" w:cs="仿宋_GB2312"/>
          <w:sz w:val="24"/>
          <w:szCs w:val="24"/>
          <w:lang w:val="en-US" w:eastAsia="zh-CN"/>
        </w:rPr>
        <w:t>投标人</w:t>
      </w:r>
      <w:r>
        <w:rPr>
          <w:rFonts w:hint="eastAsia" w:ascii="仿宋_GB2312" w:hAnsi="仿宋_GB2312" w:eastAsia="仿宋_GB2312" w:cs="仿宋_GB2312"/>
          <w:sz w:val="24"/>
          <w:szCs w:val="24"/>
        </w:rPr>
        <w:t>拟定相关的作业计划，校园卫生保洁工作不得因节假日和双休日而中断，每天上班时间内必须确保服务人员在岗，并有专职人员随时巡逻保洁。</w:t>
      </w:r>
    </w:p>
    <w:p>
      <w:pPr>
        <w:kinsoku/>
        <w:wordWrap/>
        <w:overflowPunct/>
        <w:topLinePunct w:val="0"/>
        <w:bidi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2.2学校各部门因有临时任务需加班，保洁人员应予主动配合，并处理好各项突击性工作。</w:t>
      </w:r>
    </w:p>
    <w:p>
      <w:pPr>
        <w:kinsoku/>
        <w:wordWrap/>
        <w:overflowPunct/>
        <w:topLinePunct w:val="0"/>
        <w:bidi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2.3保洁期为全年，寒暑假保洁按照学校要求安排员工，完成相对应的卫生保洁。假期如遇校方各类活动，中标人需根据学校要求及时配备足额人员,</w:t>
      </w:r>
      <w:r>
        <w:rPr>
          <w:rFonts w:hint="eastAsia" w:ascii="仿宋_GB2312" w:hAnsi="仿宋_GB2312" w:eastAsia="仿宋_GB2312" w:cs="仿宋_GB2312"/>
          <w:sz w:val="24"/>
          <w:szCs w:val="24"/>
          <w:lang w:eastAsia="zh-CN"/>
        </w:rPr>
        <w:t>此费用包含在报价内</w:t>
      </w:r>
      <w:r>
        <w:rPr>
          <w:rFonts w:hint="eastAsia" w:ascii="仿宋_GB2312" w:hAnsi="仿宋_GB2312" w:eastAsia="仿宋_GB2312" w:cs="仿宋_GB2312"/>
          <w:sz w:val="24"/>
          <w:szCs w:val="24"/>
        </w:rPr>
        <w:t>。</w:t>
      </w:r>
    </w:p>
    <w:p>
      <w:pPr>
        <w:kinsoku/>
        <w:wordWrap/>
        <w:overflowPunct/>
        <w:topLinePunct w:val="0"/>
        <w:bidi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2.4无特殊情况，在学校正式开学前一周，保洁人员与学校各部门配合进行开学大清扫，若有人员调整，应及时通知总务处。</w:t>
      </w:r>
    </w:p>
    <w:p>
      <w:pPr>
        <w:kinsoku/>
        <w:wordWrap/>
        <w:overflowPunct/>
        <w:topLinePunct w:val="0"/>
        <w:bidi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3、保洁服务工作范围及要求</w:t>
      </w:r>
    </w:p>
    <w:p>
      <w:pPr>
        <w:kinsoku/>
        <w:wordWrap/>
        <w:overflowPunct/>
        <w:topLinePunct w:val="0"/>
        <w:bidi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3.1宿舍区</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工作范围：“元”楼（教工宿舍楼）、“亨”楼（3号学生宿舍楼）一楼，宿舍楼地下车库。</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保洁要求：</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①教工宿舍楼所有走廊楼梯每天清扫、水拖，清除走廊垃圾，公共厨房保洁；3号学生宿舍楼一楼阳光房、厕所以及走廊每天打扫保洁。</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②房顶、墙角无积尘、蛛网；盥洗水槽整洁；拖把池不堵塞；地面无积尘、无碎纸、无垃圾、无烟头、无积水；厕所无尿迹（黄迹）、无污垢、无异味；窗台整洁；走廊和楼梯扶手、栏杆无积尘、立面无积渍。窗内侧玻璃保持干净；家具、设备设施无尘灰、无污渍；厕所里面不随便放置物品；直饮水机无积尘、无污渍。</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③地下车库地面无积尘、无碎纸、无垃圾、无烟头、无积水；出入车道、楼道保持整洁，如有物品损坏，及时报告总务处。</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3.2场外公共区</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（1）工作范围：校内通道（含马路及所有停车区域、图书馆北通道、南通道）、校园文化长廊、绿地，学校南门内外长廊、石桥、亲水平台及所有露天场地、绿地，行政楼南侧庭院、石桥、水塘、亭子。</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（2）保洁要求：地面无碎纸、无垃圾、无烟头；绿化带内无垃圾杂物；地沟（含水池）内无垃圾，无青苔、保持干净；无堆积落叶；水塘水面干净；亭内保持干净，顶部无蛛网。</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3.3室外运动场区</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（1）工作范围：篮球场、排球场、网球场、羽毛球场、田径场（含看台及主席台）</w:t>
      </w:r>
      <w:r>
        <w:rPr>
          <w:rFonts w:hint="eastAsia" w:ascii="仿宋_GB2312" w:hAnsi="仿宋_GB2312" w:eastAsia="仿宋_GB2312" w:cs="仿宋_GB2312"/>
          <w:sz w:val="24"/>
          <w:szCs w:val="24"/>
          <w:lang w:eastAsia="zh-CN"/>
        </w:rPr>
        <w:t>。</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保洁要求：地面无碎纸、无垃圾、无烟头；绿化带内无垃圾杂物；地沟（含水池）内无垃圾，无青苔、保持干净；无堆积落叶；师生在校期间，篮球场地面保持整洁，雨后次日不得有积水。周一如有升旗仪式，积水必须立即清除。</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3.4教学区一</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（1）工作范围：高一、高二、高三三幢教学楼厕所及厕所前通道、楼梯及一楼走廊</w:t>
      </w:r>
      <w:r>
        <w:rPr>
          <w:rFonts w:hint="eastAsia" w:ascii="仿宋_GB2312" w:hAnsi="仿宋_GB2312" w:eastAsia="仿宋_GB2312" w:cs="仿宋_GB2312"/>
          <w:sz w:val="24"/>
          <w:szCs w:val="24"/>
          <w:lang w:eastAsia="zh-CN"/>
        </w:rPr>
        <w:t>。</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（2）保洁要求：</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①每幢教学楼西侧自第一间教室西门后起至厕所通道、楼梯及一楼走廊和地面、墙面、扶栏清洁，地面无积水；直饮水机无积尘、无污渍；保持分类垃圾桶外观洁净，正确套用垃圾袋，及时清除分类垃圾；保持每层教学楼走廊排水沟畅通无积尘。</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②厕所每天打扫至少四次，而且最后一次打扫不得早于下午3:30（周六下午2:00）。做到房顶、墙角无积尘、蛛网；厕所内墙砖及分隔门时常擦洗、无污渍；洗手台面、镜子整洁；拖把池不堵塞；地面无积尘、无碎纸、无垃圾、无烟头、无积水；厕所无尿迹（黄迹）、无污垢、无异味；窗台整洁；立面无积渍。窗内侧玻璃保持干净；厕所里面不随便放置物品；如有物品损坏，及时报告总务处。</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3.5教学区二</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（1）工作范围：教师办公楼一至五楼男女厕所、楼梯、一楼所有通道、二楼至五楼走廊及扶栏、教师办公室、四间阶梯教室。</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（2）保洁要求：</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①每层楼通道、楼梯及一楼通道，楼梯、地面、墙面、扶手(栏)清洁无污渍；直饮水机无积尘、无污渍；阶梯教室桌面、地面无垃圾、无积尘，屋顶无蛛网；保持分类垃圾桶外观洁净，正确套用垃圾袋，及时清除分类垃圾；保持每间教师办公室内无垃圾积存。</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②厕所每天打扫至少两次，而且最后一次打扫不得早于下午3:30（周六下午2:00）。做到房顶、墙角无积尘、蛛网；厕所内墙砖及分隔门时常擦洗、无污渍；洗手台面、镜子整洁；拖把池不堵塞；地面无积尘、无碎纸、无垃圾、无烟头、无积水；厕所无尿迹（黄迹）、无污垢、无异味；窗台整洁；立面无积渍。窗内侧玻璃保持干净；厕所里面不随便放置物品；如有物品损坏，及时报告总务处。</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3.6实验楼区</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（1）工作范围：实验楼一至五楼走廊、楼梯、男女厕所以及四楼所有计算机房，五楼以上楼梯、天文台平台； </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（2）保洁要求：</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①每层楼通道、楼梯，楼梯、地面每天清扫、水拖，楼梯扶栏擦拭，直饮水机无积尘、无污渍；保持分类垃圾桶外观洁净，正确套用垃圾袋，及时清除分类垃圾；保持每间办公室无垃圾积存。</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②厕所每天打扫至少两次，而且最后一次打扫不得早于下午3:30（周六下午2:00）。做到房顶、墙角无积尘、蛛网；厕所内墙砖及分隔门时常擦洗、无污渍；洗手台面、镜子整洁；拖把池不堵塞；地面无积尘、无碎纸、无垃圾、无烟头、无积水；厕所无尿迹（黄迹）、无污垢、无异味；窗台整洁；立面无积渍。窗内侧玻璃保持干净；厕所里面不随便放置物品；如有物品损坏，及时报告总务处。</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3.7图书馆区</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（1）工作范围：图书馆一至三楼所有公共区域、电梯间、厕所以及三楼大小报告厅、图书馆东西两侧水池。</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（2）保洁要求：</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①每个区域通道、楼梯、地面及时清扫、水拖，楼梯扶栏擦拭，直饮水机无积尘、无污渍；保持分类垃圾桶外观洁净，正确套用垃圾袋，及时清除分类垃圾；保持电梯间清洁；图书馆东西两侧水池水面干净、水池底部无淤泥；图书馆外墙玻璃、玻璃顶棚每学期至少清洗一次。</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②厕所每天打扫至少两次，大型考试、活动期间根据学校要求应增加打扫频率，而且最后一次打扫不得早于下午3:30（周六下午2:00）。做到房顶、墙角无积尘、蛛网；厕所内墙砖及分隔门时常擦洗、无污渍；洗手台面、镜子整洁；拖把池不堵塞；地面无积尘、无碎纸、无垃圾、无烟头、无积水；厕所无尿迹（黄迹）、无污垢、无异味；窗台整洁；立面无积渍。窗内侧玻璃保持干净；厕所里面不随便放置物品；如有物品损坏，及时报告总务处。</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3.8行政楼区</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工作范围：行政楼一至五楼走廊、楼梯、男女厕所，一楼贵宾室、疫情防控专班值班室，二楼打印值班室、校领导办公室、党派活动室、接待室（1）（2），三楼会议室、党委会议室及其他专用办公室，五楼三间录播教室。</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（2）保洁要求：</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①通道、楼梯的地面、扶手(栏)清洁，地面无积水；直饮水机无积尘、无污渍；保持分类垃圾桶外观洁净，正确套用垃圾袋，及时清除分类垃圾。</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②厕所每天打扫至少两次，而且最后一次打扫不得早于下午4:30。做到房顶、墙角无积尘、蛛网；厕所内墙砖及分隔门时常擦洗、无污渍；洗手台面、镜子整洁；拖把池不堵塞；地面无积尘、无碎纸、无垃圾、无烟头、无积水；厕所无尿迹（黄迹）、无污垢、无异味；窗台整洁；立面无积渍。窗内侧玻璃保持干净；厕所里面不随便放置物品；如有物品损坏，及时报告总务处。</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③贵宾室、值班室、校领导办公室、支部活动室、接待室、会议室、党委会议室及三楼其他专用办公室，必须保持时时清洁；同时做好接待室茶杯及时清洗、消毒工作，在接待来宾前打好开水；录播教室每周打扫至少一次。完成所有应急任务。</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3.9体育馆区</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（1）工作范围：体育馆内楼梯、走廊、通道、平台、男女厕所，室内篮球场、乒乓球室、形体房、体操房、活动室、一楼器材室等。（同时兼做体育器材管理员工作）</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（2）保洁要求：</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①楼梯、走廊、通道的地面、墙面、扶手等洁净污渍，直饮水机无积尘、无污渍；保持分类垃圾桶外观洁净，正确套用垃圾袋，及时清除分类垃圾。</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②厕所每天打扫至少两次，而且最后一次打扫不得早于下午4:00。体育馆室内场地，做到每周至少一次水拖，做到房顶、墙角无积尘、蛛网；厕所内墙砖及分隔门时常擦洗、无污渍；洗手台面、镜子整洁；拖把池不堵塞；地面无积尘、无碎纸、无垃圾、无烟头、无积水；厕所无尿迹（黄迹）、无污垢、无异味；窗台整洁；立面无积渍。窗外侧玻璃保持干净；厕所里面不随便放置物品；如有物品损坏，及时报告总务处。</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3.10其他要求：</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（1）垃圾分类工作：确保每个区域内的分类垃圾桶外观清洁，正确套用垃圾袋，垃圾分类正确投放，及时分类清理、清运。</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（2）在走廊及室外的广播喇叭、路牌、告示牌等设备，每学期至少保洁一次。</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（3）全校空调根据学校指定时间每年清洗过滤网两次（中央空调除外）。</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（4）全校灭东蚊、除四害每年至少一次，食堂灭鼠工作常态化。老鼠、蟑螂防治要求：</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1 \* GB3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①</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环境治理：根据病媒生物的生态和生物学特点，通过消除有利于病媒生物孳生和繁殖的环境，减少病媒生物的数量，降低由病媒生物传播的疾病风险。环境治理包括环境改造和环境处理两个方面，如及时清理垃圾，安装挡鼠板、挡鼠条、封堵孔洞缝隙等。</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2 \* GB3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②</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物理、化学防治：根据实际情况，对鼠害将采取生态灭鼠法，即重点检查整个食堂（大楼、厨房餐厅内部）、实验楼、教学楼、宿舍楼等全校建筑各老鼠出入口，采取灭堵等办法，阻断老鼠的出入通道。全年28次；其中5-10月份，每月3次，寒暑假结束开学前各安排集中消杀1次，其余月份每月2次。</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③室外周边环境的鼠害，可采取布设鼠饵站、鼠洞投放灭鼠药等措施减少外环境鼠密度。</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4 \* GB3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④</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根据蟑螂喜欢栖息在温暖、潮湿环境的特点，灭蟑螂主要处理下水道、餐厅厨房等区域。基于“环保、高效”的原则，宜采用高效拟除虫菊脂药物、灭蟑胶饵及灭蟑粉饵进行消杀、饵毒处理。</w:t>
      </w:r>
    </w:p>
    <w:p>
      <w:pPr>
        <w:pStyle w:val="79"/>
        <w:kinsoku/>
        <w:wordWrap/>
        <w:overflowPunct/>
        <w:topLinePunct w:val="0"/>
        <w:bidi w:val="0"/>
        <w:spacing w:line="312"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（5）全校化粪池清理每年至少一次。</w:t>
      </w:r>
    </w:p>
    <w:p>
      <w:pPr>
        <w:kinsoku/>
        <w:wordWrap/>
        <w:overflowPunct/>
        <w:topLinePunct w:val="0"/>
        <w:bidi w:val="0"/>
        <w:spacing w:line="312"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学校如有上级领导和重要嘉宾参观、检查或教研活动，可根据需要提前通知中标人，中标人根据校方要求进行突击性服务；如遇火警、水管爆裂、台风袭击、突发性、重要接待、节会活动等特殊情况，中标人要组织突击小组配合校方搞好特殊保洁工作；维护承包范围内校容、校貌的整洁，协助校方完成临时性的课桌椅的调配工作及其他卫生保洁工作。因传染疾病突发的清洁消毒工作等特殊情况。</w:t>
      </w:r>
    </w:p>
    <w:p>
      <w:pPr>
        <w:kinsoku/>
        <w:wordWrap/>
        <w:overflowPunct/>
        <w:topLinePunct w:val="0"/>
        <w:bidi w:val="0"/>
        <w:spacing w:line="312" w:lineRule="auto"/>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绍兴市第一中学清洁服务检查考核表</w:t>
      </w:r>
    </w:p>
    <w:p>
      <w:pPr>
        <w:kinsoku/>
        <w:wordWrap/>
        <w:overflowPunct/>
        <w:topLinePunct w:val="0"/>
        <w:bidi w:val="0"/>
        <w:spacing w:line="312"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被检查人：            检查人：             检查时间：     年   月   日</w:t>
      </w:r>
    </w:p>
    <w:tbl>
      <w:tblPr>
        <w:tblStyle w:val="62"/>
        <w:tblW w:w="8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6162"/>
        <w:gridCol w:w="1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210" w:type="dxa"/>
            <w:vAlign w:val="center"/>
          </w:tcPr>
          <w:p>
            <w:pPr>
              <w:kinsoku/>
              <w:wordWrap/>
              <w:overflowPunct/>
              <w:topLinePunct w:val="0"/>
              <w:bidi w:val="0"/>
              <w:spacing w:line="312"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检查项目</w:t>
            </w:r>
          </w:p>
        </w:tc>
        <w:tc>
          <w:tcPr>
            <w:tcW w:w="6162"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检     查     标     准</w:t>
            </w:r>
          </w:p>
        </w:tc>
        <w:tc>
          <w:tcPr>
            <w:tcW w:w="1257"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情况记载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4" w:hRule="atLeast"/>
          <w:jc w:val="center"/>
        </w:trPr>
        <w:tc>
          <w:tcPr>
            <w:tcW w:w="1210"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保洁区域</w:t>
            </w:r>
          </w:p>
        </w:tc>
        <w:tc>
          <w:tcPr>
            <w:tcW w:w="6162" w:type="dxa"/>
            <w:vAlign w:val="center"/>
          </w:tcPr>
          <w:p>
            <w:pPr>
              <w:kinsoku/>
              <w:wordWrap/>
              <w:overflowPunct/>
              <w:topLinePunct w:val="0"/>
              <w:bidi w:val="0"/>
              <w:spacing w:line="312"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1.室内：通道、楼梯地面、墙面干净无污渍，护栏、扶手无积灰，房顶、墙角无积尘、蛛网，直饮水机无尘灰、无污渍；保持分类垃圾桶外观洁净，正确套用垃圾袋，及时清除分类垃圾。</w:t>
            </w:r>
          </w:p>
          <w:p>
            <w:pPr>
              <w:kinsoku/>
              <w:wordWrap/>
              <w:overflowPunct/>
              <w:topLinePunct w:val="0"/>
              <w:bidi w:val="0"/>
              <w:spacing w:line="312"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外场、车库、运动场：至少每日一扫一捡，做到地面无碎纸、无垃圾、无烟头；园林绿化带内无垃圾杂物；排水沟、地沟、窨井（含水池）内无垃圾、无青苔、保持干净；无堆积落叶和其他杂物；雨后次日篮球场无积水。</w:t>
            </w:r>
          </w:p>
        </w:tc>
        <w:tc>
          <w:tcPr>
            <w:tcW w:w="1257"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jc w:val="center"/>
        </w:trPr>
        <w:tc>
          <w:tcPr>
            <w:tcW w:w="1210"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厕  所</w:t>
            </w:r>
          </w:p>
        </w:tc>
        <w:tc>
          <w:tcPr>
            <w:tcW w:w="6162" w:type="dxa"/>
            <w:vAlign w:val="center"/>
          </w:tcPr>
          <w:p>
            <w:pPr>
              <w:kinsoku/>
              <w:wordWrap/>
              <w:overflowPunct/>
              <w:topLinePunct w:val="0"/>
              <w:bidi w:val="0"/>
              <w:spacing w:line="312"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房顶、墙角无积尘、蛛网，厕所内墙砖及分隔门时常擦洗、无污渍，地面无积尘、无碎纸、无垃圾、无烟头、无积水；窗台整洁；立面无积渍。窗内侧玻璃保持干净；便槽无尿迹（黄迹）、无污垢、无异味；洗手台面、镜子整洁</w:t>
            </w:r>
          </w:p>
        </w:tc>
        <w:tc>
          <w:tcPr>
            <w:tcW w:w="1257"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1210"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垃圾分类</w:t>
            </w:r>
          </w:p>
        </w:tc>
        <w:tc>
          <w:tcPr>
            <w:tcW w:w="6162" w:type="dxa"/>
            <w:vAlign w:val="center"/>
          </w:tcPr>
          <w:p>
            <w:pPr>
              <w:kinsoku/>
              <w:wordWrap/>
              <w:overflowPunct/>
              <w:topLinePunct w:val="0"/>
              <w:bidi w:val="0"/>
              <w:spacing w:line="312"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1.垃圾分类工作符合规范要求。</w:t>
            </w:r>
          </w:p>
          <w:p>
            <w:pPr>
              <w:kinsoku/>
              <w:wordWrap/>
              <w:overflowPunct/>
              <w:topLinePunct w:val="0"/>
              <w:bidi w:val="0"/>
              <w:spacing w:line="312"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2.垃圾桶内垃圾达二分之一时应及时清倒，并换新垃圾袋。</w:t>
            </w:r>
          </w:p>
          <w:p>
            <w:pPr>
              <w:kinsoku/>
              <w:wordWrap/>
              <w:overflowPunct/>
              <w:topLinePunct w:val="0"/>
              <w:bidi w:val="0"/>
              <w:spacing w:line="312"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3.四周无垃圾，垃圾袋不松弛，垃圾篓的四边无粘物，外观干净。</w:t>
            </w:r>
          </w:p>
        </w:tc>
        <w:tc>
          <w:tcPr>
            <w:tcW w:w="1257"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10"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清洁工具</w:t>
            </w:r>
          </w:p>
        </w:tc>
        <w:tc>
          <w:tcPr>
            <w:tcW w:w="6162" w:type="dxa"/>
            <w:vAlign w:val="center"/>
          </w:tcPr>
          <w:p>
            <w:pPr>
              <w:kinsoku/>
              <w:wordWrap/>
              <w:overflowPunct/>
              <w:topLinePunct w:val="0"/>
              <w:bidi w:val="0"/>
              <w:spacing w:line="312"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1.放在规定位置；2.工具干净、无异味，摆放整齐。</w:t>
            </w:r>
          </w:p>
        </w:tc>
        <w:tc>
          <w:tcPr>
            <w:tcW w:w="1257"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210"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师生反馈</w:t>
            </w:r>
          </w:p>
        </w:tc>
        <w:tc>
          <w:tcPr>
            <w:tcW w:w="6162" w:type="dxa"/>
            <w:vAlign w:val="center"/>
          </w:tcPr>
          <w:p>
            <w:pPr>
              <w:kinsoku/>
              <w:wordWrap/>
              <w:overflowPunct/>
              <w:topLinePunct w:val="0"/>
              <w:bidi w:val="0"/>
              <w:spacing w:line="312"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学校领导、老师、学生、家长反馈的物业保洁存在的问题，经核实属实的，每次扣1-2分</w:t>
            </w:r>
          </w:p>
        </w:tc>
        <w:tc>
          <w:tcPr>
            <w:tcW w:w="1257"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10"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其  他</w:t>
            </w:r>
          </w:p>
        </w:tc>
        <w:tc>
          <w:tcPr>
            <w:tcW w:w="6162" w:type="dxa"/>
            <w:vAlign w:val="center"/>
          </w:tcPr>
          <w:p>
            <w:pPr>
              <w:numPr>
                <w:ilvl w:val="0"/>
                <w:numId w:val="1"/>
              </w:numPr>
              <w:kinsoku/>
              <w:wordWrap/>
              <w:overflowPunct/>
              <w:topLinePunct w:val="0"/>
              <w:bidi w:val="0"/>
              <w:spacing w:line="312"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能及时、较好地完成学校交待的临时任务；</w:t>
            </w:r>
          </w:p>
          <w:p>
            <w:pPr>
              <w:numPr>
                <w:ilvl w:val="0"/>
                <w:numId w:val="1"/>
              </w:numPr>
              <w:kinsoku/>
              <w:wordWrap/>
              <w:overflowPunct/>
              <w:topLinePunct w:val="0"/>
              <w:bidi w:val="0"/>
              <w:spacing w:line="312"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学校重大活动期间物业保洁保障工作出色</w:t>
            </w:r>
          </w:p>
        </w:tc>
        <w:tc>
          <w:tcPr>
            <w:tcW w:w="1257"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0"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备  注</w:t>
            </w:r>
          </w:p>
        </w:tc>
        <w:tc>
          <w:tcPr>
            <w:tcW w:w="6162" w:type="dxa"/>
            <w:vAlign w:val="center"/>
          </w:tcPr>
          <w:p>
            <w:pPr>
              <w:numPr>
                <w:ilvl w:val="0"/>
                <w:numId w:val="2"/>
              </w:numPr>
              <w:kinsoku/>
              <w:wordWrap/>
              <w:overflowPunct/>
              <w:topLinePunct w:val="0"/>
              <w:bidi w:val="0"/>
              <w:spacing w:line="312"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据上述要求，每发现一处不符合要求的则扣1分。</w:t>
            </w:r>
          </w:p>
          <w:p>
            <w:pPr>
              <w:numPr>
                <w:ilvl w:val="0"/>
                <w:numId w:val="2"/>
              </w:numPr>
              <w:kinsoku/>
              <w:wordWrap/>
              <w:overflowPunct/>
              <w:topLinePunct w:val="0"/>
              <w:bidi w:val="0"/>
              <w:spacing w:line="312"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每扣分1分，当月保洁领班奖金扣100元，依次类推，直至扣完；</w:t>
            </w:r>
          </w:p>
          <w:p>
            <w:pPr>
              <w:numPr>
                <w:ilvl w:val="0"/>
                <w:numId w:val="2"/>
              </w:numPr>
              <w:kinsoku/>
              <w:wordWrap/>
              <w:overflowPunct/>
              <w:topLinePunct w:val="0"/>
              <w:bidi w:val="0"/>
              <w:spacing w:line="312"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有问题及时整改，整改有记录。作为下一年度考核用。</w:t>
            </w:r>
          </w:p>
        </w:tc>
        <w:tc>
          <w:tcPr>
            <w:tcW w:w="1257"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p>
        </w:tc>
      </w:tr>
    </w:tbl>
    <w:p>
      <w:pPr>
        <w:kinsoku/>
        <w:wordWrap/>
        <w:overflowPunct/>
        <w:topLinePunct w:val="0"/>
        <w:bidi w:val="0"/>
        <w:spacing w:line="312"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四、运行维护部分需求</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1.运行维护人员5人（包含维修负责人1人），其中高配电工1人、杂工2人,生活指导1人、垃圾分类管理和外运1人。</w:t>
      </w:r>
      <w:r>
        <w:rPr>
          <w:rFonts w:hint="eastAsia" w:ascii="仿宋_GB2312" w:hAnsi="仿宋_GB2312" w:eastAsia="仿宋_GB2312" w:cs="仿宋_GB2312"/>
          <w:sz w:val="24"/>
          <w:szCs w:val="24"/>
          <w:lang w:val="en-US" w:eastAsia="zh-CN"/>
        </w:rPr>
        <w:t>维修负责人需</w:t>
      </w:r>
      <w:r>
        <w:rPr>
          <w:rFonts w:hint="eastAsia" w:ascii="仿宋_GB2312" w:hAnsi="仿宋_GB2312" w:eastAsia="仿宋_GB2312" w:cs="仿宋_GB2312"/>
          <w:sz w:val="24"/>
          <w:szCs w:val="24"/>
        </w:rPr>
        <w:t>持有应急管理部门颁发或监制的特种作业操作证（</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"https://baike.baidu.com/item/%E9%AB%98%E5%8E%8B%E7%94%B5/290410?fromModule=lemma_inlink" \t "https://baike.baidu.com/item/%E7%89%B9%E7%A7%8D%E4%BD%9C%E4%B8%9A%E6%93%8D%E4%BD%9C%E8%AF%81/_blank"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高压电</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工作业）</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持有应急管理部门颁发或监制的特种作业操作证（低压电工作业）</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持有人社部门颁发</w:t>
      </w:r>
      <w:r>
        <w:rPr>
          <w:rFonts w:hint="eastAsia" w:ascii="仿宋_GB2312" w:hAnsi="仿宋_GB2312" w:eastAsia="仿宋_GB2312" w:cs="仿宋_GB2312"/>
          <w:sz w:val="24"/>
          <w:szCs w:val="24"/>
          <w:lang w:val="en-US" w:eastAsia="zh-CN"/>
        </w:rPr>
        <w:t>或认可</w:t>
      </w:r>
      <w:r>
        <w:rPr>
          <w:rFonts w:hint="eastAsia" w:ascii="仿宋_GB2312" w:hAnsi="仿宋_GB2312" w:eastAsia="仿宋_GB2312" w:cs="仿宋_GB2312"/>
          <w:sz w:val="24"/>
          <w:szCs w:val="24"/>
        </w:rPr>
        <w:t>的电工二级及以上资格证书</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持有应急管理部门颁发或监制的特种作业操作证（高处作业）</w:t>
      </w:r>
      <w:r>
        <w:rPr>
          <w:rFonts w:hint="eastAsia" w:ascii="仿宋_GB2312" w:hAnsi="仿宋_GB2312" w:eastAsia="仿宋_GB2312" w:cs="仿宋_GB2312"/>
          <w:sz w:val="24"/>
          <w:szCs w:val="24"/>
          <w:lang w:eastAsia="zh-CN"/>
        </w:rPr>
        <w:t>。</w:t>
      </w:r>
    </w:p>
    <w:p>
      <w:pPr>
        <w:kinsoku/>
        <w:wordWrap/>
        <w:overflowPunct/>
        <w:topLinePunct w:val="0"/>
        <w:bidi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2.工作要求</w:t>
      </w:r>
    </w:p>
    <w:p>
      <w:pPr>
        <w:kinsoku/>
        <w:wordWrap/>
        <w:overflowPunct/>
        <w:topLinePunct w:val="0"/>
        <w:bidi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（1）要求运行维护人员热爱学校，热爱本职工作，思想端正，身体健康，踏实若干，具有较强的工作责任心。</w:t>
      </w:r>
    </w:p>
    <w:p>
      <w:pPr>
        <w:kinsoku/>
        <w:wordWrap/>
        <w:overflowPunct/>
        <w:topLinePunct w:val="0"/>
        <w:bidi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（2）全部从业人员受过专业培训，业务熟练。</w:t>
      </w:r>
    </w:p>
    <w:p>
      <w:pPr>
        <w:kinsoku/>
        <w:wordWrap/>
        <w:overflowPunct/>
        <w:topLinePunct w:val="0"/>
        <w:bidi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（3）鉴于学校的工作特点，校园运行维护工作不得因节假日和双休日而中断，每天上班时间内必须确保</w:t>
      </w:r>
      <w:r>
        <w:rPr>
          <w:rFonts w:hint="eastAsia" w:ascii="仿宋_GB2312" w:hAnsi="仿宋_GB2312" w:eastAsia="仿宋_GB2312" w:cs="仿宋_GB2312"/>
          <w:sz w:val="24"/>
          <w:szCs w:val="24"/>
          <w:lang w:val="en-US" w:eastAsia="zh-CN"/>
        </w:rPr>
        <w:t>运行维护</w:t>
      </w:r>
      <w:r>
        <w:rPr>
          <w:rFonts w:hint="eastAsia" w:ascii="仿宋_GB2312" w:hAnsi="仿宋_GB2312" w:eastAsia="仿宋_GB2312" w:cs="仿宋_GB2312"/>
          <w:sz w:val="24"/>
          <w:szCs w:val="24"/>
        </w:rPr>
        <w:t>人员在岗。</w:t>
      </w:r>
    </w:p>
    <w:p>
      <w:pPr>
        <w:kinsoku/>
        <w:wordWrap/>
        <w:overflowPunct/>
        <w:topLinePunct w:val="0"/>
        <w:bidi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（4）学校各部门因有临时任务需加班，运行维护人员应予主动配合，并处理好各项突击性工作。</w:t>
      </w:r>
    </w:p>
    <w:p>
      <w:pPr>
        <w:kinsoku/>
        <w:wordWrap/>
        <w:overflowPunct/>
        <w:topLinePunct w:val="0"/>
        <w:bidi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（5）运行维护期为全年，寒暑假、节假日等假期，如学校有活动或其他工作需要，中标人需根据学校要求及时配备足额人员。</w:t>
      </w:r>
    </w:p>
    <w:p>
      <w:pPr>
        <w:pStyle w:val="34"/>
        <w:kinsoku/>
        <w:wordWrap/>
        <w:overflowPunct/>
        <w:topLinePunct w:val="0"/>
        <w:bidi w:val="0"/>
        <w:spacing w:line="312" w:lineRule="auto"/>
        <w:ind w:firstLine="482" w:firstLineChars="200"/>
        <w:jc w:val="left"/>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五、绿化养护（租摆）部分需求</w:t>
      </w:r>
    </w:p>
    <w:p>
      <w:pPr>
        <w:pStyle w:val="34"/>
        <w:kinsoku/>
        <w:wordWrap/>
        <w:overflowPunct/>
        <w:topLinePunct w:val="0"/>
        <w:bidi w:val="0"/>
        <w:spacing w:line="312" w:lineRule="auto"/>
        <w:ind w:firstLine="482" w:firstLineChars="200"/>
        <w:jc w:val="left"/>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绿化养护（租摆）</w:t>
      </w:r>
      <w:r>
        <w:rPr>
          <w:rFonts w:hint="eastAsia" w:ascii="仿宋_GB2312" w:hAnsi="仿宋_GB2312" w:eastAsia="仿宋_GB2312" w:cs="仿宋_GB2312"/>
          <w:b/>
          <w:sz w:val="24"/>
          <w:szCs w:val="24"/>
        </w:rPr>
        <w:t>清单：</w:t>
      </w:r>
    </w:p>
    <w:tbl>
      <w:tblPr>
        <w:tblStyle w:val="62"/>
        <w:tblW w:w="8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068"/>
        <w:gridCol w:w="1940"/>
        <w:gridCol w:w="739"/>
        <w:gridCol w:w="878"/>
        <w:gridCol w:w="3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9"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序号</w:t>
            </w:r>
          </w:p>
        </w:tc>
        <w:tc>
          <w:tcPr>
            <w:tcW w:w="1068"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名称</w:t>
            </w:r>
          </w:p>
        </w:tc>
        <w:tc>
          <w:tcPr>
            <w:tcW w:w="1940" w:type="dxa"/>
            <w:tcMar>
              <w:top w:w="15" w:type="dxa"/>
              <w:left w:w="15" w:type="dxa"/>
              <w:bottom w:w="15" w:type="dxa"/>
              <w:right w:w="15" w:type="dxa"/>
            </w:tcMar>
            <w:vAlign w:val="center"/>
          </w:tcPr>
          <w:p>
            <w:pPr>
              <w:widowControl/>
              <w:kinsoku/>
              <w:wordWrap/>
              <w:overflowPunct/>
              <w:topLinePunct w:val="0"/>
              <w:bidi w:val="0"/>
              <w:spacing w:line="312" w:lineRule="auto"/>
              <w:jc w:val="center"/>
              <w:textAlignment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规格</w:t>
            </w:r>
          </w:p>
        </w:tc>
        <w:tc>
          <w:tcPr>
            <w:tcW w:w="739"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单位</w:t>
            </w:r>
          </w:p>
        </w:tc>
        <w:tc>
          <w:tcPr>
            <w:tcW w:w="878" w:type="dxa"/>
            <w:tcMar>
              <w:top w:w="15" w:type="dxa"/>
              <w:left w:w="15" w:type="dxa"/>
              <w:bottom w:w="15" w:type="dxa"/>
              <w:right w:w="15" w:type="dxa"/>
            </w:tcMar>
            <w:vAlign w:val="center"/>
          </w:tcPr>
          <w:p>
            <w:pPr>
              <w:widowControl/>
              <w:kinsoku/>
              <w:wordWrap/>
              <w:overflowPunct/>
              <w:topLinePunct w:val="0"/>
              <w:bidi w:val="0"/>
              <w:spacing w:line="312" w:lineRule="auto"/>
              <w:jc w:val="center"/>
              <w:textAlignment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数量</w:t>
            </w:r>
          </w:p>
        </w:tc>
        <w:tc>
          <w:tcPr>
            <w:tcW w:w="3536" w:type="dxa"/>
            <w:tcMar>
              <w:top w:w="15" w:type="dxa"/>
              <w:left w:w="15" w:type="dxa"/>
              <w:bottom w:w="15" w:type="dxa"/>
              <w:right w:w="15" w:type="dxa"/>
            </w:tcMar>
          </w:tcPr>
          <w:p>
            <w:pPr>
              <w:widowControl/>
              <w:kinsoku/>
              <w:wordWrap/>
              <w:overflowPunct/>
              <w:topLinePunct w:val="0"/>
              <w:bidi w:val="0"/>
              <w:spacing w:line="312" w:lineRule="auto"/>
              <w:jc w:val="center"/>
              <w:textAlignment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9" w:type="dxa"/>
            <w:vMerge w:val="restart"/>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068" w:type="dxa"/>
            <w:vMerge w:val="restart"/>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室内盆花布置</w:t>
            </w:r>
          </w:p>
        </w:tc>
        <w:tc>
          <w:tcPr>
            <w:tcW w:w="1940" w:type="dxa"/>
            <w:tcMar>
              <w:top w:w="15" w:type="dxa"/>
              <w:left w:w="15" w:type="dxa"/>
              <w:bottom w:w="15" w:type="dxa"/>
              <w:right w:w="15" w:type="dxa"/>
            </w:tcMar>
            <w:vAlign w:val="center"/>
          </w:tcPr>
          <w:p>
            <w:pPr>
              <w:widowControl/>
              <w:kinsoku/>
              <w:wordWrap/>
              <w:overflowPunct/>
              <w:topLinePunct w:val="0"/>
              <w:bidi w:val="0"/>
              <w:spacing w:line="312" w:lineRule="auto"/>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H150CM及以上</w:t>
            </w:r>
          </w:p>
        </w:tc>
        <w:tc>
          <w:tcPr>
            <w:tcW w:w="739"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盆</w:t>
            </w:r>
          </w:p>
        </w:tc>
        <w:tc>
          <w:tcPr>
            <w:tcW w:w="878"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80</w:t>
            </w:r>
          </w:p>
        </w:tc>
        <w:tc>
          <w:tcPr>
            <w:tcW w:w="3536" w:type="dxa"/>
            <w:vMerge w:val="restart"/>
            <w:tcMar>
              <w:top w:w="15" w:type="dxa"/>
              <w:left w:w="15" w:type="dxa"/>
              <w:bottom w:w="15" w:type="dxa"/>
              <w:right w:w="15" w:type="dxa"/>
            </w:tcMar>
            <w:vAlign w:val="center"/>
          </w:tcPr>
          <w:p>
            <w:pPr>
              <w:kinsoku/>
              <w:wordWrap/>
              <w:overflowPunct/>
              <w:topLinePunct w:val="0"/>
              <w:bidi w:val="0"/>
              <w:spacing w:line="312"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布置地点：教师办公室、行政办公室、会议室、实验楼通道、校史馆等；鲁迅纪念馆；元培工作室；图书馆、南校门及校园连廊、体育馆、宿舍大厅、特殊教室、重要活动及大型会议等,摆放期限：一年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9" w:type="dxa"/>
            <w:vMerge w:val="continue"/>
            <w:vAlign w:val="center"/>
          </w:tcPr>
          <w:p>
            <w:pPr>
              <w:widowControl/>
              <w:kinsoku/>
              <w:wordWrap/>
              <w:overflowPunct/>
              <w:topLinePunct w:val="0"/>
              <w:bidi w:val="0"/>
              <w:spacing w:line="312" w:lineRule="auto"/>
              <w:jc w:val="left"/>
              <w:rPr>
                <w:rFonts w:hint="eastAsia" w:ascii="仿宋_GB2312" w:hAnsi="仿宋_GB2312" w:eastAsia="仿宋_GB2312" w:cs="仿宋_GB2312"/>
                <w:sz w:val="24"/>
                <w:szCs w:val="24"/>
              </w:rPr>
            </w:pPr>
          </w:p>
        </w:tc>
        <w:tc>
          <w:tcPr>
            <w:tcW w:w="1068" w:type="dxa"/>
            <w:vMerge w:val="continue"/>
            <w:vAlign w:val="center"/>
          </w:tcPr>
          <w:p>
            <w:pPr>
              <w:widowControl/>
              <w:kinsoku/>
              <w:wordWrap/>
              <w:overflowPunct/>
              <w:topLinePunct w:val="0"/>
              <w:bidi w:val="0"/>
              <w:spacing w:line="312" w:lineRule="auto"/>
              <w:jc w:val="left"/>
              <w:rPr>
                <w:rFonts w:hint="eastAsia" w:ascii="仿宋_GB2312" w:hAnsi="仿宋_GB2312" w:eastAsia="仿宋_GB2312" w:cs="仿宋_GB2312"/>
                <w:sz w:val="24"/>
                <w:szCs w:val="24"/>
              </w:rPr>
            </w:pPr>
          </w:p>
        </w:tc>
        <w:tc>
          <w:tcPr>
            <w:tcW w:w="1940" w:type="dxa"/>
            <w:tcMar>
              <w:top w:w="15" w:type="dxa"/>
              <w:left w:w="15" w:type="dxa"/>
              <w:bottom w:w="15" w:type="dxa"/>
              <w:right w:w="15" w:type="dxa"/>
            </w:tcMar>
            <w:vAlign w:val="center"/>
          </w:tcPr>
          <w:p>
            <w:pPr>
              <w:widowControl/>
              <w:kinsoku/>
              <w:wordWrap/>
              <w:overflowPunct/>
              <w:topLinePunct w:val="0"/>
              <w:bidi w:val="0"/>
              <w:spacing w:line="312" w:lineRule="auto"/>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H60-120CM</w:t>
            </w:r>
          </w:p>
        </w:tc>
        <w:tc>
          <w:tcPr>
            <w:tcW w:w="739"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盆</w:t>
            </w:r>
          </w:p>
        </w:tc>
        <w:tc>
          <w:tcPr>
            <w:tcW w:w="878"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150</w:t>
            </w:r>
          </w:p>
        </w:tc>
        <w:tc>
          <w:tcPr>
            <w:tcW w:w="3536" w:type="dxa"/>
            <w:vMerge w:val="continue"/>
            <w:vAlign w:val="center"/>
          </w:tcPr>
          <w:p>
            <w:pPr>
              <w:widowControl/>
              <w:kinsoku/>
              <w:wordWrap/>
              <w:overflowPunct/>
              <w:topLinePunct w:val="0"/>
              <w:bidi w:val="0"/>
              <w:spacing w:line="312" w:lineRule="auto"/>
              <w:jc w:val="left"/>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9" w:type="dxa"/>
            <w:vMerge w:val="continue"/>
            <w:vAlign w:val="center"/>
          </w:tcPr>
          <w:p>
            <w:pPr>
              <w:widowControl/>
              <w:kinsoku/>
              <w:wordWrap/>
              <w:overflowPunct/>
              <w:topLinePunct w:val="0"/>
              <w:bidi w:val="0"/>
              <w:spacing w:line="312" w:lineRule="auto"/>
              <w:jc w:val="left"/>
              <w:rPr>
                <w:rFonts w:hint="eastAsia" w:ascii="仿宋_GB2312" w:hAnsi="仿宋_GB2312" w:eastAsia="仿宋_GB2312" w:cs="仿宋_GB2312"/>
                <w:sz w:val="24"/>
                <w:szCs w:val="24"/>
              </w:rPr>
            </w:pPr>
          </w:p>
        </w:tc>
        <w:tc>
          <w:tcPr>
            <w:tcW w:w="1068" w:type="dxa"/>
            <w:vMerge w:val="continue"/>
            <w:vAlign w:val="center"/>
          </w:tcPr>
          <w:p>
            <w:pPr>
              <w:widowControl/>
              <w:kinsoku/>
              <w:wordWrap/>
              <w:overflowPunct/>
              <w:topLinePunct w:val="0"/>
              <w:bidi w:val="0"/>
              <w:spacing w:line="312" w:lineRule="auto"/>
              <w:jc w:val="left"/>
              <w:rPr>
                <w:rFonts w:hint="eastAsia" w:ascii="仿宋_GB2312" w:hAnsi="仿宋_GB2312" w:eastAsia="仿宋_GB2312" w:cs="仿宋_GB2312"/>
                <w:sz w:val="24"/>
                <w:szCs w:val="24"/>
              </w:rPr>
            </w:pPr>
          </w:p>
        </w:tc>
        <w:tc>
          <w:tcPr>
            <w:tcW w:w="1940" w:type="dxa"/>
            <w:tcMar>
              <w:top w:w="15" w:type="dxa"/>
              <w:left w:w="15" w:type="dxa"/>
              <w:bottom w:w="15" w:type="dxa"/>
              <w:right w:w="15" w:type="dxa"/>
            </w:tcMar>
            <w:vAlign w:val="center"/>
          </w:tcPr>
          <w:p>
            <w:pPr>
              <w:widowControl/>
              <w:kinsoku/>
              <w:wordWrap/>
              <w:overflowPunct/>
              <w:topLinePunct w:val="0"/>
              <w:bidi w:val="0"/>
              <w:spacing w:line="312" w:lineRule="auto"/>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H60以下</w:t>
            </w:r>
          </w:p>
        </w:tc>
        <w:tc>
          <w:tcPr>
            <w:tcW w:w="739"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盆</w:t>
            </w:r>
          </w:p>
        </w:tc>
        <w:tc>
          <w:tcPr>
            <w:tcW w:w="878"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130</w:t>
            </w:r>
          </w:p>
        </w:tc>
        <w:tc>
          <w:tcPr>
            <w:tcW w:w="3536" w:type="dxa"/>
            <w:vMerge w:val="continue"/>
            <w:vAlign w:val="center"/>
          </w:tcPr>
          <w:p>
            <w:pPr>
              <w:widowControl/>
              <w:kinsoku/>
              <w:wordWrap/>
              <w:overflowPunct/>
              <w:topLinePunct w:val="0"/>
              <w:bidi w:val="0"/>
              <w:spacing w:line="312" w:lineRule="auto"/>
              <w:jc w:val="left"/>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9"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068"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种植花坛草花</w:t>
            </w:r>
          </w:p>
        </w:tc>
        <w:tc>
          <w:tcPr>
            <w:tcW w:w="1940" w:type="dxa"/>
            <w:tcMar>
              <w:top w:w="15" w:type="dxa"/>
              <w:left w:w="15" w:type="dxa"/>
              <w:bottom w:w="15" w:type="dxa"/>
              <w:right w:w="15" w:type="dxa"/>
            </w:tcMar>
            <w:vAlign w:val="center"/>
          </w:tcPr>
          <w:p>
            <w:pPr>
              <w:widowControl/>
              <w:kinsoku/>
              <w:wordWrap/>
              <w:overflowPunct/>
              <w:topLinePunct w:val="0"/>
              <w:bidi w:val="0"/>
              <w:spacing w:line="312" w:lineRule="auto"/>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成苗</w:t>
            </w:r>
          </w:p>
        </w:tc>
        <w:tc>
          <w:tcPr>
            <w:tcW w:w="739"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盆</w:t>
            </w:r>
          </w:p>
        </w:tc>
        <w:tc>
          <w:tcPr>
            <w:tcW w:w="878"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50000</w:t>
            </w:r>
          </w:p>
        </w:tc>
        <w:tc>
          <w:tcPr>
            <w:tcW w:w="3536" w:type="dxa"/>
            <w:tcMar>
              <w:top w:w="15" w:type="dxa"/>
              <w:left w:w="15" w:type="dxa"/>
              <w:bottom w:w="15" w:type="dxa"/>
              <w:right w:w="15" w:type="dxa"/>
            </w:tcMar>
            <w:vAlign w:val="center"/>
          </w:tcPr>
          <w:p>
            <w:pPr>
              <w:kinsoku/>
              <w:wordWrap/>
              <w:overflowPunct/>
              <w:topLinePunct w:val="0"/>
              <w:bidi w:val="0"/>
              <w:spacing w:line="312"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布置地点：南大门及广场、西大门景石花坛、北大门校训景墙花坛、旗台周围，图书馆东门花坛等，分期种植，含养护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9"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1068"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花镜面积</w:t>
            </w:r>
          </w:p>
        </w:tc>
        <w:tc>
          <w:tcPr>
            <w:tcW w:w="1940" w:type="dxa"/>
            <w:tcMar>
              <w:top w:w="15" w:type="dxa"/>
              <w:left w:w="15" w:type="dxa"/>
              <w:bottom w:w="15" w:type="dxa"/>
              <w:right w:w="15" w:type="dxa"/>
            </w:tcMar>
            <w:vAlign w:val="center"/>
          </w:tcPr>
          <w:p>
            <w:pPr>
              <w:widowControl/>
              <w:kinsoku/>
              <w:wordWrap/>
              <w:overflowPunct/>
              <w:topLinePunct w:val="0"/>
              <w:bidi w:val="0"/>
              <w:spacing w:line="312" w:lineRule="auto"/>
              <w:jc w:val="center"/>
              <w:textAlignment w:val="center"/>
              <w:rPr>
                <w:rFonts w:hint="eastAsia" w:ascii="仿宋_GB2312" w:hAnsi="仿宋_GB2312" w:eastAsia="仿宋_GB2312" w:cs="仿宋_GB2312"/>
                <w:sz w:val="24"/>
                <w:szCs w:val="24"/>
              </w:rPr>
            </w:pPr>
          </w:p>
        </w:tc>
        <w:tc>
          <w:tcPr>
            <w:tcW w:w="739"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平方</w:t>
            </w:r>
          </w:p>
        </w:tc>
        <w:tc>
          <w:tcPr>
            <w:tcW w:w="878"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120</w:t>
            </w:r>
          </w:p>
        </w:tc>
        <w:tc>
          <w:tcPr>
            <w:tcW w:w="3536"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养护，一年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9"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1068"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绿地养护</w:t>
            </w:r>
          </w:p>
        </w:tc>
        <w:tc>
          <w:tcPr>
            <w:tcW w:w="1940" w:type="dxa"/>
            <w:tcMar>
              <w:top w:w="15" w:type="dxa"/>
              <w:left w:w="15" w:type="dxa"/>
              <w:bottom w:w="15" w:type="dxa"/>
              <w:right w:w="15" w:type="dxa"/>
            </w:tcMar>
            <w:vAlign w:val="center"/>
          </w:tcPr>
          <w:p>
            <w:pPr>
              <w:widowControl/>
              <w:kinsoku/>
              <w:wordWrap/>
              <w:overflowPunct/>
              <w:topLinePunct w:val="0"/>
              <w:bidi w:val="0"/>
              <w:spacing w:line="312" w:lineRule="auto"/>
              <w:jc w:val="center"/>
              <w:textAlignment w:val="center"/>
              <w:rPr>
                <w:rFonts w:hint="eastAsia" w:ascii="仿宋_GB2312" w:hAnsi="仿宋_GB2312" w:eastAsia="仿宋_GB2312" w:cs="仿宋_GB2312"/>
                <w:sz w:val="24"/>
                <w:szCs w:val="24"/>
              </w:rPr>
            </w:pPr>
          </w:p>
        </w:tc>
        <w:tc>
          <w:tcPr>
            <w:tcW w:w="739"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平方</w:t>
            </w:r>
          </w:p>
        </w:tc>
        <w:tc>
          <w:tcPr>
            <w:tcW w:w="878"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55000</w:t>
            </w:r>
          </w:p>
        </w:tc>
        <w:tc>
          <w:tcPr>
            <w:tcW w:w="3536"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一年（包括足球草地7800平方）,黑麦草籽播种一次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9"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068"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球数量</w:t>
            </w:r>
          </w:p>
        </w:tc>
        <w:tc>
          <w:tcPr>
            <w:tcW w:w="1940" w:type="dxa"/>
            <w:tcMar>
              <w:top w:w="15" w:type="dxa"/>
              <w:left w:w="15" w:type="dxa"/>
              <w:bottom w:w="15" w:type="dxa"/>
              <w:right w:w="15" w:type="dxa"/>
            </w:tcMar>
            <w:vAlign w:val="center"/>
          </w:tcPr>
          <w:p>
            <w:pPr>
              <w:widowControl/>
              <w:kinsoku/>
              <w:wordWrap/>
              <w:overflowPunct/>
              <w:topLinePunct w:val="0"/>
              <w:bidi w:val="0"/>
              <w:spacing w:line="312" w:lineRule="auto"/>
              <w:jc w:val="center"/>
              <w:textAlignment w:val="center"/>
              <w:rPr>
                <w:rFonts w:hint="eastAsia" w:ascii="仿宋_GB2312" w:hAnsi="仿宋_GB2312" w:eastAsia="仿宋_GB2312" w:cs="仿宋_GB2312"/>
                <w:sz w:val="24"/>
                <w:szCs w:val="24"/>
              </w:rPr>
            </w:pPr>
          </w:p>
        </w:tc>
        <w:tc>
          <w:tcPr>
            <w:tcW w:w="739"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株</w:t>
            </w:r>
          </w:p>
        </w:tc>
        <w:tc>
          <w:tcPr>
            <w:tcW w:w="878"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89</w:t>
            </w:r>
          </w:p>
        </w:tc>
        <w:tc>
          <w:tcPr>
            <w:tcW w:w="3536"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养护，一年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9" w:type="dxa"/>
            <w:vMerge w:val="restart"/>
            <w:shd w:val="clear" w:color="auto" w:fill="auto"/>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1068" w:type="dxa"/>
            <w:vMerge w:val="restart"/>
            <w:shd w:val="clear" w:color="auto" w:fill="auto"/>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p>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乔木养护</w:t>
            </w:r>
          </w:p>
        </w:tc>
        <w:tc>
          <w:tcPr>
            <w:tcW w:w="1940" w:type="dxa"/>
            <w:shd w:val="clear" w:color="auto" w:fill="auto"/>
            <w:tcMar>
              <w:top w:w="15" w:type="dxa"/>
              <w:left w:w="15" w:type="dxa"/>
              <w:bottom w:w="15" w:type="dxa"/>
              <w:right w:w="15" w:type="dxa"/>
            </w:tcMar>
            <w:vAlign w:val="center"/>
          </w:tcPr>
          <w:p>
            <w:pPr>
              <w:widowControl/>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乔木φㄍ20CM</w:t>
            </w:r>
          </w:p>
        </w:tc>
        <w:tc>
          <w:tcPr>
            <w:tcW w:w="739"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株</w:t>
            </w:r>
          </w:p>
        </w:tc>
        <w:tc>
          <w:tcPr>
            <w:tcW w:w="878"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993</w:t>
            </w:r>
          </w:p>
        </w:tc>
        <w:tc>
          <w:tcPr>
            <w:tcW w:w="3536" w:type="dxa"/>
            <w:vMerge w:val="restart"/>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养护，一年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9" w:type="dxa"/>
            <w:vMerge w:val="continue"/>
            <w:shd w:val="clear" w:color="auto" w:fill="auto"/>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p>
        </w:tc>
        <w:tc>
          <w:tcPr>
            <w:tcW w:w="1068" w:type="dxa"/>
            <w:vMerge w:val="continue"/>
            <w:shd w:val="clear" w:color="auto" w:fill="auto"/>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p>
        </w:tc>
        <w:tc>
          <w:tcPr>
            <w:tcW w:w="1940" w:type="dxa"/>
            <w:shd w:val="clear" w:color="auto" w:fill="auto"/>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乔木20CM〈φㄍ30CM</w:t>
            </w:r>
          </w:p>
        </w:tc>
        <w:tc>
          <w:tcPr>
            <w:tcW w:w="739"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株</w:t>
            </w:r>
          </w:p>
        </w:tc>
        <w:tc>
          <w:tcPr>
            <w:tcW w:w="878"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395</w:t>
            </w:r>
          </w:p>
        </w:tc>
        <w:tc>
          <w:tcPr>
            <w:tcW w:w="3536" w:type="dxa"/>
            <w:vMerge w:val="continue"/>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9" w:type="dxa"/>
            <w:vMerge w:val="continue"/>
            <w:shd w:val="clear" w:color="auto" w:fill="auto"/>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p>
        </w:tc>
        <w:tc>
          <w:tcPr>
            <w:tcW w:w="1068" w:type="dxa"/>
            <w:vMerge w:val="continue"/>
            <w:shd w:val="clear" w:color="auto" w:fill="auto"/>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p>
        </w:tc>
        <w:tc>
          <w:tcPr>
            <w:tcW w:w="1940" w:type="dxa"/>
            <w:shd w:val="clear" w:color="auto" w:fill="auto"/>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乔木30CM〈φㄍ40CM</w:t>
            </w:r>
          </w:p>
        </w:tc>
        <w:tc>
          <w:tcPr>
            <w:tcW w:w="739"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株</w:t>
            </w:r>
          </w:p>
        </w:tc>
        <w:tc>
          <w:tcPr>
            <w:tcW w:w="878"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3536" w:type="dxa"/>
            <w:vMerge w:val="continue"/>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9" w:type="dxa"/>
            <w:vMerge w:val="continue"/>
            <w:shd w:val="clear" w:color="auto" w:fill="auto"/>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p>
        </w:tc>
        <w:tc>
          <w:tcPr>
            <w:tcW w:w="1068" w:type="dxa"/>
            <w:shd w:val="clear" w:color="auto" w:fill="auto"/>
            <w:tcMar>
              <w:top w:w="15" w:type="dxa"/>
              <w:left w:w="15" w:type="dxa"/>
              <w:bottom w:w="15" w:type="dxa"/>
              <w:right w:w="15" w:type="dxa"/>
            </w:tcMar>
            <w:vAlign w:val="center"/>
          </w:tcPr>
          <w:p>
            <w:pPr>
              <w:kinsoku/>
              <w:wordWrap/>
              <w:overflowPunct/>
              <w:topLinePunct w:val="0"/>
              <w:bidi w:val="0"/>
              <w:spacing w:line="312" w:lineRule="auto"/>
              <w:rPr>
                <w:rFonts w:hint="eastAsia" w:ascii="仿宋_GB2312" w:hAnsi="仿宋_GB2312" w:eastAsia="仿宋_GB2312" w:cs="仿宋_GB2312"/>
                <w:sz w:val="24"/>
                <w:szCs w:val="24"/>
              </w:rPr>
            </w:pPr>
          </w:p>
        </w:tc>
        <w:tc>
          <w:tcPr>
            <w:tcW w:w="1940" w:type="dxa"/>
            <w:shd w:val="clear" w:color="auto" w:fill="auto"/>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乔木φ〉40CM</w:t>
            </w:r>
          </w:p>
        </w:tc>
        <w:tc>
          <w:tcPr>
            <w:tcW w:w="739"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株</w:t>
            </w:r>
          </w:p>
        </w:tc>
        <w:tc>
          <w:tcPr>
            <w:tcW w:w="878" w:type="dxa"/>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3536" w:type="dxa"/>
            <w:vMerge w:val="continue"/>
            <w:tcMar>
              <w:top w:w="15" w:type="dxa"/>
              <w:left w:w="15" w:type="dxa"/>
              <w:bottom w:w="15" w:type="dxa"/>
              <w:right w:w="15" w:type="dxa"/>
            </w:tcMar>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p>
        </w:tc>
      </w:tr>
    </w:tbl>
    <w:p>
      <w:pPr>
        <w:pStyle w:val="34"/>
        <w:kinsoku/>
        <w:wordWrap/>
        <w:overflowPunct/>
        <w:topLinePunct w:val="0"/>
        <w:bidi w:val="0"/>
        <w:spacing w:line="312" w:lineRule="auto"/>
        <w:ind w:firstLine="482" w:firstLineChars="200"/>
        <w:rPr>
          <w:rFonts w:hint="eastAsia" w:ascii="仿宋_GB2312" w:hAnsi="仿宋_GB2312" w:eastAsia="仿宋_GB2312" w:cs="仿宋_GB2312"/>
          <w:b/>
          <w:sz w:val="24"/>
          <w:szCs w:val="24"/>
          <w:lang w:eastAsia="zh-CN"/>
        </w:rPr>
      </w:pPr>
      <w:r>
        <w:rPr>
          <w:rFonts w:hint="eastAsia" w:ascii="仿宋_GB2312" w:hAnsi="仿宋_GB2312" w:eastAsia="仿宋_GB2312" w:cs="仿宋_GB2312"/>
          <w:b/>
          <w:sz w:val="24"/>
          <w:szCs w:val="24"/>
        </w:rPr>
        <w:t>养护（租摆）要求</w:t>
      </w:r>
      <w:r>
        <w:rPr>
          <w:rFonts w:hint="eastAsia" w:ascii="仿宋_GB2312" w:hAnsi="仿宋_GB2312" w:eastAsia="仿宋_GB2312" w:cs="仿宋_GB2312"/>
          <w:b/>
          <w:sz w:val="24"/>
          <w:szCs w:val="24"/>
          <w:lang w:eastAsia="zh-CN"/>
        </w:rPr>
        <w:t>：</w:t>
      </w:r>
    </w:p>
    <w:p>
      <w:pPr>
        <w:kinsoku/>
        <w:wordWrap/>
        <w:overflowPunct/>
        <w:topLinePunct w:val="0"/>
        <w:bidi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1、养护(租摆)必须有2人以上专职管理；树木迁移、集中除草以及暑假绿化浇水根据实际情况增加人数。</w:t>
      </w:r>
    </w:p>
    <w:p>
      <w:pPr>
        <w:kinsoku/>
        <w:wordWrap/>
        <w:overflowPunct/>
        <w:topLinePunct w:val="0"/>
        <w:bidi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2、租摆要求</w:t>
      </w:r>
    </w:p>
    <w:p>
      <w:pPr>
        <w:kinsoku/>
        <w:wordWrap/>
        <w:overflowPunct/>
        <w:topLinePunct w:val="0"/>
        <w:bidi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2.1任何一处的绿化摆放，须达到赏心悦目效果；</w:t>
      </w:r>
    </w:p>
    <w:p>
      <w:pPr>
        <w:kinsoku/>
        <w:wordWrap/>
        <w:overflowPunct/>
        <w:topLinePunct w:val="0"/>
        <w:bidi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2.2各租摆点摆放的盆花品种需采购人确定后方可布置；</w:t>
      </w:r>
    </w:p>
    <w:p>
      <w:pPr>
        <w:kinsoku/>
        <w:wordWrap/>
        <w:overflowPunct/>
        <w:topLinePunct w:val="0"/>
        <w:bidi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2.3各类观叶植物须保持叶茂枝壮花鲜；</w:t>
      </w:r>
    </w:p>
    <w:p>
      <w:pPr>
        <w:kinsoku/>
        <w:wordWrap/>
        <w:overflowPunct/>
        <w:topLinePunct w:val="0"/>
        <w:bidi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3、养护要求</w:t>
      </w:r>
    </w:p>
    <w:p>
      <w:pPr>
        <w:kinsoku/>
        <w:wordWrap/>
        <w:overflowPunct/>
        <w:topLinePunct w:val="0"/>
        <w:bidi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成活率：绿地内苗木、草坪、大树保存率要求达到98%以上（南校门两棵罗汉松、西门和北门入校的树桩保存率要求达到100%），如有死亡。根据死亡情况及时补种并保活至服务期结束，如不及时补种，将按原品种、规格的信息价的最高价的三倍价进行赔偿。</w:t>
      </w:r>
    </w:p>
    <w:p>
      <w:pPr>
        <w:kinsoku/>
        <w:wordWrap/>
        <w:overflowPunct/>
        <w:topLinePunct w:val="0"/>
        <w:bidi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修剪：草坪每年要求6次以上，草坪有黄叶应及时修剪，冷季型草坪每年不少于10次以上；灌木修剪根据实际情况修剪，一般每年不少于8次（新枝高度不得高于10CM），其它绿化按实际情况修剪，达到树木造型整齐、美观。</w:t>
      </w:r>
    </w:p>
    <w:p>
      <w:pPr>
        <w:kinsoku/>
        <w:wordWrap/>
        <w:overflowPunct/>
        <w:topLinePunct w:val="0"/>
        <w:bidi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3.3施肥：草坪每年施化肥2次以上；灌木每年施有机肥1次以上（发酵的豆饼+磷肥）；大树每年施有机肥1次以上、化肥每年1次以上，使植物生长健壮、形态良好。</w:t>
      </w:r>
    </w:p>
    <w:p>
      <w:pPr>
        <w:kinsoku/>
        <w:wordWrap/>
        <w:overflowPunct/>
        <w:topLinePunct w:val="0"/>
        <w:bidi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3.4遇到灾害性气候发生，应及时组织人员进行抗旱、浇水、抗台扶树、抗雪保绿，并在2天内完成所有损坏树木的扶植、加固、清枝等工作。</w:t>
      </w:r>
    </w:p>
    <w:p>
      <w:pPr>
        <w:kinsoku/>
        <w:wordWrap/>
        <w:overflowPunct/>
        <w:topLinePunct w:val="0"/>
        <w:bidi w:val="0"/>
        <w:spacing w:line="312"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六、付款方式：</w:t>
      </w:r>
    </w:p>
    <w:p>
      <w:pPr>
        <w:kinsoku/>
        <w:wordWrap/>
        <w:overflowPunct/>
        <w:topLinePunct w:val="0"/>
        <w:bidi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1.付款方式：按《浙江省财政厅关于进一步发挥政府采购政策 功能全力推动经济稳进提质的通知》（浙财采监〔2022〕3号）等文件要求执行，具体付款方式由双方协商后在合同中明确。</w:t>
      </w:r>
    </w:p>
    <w:p>
      <w:pPr>
        <w:kinsoku/>
        <w:wordWrap/>
        <w:overflowPunct/>
        <w:topLinePunct w:val="0"/>
        <w:bidi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2.按绍兴市第一中学财务结算方式，发票章单位名称必须与投标时公章名称相符合。</w:t>
      </w:r>
    </w:p>
    <w:p>
      <w:pPr>
        <w:kinsoku/>
        <w:wordWrap/>
        <w:overflowPunct/>
        <w:topLinePunct w:val="0"/>
        <w:bidi w:val="0"/>
        <w:spacing w:line="312"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七、服务期限</w:t>
      </w:r>
      <w:r>
        <w:rPr>
          <w:rFonts w:hint="eastAsia" w:ascii="仿宋_GB2312" w:hAnsi="仿宋_GB2312" w:eastAsia="仿宋_GB2312" w:cs="仿宋_GB2312"/>
          <w:sz w:val="24"/>
          <w:szCs w:val="24"/>
        </w:rPr>
        <w:t>：202</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年2月1日起至202</w:t>
      </w: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年1月31日止。考虑到本项目招标及服务交接与原项目截止时间存在时间差，在服务交接完成前仍由原服务单位提供服务，费用由中标人以本次中标金额按实际服务天数与原服务单位进行结算，费用按天计算，包含在投标报价中。</w:t>
      </w:r>
    </w:p>
    <w:p>
      <w:pPr>
        <w:kinsoku/>
        <w:wordWrap/>
        <w:overflowPunct/>
        <w:topLinePunct w:val="0"/>
        <w:bidi w:val="0"/>
        <w:spacing w:line="312"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八、其他要求：</w:t>
      </w:r>
    </w:p>
    <w:p>
      <w:pPr>
        <w:kinsoku/>
        <w:wordWrap/>
        <w:overflowPunct/>
        <w:topLinePunct w:val="0"/>
        <w:bidi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1.本项目涉及的所有管理与服务所需的各类服装、工具、部分材料均包含在投标报价内。</w:t>
      </w:r>
    </w:p>
    <w:p>
      <w:pPr>
        <w:kinsoku/>
        <w:wordWrap/>
        <w:overflowPunct/>
        <w:topLinePunct w:val="0"/>
        <w:bidi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2.中标人须参照全国城市物业管理评分标准，制定和落实与本</w:t>
      </w:r>
      <w:r>
        <w:rPr>
          <w:rFonts w:hint="eastAsia" w:ascii="仿宋_GB2312" w:hAnsi="仿宋_GB2312" w:eastAsia="仿宋_GB2312" w:cs="仿宋_GB2312"/>
          <w:sz w:val="24"/>
          <w:szCs w:val="24"/>
          <w:lang w:val="en-US" w:eastAsia="zh-CN"/>
        </w:rPr>
        <w:t>服务</w:t>
      </w:r>
      <w:r>
        <w:rPr>
          <w:rFonts w:hint="eastAsia" w:ascii="仿宋_GB2312" w:hAnsi="仿宋_GB2312" w:eastAsia="仿宋_GB2312" w:cs="仿宋_GB2312"/>
          <w:sz w:val="24"/>
          <w:szCs w:val="24"/>
        </w:rPr>
        <w:t>相对应的服务质量考核标准，实现目标管理。</w:t>
      </w:r>
    </w:p>
    <w:p>
      <w:pPr>
        <w:kinsoku/>
        <w:wordWrap/>
        <w:overflowPunct/>
        <w:topLinePunct w:val="0"/>
        <w:bidi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3.投标人根据实际情况，列出用工计划，用工人数, 中标后按计划到岗到位。</w:t>
      </w:r>
    </w:p>
    <w:p>
      <w:pPr>
        <w:kinsoku/>
        <w:wordWrap/>
        <w:overflowPunct/>
        <w:topLinePunct w:val="0"/>
        <w:bidi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4.中标人所有工作人员需按计划到岗到位，出现未到岗三次，采购人有权解除合同。</w:t>
      </w:r>
    </w:p>
    <w:p>
      <w:pPr>
        <w:kinsoku/>
        <w:wordWrap/>
        <w:overflowPunct/>
        <w:topLinePunct w:val="0"/>
        <w:bidi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中标人所提供的必须是合法的服务，指派的员工无违法犯罪记录（上岗前交身份证复印件、无犯罪记录证明），并能确保在中标合同有效期内按照合同规定的要求和标准提供规范的管理服务。中标人为员工购买保险，管理好员工，服务期间发生员工自身或者造成第三人人身、财产损失</w:t>
      </w:r>
      <w:r>
        <w:rPr>
          <w:rFonts w:hint="eastAsia" w:ascii="仿宋_GB2312" w:hAnsi="仿宋_GB2312" w:eastAsia="仿宋_GB2312" w:cs="仿宋_GB2312"/>
          <w:sz w:val="24"/>
          <w:szCs w:val="24"/>
          <w:lang w:val="en-US" w:eastAsia="zh-CN"/>
        </w:rPr>
        <w:t>所产生的费用包含在投标报价内</w:t>
      </w:r>
      <w:r>
        <w:rPr>
          <w:rFonts w:hint="eastAsia" w:ascii="仿宋_GB2312" w:hAnsi="仿宋_GB2312" w:eastAsia="仿宋_GB2312" w:cs="仿宋_GB2312"/>
          <w:sz w:val="24"/>
          <w:szCs w:val="24"/>
        </w:rPr>
        <w:t>。</w:t>
      </w:r>
    </w:p>
    <w:p>
      <w:pPr>
        <w:kinsoku/>
        <w:wordWrap/>
        <w:overflowPunct/>
        <w:topLinePunct w:val="0"/>
        <w:bidi w:val="0"/>
        <w:spacing w:line="312"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6.中标人需要与原服务单位供应商做好衔接工作，在十个工作日内交接完毕，不得无故拖延。</w:t>
      </w:r>
    </w:p>
    <w:p>
      <w:pPr>
        <w:kinsoku/>
        <w:wordWrap/>
        <w:overflowPunct/>
        <w:topLinePunct w:val="0"/>
        <w:bidi w:val="0"/>
        <w:spacing w:line="312" w:lineRule="auto"/>
        <w:ind w:firstLine="480" w:firstLineChars="200"/>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sz w:val="24"/>
          <w:szCs w:val="24"/>
          <w:lang w:val="en-US" w:eastAsia="zh-CN"/>
        </w:rPr>
        <w:t>7</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本项目允许现场踏勘，踏勘截止时间：提交投标文件截止时间前一个工作日17时整前，联系人：孟德超，联系电话：0575—85338008。</w:t>
      </w: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w:t>
      </w:r>
      <w:r>
        <w:rPr>
          <w:rFonts w:hint="eastAsia" w:ascii="仿宋_GB2312" w:hAnsi="仿宋_GB2312" w:eastAsia="仿宋_GB2312" w:cs="仿宋_GB2312"/>
          <w:b/>
          <w:color w:val="auto"/>
          <w:sz w:val="36"/>
          <w:szCs w:val="36"/>
          <w:highlight w:val="none"/>
          <w:lang w:eastAsia="zh-CN"/>
        </w:rPr>
        <w:t>四</w:t>
      </w:r>
      <w:r>
        <w:rPr>
          <w:rFonts w:hint="eastAsia" w:ascii="仿宋_GB2312" w:hAnsi="仿宋_GB2312" w:eastAsia="仿宋_GB2312" w:cs="仿宋_GB2312"/>
          <w:b/>
          <w:color w:val="auto"/>
          <w:sz w:val="36"/>
          <w:szCs w:val="36"/>
          <w:highlight w:val="none"/>
        </w:rPr>
        <w:t>部分 拟签订的合同文本</w:t>
      </w:r>
    </w:p>
    <w:p>
      <w:pPr>
        <w:kinsoku/>
        <w:wordWrap w:val="0"/>
        <w:overflowPunct/>
        <w:topLinePunct w:val="0"/>
        <w:bidi w:val="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合同编号：</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80" w:lineRule="auto"/>
        <w:jc w:val="center"/>
        <w:rPr>
          <w:rFonts w:hint="eastAsia" w:ascii="仿宋_GB2312" w:hAnsi="仿宋_GB2312" w:eastAsia="仿宋_GB2312" w:cs="仿宋_GB2312"/>
          <w:b/>
          <w:color w:val="auto"/>
          <w:sz w:val="28"/>
          <w:szCs w:val="28"/>
          <w:highlight w:val="none"/>
        </w:rPr>
      </w:pPr>
    </w:p>
    <w:p>
      <w:pPr>
        <w:kinsoku/>
        <w:wordWrap w:val="0"/>
        <w:overflowPunct/>
        <w:topLinePunct w:val="0"/>
        <w:bidi w:val="0"/>
        <w:spacing w:line="48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48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480" w:lineRule="auto"/>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政府采购合同参考范本</w:t>
      </w:r>
    </w:p>
    <w:p>
      <w:pPr>
        <w:kinsoku/>
        <w:wordWrap w:val="0"/>
        <w:overflowPunct/>
        <w:topLinePunct w:val="0"/>
        <w:bidi w:val="0"/>
        <w:spacing w:line="480" w:lineRule="auto"/>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（服务类）</w:t>
      </w:r>
    </w:p>
    <w:p>
      <w:pPr>
        <w:pStyle w:val="700"/>
        <w:kinsoku/>
        <w:wordWrap w:val="0"/>
        <w:overflowPunct/>
        <w:topLinePunct w:val="0"/>
        <w:bidi w:val="0"/>
        <w:ind w:firstLine="2843" w:firstLineChars="118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第一部分 合同书</w:t>
      </w:r>
    </w:p>
    <w:p>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pPr>
        <w:pStyle w:val="6"/>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r>
        <w:rPr>
          <w:rFonts w:hint="eastAsia" w:ascii="仿宋_GB2312" w:hAnsi="仿宋_GB2312" w:eastAsia="仿宋_GB2312" w:cs="仿宋_GB2312"/>
          <w:color w:val="auto"/>
          <w:sz w:val="24"/>
          <w:highlight w:val="none"/>
          <w:u w:val="single"/>
        </w:rPr>
        <w:t xml:space="preserve">                                   </w:t>
      </w:r>
    </w:p>
    <w:p>
      <w:pPr>
        <w:pStyle w:val="597"/>
        <w:kinsoku/>
        <w:wordWrap w:val="0"/>
        <w:overflowPunct/>
        <w:topLinePunct w:val="0"/>
        <w:bidi w:val="0"/>
        <w:spacing w:before="120" w:line="22" w:lineRule="atLeast"/>
        <w:rPr>
          <w:rFonts w:hint="eastAsia" w:ascii="仿宋_GB2312" w:hAnsi="仿宋_GB2312" w:eastAsia="仿宋_GB2312" w:cs="仿宋_GB2312"/>
          <w:color w:val="auto"/>
          <w:szCs w:val="24"/>
          <w:highlight w:val="none"/>
        </w:rPr>
      </w:pPr>
    </w:p>
    <w:p>
      <w:pPr>
        <w:pStyle w:val="597"/>
        <w:kinsoku/>
        <w:wordWrap w:val="0"/>
        <w:overflowPunct/>
        <w:topLinePunct w:val="0"/>
        <w:bidi w:val="0"/>
        <w:spacing w:before="120" w:line="22" w:lineRule="atLeast"/>
        <w:rPr>
          <w:rFonts w:hint="eastAsia" w:ascii="仿宋_GB2312" w:hAnsi="仿宋_GB2312" w:eastAsia="仿宋_GB2312" w:cs="仿宋_GB2312"/>
          <w:color w:val="auto"/>
          <w:szCs w:val="24"/>
          <w:highlight w:val="none"/>
        </w:rPr>
      </w:pPr>
    </w:p>
    <w:p>
      <w:pPr>
        <w:kinsoku/>
        <w:wordWrap w:val="0"/>
        <w:overflowPunct/>
        <w:topLinePunct w:val="0"/>
        <w:bidi w:val="0"/>
        <w:rPr>
          <w:rFonts w:hint="eastAsia" w:ascii="仿宋_GB2312" w:hAnsi="仿宋_GB2312" w:eastAsia="仿宋_GB2312" w:cs="仿宋_GB2312"/>
          <w:color w:val="auto"/>
          <w:sz w:val="24"/>
          <w:highlight w:val="none"/>
        </w:rPr>
      </w:pPr>
    </w:p>
    <w:p>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甲方：</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乙方：</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pPr>
        <w:kinsoku/>
        <w:wordWrap w:val="0"/>
        <w:overflowPunct/>
        <w:topLinePunct w:val="0"/>
        <w:bidi w:val="0"/>
        <w:spacing w:before="120" w:line="22" w:lineRule="atLeast"/>
        <w:ind w:firstLine="1440" w:firstLineChars="6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签订地：</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pPr>
        <w:kinsoku/>
        <w:wordWrap w:val="0"/>
        <w:overflowPunct/>
        <w:topLinePunct w:val="0"/>
        <w:bidi w:val="0"/>
        <w:spacing w:before="120" w:line="22" w:lineRule="atLeast"/>
        <w:ind w:firstLine="1440" w:firstLineChars="6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签订日期：</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日</w:t>
      </w: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sectPr>
          <w:pgSz w:w="11907" w:h="16840"/>
          <w:pgMar w:top="1474" w:right="1814" w:bottom="1474" w:left="1814" w:header="851" w:footer="851" w:gutter="0"/>
          <w:pgNumType w:fmt="decimal"/>
          <w:cols w:space="720" w:num="1"/>
        </w:sectPr>
      </w:pPr>
    </w:p>
    <w:p>
      <w:pPr>
        <w:kinsoku/>
        <w:wordWrap w:val="0"/>
        <w:overflowPunct/>
        <w:topLinePunct w:val="0"/>
        <w:bidi w:val="0"/>
        <w:rPr>
          <w:rFonts w:hint="eastAsia" w:ascii="仿宋_GB2312" w:hAnsi="仿宋_GB2312" w:eastAsia="仿宋_GB2312" w:cs="仿宋_GB2312"/>
          <w:b/>
          <w:color w:val="auto"/>
          <w:sz w:val="24"/>
          <w:highlight w:val="none"/>
        </w:rPr>
      </w:pP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年</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月</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日</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绍兴市第一中学</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以</w:t>
      </w:r>
      <w:r>
        <w:rPr>
          <w:rFonts w:hint="eastAsia" w:ascii="仿宋_GB2312" w:hAnsi="仿宋_GB2312" w:eastAsia="仿宋_GB2312" w:cs="仿宋_GB2312"/>
          <w:color w:val="auto"/>
          <w:sz w:val="24"/>
          <w:highlight w:val="none"/>
          <w:u w:val="single"/>
        </w:rPr>
        <w:t xml:space="preserve">   （政府采购方式）  </w:t>
      </w:r>
      <w:r>
        <w:rPr>
          <w:rFonts w:hint="eastAsia" w:ascii="仿宋_GB2312" w:hAnsi="仿宋_GB2312" w:eastAsia="仿宋_GB2312" w:cs="仿宋_GB2312"/>
          <w:color w:val="auto"/>
          <w:sz w:val="24"/>
          <w:highlight w:val="none"/>
        </w:rPr>
        <w:t>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绍兴市第一中学2025年保洁、保安、绿化养护（租摆）与运行维护采购项目</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项目进行了采购。经</w:t>
      </w:r>
      <w:r>
        <w:rPr>
          <w:rFonts w:hint="eastAsia" w:ascii="仿宋_GB2312" w:hAnsi="仿宋_GB2312" w:eastAsia="仿宋_GB2312" w:cs="仿宋_GB2312"/>
          <w:color w:val="auto"/>
          <w:sz w:val="24"/>
          <w:highlight w:val="none"/>
          <w:u w:val="single"/>
        </w:rPr>
        <w:t xml:space="preserve">   （相关评定主体名称）   </w:t>
      </w:r>
      <w:r>
        <w:rPr>
          <w:rFonts w:hint="eastAsia" w:ascii="仿宋_GB2312" w:hAnsi="仿宋_GB2312" w:eastAsia="仿宋_GB2312" w:cs="仿宋_GB2312"/>
          <w:color w:val="auto"/>
          <w:sz w:val="24"/>
          <w:highlight w:val="none"/>
        </w:rPr>
        <w:t>评定，</w:t>
      </w:r>
      <w:r>
        <w:rPr>
          <w:rFonts w:hint="eastAsia" w:ascii="仿宋_GB2312" w:hAnsi="仿宋_GB2312" w:eastAsia="仿宋_GB2312" w:cs="仿宋_GB2312"/>
          <w:color w:val="auto"/>
          <w:sz w:val="24"/>
          <w:highlight w:val="none"/>
          <w:u w:val="single"/>
        </w:rPr>
        <w:t xml:space="preserve">   （中标或者成交供应商名称） </w:t>
      </w:r>
      <w:r>
        <w:rPr>
          <w:rFonts w:hint="eastAsia" w:ascii="仿宋_GB2312" w:hAnsi="仿宋_GB2312" w:eastAsia="仿宋_GB2312" w:cs="仿宋_GB2312"/>
          <w:color w:val="auto"/>
          <w:sz w:val="24"/>
          <w:highlight w:val="none"/>
        </w:rPr>
        <w:t>为该项目中标或者成交供应商。现于中标或者成交通知书发出之日起</w:t>
      </w:r>
      <w:r>
        <w:rPr>
          <w:rFonts w:hint="eastAsia" w:ascii="仿宋_GB2312" w:hAnsi="仿宋_GB2312" w:eastAsia="仿宋_GB2312" w:cs="仿宋_GB2312"/>
          <w:color w:val="auto"/>
          <w:sz w:val="24"/>
          <w:highlight w:val="none"/>
          <w:lang w:val="en-US" w:eastAsia="zh-CN"/>
        </w:rPr>
        <w:t>30</w:t>
      </w:r>
      <w:r>
        <w:rPr>
          <w:rFonts w:hint="eastAsia" w:ascii="仿宋_GB2312" w:hAnsi="仿宋_GB2312" w:eastAsia="仿宋_GB2312" w:cs="仿宋_GB2312"/>
          <w:color w:val="auto"/>
          <w:sz w:val="24"/>
          <w:highlight w:val="none"/>
        </w:rPr>
        <w:t>日内，按照采购文件确定的事项签订本合同。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绍兴市第一中学</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lang w:val="zh-CN"/>
        </w:rPr>
        <w:t>(以下简称：甲方)和</w:t>
      </w:r>
      <w:r>
        <w:rPr>
          <w:rFonts w:hint="eastAsia" w:ascii="仿宋_GB2312" w:hAnsi="仿宋_GB2312" w:eastAsia="仿宋_GB2312" w:cs="仿宋_GB2312"/>
          <w:color w:val="auto"/>
          <w:sz w:val="24"/>
          <w:highlight w:val="none"/>
          <w:u w:val="single"/>
        </w:rPr>
        <w:t xml:space="preserve">   （中或者成交标供应商名称）   </w:t>
      </w:r>
      <w:r>
        <w:rPr>
          <w:rFonts w:hint="eastAsia" w:ascii="仿宋_GB2312" w:hAnsi="仿宋_GB2312" w:eastAsia="仿宋_GB2312" w:cs="仿宋_GB2312"/>
          <w:color w:val="auto"/>
          <w:sz w:val="24"/>
          <w:highlight w:val="none"/>
          <w:lang w:val="zh-CN"/>
        </w:rPr>
        <w:t>(以下简称：乙方)协商一致，约定以下合同</w:t>
      </w:r>
      <w:r>
        <w:rPr>
          <w:rFonts w:hint="eastAsia" w:ascii="仿宋_GB2312" w:hAnsi="仿宋_GB2312" w:eastAsia="仿宋_GB2312" w:cs="仿宋_GB2312"/>
          <w:color w:val="auto"/>
          <w:sz w:val="24"/>
          <w:highlight w:val="none"/>
        </w:rPr>
        <w:t>条款，以兹共同遵守、全面履行。</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color w:val="auto"/>
          <w:sz w:val="24"/>
          <w:highlight w:val="none"/>
        </w:rPr>
      </w:pPr>
      <w:bookmarkStart w:id="40" w:name="_Toc19273"/>
      <w:bookmarkStart w:id="41" w:name="_Toc20421"/>
      <w:bookmarkStart w:id="42" w:name="_Toc28855"/>
      <w:bookmarkStart w:id="43" w:name="_Toc15367"/>
      <w:bookmarkStart w:id="44" w:name="_Toc22967"/>
      <w:r>
        <w:rPr>
          <w:rFonts w:hint="eastAsia" w:ascii="仿宋_GB2312" w:hAnsi="仿宋_GB2312" w:eastAsia="仿宋_GB2312" w:cs="仿宋_GB2312"/>
          <w:b/>
          <w:color w:val="auto"/>
          <w:sz w:val="24"/>
          <w:highlight w:val="none"/>
        </w:rPr>
        <w:t>1.1 合同组成部分</w:t>
      </w:r>
      <w:bookmarkEnd w:id="40"/>
      <w:bookmarkEnd w:id="41"/>
      <w:bookmarkEnd w:id="42"/>
      <w:bookmarkEnd w:id="43"/>
      <w:bookmarkEnd w:id="44"/>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1.1.1 本合同及其补充合同、变更协议；</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1.1.2 中标或者成交通知书；</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1.1.3 投标或者响应文件（含澄清或者说明文件）；</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1.1.4 采购文件（含澄清或者修改文件）；</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1.1.5 其他相关采购文件。</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45" w:name="_Toc6773"/>
      <w:bookmarkStart w:id="46" w:name="_Toc18585"/>
      <w:bookmarkStart w:id="47" w:name="_Toc22185"/>
      <w:bookmarkStart w:id="48" w:name="_Toc2918"/>
      <w:bookmarkStart w:id="49" w:name="_Toc6311"/>
      <w:r>
        <w:rPr>
          <w:rFonts w:hint="eastAsia" w:ascii="仿宋_GB2312" w:hAnsi="仿宋_GB2312" w:eastAsia="仿宋_GB2312" w:cs="仿宋_GB2312"/>
          <w:b/>
          <w:color w:val="auto"/>
          <w:sz w:val="24"/>
          <w:highlight w:val="none"/>
        </w:rPr>
        <w:t>1.2 标的</w:t>
      </w:r>
      <w:bookmarkEnd w:id="45"/>
      <w:bookmarkEnd w:id="46"/>
      <w:bookmarkEnd w:id="47"/>
      <w:bookmarkEnd w:id="48"/>
      <w:bookmarkEnd w:id="49"/>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1.2.1 服务内容：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1.2.2 服务标准：</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1.2.3 技术保障：</w:t>
      </w:r>
      <w:r>
        <w:rPr>
          <w:rFonts w:hint="eastAsia" w:ascii="仿宋_GB2312" w:hAnsi="仿宋_GB2312" w:eastAsia="仿宋_GB2312" w:cs="仿宋_GB2312"/>
          <w:color w:val="auto"/>
          <w:sz w:val="24"/>
          <w:highlight w:val="none"/>
          <w:u w:val="single"/>
        </w:rPr>
        <w:t>　　　　　　　　　                      　      ；</w:t>
      </w:r>
    </w:p>
    <w:p>
      <w:pPr>
        <w:pageBreakBefore w:val="0"/>
        <w:kinsoku/>
        <w:wordWrap w:val="0"/>
        <w:overflowPunct/>
        <w:topLinePunct w:val="0"/>
        <w:autoSpaceDE/>
        <w:autoSpaceDN/>
        <w:bidi w:val="0"/>
        <w:snapToGrid/>
        <w:spacing w:line="440" w:lineRule="exact"/>
        <w:ind w:left="0" w:leftChars="0" w:right="0" w:rightChars="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1.2.4 服务人员组成：</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1.2.5合同</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（是/否）涉及货物。若涉及货物的，则：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bookmarkStart w:id="50" w:name="_Toc5635"/>
      <w:bookmarkStart w:id="51" w:name="_Toc4929"/>
      <w:bookmarkStart w:id="52" w:name="_Toc21124"/>
      <w:bookmarkStart w:id="53" w:name="_Toc1386"/>
      <w:bookmarkStart w:id="54" w:name="_Toc13918"/>
      <w:r>
        <w:rPr>
          <w:rFonts w:hint="eastAsia" w:ascii="仿宋_GB2312" w:hAnsi="仿宋_GB2312" w:eastAsia="仿宋_GB2312" w:cs="仿宋_GB2312"/>
          <w:color w:val="auto"/>
          <w:sz w:val="24"/>
          <w:highlight w:val="none"/>
        </w:rPr>
        <w:t>1.2.5.1 货物名称、品牌、规格型号、花色：</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1.2.5.2 货物数量：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1.2.5.3 货物质量：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1.3 价款</w:t>
      </w:r>
      <w:bookmarkEnd w:id="50"/>
      <w:bookmarkEnd w:id="51"/>
      <w:bookmarkEnd w:id="52"/>
      <w:bookmarkEnd w:id="53"/>
      <w:bookmarkEnd w:id="54"/>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本项目采用以下第</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条款规定的计价方式计价。</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1.3.1总价合同，本合同总价（含税）为：￥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分项名称</w:t>
            </w: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总价</w:t>
            </w: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bl>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bookmarkStart w:id="55" w:name="_Toc30158"/>
      <w:bookmarkStart w:id="56" w:name="_Toc30506"/>
      <w:bookmarkStart w:id="57" w:name="_Toc3654"/>
      <w:bookmarkStart w:id="58" w:name="_Toc26916"/>
      <w:bookmarkStart w:id="59" w:name="_Toc14993"/>
      <w:r>
        <w:rPr>
          <w:rFonts w:hint="eastAsia" w:ascii="仿宋_GB2312" w:hAnsi="仿宋_GB2312" w:eastAsia="仿宋_GB2312" w:cs="仿宋_GB2312"/>
          <w:bCs/>
          <w:color w:val="auto"/>
          <w:sz w:val="24"/>
          <w:highlight w:val="none"/>
        </w:rPr>
        <w:t>1.3.2单价合同，本合同单价（含税）标准为：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。服务工作量的计量方式为：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。单价合同，在合同履行期间内，根据实际完成的工作量据实结算，但结算总价上限不得超过预算金额或者双方确定的金额￥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pPr>
        <w:pStyle w:val="6"/>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sz w:val="24"/>
          <w:highlight w:val="none"/>
          <w:lang w:val="en-US"/>
        </w:rPr>
        <w:t>1.3.3其他计价方式：</w:t>
      </w:r>
      <w:r>
        <w:rPr>
          <w:rFonts w:hint="eastAsia" w:ascii="仿宋_GB2312" w:hAnsi="仿宋_GB2312" w:eastAsia="仿宋_GB2312" w:cs="仿宋_GB2312"/>
          <w:b w:val="0"/>
          <w:bCs w:val="0"/>
          <w:color w:val="auto"/>
          <w:sz w:val="24"/>
          <w:highlight w:val="none"/>
          <w:u w:val="single"/>
          <w:lang w:val="en-US"/>
        </w:rPr>
        <w:t xml:space="preserve">                   </w:t>
      </w:r>
      <w:r>
        <w:rPr>
          <w:rFonts w:hint="eastAsia" w:ascii="仿宋_GB2312" w:hAnsi="仿宋_GB2312" w:eastAsia="仿宋_GB2312" w:cs="仿宋_GB2312"/>
          <w:b w:val="0"/>
          <w:bCs w:val="0"/>
          <w:color w:val="auto"/>
          <w:sz w:val="24"/>
          <w:highlight w:val="none"/>
        </w:rPr>
        <w:t>。</w:t>
      </w:r>
    </w:p>
    <w:bookmarkEnd w:id="55"/>
    <w:bookmarkEnd w:id="56"/>
    <w:bookmarkEnd w:id="57"/>
    <w:bookmarkEnd w:id="58"/>
    <w:bookmarkEnd w:id="59"/>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_GB2312" w:hAnsi="仿宋_GB2312" w:eastAsia="仿宋_GB2312" w:cs="仿宋_GB2312"/>
          <w:b/>
          <w:color w:val="auto"/>
          <w:highlight w:val="none"/>
        </w:rPr>
      </w:pPr>
      <w:bookmarkStart w:id="60" w:name="_Toc10340"/>
      <w:bookmarkStart w:id="61" w:name="_Toc22618"/>
      <w:bookmarkStart w:id="62" w:name="_Toc1814"/>
      <w:bookmarkStart w:id="63" w:name="_Toc8772"/>
      <w:bookmarkStart w:id="64" w:name="_Toc31421"/>
      <w:bookmarkStart w:id="65" w:name="_Toc4760"/>
      <w:bookmarkStart w:id="66" w:name="_Toc3625"/>
      <w:bookmarkStart w:id="67" w:name="_Toc11108"/>
      <w:r>
        <w:rPr>
          <w:rFonts w:hint="eastAsia" w:ascii="仿宋_GB2312" w:hAnsi="仿宋_GB2312" w:eastAsia="仿宋_GB2312" w:cs="仿宋_GB2312"/>
          <w:b/>
          <w:color w:val="auto"/>
          <w:highlight w:val="none"/>
        </w:rPr>
        <w:t>1.4履约保证金</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乙方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（是/否）需要支付履约保证金。若需要支付履约保证金的，则：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1.4.1履约保证金的比例为合同金额的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1.4.2履约保证金支付方式详见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pPr>
        <w:pStyle w:val="6"/>
        <w:pageBreakBefore w:val="0"/>
        <w:tabs>
          <w:tab w:val="left" w:pos="0"/>
        </w:tabs>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1.4.4甲方在项目验收结束后及时退还履约保证金。甲方在项目通过验收之日起</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%计算，最高限额为本合同履约保证金的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 xml:space="preserve"> %。</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w:t>
      </w:r>
      <w:bookmarkEnd w:id="60"/>
      <w:bookmarkEnd w:id="61"/>
      <w:bookmarkEnd w:id="62"/>
      <w:r>
        <w:rPr>
          <w:rFonts w:hint="eastAsia" w:ascii="仿宋_GB2312" w:hAnsi="仿宋_GB2312" w:eastAsia="仿宋_GB2312" w:cs="仿宋_GB2312"/>
          <w:b/>
          <w:color w:val="auto"/>
          <w:sz w:val="24"/>
          <w:highlight w:val="none"/>
        </w:rPr>
        <w:t>预付款</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甲方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（是/否）需要支付预付款。若需要支付预付款的，则：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1.5.1预付款比例、支付方式、时间详见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1.5.2预付款的扣回方式详见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rPr>
        <w:t>1.5.3预付款的担保措施详见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1.6资金支付</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1.6.1甲方应严格履行合同，及时组织验收，验收合格后及时将合同款支付完毕。对于满足合同约定支付条件的，甲方自收到发票后</w:t>
      </w:r>
      <w:r>
        <w:rPr>
          <w:rFonts w:hint="eastAsia" w:ascii="仿宋_GB2312" w:hAnsi="仿宋_GB2312" w:eastAsia="仿宋_GB2312" w:cs="仿宋_GB2312"/>
          <w:color w:val="auto"/>
          <w:highlight w:val="none"/>
          <w:lang w:val="en-US" w:eastAsia="zh-CN"/>
        </w:rPr>
        <w:t>7</w:t>
      </w:r>
      <w:r>
        <w:rPr>
          <w:rFonts w:hint="eastAsia" w:ascii="仿宋_GB2312" w:hAnsi="仿宋_GB2312" w:eastAsia="仿宋_GB2312" w:cs="仿宋_GB2312"/>
          <w:color w:val="auto"/>
          <w:highlight w:val="none"/>
        </w:rPr>
        <w:t>个工作日内将资金支付到合同约定的乙方账户，有条件的甲方可以即时支付。甲方不得以机构变动、人员更替、政策调整、单位放假等为由延迟付款。</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1.6.2资金支付的方式、时间和条件详见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1.7 履行期限、地点和方式</w:t>
      </w:r>
      <w:bookmarkEnd w:id="63"/>
      <w:bookmarkEnd w:id="64"/>
      <w:bookmarkEnd w:id="65"/>
      <w:bookmarkEnd w:id="66"/>
      <w:bookmarkEnd w:id="67"/>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1.7.1 服务交付（实施）的时间（期限）：</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 服务交付（实施）的地点（地域范围）：</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 服务交付（实施）的方式：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bCs/>
          <w:color w:val="auto"/>
          <w:sz w:val="24"/>
          <w:highlight w:val="none"/>
        </w:rPr>
      </w:pPr>
      <w:bookmarkStart w:id="68" w:name="_Toc3079"/>
      <w:bookmarkStart w:id="69" w:name="_Toc24662"/>
      <w:bookmarkStart w:id="70" w:name="_Toc5698"/>
      <w:bookmarkStart w:id="71" w:name="_Toc2375"/>
      <w:bookmarkStart w:id="72" w:name="_Toc8586"/>
      <w:r>
        <w:rPr>
          <w:rFonts w:hint="eastAsia" w:ascii="仿宋_GB2312" w:hAnsi="仿宋_GB2312" w:eastAsia="仿宋_GB2312" w:cs="仿宋_GB2312"/>
          <w:bCs/>
          <w:color w:val="auto"/>
          <w:sz w:val="24"/>
          <w:highlight w:val="none"/>
        </w:rPr>
        <w:t>1.7.4若服务涉及货物的，则货物的：</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1.7.4.1 交付期限：详见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 交付地点：</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 交付方式：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1.8违约责任</w:t>
      </w:r>
      <w:bookmarkEnd w:id="68"/>
      <w:bookmarkEnd w:id="69"/>
      <w:bookmarkEnd w:id="70"/>
      <w:bookmarkEnd w:id="71"/>
      <w:bookmarkEnd w:id="72"/>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%；迟延履行的违约金计算数额达到前述最高限额之日起，甲方有权在要求乙方支付违约金的同时，书面通知乙方解除本合同；</w:t>
      </w:r>
    </w:p>
    <w:p>
      <w:pPr>
        <w:pStyle w:val="6"/>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b w:val="0"/>
          <w:bCs w:val="0"/>
          <w:color w:val="auto"/>
          <w:sz w:val="24"/>
          <w:szCs w:val="24"/>
          <w:highlight w:val="none"/>
          <w:lang w:val="en-US"/>
        </w:rPr>
      </w:pPr>
      <w:r>
        <w:rPr>
          <w:rFonts w:hint="eastAsia" w:ascii="仿宋_GB2312" w:hAnsi="仿宋_GB2312" w:eastAsia="仿宋_GB2312" w:cs="仿宋_GB2312"/>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lang w:val="en-US"/>
        </w:rPr>
        <w:t>%计算，最高限额为本合同总价的</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%；迟延付款的违约金计算数额达到前述最高限额之日起，乙方有权在要求甲方支付违约金的同时，书面通知甲方解除本合同；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bookmarkStart w:id="73" w:name="_Toc18683"/>
      <w:bookmarkStart w:id="74" w:name="_Toc30329"/>
      <w:bookmarkStart w:id="75" w:name="_Toc9497"/>
      <w:bookmarkStart w:id="76" w:name="_Toc32454"/>
      <w:bookmarkStart w:id="77" w:name="_Toc26807"/>
      <w:r>
        <w:rPr>
          <w:rFonts w:hint="eastAsia" w:ascii="仿宋_GB2312" w:hAnsi="仿宋_GB2312" w:eastAsia="仿宋_GB2312" w:cs="仿宋_GB2312"/>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1.8.7违约责任</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另有约定的，从其约定。</w:t>
      </w:r>
    </w:p>
    <w:bookmarkEnd w:id="73"/>
    <w:bookmarkEnd w:id="74"/>
    <w:bookmarkEnd w:id="75"/>
    <w:bookmarkEnd w:id="76"/>
    <w:bookmarkEnd w:id="77"/>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78" w:name="_Toc15583"/>
      <w:bookmarkStart w:id="79" w:name="_Toc28375"/>
      <w:bookmarkStart w:id="80" w:name="_Toc16021"/>
      <w:r>
        <w:rPr>
          <w:rFonts w:hint="eastAsia" w:ascii="仿宋_GB2312" w:hAnsi="仿宋_GB2312" w:eastAsia="仿宋_GB2312" w:cs="仿宋_GB2312"/>
          <w:b/>
          <w:color w:val="auto"/>
          <w:sz w:val="24"/>
          <w:highlight w:val="none"/>
        </w:rPr>
        <w:t>1.9合同争议的解决</w:t>
      </w:r>
      <w:bookmarkEnd w:id="78"/>
      <w:bookmarkEnd w:id="79"/>
      <w:bookmarkEnd w:id="80"/>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本合同履行过程中发生的任何争议，双方当事人均可通过和解或者调解解决；不愿和解、调解或者和解、调解不成的，将争议提交绍兴仲裁委员会仲裁。</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81" w:name="_Toc7245"/>
      <w:bookmarkStart w:id="82" w:name="_Toc11173"/>
      <w:bookmarkStart w:id="83" w:name="_Toc15322"/>
      <w:r>
        <w:rPr>
          <w:rFonts w:hint="eastAsia" w:ascii="仿宋_GB2312" w:hAnsi="仿宋_GB2312" w:eastAsia="仿宋_GB2312" w:cs="仿宋_GB2312"/>
          <w:b/>
          <w:color w:val="auto"/>
          <w:sz w:val="24"/>
          <w:highlight w:val="none"/>
        </w:rPr>
        <w:t>2.0 合同生效</w:t>
      </w:r>
      <w:bookmarkEnd w:id="81"/>
      <w:bookmarkEnd w:id="82"/>
      <w:bookmarkEnd w:id="83"/>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本合同自双方当事人盖章签字时生效。</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b/>
          <w:color w:val="auto"/>
          <w:sz w:val="24"/>
          <w:highlight w:val="none"/>
          <w:lang w:val="zh-CN"/>
        </w:rPr>
        <w:t>甲方</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b/>
          <w:color w:val="auto"/>
          <w:sz w:val="24"/>
          <w:highlight w:val="none"/>
          <w:lang w:val="zh-CN"/>
        </w:rPr>
        <w:t xml:space="preserve">      乙方</w:t>
      </w:r>
      <w:r>
        <w:rPr>
          <w:rFonts w:hint="eastAsia" w:ascii="仿宋_GB2312" w:hAnsi="仿宋_GB2312" w:eastAsia="仿宋_GB2312" w:cs="仿宋_GB2312"/>
          <w:color w:val="auto"/>
          <w:sz w:val="24"/>
          <w:highlight w:val="none"/>
          <w:lang w:val="zh-CN"/>
        </w:rPr>
        <w:t>：</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统一社会信用代码：                       统一社会信用代码或身份证号码：</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住所：                                   住所：</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法定代表人或                             法定代表人或</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授权代表（签字）：                       授权代表（签字）: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联系人：                                 联系人：</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约定送达地址：                           约定送达地址：</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邮政编码：                               邮政编码：</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电话:                                    电话: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传真:                                    传真:</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电子邮箱：                               电子邮箱：</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开户银行：                               开户银行：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开户名称：                               开户名称：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开户账号：</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color w:val="auto"/>
          <w:sz w:val="24"/>
          <w:highlight w:val="none"/>
        </w:rPr>
        <w:t>开户账号：</w:t>
      </w:r>
    </w:p>
    <w:p>
      <w:pPr>
        <w:widowControl/>
        <w:kinsoku/>
        <w:wordWrap w:val="0"/>
        <w:overflowPunct/>
        <w:topLinePunct w:val="0"/>
        <w:bidi w:val="0"/>
        <w:adjustRightInd/>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highlight w:val="none"/>
        </w:rPr>
        <w:br w:type="page"/>
      </w:r>
    </w:p>
    <w:p>
      <w:pPr>
        <w:pStyle w:val="700"/>
        <w:kinsoku/>
        <w:wordWrap w:val="0"/>
        <w:overflowPunct/>
        <w:topLinePunct w:val="0"/>
        <w:bidi w:val="0"/>
        <w:spacing w:line="560" w:lineRule="exact"/>
        <w:ind w:firstLine="482"/>
        <w:jc w:val="center"/>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第二部分 合同一般条款</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84" w:name="_Toc14021"/>
      <w:bookmarkStart w:id="85" w:name="_Toc19680"/>
      <w:bookmarkStart w:id="86" w:name="_Toc5228"/>
      <w:bookmarkStart w:id="87" w:name="_Toc31297"/>
      <w:bookmarkStart w:id="88" w:name="_Toc25079"/>
      <w:r>
        <w:rPr>
          <w:rFonts w:hint="eastAsia" w:ascii="仿宋_GB2312" w:hAnsi="仿宋_GB2312" w:eastAsia="仿宋_GB2312" w:cs="仿宋_GB2312"/>
          <w:b/>
          <w:color w:val="auto"/>
          <w:sz w:val="24"/>
          <w:highlight w:val="none"/>
        </w:rPr>
        <w:t>2.1 定义</w:t>
      </w:r>
      <w:bookmarkEnd w:id="84"/>
      <w:bookmarkEnd w:id="85"/>
      <w:bookmarkEnd w:id="86"/>
      <w:bookmarkEnd w:id="87"/>
      <w:bookmarkEnd w:id="88"/>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本合同中的下列词语应按以下内容进行解释：</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 “合同”系指采购人和中标或成交供应商签订的载明双方当事人所达成的协议，并包括所有的附件、附录和构成合同的其他文件。</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2.1.2 “合同价”系指根据合同约定，中标或成交供应商在完全履行合同义务后，采购人应支付给中标或成交供应商的价格。</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 “甲方”系指与中标或成交供应商签署合同的采购人；采购人委托采购代理机构代表其与乙方签订合同的，采购人的授权委托书作为合同附件。</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2.1.6 “现场”系指合同约定提供服务的地点。</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89" w:name="_Toc23289"/>
      <w:bookmarkStart w:id="90" w:name="_Toc31402"/>
      <w:bookmarkStart w:id="91" w:name="_Toc16752"/>
      <w:bookmarkStart w:id="92" w:name="_Toc3769"/>
      <w:bookmarkStart w:id="93" w:name="_Toc19539"/>
      <w:r>
        <w:rPr>
          <w:rFonts w:hint="eastAsia" w:ascii="仿宋_GB2312" w:hAnsi="仿宋_GB2312" w:eastAsia="仿宋_GB2312" w:cs="仿宋_GB2312"/>
          <w:b/>
          <w:color w:val="auto"/>
          <w:sz w:val="24"/>
          <w:highlight w:val="none"/>
        </w:rPr>
        <w:t>2.2 技术规范</w:t>
      </w:r>
      <w:bookmarkEnd w:id="89"/>
      <w:bookmarkEnd w:id="90"/>
      <w:bookmarkEnd w:id="91"/>
      <w:bookmarkEnd w:id="92"/>
      <w:bookmarkEnd w:id="93"/>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94" w:name="_Toc12412"/>
      <w:bookmarkStart w:id="95" w:name="_Toc13673"/>
      <w:bookmarkStart w:id="96" w:name="_Toc4133"/>
      <w:bookmarkStart w:id="97" w:name="_Toc27945"/>
      <w:bookmarkStart w:id="98" w:name="_Toc9161"/>
      <w:r>
        <w:rPr>
          <w:rFonts w:hint="eastAsia" w:ascii="仿宋_GB2312" w:hAnsi="仿宋_GB2312" w:eastAsia="仿宋_GB2312" w:cs="仿宋_GB2312"/>
          <w:b/>
          <w:color w:val="auto"/>
          <w:sz w:val="24"/>
          <w:highlight w:val="none"/>
        </w:rPr>
        <w:t>2.3 知识产权</w:t>
      </w:r>
      <w:bookmarkEnd w:id="94"/>
      <w:bookmarkEnd w:id="95"/>
      <w:bookmarkEnd w:id="96"/>
      <w:bookmarkEnd w:id="97"/>
      <w:bookmarkEnd w:id="98"/>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 合同涉及技术成果的归属和收益的分成办法的，详见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kinsoku/>
        <w:wordWrap w:val="0"/>
        <w:overflowPunct/>
        <w:topLinePunct w:val="0"/>
        <w:bidi w:val="0"/>
        <w:spacing w:line="56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2.4 履约检查和问题反馈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2.4.2 合同履行期间，甲方有权将履行过程中出现的问题反馈给乙方，双方当事人应以书面形式约定需要完善和改进的内容。</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99" w:name="_Toc32670"/>
      <w:bookmarkStart w:id="100" w:name="_Toc15447"/>
      <w:bookmarkStart w:id="101" w:name="_Toc31233"/>
      <w:bookmarkStart w:id="102" w:name="_Toc26555"/>
      <w:bookmarkStart w:id="103" w:name="_Toc22011"/>
      <w:r>
        <w:rPr>
          <w:rFonts w:hint="eastAsia" w:ascii="仿宋_GB2312" w:hAnsi="仿宋_GB2312" w:eastAsia="仿宋_GB2312" w:cs="仿宋_GB2312"/>
          <w:b/>
          <w:color w:val="auto"/>
          <w:sz w:val="24"/>
          <w:highlight w:val="none"/>
        </w:rPr>
        <w:t>2.5 结算方式和付款条件</w:t>
      </w:r>
      <w:bookmarkEnd w:id="99"/>
      <w:bookmarkEnd w:id="100"/>
      <w:bookmarkEnd w:id="101"/>
      <w:bookmarkEnd w:id="102"/>
      <w:bookmarkEnd w:id="103"/>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04" w:name="_Toc16163"/>
      <w:bookmarkStart w:id="105" w:name="_Toc13467"/>
      <w:bookmarkStart w:id="106" w:name="_Toc18990"/>
      <w:bookmarkStart w:id="107" w:name="_Toc30507"/>
      <w:bookmarkStart w:id="108" w:name="_Toc13154"/>
      <w:r>
        <w:rPr>
          <w:rFonts w:hint="eastAsia" w:ascii="仿宋_GB2312" w:hAnsi="仿宋_GB2312" w:eastAsia="仿宋_GB2312" w:cs="仿宋_GB2312"/>
          <w:b/>
          <w:color w:val="auto"/>
          <w:sz w:val="24"/>
          <w:highlight w:val="none"/>
        </w:rPr>
        <w:t>2.6 技术资料和保密义务</w:t>
      </w:r>
      <w:bookmarkEnd w:id="104"/>
      <w:bookmarkEnd w:id="105"/>
      <w:bookmarkEnd w:id="106"/>
      <w:bookmarkEnd w:id="107"/>
      <w:bookmarkEnd w:id="108"/>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2.6.1 乙方有权依据合同约定和项目需要，向甲方了解有关情况，调阅有关资料等，甲方应予积极配合；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2.6.2 乙方有义务妥善保管和保护由甲方提供的前款信息和资料等；</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09" w:name="_Toc19069"/>
      <w:r>
        <w:rPr>
          <w:rFonts w:hint="eastAsia" w:ascii="仿宋_GB2312" w:hAnsi="仿宋_GB2312" w:eastAsia="仿宋_GB2312" w:cs="仿宋_GB2312"/>
          <w:b/>
          <w:color w:val="auto"/>
          <w:sz w:val="24"/>
          <w:highlight w:val="none"/>
        </w:rPr>
        <w:t>2.7 质量保证</w:t>
      </w:r>
      <w:bookmarkEnd w:id="109"/>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2.7.1 乙方应建立和完善履行合同的内部质量保证体系，并提供相关内部规章制度给甲方，以便甲方进行监督检查；</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2.7.2 乙方应保证履行合同的人员数量和素质、软件和硬件设备的配置、场地、环境和设施等满足全面履行合同的要求，并应接受甲方的监督检查。</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0" w:name="_Toc22267"/>
      <w:r>
        <w:rPr>
          <w:rFonts w:hint="eastAsia" w:ascii="仿宋_GB2312" w:hAnsi="仿宋_GB2312" w:eastAsia="仿宋_GB2312" w:cs="仿宋_GB2312"/>
          <w:b/>
          <w:color w:val="auto"/>
          <w:sz w:val="24"/>
          <w:highlight w:val="none"/>
        </w:rPr>
        <w:t>2.8 延迟履行</w:t>
      </w:r>
      <w:bookmarkEnd w:id="110"/>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1" w:name="_Toc10611"/>
      <w:r>
        <w:rPr>
          <w:rFonts w:hint="eastAsia" w:ascii="仿宋_GB2312" w:hAnsi="仿宋_GB2312" w:eastAsia="仿宋_GB2312" w:cs="仿宋_GB2312"/>
          <w:b/>
          <w:color w:val="auto"/>
          <w:sz w:val="24"/>
          <w:highlight w:val="none"/>
        </w:rPr>
        <w:t>2.9 合同变更</w:t>
      </w:r>
      <w:bookmarkEnd w:id="111"/>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2" w:name="_Toc23368"/>
      <w:bookmarkStart w:id="113" w:name="_Toc10663"/>
      <w:bookmarkStart w:id="114" w:name="_Toc26689"/>
      <w:bookmarkStart w:id="115" w:name="_Toc42"/>
      <w:bookmarkStart w:id="116" w:name="_Toc21830"/>
      <w:r>
        <w:rPr>
          <w:rFonts w:hint="eastAsia" w:ascii="仿宋_GB2312" w:hAnsi="仿宋_GB2312" w:eastAsia="仿宋_GB2312" w:cs="仿宋_GB2312"/>
          <w:b/>
          <w:color w:val="auto"/>
          <w:sz w:val="24"/>
          <w:highlight w:val="none"/>
        </w:rPr>
        <w:t>2.10 合同转让和分包</w:t>
      </w:r>
      <w:bookmarkEnd w:id="112"/>
      <w:bookmarkEnd w:id="113"/>
      <w:bookmarkEnd w:id="114"/>
      <w:bookmarkEnd w:id="115"/>
      <w:bookmarkEnd w:id="116"/>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7" w:name="_Toc14371"/>
      <w:bookmarkStart w:id="118" w:name="_Toc26633"/>
      <w:bookmarkStart w:id="119" w:name="_Toc25571"/>
      <w:bookmarkStart w:id="120" w:name="_Toc4720"/>
      <w:bookmarkStart w:id="121" w:name="_Toc32494"/>
      <w:r>
        <w:rPr>
          <w:rFonts w:hint="eastAsia" w:ascii="仿宋_GB2312" w:hAnsi="仿宋_GB2312" w:eastAsia="仿宋_GB2312" w:cs="仿宋_GB2312"/>
          <w:b/>
          <w:color w:val="auto"/>
          <w:sz w:val="24"/>
          <w:highlight w:val="none"/>
        </w:rPr>
        <w:t>2.11 不可抗力</w:t>
      </w:r>
      <w:bookmarkEnd w:id="117"/>
      <w:bookmarkEnd w:id="118"/>
      <w:bookmarkEnd w:id="119"/>
      <w:bookmarkEnd w:id="120"/>
      <w:bookmarkEnd w:id="121"/>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2.11.1如果任何一方遭遇法律规定的不可抗力，致使合同履行受阻时，履行合同的期限应予延长，延长的期限应相当于不可抗力所影响的时间；</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2.11.2 因不可抗力致使不能实现合同目的的，当事人可以解除合同；</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 因不可抗力致使合同有变更必要的，双方当事人应在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约定时间内以书面形式变更合同；</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2.11.4受不可抗力影响的一方在不可抗力发生后，应在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约定时间内以书面形式通知对方当事人，并在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约定时间内，将有关部门出具的证明文件送达对方当事人。</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22" w:name="_Toc3638"/>
      <w:bookmarkStart w:id="123" w:name="_Toc24465"/>
      <w:bookmarkStart w:id="124" w:name="_Toc25783"/>
      <w:bookmarkStart w:id="125" w:name="_Toc23854"/>
      <w:bookmarkStart w:id="126" w:name="_Toc14115"/>
      <w:r>
        <w:rPr>
          <w:rFonts w:hint="eastAsia" w:ascii="仿宋_GB2312" w:hAnsi="仿宋_GB2312" w:eastAsia="仿宋_GB2312" w:cs="仿宋_GB2312"/>
          <w:b/>
          <w:color w:val="auto"/>
          <w:sz w:val="24"/>
          <w:highlight w:val="none"/>
        </w:rPr>
        <w:t>2.12 税费</w:t>
      </w:r>
      <w:bookmarkEnd w:id="122"/>
      <w:bookmarkEnd w:id="123"/>
      <w:bookmarkEnd w:id="124"/>
      <w:bookmarkEnd w:id="125"/>
      <w:bookmarkEnd w:id="126"/>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与合同有关的一切税费，均按照中华人民共和国法律的相关规定缴纳。</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27" w:name="_Toc26883"/>
      <w:bookmarkStart w:id="128" w:name="_Toc25525"/>
      <w:bookmarkStart w:id="129" w:name="_Toc7315"/>
      <w:bookmarkStart w:id="130" w:name="_Toc30105"/>
      <w:bookmarkStart w:id="131" w:name="_Toc14814"/>
      <w:r>
        <w:rPr>
          <w:rFonts w:hint="eastAsia" w:ascii="仿宋_GB2312" w:hAnsi="仿宋_GB2312" w:eastAsia="仿宋_GB2312" w:cs="仿宋_GB2312"/>
          <w:b/>
          <w:color w:val="auto"/>
          <w:sz w:val="24"/>
          <w:highlight w:val="none"/>
        </w:rPr>
        <w:t>2.13 乙方破产</w:t>
      </w:r>
      <w:bookmarkEnd w:id="127"/>
      <w:bookmarkEnd w:id="128"/>
      <w:bookmarkEnd w:id="129"/>
      <w:bookmarkEnd w:id="130"/>
      <w:bookmarkEnd w:id="131"/>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2" w:name="_Toc2016"/>
      <w:bookmarkStart w:id="133" w:name="_Toc1123"/>
      <w:bookmarkStart w:id="134" w:name="_Toc23323"/>
      <w:r>
        <w:rPr>
          <w:rFonts w:hint="eastAsia" w:ascii="仿宋_GB2312" w:hAnsi="仿宋_GB2312" w:eastAsia="仿宋_GB2312" w:cs="仿宋_GB2312"/>
          <w:b/>
          <w:color w:val="auto"/>
          <w:sz w:val="24"/>
          <w:highlight w:val="none"/>
        </w:rPr>
        <w:t>2.14 合同中止、终止</w:t>
      </w:r>
      <w:bookmarkEnd w:id="132"/>
      <w:bookmarkEnd w:id="133"/>
      <w:bookmarkEnd w:id="134"/>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2.14.1 双方当事人不得擅自中止或者终止合同；</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5" w:name="_Toc17363"/>
      <w:bookmarkStart w:id="136" w:name="_Toc14525"/>
      <w:bookmarkStart w:id="137" w:name="_Toc1969"/>
      <w:r>
        <w:rPr>
          <w:rFonts w:hint="eastAsia" w:ascii="仿宋_GB2312" w:hAnsi="仿宋_GB2312" w:eastAsia="仿宋_GB2312" w:cs="仿宋_GB2312"/>
          <w:b/>
          <w:color w:val="auto"/>
          <w:sz w:val="24"/>
          <w:highlight w:val="none"/>
        </w:rPr>
        <w:t>2.15 检验和验收</w:t>
      </w:r>
      <w:bookmarkEnd w:id="135"/>
      <w:bookmarkEnd w:id="136"/>
      <w:bookmarkEnd w:id="137"/>
    </w:p>
    <w:p>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 乙方按照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的约定，定期提交服务报告，甲方按照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的约定进行定期验收；</w:t>
      </w:r>
    </w:p>
    <w:p>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 检验和验收标准、程序等具体内容以及前述验收书的效力详见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i/>
          <w:color w:val="auto"/>
          <w:sz w:val="24"/>
          <w:highlight w:val="none"/>
        </w:rPr>
        <w:t>。</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8" w:name="_Toc12666"/>
      <w:bookmarkStart w:id="139" w:name="_Toc25198"/>
      <w:bookmarkStart w:id="140" w:name="_Toc2308"/>
      <w:bookmarkStart w:id="141" w:name="_Toc9808"/>
      <w:bookmarkStart w:id="142" w:name="_Toc31892"/>
      <w:r>
        <w:rPr>
          <w:rFonts w:hint="eastAsia" w:ascii="仿宋_GB2312" w:hAnsi="仿宋_GB2312" w:eastAsia="仿宋_GB2312" w:cs="仿宋_GB2312"/>
          <w:b/>
          <w:color w:val="auto"/>
          <w:sz w:val="24"/>
          <w:highlight w:val="none"/>
        </w:rPr>
        <w:t>2.16 通知和送达</w:t>
      </w:r>
      <w:bookmarkEnd w:id="138"/>
      <w:bookmarkEnd w:id="139"/>
      <w:bookmarkEnd w:id="140"/>
      <w:bookmarkEnd w:id="141"/>
      <w:bookmarkEnd w:id="142"/>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bookmarkStart w:id="143" w:name="_Toc18401"/>
      <w:bookmarkStart w:id="144" w:name="_Toc27674"/>
      <w:r>
        <w:rPr>
          <w:rFonts w:hint="eastAsia" w:ascii="仿宋_GB2312" w:hAnsi="仿宋_GB2312" w:eastAsia="仿宋_GB2312" w:cs="仿宋_GB2312"/>
          <w:color w:val="auto"/>
          <w:sz w:val="24"/>
          <w:highlight w:val="none"/>
        </w:rPr>
        <w:t>2.1</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 xml:space="preserve">.1任何一方因履行合同而以合同第一部分尾部所列明的传真或电子邮件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发出的所有通知、文件、材料，均视为已向对方当事人送达；任何一方变更上述送达方式或者地址的，应于</w:t>
      </w:r>
      <w:r>
        <w:rPr>
          <w:rFonts w:hint="eastAsia" w:ascii="仿宋_GB2312" w:hAnsi="仿宋_GB2312" w:eastAsia="仿宋_GB2312" w:cs="仿宋_GB2312"/>
          <w:color w:val="auto"/>
          <w:sz w:val="24"/>
          <w:highlight w:val="none"/>
          <w:u w:val="single"/>
        </w:rPr>
        <w:t>3</w:t>
      </w:r>
      <w:r>
        <w:rPr>
          <w:rFonts w:hint="eastAsia" w:ascii="仿宋_GB2312" w:hAnsi="仿宋_GB2312" w:eastAsia="仿宋_GB2312" w:cs="仿宋_GB2312"/>
          <w:color w:val="auto"/>
          <w:sz w:val="24"/>
          <w:highlight w:val="none"/>
        </w:rPr>
        <w:t>个工作日内书面通知对方当事人，在对方当事人收到有关变更通知之前，变更前的约定送达方式或者地址仍视为有效。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45" w:name="_Toc12254"/>
      <w:bookmarkStart w:id="146" w:name="_Toc27644"/>
      <w:bookmarkStart w:id="147" w:name="_Toc20808"/>
      <w:bookmarkStart w:id="148" w:name="_Toc28906"/>
      <w:bookmarkStart w:id="149" w:name="_Toc5063"/>
      <w:r>
        <w:rPr>
          <w:rFonts w:hint="eastAsia" w:ascii="仿宋_GB2312" w:hAnsi="仿宋_GB2312" w:eastAsia="仿宋_GB2312" w:cs="仿宋_GB2312"/>
          <w:b/>
          <w:color w:val="auto"/>
          <w:sz w:val="24"/>
          <w:highlight w:val="none"/>
        </w:rPr>
        <w:t>2.17 合同使用的文字和适用的法律</w:t>
      </w:r>
      <w:bookmarkEnd w:id="145"/>
      <w:bookmarkEnd w:id="146"/>
      <w:bookmarkEnd w:id="147"/>
      <w:bookmarkEnd w:id="148"/>
      <w:bookmarkEnd w:id="149"/>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2.17.1 合同使用汉语书就、变更和解释；</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2.17.2 合同适用中华人民共和国法律。</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50" w:name="_Toc30599"/>
      <w:bookmarkStart w:id="151" w:name="_Toc18540"/>
      <w:bookmarkStart w:id="152" w:name="_Toc4355"/>
      <w:r>
        <w:rPr>
          <w:rFonts w:hint="eastAsia" w:ascii="仿宋_GB2312" w:hAnsi="仿宋_GB2312" w:eastAsia="仿宋_GB2312" w:cs="仿宋_GB2312"/>
          <w:b/>
          <w:color w:val="auto"/>
          <w:sz w:val="24"/>
          <w:highlight w:val="none"/>
        </w:rPr>
        <w:t>2.18 计量单位</w:t>
      </w:r>
      <w:bookmarkEnd w:id="150"/>
      <w:bookmarkEnd w:id="151"/>
      <w:bookmarkEnd w:id="152"/>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除技术规范中另有规定外,合同的计量单位均使用国家法定计量单位。</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53" w:name="_Toc12773"/>
      <w:bookmarkStart w:id="154" w:name="_Toc279701263"/>
      <w:bookmarkStart w:id="155" w:name="_Toc259093692"/>
      <w:bookmarkStart w:id="156" w:name="_Toc18567"/>
      <w:bookmarkStart w:id="157" w:name="_Toc10330"/>
      <w:bookmarkStart w:id="158" w:name="_Toc487900373"/>
      <w:r>
        <w:rPr>
          <w:rFonts w:hint="eastAsia" w:ascii="仿宋_GB2312" w:hAnsi="仿宋_GB2312" w:eastAsia="仿宋_GB2312" w:cs="仿宋_GB2312"/>
          <w:b/>
          <w:color w:val="auto"/>
          <w:sz w:val="24"/>
          <w:highlight w:val="none"/>
        </w:rPr>
        <w:t>2.19 合同使用的文字和适用的法律</w:t>
      </w:r>
      <w:bookmarkEnd w:id="153"/>
      <w:bookmarkEnd w:id="154"/>
      <w:bookmarkEnd w:id="155"/>
      <w:bookmarkEnd w:id="156"/>
      <w:bookmarkEnd w:id="157"/>
      <w:bookmarkEnd w:id="158"/>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2.19.1 合同使用汉语书就、变更和解释；</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2.19.2 合同适用中华人民共和国法律。</w:t>
      </w:r>
    </w:p>
    <w:p>
      <w:pPr>
        <w:kinsoku/>
        <w:wordWrap w:val="0"/>
        <w:overflowPunct/>
        <w:topLinePunct w:val="0"/>
        <w:bidi w:val="0"/>
        <w:spacing w:line="56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w:t>
      </w:r>
      <w:r>
        <w:rPr>
          <w:rFonts w:hint="eastAsia" w:ascii="仿宋_GB2312" w:hAnsi="仿宋_GB2312" w:eastAsia="仿宋_GB2312" w:cs="仿宋_GB2312"/>
          <w:b/>
          <w:color w:val="auto"/>
          <w:sz w:val="24"/>
          <w:highlight w:val="none"/>
          <w:lang w:val="en-US" w:eastAsia="zh-CN"/>
        </w:rPr>
        <w:t>20</w:t>
      </w:r>
      <w:r>
        <w:rPr>
          <w:rFonts w:hint="eastAsia" w:ascii="仿宋_GB2312" w:hAnsi="仿宋_GB2312" w:eastAsia="仿宋_GB2312" w:cs="仿宋_GB2312"/>
          <w:b/>
          <w:color w:val="auto"/>
          <w:sz w:val="24"/>
          <w:highlight w:val="none"/>
        </w:rPr>
        <w:t>合同份数</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合同份数按</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规定，每份均具有同等法律效力。</w:t>
      </w:r>
    </w:p>
    <w:p>
      <w:pPr>
        <w:keepNext w:val="0"/>
        <w:keepLines w:val="0"/>
        <w:pageBreakBefore w:val="0"/>
        <w:widowControl w:val="0"/>
        <w:kinsoku/>
        <w:wordWrap w:val="0"/>
        <w:overflowPunct/>
        <w:topLinePunct w:val="0"/>
        <w:autoSpaceDE/>
        <w:autoSpaceDN/>
        <w:bidi w:val="0"/>
        <w:adjustRightInd w:val="0"/>
        <w:snapToGrid/>
        <w:spacing w:line="440" w:lineRule="atLeast"/>
        <w:ind w:firstLine="420" w:firstLineChars="200"/>
        <w:jc w:val="center"/>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highlight w:val="none"/>
        </w:rPr>
        <w:br w:type="page"/>
      </w:r>
      <w:bookmarkStart w:id="159" w:name="_Toc331685784"/>
      <w:r>
        <w:rPr>
          <w:rFonts w:hint="eastAsia" w:ascii="仿宋_GB2312" w:hAnsi="仿宋_GB2312" w:eastAsia="仿宋_GB2312" w:cs="仿宋_GB2312"/>
          <w:b/>
          <w:color w:val="auto"/>
          <w:sz w:val="24"/>
          <w:highlight w:val="none"/>
        </w:rPr>
        <w:t xml:space="preserve"> </w:t>
      </w:r>
      <w:bookmarkEnd w:id="159"/>
      <w:r>
        <w:rPr>
          <w:rFonts w:hint="eastAsia" w:ascii="仿宋_GB2312" w:hAnsi="仿宋_GB2312" w:eastAsia="仿宋_GB2312" w:cs="仿宋_GB2312"/>
          <w:b/>
          <w:color w:val="auto"/>
          <w:kern w:val="2"/>
          <w:sz w:val="24"/>
          <w:szCs w:val="24"/>
          <w:highlight w:val="none"/>
          <w:lang w:val="en-US" w:eastAsia="zh-CN" w:bidi="ar-SA"/>
        </w:rPr>
        <w:t>第三部分  合同专用条款</w:t>
      </w:r>
    </w:p>
    <w:p>
      <w:pPr>
        <w:keepNext w:val="0"/>
        <w:keepLines w:val="0"/>
        <w:pageBreakBefore w:val="0"/>
        <w:widowControl w:val="0"/>
        <w:kinsoku/>
        <w:wordWrap w:val="0"/>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条款号</w:t>
            </w:r>
          </w:p>
        </w:tc>
        <w:tc>
          <w:tcPr>
            <w:tcW w:w="8149"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1.5.1 </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1.5.3 </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1.7.1</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1.7.4.1</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1.8.7</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w:t>
            </w:r>
          </w:p>
        </w:tc>
        <w:tc>
          <w:tcPr>
            <w:tcW w:w="8149" w:type="dxa"/>
            <w:vAlign w:val="center"/>
          </w:tcPr>
          <w:p>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w:t>
            </w:r>
          </w:p>
        </w:tc>
        <w:tc>
          <w:tcPr>
            <w:tcW w:w="8149" w:type="dxa"/>
            <w:vAlign w:val="center"/>
          </w:tcPr>
          <w:p>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2.11.4 </w:t>
            </w:r>
          </w:p>
        </w:tc>
        <w:tc>
          <w:tcPr>
            <w:tcW w:w="8149"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kinsoku/>
              <w:wordWrap w:val="0"/>
              <w:overflowPunct/>
              <w:topLinePunct w:val="0"/>
              <w:bidi w:val="0"/>
              <w:spacing w:line="360" w:lineRule="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20</w:t>
            </w:r>
          </w:p>
        </w:tc>
        <w:tc>
          <w:tcPr>
            <w:tcW w:w="8149"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left="-420" w:leftChars="-200" w:right="-420" w:rightChars="-200" w:firstLine="480" w:firstLineChars="200"/>
        <w:jc w:val="center"/>
        <w:outlineLvl w:val="0"/>
        <w:rPr>
          <w:rFonts w:hint="eastAsia" w:ascii="仿宋_GB2312" w:hAnsi="仿宋_GB2312" w:eastAsia="仿宋_GB2312" w:cs="仿宋_GB2312"/>
          <w:color w:val="auto"/>
          <w:sz w:val="24"/>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1、评标方法：</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2.评分标准：</w:t>
      </w:r>
      <w:r>
        <w:rPr>
          <w:rFonts w:hint="eastAsia" w:ascii="仿宋_GB2312" w:hAnsi="仿宋_GB2312" w:eastAsia="仿宋_GB2312" w:cs="仿宋_GB2312"/>
          <w:color w:val="auto"/>
          <w:sz w:val="24"/>
          <w:highlight w:val="none"/>
        </w:rPr>
        <w:t>共100分，其中商务技术分</w:t>
      </w:r>
      <w:r>
        <w:rPr>
          <w:rFonts w:hint="eastAsia" w:ascii="仿宋_GB2312" w:hAnsi="仿宋_GB2312" w:eastAsia="仿宋_GB2312" w:cs="仿宋_GB2312"/>
          <w:color w:val="auto"/>
          <w:sz w:val="24"/>
          <w:highlight w:val="none"/>
          <w:u w:val="single"/>
          <w:lang w:val="en-US" w:eastAsia="zh-CN"/>
        </w:rPr>
        <w:t xml:space="preserve"> 80</w:t>
      </w:r>
      <w:r>
        <w:rPr>
          <w:rFonts w:hint="eastAsia" w:ascii="仿宋_GB2312" w:hAnsi="仿宋_GB2312" w:eastAsia="仿宋_GB2312" w:cs="仿宋_GB2312"/>
          <w:color w:val="auto"/>
          <w:sz w:val="24"/>
          <w:highlight w:val="none"/>
        </w:rPr>
        <w:t>分，价格分</w:t>
      </w:r>
      <w:r>
        <w:rPr>
          <w:rFonts w:hint="eastAsia" w:ascii="仿宋_GB2312" w:hAnsi="仿宋_GB2312" w:eastAsia="仿宋_GB2312" w:cs="仿宋_GB2312"/>
          <w:color w:val="auto"/>
          <w:sz w:val="24"/>
          <w:highlight w:val="none"/>
          <w:u w:val="single"/>
          <w:lang w:val="en-US" w:eastAsia="zh-CN"/>
        </w:rPr>
        <w:t xml:space="preserve"> 20 </w:t>
      </w:r>
      <w:r>
        <w:rPr>
          <w:rFonts w:hint="eastAsia" w:ascii="仿宋_GB2312" w:hAnsi="仿宋_GB2312" w:eastAsia="仿宋_GB2312" w:cs="仿宋_GB2312"/>
          <w:color w:val="auto"/>
          <w:sz w:val="24"/>
          <w:highlight w:val="none"/>
        </w:rPr>
        <w:t>分。评分依下述所列为评标打分依据，分值如下（计算分值时，按其算术平均值保留小数2位）。</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_GB2312" w:hAnsi="仿宋_GB2312" w:eastAsia="仿宋_GB2312" w:cs="仿宋_GB2312"/>
          <w:b/>
          <w:color w:val="auto"/>
          <w:sz w:val="32"/>
          <w:szCs w:val="20"/>
          <w:highlight w:val="none"/>
        </w:rPr>
      </w:pPr>
      <w:r>
        <w:rPr>
          <w:rFonts w:hint="eastAsia" w:ascii="仿宋_GB2312" w:hAnsi="仿宋_GB2312" w:eastAsia="仿宋_GB2312" w:cs="仿宋_GB2312"/>
          <w:b/>
          <w:bCs/>
          <w:iCs/>
          <w:color w:val="auto"/>
          <w:sz w:val="24"/>
          <w:highlight w:val="none"/>
        </w:rPr>
        <w:t>2.1商务技术分（</w:t>
      </w:r>
      <w:r>
        <w:rPr>
          <w:rFonts w:hint="eastAsia" w:ascii="仿宋_GB2312" w:hAnsi="仿宋_GB2312" w:eastAsia="仿宋_GB2312" w:cs="仿宋_GB2312"/>
          <w:b/>
          <w:bCs/>
          <w:iCs/>
          <w:color w:val="auto"/>
          <w:sz w:val="24"/>
          <w:highlight w:val="none"/>
          <w:u w:val="single"/>
          <w:lang w:val="en-US" w:eastAsia="zh-CN"/>
        </w:rPr>
        <w:t xml:space="preserve"> 80 </w:t>
      </w:r>
      <w:r>
        <w:rPr>
          <w:rFonts w:hint="eastAsia" w:ascii="仿宋_GB2312" w:hAnsi="仿宋_GB2312" w:eastAsia="仿宋_GB2312" w:cs="仿宋_GB2312"/>
          <w:b/>
          <w:bCs/>
          <w:iCs/>
          <w:color w:val="auto"/>
          <w:sz w:val="24"/>
          <w:highlight w:val="none"/>
        </w:rPr>
        <w:t>分）</w:t>
      </w:r>
    </w:p>
    <w:tbl>
      <w:tblPr>
        <w:tblStyle w:val="62"/>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413"/>
        <w:gridCol w:w="6416"/>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11" w:type="dxa"/>
            <w:vAlign w:val="center"/>
          </w:tcPr>
          <w:p>
            <w:pPr>
              <w:widowControl/>
              <w:kinsoku/>
              <w:wordWrap/>
              <w:overflowPunct/>
              <w:topLinePunct w:val="0"/>
              <w:bidi w:val="0"/>
              <w:snapToGrid w:val="0"/>
              <w:spacing w:line="312" w:lineRule="auto"/>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序号</w:t>
            </w:r>
          </w:p>
        </w:tc>
        <w:tc>
          <w:tcPr>
            <w:tcW w:w="1413" w:type="dxa"/>
            <w:vAlign w:val="center"/>
          </w:tcPr>
          <w:p>
            <w:pPr>
              <w:widowControl/>
              <w:kinsoku/>
              <w:wordWrap/>
              <w:overflowPunct/>
              <w:topLinePunct w:val="0"/>
              <w:bidi w:val="0"/>
              <w:snapToGrid w:val="0"/>
              <w:spacing w:line="312" w:lineRule="auto"/>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评分项</w:t>
            </w:r>
          </w:p>
        </w:tc>
        <w:tc>
          <w:tcPr>
            <w:tcW w:w="6416" w:type="dxa"/>
            <w:vAlign w:val="center"/>
          </w:tcPr>
          <w:p>
            <w:pPr>
              <w:widowControl/>
              <w:kinsoku/>
              <w:wordWrap/>
              <w:overflowPunct/>
              <w:topLinePunct w:val="0"/>
              <w:bidi w:val="0"/>
              <w:snapToGrid w:val="0"/>
              <w:spacing w:line="312" w:lineRule="auto"/>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评审依据及标准</w:t>
            </w:r>
          </w:p>
        </w:tc>
        <w:tc>
          <w:tcPr>
            <w:tcW w:w="786" w:type="dxa"/>
            <w:vAlign w:val="center"/>
          </w:tcPr>
          <w:p>
            <w:pPr>
              <w:widowControl/>
              <w:kinsoku/>
              <w:wordWrap/>
              <w:overflowPunct/>
              <w:topLinePunct w:val="0"/>
              <w:bidi w:val="0"/>
              <w:snapToGrid w:val="0"/>
              <w:spacing w:line="312" w:lineRule="auto"/>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11"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413"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管理体系</w:t>
            </w:r>
          </w:p>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认证</w:t>
            </w:r>
          </w:p>
        </w:tc>
        <w:tc>
          <w:tcPr>
            <w:tcW w:w="6416" w:type="dxa"/>
            <w:vAlign w:val="center"/>
          </w:tcPr>
          <w:p>
            <w:pPr>
              <w:kinsoku/>
              <w:wordWrap/>
              <w:overflowPunct/>
              <w:topLinePunct w:val="0"/>
              <w:bidi w:val="0"/>
              <w:spacing w:line="312"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根据投标人企业认证证书情况进行打分，提供相关证明并加盖投标人公章。(本项分值设置为3,2,1,0.5,0分)</w:t>
            </w:r>
          </w:p>
        </w:tc>
        <w:tc>
          <w:tcPr>
            <w:tcW w:w="786"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811"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413"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业绩案例</w:t>
            </w:r>
          </w:p>
        </w:tc>
        <w:tc>
          <w:tcPr>
            <w:tcW w:w="6416" w:type="dxa"/>
            <w:vAlign w:val="center"/>
          </w:tcPr>
          <w:p>
            <w:pPr>
              <w:kinsoku/>
              <w:wordWrap/>
              <w:overflowPunct/>
              <w:topLinePunct w:val="0"/>
              <w:bidi w:val="0"/>
              <w:spacing w:line="312"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投标人自202</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年</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月1日以来（以合同签订时间为准）完成的同类案例，每有一个得1分，最高得2分。</w:t>
            </w:r>
          </w:p>
          <w:p>
            <w:pPr>
              <w:kinsoku/>
              <w:wordWrap/>
              <w:overflowPunct/>
              <w:topLinePunct w:val="0"/>
              <w:bidi w:val="0"/>
              <w:spacing w:line="312"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注：每个案例提供合同复印件加盖投标人公章。</w:t>
            </w:r>
          </w:p>
        </w:tc>
        <w:tc>
          <w:tcPr>
            <w:tcW w:w="786"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1413" w:type="dxa"/>
            <w:vAlign w:val="center"/>
          </w:tcPr>
          <w:p>
            <w:pPr>
              <w:widowControl/>
              <w:kinsoku/>
              <w:wordWrap/>
              <w:overflowPunct/>
              <w:topLinePunct w:val="0"/>
              <w:bidi w:val="0"/>
              <w:snapToGrid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主要人员</w:t>
            </w:r>
            <w:r>
              <w:rPr>
                <w:rFonts w:hint="eastAsia" w:ascii="仿宋_GB2312" w:hAnsi="仿宋_GB2312" w:eastAsia="仿宋_GB2312" w:cs="仿宋_GB2312"/>
                <w:kern w:val="0"/>
                <w:sz w:val="24"/>
                <w:szCs w:val="24"/>
              </w:rPr>
              <w:t>综合素质</w:t>
            </w:r>
          </w:p>
        </w:tc>
        <w:tc>
          <w:tcPr>
            <w:tcW w:w="6416" w:type="dxa"/>
            <w:vAlign w:val="center"/>
          </w:tcPr>
          <w:p>
            <w:pPr>
              <w:kinsoku/>
              <w:wordWrap/>
              <w:overflowPunct/>
              <w:topLinePunct w:val="0"/>
              <w:bidi w:val="0"/>
              <w:spacing w:line="312"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一、拟派保安队长：</w:t>
            </w:r>
          </w:p>
          <w:p>
            <w:pPr>
              <w:kinsoku/>
              <w:wordWrap/>
              <w:overflowPunct/>
              <w:topLinePunct w:val="0"/>
              <w:bidi w:val="0"/>
              <w:spacing w:line="312"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、具有大专及以上学历</w:t>
            </w:r>
            <w:r>
              <w:rPr>
                <w:rFonts w:hint="eastAsia" w:ascii="仿宋_GB2312" w:hAnsi="仿宋_GB2312" w:eastAsia="仿宋_GB2312" w:cs="仿宋_GB2312"/>
                <w:sz w:val="24"/>
                <w:szCs w:val="24"/>
                <w:lang w:val="en-US" w:eastAsia="zh-CN"/>
              </w:rPr>
              <w:t>的，得1分</w:t>
            </w:r>
            <w:r>
              <w:rPr>
                <w:rFonts w:hint="eastAsia" w:ascii="仿宋_GB2312" w:hAnsi="仿宋_GB2312" w:eastAsia="仿宋_GB2312" w:cs="仿宋_GB2312"/>
                <w:sz w:val="24"/>
                <w:szCs w:val="24"/>
              </w:rPr>
              <w:t>；</w:t>
            </w:r>
          </w:p>
          <w:p>
            <w:pPr>
              <w:numPr>
                <w:ilvl w:val="255"/>
                <w:numId w:val="0"/>
              </w:numPr>
              <w:kinsoku/>
              <w:wordWrap/>
              <w:overflowPunct/>
              <w:topLinePunct w:val="0"/>
              <w:bidi w:val="0"/>
              <w:spacing w:line="312"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、持有公安部门颁发的保安员证书</w:t>
            </w:r>
            <w:r>
              <w:rPr>
                <w:rFonts w:hint="eastAsia" w:ascii="仿宋_GB2312" w:hAnsi="仿宋_GB2312" w:eastAsia="仿宋_GB2312" w:cs="仿宋_GB2312"/>
                <w:sz w:val="24"/>
                <w:szCs w:val="24"/>
                <w:lang w:val="en-US" w:eastAsia="zh-CN"/>
              </w:rPr>
              <w:t>的，得1分</w:t>
            </w:r>
            <w:r>
              <w:rPr>
                <w:rFonts w:hint="eastAsia" w:ascii="仿宋_GB2312" w:hAnsi="仿宋_GB2312" w:eastAsia="仿宋_GB2312" w:cs="仿宋_GB2312"/>
                <w:sz w:val="24"/>
                <w:szCs w:val="24"/>
              </w:rPr>
              <w:t>；</w:t>
            </w:r>
          </w:p>
          <w:p>
            <w:pPr>
              <w:kinsoku/>
              <w:wordWrap/>
              <w:overflowPunct/>
              <w:topLinePunct w:val="0"/>
              <w:bidi w:val="0"/>
              <w:spacing w:line="312"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、持有市场监督管理部门颁发的安全管理和作业人员证（特种设备安全管理）</w:t>
            </w:r>
            <w:r>
              <w:rPr>
                <w:rFonts w:hint="eastAsia" w:ascii="仿宋_GB2312" w:hAnsi="仿宋_GB2312" w:eastAsia="仿宋_GB2312" w:cs="仿宋_GB2312"/>
                <w:sz w:val="24"/>
                <w:szCs w:val="24"/>
                <w:lang w:val="en-US" w:eastAsia="zh-CN"/>
              </w:rPr>
              <w:t>的，得1分</w:t>
            </w:r>
            <w:r>
              <w:rPr>
                <w:rFonts w:hint="eastAsia" w:ascii="仿宋_GB2312" w:hAnsi="仿宋_GB2312" w:eastAsia="仿宋_GB2312" w:cs="仿宋_GB2312"/>
                <w:sz w:val="24"/>
                <w:szCs w:val="24"/>
              </w:rPr>
              <w:t>；</w:t>
            </w:r>
          </w:p>
          <w:p>
            <w:pPr>
              <w:kinsoku/>
              <w:wordWrap/>
              <w:overflowPunct/>
              <w:topLinePunct w:val="0"/>
              <w:bidi w:val="0"/>
              <w:spacing w:line="312"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二、拟派消控负责人持有人社部门颁发或认可的</w:t>
            </w:r>
            <w:r>
              <w:rPr>
                <w:rFonts w:hint="eastAsia" w:ascii="仿宋_GB2312" w:hAnsi="仿宋_GB2312" w:eastAsia="仿宋_GB2312" w:cs="仿宋_GB2312"/>
                <w:sz w:val="24"/>
                <w:szCs w:val="24"/>
                <w:lang w:val="en-US" w:eastAsia="zh-CN"/>
              </w:rPr>
              <w:t>中级及以上</w:t>
            </w:r>
            <w:r>
              <w:rPr>
                <w:rFonts w:hint="eastAsia" w:ascii="仿宋_GB2312" w:hAnsi="仿宋_GB2312" w:eastAsia="仿宋_GB2312" w:cs="仿宋_GB2312"/>
                <w:sz w:val="24"/>
                <w:szCs w:val="24"/>
              </w:rPr>
              <w:t>建（构）筑物消防员证书或</w:t>
            </w:r>
            <w:r>
              <w:rPr>
                <w:rFonts w:hint="eastAsia" w:ascii="仿宋_GB2312" w:hAnsi="仿宋_GB2312" w:eastAsia="仿宋_GB2312" w:cs="仿宋_GB2312"/>
                <w:sz w:val="24"/>
                <w:szCs w:val="24"/>
                <w:lang w:val="en-US" w:eastAsia="zh-CN"/>
              </w:rPr>
              <w:t>中级及以上</w:t>
            </w:r>
            <w:r>
              <w:rPr>
                <w:rFonts w:hint="eastAsia" w:ascii="仿宋_GB2312" w:hAnsi="仿宋_GB2312" w:eastAsia="仿宋_GB2312" w:cs="仿宋_GB2312"/>
                <w:sz w:val="24"/>
                <w:szCs w:val="24"/>
              </w:rPr>
              <w:t>消防设施操作员证书</w:t>
            </w:r>
            <w:r>
              <w:rPr>
                <w:rFonts w:hint="eastAsia" w:ascii="仿宋_GB2312" w:hAnsi="仿宋_GB2312" w:eastAsia="仿宋_GB2312" w:cs="仿宋_GB2312"/>
                <w:sz w:val="24"/>
                <w:szCs w:val="24"/>
                <w:lang w:val="en-US" w:eastAsia="zh-CN"/>
              </w:rPr>
              <w:t>的，得1分</w:t>
            </w:r>
            <w:r>
              <w:rPr>
                <w:rFonts w:hint="eastAsia" w:ascii="仿宋_GB2312" w:hAnsi="仿宋_GB2312" w:eastAsia="仿宋_GB2312" w:cs="仿宋_GB2312"/>
                <w:sz w:val="24"/>
                <w:szCs w:val="24"/>
              </w:rPr>
              <w:t>；</w:t>
            </w:r>
          </w:p>
          <w:p>
            <w:pPr>
              <w:kinsoku/>
              <w:wordWrap/>
              <w:overflowPunct/>
              <w:topLinePunct w:val="0"/>
              <w:bidi w:val="0"/>
              <w:spacing w:line="312"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三、拟派维修负责人：</w:t>
            </w:r>
          </w:p>
          <w:p>
            <w:pPr>
              <w:kinsoku/>
              <w:wordWrap/>
              <w:overflowPunct/>
              <w:topLinePunct w:val="0"/>
              <w:bidi w:val="0"/>
              <w:spacing w:line="312"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1、持有应急管理部门颁发或监制的特种作业操作证（</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"https://baike.baidu.com/item/%E9%AB%98%E5%8E%8B%E7%94%B5/290410?fromModule=lemma_inlink" \t "https://baike.baidu.com/item/%E7%89%B9%E7%A7%8D%E4%BD%9C%E4%B8%9A%E6%93%8D%E4%BD%9C%E8%AF%81/_blank"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高压电</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工作业）</w:t>
            </w:r>
            <w:r>
              <w:rPr>
                <w:rFonts w:hint="eastAsia" w:ascii="仿宋_GB2312" w:hAnsi="仿宋_GB2312" w:eastAsia="仿宋_GB2312" w:cs="仿宋_GB2312"/>
                <w:sz w:val="24"/>
                <w:szCs w:val="24"/>
                <w:lang w:val="en-US" w:eastAsia="zh-CN"/>
              </w:rPr>
              <w:t>的，得1分</w:t>
            </w:r>
            <w:r>
              <w:rPr>
                <w:rFonts w:hint="eastAsia" w:ascii="仿宋_GB2312" w:hAnsi="仿宋_GB2312" w:eastAsia="仿宋_GB2312" w:cs="仿宋_GB2312"/>
                <w:sz w:val="24"/>
                <w:szCs w:val="24"/>
              </w:rPr>
              <w:t>；</w:t>
            </w:r>
          </w:p>
          <w:p>
            <w:pPr>
              <w:kinsoku/>
              <w:wordWrap/>
              <w:overflowPunct/>
              <w:topLinePunct w:val="0"/>
              <w:bidi w:val="0"/>
              <w:spacing w:line="312"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2、持有应急管理部门颁发或监制的特种作业操作证（低压电工作业）</w:t>
            </w:r>
            <w:r>
              <w:rPr>
                <w:rFonts w:hint="eastAsia" w:ascii="仿宋_GB2312" w:hAnsi="仿宋_GB2312" w:eastAsia="仿宋_GB2312" w:cs="仿宋_GB2312"/>
                <w:sz w:val="24"/>
                <w:szCs w:val="24"/>
                <w:lang w:val="en-US" w:eastAsia="zh-CN"/>
              </w:rPr>
              <w:t>的，得1分</w:t>
            </w:r>
            <w:r>
              <w:rPr>
                <w:rFonts w:hint="eastAsia" w:ascii="仿宋_GB2312" w:hAnsi="仿宋_GB2312" w:eastAsia="仿宋_GB2312" w:cs="仿宋_GB2312"/>
                <w:sz w:val="24"/>
                <w:szCs w:val="24"/>
              </w:rPr>
              <w:t>；</w:t>
            </w:r>
          </w:p>
          <w:p>
            <w:pPr>
              <w:kinsoku/>
              <w:wordWrap/>
              <w:overflowPunct/>
              <w:topLinePunct w:val="0"/>
              <w:bidi w:val="0"/>
              <w:spacing w:line="312"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hint="eastAsia" w:ascii="仿宋_GB2312" w:hAnsi="仿宋_GB2312" w:eastAsia="仿宋_GB2312" w:cs="仿宋_GB2312"/>
                <w:color w:val="auto"/>
                <w:sz w:val="24"/>
                <w:szCs w:val="24"/>
                <w:highlight w:val="none"/>
                <w:lang w:val="en-US" w:eastAsia="zh-CN"/>
              </w:rPr>
              <w:t>持有人社部门颁发或认可的电工二级及以上的职业资格证书</w:t>
            </w:r>
            <w:r>
              <w:rPr>
                <w:rFonts w:hint="eastAsia" w:ascii="仿宋_GB2312" w:hAnsi="仿宋_GB2312" w:eastAsia="仿宋_GB2312" w:cs="仿宋_GB2312"/>
                <w:sz w:val="24"/>
                <w:szCs w:val="24"/>
                <w:lang w:val="en-US" w:eastAsia="zh-CN"/>
              </w:rPr>
              <w:t>的，得1分</w:t>
            </w:r>
            <w:r>
              <w:rPr>
                <w:rFonts w:hint="eastAsia" w:ascii="仿宋_GB2312" w:hAnsi="仿宋_GB2312" w:eastAsia="仿宋_GB2312" w:cs="仿宋_GB2312"/>
                <w:sz w:val="24"/>
                <w:szCs w:val="24"/>
              </w:rPr>
              <w:t>；</w:t>
            </w:r>
          </w:p>
          <w:p>
            <w:pPr>
              <w:kinsoku/>
              <w:wordWrap/>
              <w:overflowPunct/>
              <w:topLinePunct w:val="0"/>
              <w:bidi w:val="0"/>
              <w:spacing w:line="312"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4、持有应急管理部门颁发或监制的特种作业操作证（高处作业）</w:t>
            </w:r>
            <w:r>
              <w:rPr>
                <w:rFonts w:hint="eastAsia" w:ascii="仿宋_GB2312" w:hAnsi="仿宋_GB2312" w:eastAsia="仿宋_GB2312" w:cs="仿宋_GB2312"/>
                <w:sz w:val="24"/>
                <w:szCs w:val="24"/>
                <w:lang w:val="en-US" w:eastAsia="zh-CN"/>
              </w:rPr>
              <w:t>的，得1分</w:t>
            </w:r>
            <w:r>
              <w:rPr>
                <w:rFonts w:hint="eastAsia" w:ascii="仿宋_GB2312" w:hAnsi="仿宋_GB2312" w:eastAsia="仿宋_GB2312" w:cs="仿宋_GB2312"/>
                <w:sz w:val="24"/>
                <w:szCs w:val="24"/>
              </w:rPr>
              <w:t>；</w:t>
            </w:r>
          </w:p>
          <w:p>
            <w:pPr>
              <w:kinsoku/>
              <w:wordWrap/>
              <w:overflowPunct/>
              <w:topLinePunct w:val="0"/>
              <w:bidi w:val="0"/>
              <w:spacing w:line="312" w:lineRule="auto"/>
              <w:jc w:val="left"/>
              <w:rPr>
                <w:rFonts w:hint="eastAsia" w:ascii="仿宋_GB2312" w:hAnsi="仿宋_GB2312" w:eastAsia="仿宋_GB2312" w:cs="仿宋_GB2312"/>
                <w:sz w:val="24"/>
                <w:szCs w:val="24"/>
              </w:rPr>
            </w:pPr>
            <w:bookmarkStart w:id="165" w:name="_GoBack"/>
            <w:bookmarkEnd w:id="165"/>
            <w:r>
              <w:rPr>
                <w:rFonts w:hint="eastAsia" w:ascii="仿宋_GB2312" w:hAnsi="仿宋_GB2312" w:eastAsia="仿宋_GB2312" w:cs="仿宋_GB2312"/>
                <w:sz w:val="24"/>
                <w:szCs w:val="24"/>
              </w:rPr>
              <w:t>注：以上人员不得兼任</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 w:val="0"/>
                <w:bCs w:val="0"/>
                <w:color w:val="auto"/>
                <w:sz w:val="24"/>
                <w:szCs w:val="24"/>
                <w:highlight w:val="none"/>
                <w:lang w:val="en-US" w:eastAsia="zh-CN"/>
              </w:rPr>
              <w:t>以上人员提供</w:t>
            </w:r>
            <w:r>
              <w:rPr>
                <w:rFonts w:hint="eastAsia" w:ascii="仿宋_GB2312" w:hAnsi="仿宋_GB2312" w:eastAsia="仿宋_GB2312" w:cs="仿宋_GB2312"/>
                <w:b w:val="0"/>
                <w:bCs w:val="0"/>
                <w:color w:val="auto"/>
                <w:sz w:val="24"/>
                <w:szCs w:val="24"/>
                <w:highlight w:val="none"/>
              </w:rPr>
              <w:t>相关</w:t>
            </w:r>
            <w:r>
              <w:rPr>
                <w:rFonts w:hint="eastAsia" w:ascii="仿宋_GB2312" w:hAnsi="仿宋_GB2312" w:eastAsia="仿宋_GB2312" w:cs="仿宋_GB2312"/>
                <w:b w:val="0"/>
                <w:bCs w:val="0"/>
                <w:color w:val="auto"/>
                <w:sz w:val="24"/>
                <w:szCs w:val="24"/>
                <w:highlight w:val="none"/>
                <w:lang w:val="en-US" w:eastAsia="zh-CN"/>
              </w:rPr>
              <w:t>证书</w:t>
            </w:r>
            <w:r>
              <w:rPr>
                <w:rFonts w:hint="eastAsia" w:ascii="仿宋_GB2312" w:hAnsi="仿宋_GB2312" w:eastAsia="仿宋_GB2312" w:cs="仿宋_GB2312"/>
                <w:b w:val="0"/>
                <w:bCs w:val="0"/>
                <w:color w:val="auto"/>
                <w:sz w:val="24"/>
                <w:szCs w:val="24"/>
                <w:highlight w:val="none"/>
              </w:rPr>
              <w:t>扫描件和本单位社保缴纳证明均加盖投标人公章，否则不得分。</w:t>
            </w:r>
          </w:p>
        </w:tc>
        <w:tc>
          <w:tcPr>
            <w:tcW w:w="786" w:type="dxa"/>
            <w:vAlign w:val="center"/>
          </w:tcPr>
          <w:p>
            <w:pPr>
              <w:widowControl/>
              <w:kinsoku/>
              <w:wordWrap/>
              <w:overflowPunct/>
              <w:topLinePunct w:val="0"/>
              <w:bidi w:val="0"/>
              <w:snapToGrid w:val="0"/>
              <w:spacing w:line="312" w:lineRule="auto"/>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1413" w:type="dxa"/>
            <w:vAlign w:val="center"/>
          </w:tcPr>
          <w:p>
            <w:pPr>
              <w:widowControl/>
              <w:kinsoku/>
              <w:wordWrap/>
              <w:overflowPunct/>
              <w:topLinePunct w:val="0"/>
              <w:bidi w:val="0"/>
              <w:snapToGrid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总体管理方案</w:t>
            </w:r>
          </w:p>
        </w:tc>
        <w:tc>
          <w:tcPr>
            <w:tcW w:w="6416" w:type="dxa"/>
            <w:vAlign w:val="center"/>
          </w:tcPr>
          <w:p>
            <w:pPr>
              <w:kinsoku/>
              <w:wordWrap/>
              <w:overflowPunct/>
              <w:topLinePunct w:val="0"/>
              <w:bidi w:val="0"/>
              <w:spacing w:line="312"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根据</w:t>
            </w:r>
            <w:r>
              <w:rPr>
                <w:rFonts w:hint="eastAsia" w:ascii="仿宋_GB2312" w:hAnsi="仿宋_GB2312" w:eastAsia="仿宋_GB2312" w:cs="仿宋_GB2312"/>
                <w:color w:val="000000"/>
                <w:sz w:val="24"/>
                <w:szCs w:val="24"/>
              </w:rPr>
              <w:t>投标人提供总体管理方案，</w:t>
            </w:r>
            <w:r>
              <w:rPr>
                <w:rFonts w:hint="eastAsia" w:ascii="仿宋_GB2312" w:hAnsi="仿宋_GB2312" w:eastAsia="仿宋_GB2312" w:cs="仿宋_GB2312"/>
                <w:bCs/>
                <w:iCs/>
                <w:sz w:val="24"/>
                <w:szCs w:val="24"/>
              </w:rPr>
              <w:t>包括但不限于项目</w:t>
            </w:r>
            <w:r>
              <w:rPr>
                <w:rFonts w:hint="eastAsia" w:ascii="仿宋_GB2312" w:hAnsi="仿宋_GB2312" w:eastAsia="仿宋_GB2312" w:cs="仿宋_GB2312"/>
                <w:color w:val="000000"/>
                <w:sz w:val="24"/>
                <w:szCs w:val="24"/>
              </w:rPr>
              <w:t>现状分析、总体管理方案、服务指标及措施等。</w:t>
            </w:r>
          </w:p>
          <w:p>
            <w:pPr>
              <w:kinsoku/>
              <w:wordWrap/>
              <w:overflowPunct/>
              <w:topLinePunct w:val="0"/>
              <w:bidi w:val="0"/>
              <w:spacing w:line="312"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(本项分值设置为</w:t>
            </w:r>
            <w:r>
              <w:rPr>
                <w:rFonts w:hint="eastAsia" w:ascii="仿宋_GB2312" w:hAnsi="仿宋_GB2312" w:eastAsia="仿宋_GB2312" w:cs="仿宋_GB2312"/>
                <w:color w:val="000000"/>
                <w:sz w:val="24"/>
                <w:szCs w:val="24"/>
                <w:lang w:val="en-US" w:eastAsia="zh-CN"/>
              </w:rPr>
              <w:t>5,4,</w:t>
            </w:r>
            <w:r>
              <w:rPr>
                <w:rFonts w:hint="eastAsia" w:ascii="仿宋_GB2312" w:hAnsi="仿宋_GB2312" w:eastAsia="仿宋_GB2312" w:cs="仿宋_GB2312"/>
                <w:color w:val="000000"/>
                <w:sz w:val="24"/>
                <w:szCs w:val="24"/>
              </w:rPr>
              <w:t>3,2,1,0.5,0分)</w:t>
            </w:r>
          </w:p>
        </w:tc>
        <w:tc>
          <w:tcPr>
            <w:tcW w:w="786"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811"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413" w:type="dxa"/>
            <w:vAlign w:val="center"/>
          </w:tcPr>
          <w:p>
            <w:pPr>
              <w:kinsoku/>
              <w:wordWrap/>
              <w:overflowPunct/>
              <w:topLinePunct w:val="0"/>
              <w:bidi w:val="0"/>
              <w:spacing w:line="312" w:lineRule="auto"/>
              <w:ind w:left="240" w:hanging="240" w:hangingChars="10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保安服务</w:t>
            </w:r>
          </w:p>
          <w:p>
            <w:pPr>
              <w:kinsoku/>
              <w:wordWrap/>
              <w:overflowPunct/>
              <w:topLinePunct w:val="0"/>
              <w:bidi w:val="0"/>
              <w:spacing w:line="312" w:lineRule="auto"/>
              <w:ind w:left="240" w:hanging="240" w:hangingChars="10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方案</w:t>
            </w:r>
          </w:p>
        </w:tc>
        <w:tc>
          <w:tcPr>
            <w:tcW w:w="6416" w:type="dxa"/>
            <w:vAlign w:val="center"/>
          </w:tcPr>
          <w:p>
            <w:pPr>
              <w:widowControl/>
              <w:kinsoku/>
              <w:wordWrap/>
              <w:overflowPunct/>
              <w:topLinePunct w:val="0"/>
              <w:bidi w:val="0"/>
              <w:snapToGrid w:val="0"/>
              <w:spacing w:line="312"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根据投标人提供的保安服务方案进行打分，</w:t>
            </w:r>
            <w:r>
              <w:rPr>
                <w:rFonts w:hint="eastAsia" w:ascii="仿宋_GB2312" w:hAnsi="仿宋_GB2312" w:eastAsia="仿宋_GB2312" w:cs="仿宋_GB2312"/>
                <w:kern w:val="0"/>
                <w:sz w:val="24"/>
                <w:szCs w:val="24"/>
              </w:rPr>
              <w:t>包括但不限于物业服务区域内的日常治安管理、巡逻检查、消防安全的日常维护等</w:t>
            </w:r>
            <w:r>
              <w:rPr>
                <w:rFonts w:hint="eastAsia" w:ascii="仿宋_GB2312" w:hAnsi="仿宋_GB2312" w:eastAsia="仿宋_GB2312" w:cs="仿宋_GB2312"/>
                <w:color w:val="000000"/>
                <w:sz w:val="24"/>
                <w:szCs w:val="24"/>
              </w:rPr>
              <w:t>。(本项分值设置为</w:t>
            </w:r>
            <w:r>
              <w:rPr>
                <w:rFonts w:hint="eastAsia" w:ascii="仿宋_GB2312" w:hAnsi="仿宋_GB2312" w:eastAsia="仿宋_GB2312" w:cs="仿宋_GB2312"/>
                <w:color w:val="000000"/>
                <w:sz w:val="24"/>
                <w:szCs w:val="24"/>
                <w:lang w:val="en-US" w:eastAsia="zh-CN"/>
              </w:rPr>
              <w:t>5,4,</w:t>
            </w:r>
            <w:r>
              <w:rPr>
                <w:rFonts w:hint="eastAsia" w:ascii="仿宋_GB2312" w:hAnsi="仿宋_GB2312" w:eastAsia="仿宋_GB2312" w:cs="仿宋_GB2312"/>
                <w:color w:val="000000"/>
                <w:sz w:val="24"/>
                <w:szCs w:val="24"/>
              </w:rPr>
              <w:t>3,2,1,0.5,0分)</w:t>
            </w:r>
          </w:p>
        </w:tc>
        <w:tc>
          <w:tcPr>
            <w:tcW w:w="786" w:type="dxa"/>
            <w:vAlign w:val="center"/>
          </w:tcPr>
          <w:p>
            <w:pPr>
              <w:widowControl/>
              <w:kinsoku/>
              <w:wordWrap/>
              <w:overflowPunct/>
              <w:topLinePunct w:val="0"/>
              <w:bidi w:val="0"/>
              <w:snapToGrid w:val="0"/>
              <w:spacing w:line="312" w:lineRule="auto"/>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1413" w:type="dxa"/>
            <w:vAlign w:val="center"/>
          </w:tcPr>
          <w:p>
            <w:pPr>
              <w:kinsoku/>
              <w:wordWrap/>
              <w:overflowPunct/>
              <w:topLinePunct w:val="0"/>
              <w:bidi w:val="0"/>
              <w:spacing w:line="312" w:lineRule="auto"/>
              <w:ind w:left="240" w:hanging="240" w:hangingChars="10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保洁服务</w:t>
            </w:r>
          </w:p>
          <w:p>
            <w:pPr>
              <w:kinsoku/>
              <w:wordWrap/>
              <w:overflowPunct/>
              <w:topLinePunct w:val="0"/>
              <w:bidi w:val="0"/>
              <w:spacing w:line="312" w:lineRule="auto"/>
              <w:ind w:left="240" w:hanging="240" w:hangingChars="10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方案</w:t>
            </w:r>
          </w:p>
        </w:tc>
        <w:tc>
          <w:tcPr>
            <w:tcW w:w="6416" w:type="dxa"/>
            <w:vAlign w:val="center"/>
          </w:tcPr>
          <w:p>
            <w:pPr>
              <w:widowControl/>
              <w:kinsoku/>
              <w:wordWrap/>
              <w:overflowPunct/>
              <w:topLinePunct w:val="0"/>
              <w:bidi w:val="0"/>
              <w:snapToGrid w:val="0"/>
              <w:spacing w:line="312" w:lineRule="auto"/>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根据投标人提供的保洁服务方案进行打分，</w:t>
            </w:r>
            <w:r>
              <w:rPr>
                <w:rFonts w:hint="eastAsia" w:ascii="仿宋_GB2312" w:hAnsi="仿宋_GB2312" w:eastAsia="仿宋_GB2312" w:cs="仿宋_GB2312"/>
                <w:kern w:val="0"/>
                <w:sz w:val="24"/>
                <w:szCs w:val="24"/>
              </w:rPr>
              <w:t>包括但不限于公共区域及设施的保洁方案；灭“四害”消杀等</w:t>
            </w:r>
            <w:r>
              <w:rPr>
                <w:rFonts w:hint="eastAsia" w:ascii="仿宋_GB2312" w:hAnsi="仿宋_GB2312" w:eastAsia="仿宋_GB2312" w:cs="仿宋_GB2312"/>
                <w:color w:val="000000"/>
                <w:sz w:val="24"/>
                <w:szCs w:val="24"/>
              </w:rPr>
              <w:t>。</w:t>
            </w:r>
          </w:p>
          <w:p>
            <w:pPr>
              <w:widowControl/>
              <w:kinsoku/>
              <w:wordWrap/>
              <w:overflowPunct/>
              <w:topLinePunct w:val="0"/>
              <w:bidi w:val="0"/>
              <w:snapToGrid w:val="0"/>
              <w:spacing w:line="312"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(本项分值设置为</w:t>
            </w:r>
            <w:r>
              <w:rPr>
                <w:rFonts w:hint="eastAsia" w:ascii="仿宋_GB2312" w:hAnsi="仿宋_GB2312" w:eastAsia="仿宋_GB2312" w:cs="仿宋_GB2312"/>
                <w:color w:val="000000"/>
                <w:sz w:val="24"/>
                <w:szCs w:val="24"/>
                <w:lang w:val="en-US" w:eastAsia="zh-CN"/>
              </w:rPr>
              <w:t>5,4,</w:t>
            </w:r>
            <w:r>
              <w:rPr>
                <w:rFonts w:hint="eastAsia" w:ascii="仿宋_GB2312" w:hAnsi="仿宋_GB2312" w:eastAsia="仿宋_GB2312" w:cs="仿宋_GB2312"/>
                <w:color w:val="000000"/>
                <w:sz w:val="24"/>
                <w:szCs w:val="24"/>
              </w:rPr>
              <w:t>3,2,1,0.5,0分)</w:t>
            </w:r>
          </w:p>
        </w:tc>
        <w:tc>
          <w:tcPr>
            <w:tcW w:w="786" w:type="dxa"/>
            <w:vAlign w:val="center"/>
          </w:tcPr>
          <w:p>
            <w:pPr>
              <w:widowControl/>
              <w:kinsoku/>
              <w:wordWrap/>
              <w:overflowPunct/>
              <w:topLinePunct w:val="0"/>
              <w:bidi w:val="0"/>
              <w:snapToGrid w:val="0"/>
              <w:spacing w:line="312" w:lineRule="auto"/>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1413" w:type="dxa"/>
            <w:vAlign w:val="center"/>
          </w:tcPr>
          <w:p>
            <w:pPr>
              <w:kinsoku/>
              <w:wordWrap/>
              <w:overflowPunct/>
              <w:topLinePunct w:val="0"/>
              <w:bidi w:val="0"/>
              <w:spacing w:line="312" w:lineRule="auto"/>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信息化</w:t>
            </w:r>
          </w:p>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能力</w:t>
            </w:r>
          </w:p>
        </w:tc>
        <w:tc>
          <w:tcPr>
            <w:tcW w:w="6416" w:type="dxa"/>
            <w:vAlign w:val="center"/>
          </w:tcPr>
          <w:p>
            <w:pPr>
              <w:kinsoku/>
              <w:wordWrap/>
              <w:overflowPunct/>
              <w:topLinePunct w:val="0"/>
              <w:bidi w:val="0"/>
              <w:spacing w:line="312"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根据投标人针对本项目拟投入信息化系统进行打分，包括但不限于垃圾分类收运、垃圾分类投放、分类处置、数据采集与对接等功能，需提供系统介绍和主要功能截图或相关承诺</w:t>
            </w:r>
            <w:r>
              <w:rPr>
                <w:rFonts w:hint="eastAsia" w:ascii="仿宋_GB2312" w:hAnsi="仿宋_GB2312" w:eastAsia="仿宋_GB2312" w:cs="仿宋_GB2312"/>
                <w:color w:val="000000"/>
                <w:sz w:val="24"/>
                <w:szCs w:val="24"/>
              </w:rPr>
              <w:t>。(本项分值设置为</w:t>
            </w:r>
            <w:r>
              <w:rPr>
                <w:rFonts w:hint="eastAsia" w:ascii="仿宋_GB2312" w:hAnsi="仿宋_GB2312" w:eastAsia="仿宋_GB2312" w:cs="仿宋_GB2312"/>
                <w:color w:val="000000"/>
                <w:sz w:val="24"/>
                <w:szCs w:val="24"/>
                <w:lang w:val="en-US" w:eastAsia="zh-CN"/>
              </w:rPr>
              <w:t>5,4,</w:t>
            </w:r>
            <w:r>
              <w:rPr>
                <w:rFonts w:hint="eastAsia" w:ascii="仿宋_GB2312" w:hAnsi="仿宋_GB2312" w:eastAsia="仿宋_GB2312" w:cs="仿宋_GB2312"/>
                <w:color w:val="000000"/>
                <w:sz w:val="24"/>
                <w:szCs w:val="24"/>
              </w:rPr>
              <w:t>3,2,1,0.5,0分)</w:t>
            </w:r>
          </w:p>
        </w:tc>
        <w:tc>
          <w:tcPr>
            <w:tcW w:w="786" w:type="dxa"/>
            <w:vAlign w:val="center"/>
          </w:tcPr>
          <w:p>
            <w:pPr>
              <w:widowControl/>
              <w:kinsoku/>
              <w:wordWrap/>
              <w:overflowPunct/>
              <w:topLinePunct w:val="0"/>
              <w:bidi w:val="0"/>
              <w:snapToGrid w:val="0"/>
              <w:spacing w:line="312" w:lineRule="auto"/>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11"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1413" w:type="dxa"/>
            <w:vAlign w:val="center"/>
          </w:tcPr>
          <w:p>
            <w:pPr>
              <w:kinsoku/>
              <w:wordWrap/>
              <w:overflowPunct/>
              <w:topLinePunct w:val="0"/>
              <w:bidi w:val="0"/>
              <w:spacing w:line="312" w:lineRule="auto"/>
              <w:ind w:left="240" w:hanging="240" w:hangingChars="10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维修服务</w:t>
            </w:r>
          </w:p>
          <w:p>
            <w:pPr>
              <w:kinsoku/>
              <w:wordWrap/>
              <w:overflowPunct/>
              <w:topLinePunct w:val="0"/>
              <w:bidi w:val="0"/>
              <w:spacing w:line="312" w:lineRule="auto"/>
              <w:ind w:left="240" w:hanging="240" w:hangingChars="10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方案</w:t>
            </w:r>
          </w:p>
        </w:tc>
        <w:tc>
          <w:tcPr>
            <w:tcW w:w="6416" w:type="dxa"/>
            <w:vAlign w:val="center"/>
          </w:tcPr>
          <w:p>
            <w:pPr>
              <w:widowControl/>
              <w:kinsoku/>
              <w:wordWrap/>
              <w:overflowPunct/>
              <w:topLinePunct w:val="0"/>
              <w:bidi w:val="0"/>
              <w:snapToGrid w:val="0"/>
              <w:spacing w:line="312" w:lineRule="auto"/>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根据投标人提供的维修服务方案进行打分，包括但不限于高（低）压线路、照明及供电设备管理维护方案；弱电系统管理维护方案；给排水设备运行维护方案；房屋及设备设施日常养护、巡查维修方案；消防设备维护方案等</w:t>
            </w:r>
            <w:r>
              <w:rPr>
                <w:rFonts w:hint="eastAsia" w:ascii="仿宋_GB2312" w:hAnsi="仿宋_GB2312" w:eastAsia="仿宋_GB2312" w:cs="仿宋_GB2312"/>
                <w:color w:val="000000"/>
                <w:sz w:val="24"/>
                <w:szCs w:val="24"/>
              </w:rPr>
              <w:t>。</w:t>
            </w:r>
          </w:p>
          <w:p>
            <w:pPr>
              <w:widowControl/>
              <w:kinsoku/>
              <w:wordWrap/>
              <w:overflowPunct/>
              <w:topLinePunct w:val="0"/>
              <w:bidi w:val="0"/>
              <w:snapToGrid w:val="0"/>
              <w:spacing w:line="312"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(本项分值设置为</w:t>
            </w:r>
            <w:r>
              <w:rPr>
                <w:rFonts w:hint="eastAsia" w:ascii="仿宋_GB2312" w:hAnsi="仿宋_GB2312" w:eastAsia="仿宋_GB2312" w:cs="仿宋_GB2312"/>
                <w:color w:val="000000"/>
                <w:sz w:val="24"/>
                <w:szCs w:val="24"/>
                <w:lang w:val="en-US" w:eastAsia="zh-CN"/>
              </w:rPr>
              <w:t>5,4,</w:t>
            </w:r>
            <w:r>
              <w:rPr>
                <w:rFonts w:hint="eastAsia" w:ascii="仿宋_GB2312" w:hAnsi="仿宋_GB2312" w:eastAsia="仿宋_GB2312" w:cs="仿宋_GB2312"/>
                <w:color w:val="000000"/>
                <w:sz w:val="24"/>
                <w:szCs w:val="24"/>
              </w:rPr>
              <w:t>3,2,1,0.5,0分)</w:t>
            </w:r>
          </w:p>
        </w:tc>
        <w:tc>
          <w:tcPr>
            <w:tcW w:w="786" w:type="dxa"/>
            <w:vAlign w:val="center"/>
          </w:tcPr>
          <w:p>
            <w:pPr>
              <w:widowControl/>
              <w:kinsoku/>
              <w:wordWrap/>
              <w:overflowPunct/>
              <w:topLinePunct w:val="0"/>
              <w:bidi w:val="0"/>
              <w:snapToGrid w:val="0"/>
              <w:spacing w:line="312" w:lineRule="auto"/>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11" w:type="dxa"/>
            <w:shd w:val="clear" w:color="auto" w:fill="auto"/>
            <w:vAlign w:val="center"/>
          </w:tcPr>
          <w:p>
            <w:pPr>
              <w:kinsoku/>
              <w:wordWrap/>
              <w:overflowPunct/>
              <w:topLinePunct w:val="0"/>
              <w:bidi w:val="0"/>
              <w:spacing w:line="312" w:lineRule="auto"/>
              <w:jc w:val="center"/>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sz w:val="24"/>
                <w:szCs w:val="24"/>
                <w:highlight w:val="none"/>
              </w:rPr>
              <w:t>9</w:t>
            </w:r>
          </w:p>
        </w:tc>
        <w:tc>
          <w:tcPr>
            <w:tcW w:w="1413" w:type="dxa"/>
            <w:vAlign w:val="center"/>
          </w:tcPr>
          <w:p>
            <w:pPr>
              <w:kinsoku/>
              <w:wordWrap/>
              <w:overflowPunct/>
              <w:topLinePunct w:val="0"/>
              <w:bidi w:val="0"/>
              <w:adjustRightInd w:val="0"/>
              <w:snapToGrid w:val="0"/>
              <w:spacing w:line="312" w:lineRule="auto"/>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拟投入的基本设施设备</w:t>
            </w:r>
          </w:p>
        </w:tc>
        <w:tc>
          <w:tcPr>
            <w:tcW w:w="6416" w:type="dxa"/>
            <w:vAlign w:val="center"/>
          </w:tcPr>
          <w:p>
            <w:pPr>
              <w:kinsoku/>
              <w:wordWrap/>
              <w:overflowPunct/>
              <w:topLinePunct w:val="0"/>
              <w:bidi w:val="0"/>
              <w:adjustRightInd w:val="0"/>
              <w:snapToGrid w:val="0"/>
              <w:spacing w:line="312"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根据投标人针对本项目拟投入的基本设施设备</w:t>
            </w:r>
            <w:r>
              <w:rPr>
                <w:rFonts w:hint="eastAsia" w:ascii="仿宋_GB2312" w:hAnsi="仿宋_GB2312" w:eastAsia="仿宋_GB2312" w:cs="仿宋_GB2312"/>
                <w:sz w:val="24"/>
                <w:szCs w:val="24"/>
              </w:rPr>
              <w:t>进行打分</w:t>
            </w:r>
            <w:r>
              <w:rPr>
                <w:rFonts w:hint="eastAsia" w:ascii="仿宋_GB2312" w:hAnsi="仿宋_GB2312" w:eastAsia="仿宋_GB2312" w:cs="仿宋_GB2312"/>
                <w:sz w:val="24"/>
                <w:szCs w:val="24"/>
                <w:highlight w:val="none"/>
              </w:rPr>
              <w:t>，包括但不限于垃圾车、高压冲洗车、驾驶式洗地机等。</w:t>
            </w:r>
          </w:p>
          <w:p>
            <w:pPr>
              <w:kinsoku/>
              <w:wordWrap/>
              <w:overflowPunct/>
              <w:topLinePunct w:val="0"/>
              <w:bidi w:val="0"/>
              <w:adjustRightInd w:val="0"/>
              <w:snapToGrid w:val="0"/>
              <w:spacing w:line="312"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(本项分值设置为5,4,3,2,1,0.5,0分)</w:t>
            </w:r>
          </w:p>
          <w:p>
            <w:pPr>
              <w:kinsoku/>
              <w:wordWrap/>
              <w:overflowPunct/>
              <w:topLinePunct w:val="0"/>
              <w:bidi w:val="0"/>
              <w:adjustRightInd w:val="0"/>
              <w:snapToGrid w:val="0"/>
              <w:spacing w:line="312"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注：提供设备清单、设备购置发票复印件和设备照片（如为租赁设备的，提供设备租赁合同复印件、租赁合同中附设备购置发票复印件和设备照片）均需加盖投标人公章，不提供不得分。</w:t>
            </w:r>
          </w:p>
        </w:tc>
        <w:tc>
          <w:tcPr>
            <w:tcW w:w="786" w:type="dxa"/>
            <w:vAlign w:val="center"/>
          </w:tcPr>
          <w:p>
            <w:pPr>
              <w:widowControl/>
              <w:kinsoku/>
              <w:wordWrap/>
              <w:overflowPunct/>
              <w:topLinePunct w:val="0"/>
              <w:bidi w:val="0"/>
              <w:snapToGrid w:val="0"/>
              <w:spacing w:line="312" w:lineRule="auto"/>
              <w:jc w:val="center"/>
              <w:rPr>
                <w:rFonts w:hint="eastAsia" w:ascii="仿宋_GB2312" w:hAnsi="仿宋_GB2312" w:eastAsia="仿宋_GB2312" w:cs="仿宋_GB2312"/>
                <w:kern w:val="0"/>
                <w:sz w:val="24"/>
                <w:szCs w:val="24"/>
                <w:highlight w:val="yellow"/>
              </w:rPr>
            </w:pPr>
            <w:r>
              <w:rPr>
                <w:rFonts w:hint="eastAsia" w:ascii="仿宋_GB2312" w:hAnsi="仿宋_GB2312" w:eastAsia="仿宋_GB2312" w:cs="仿宋_GB2312"/>
                <w:kern w:val="0"/>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11" w:type="dxa"/>
            <w:shd w:val="clear" w:color="auto" w:fill="auto"/>
            <w:vAlign w:val="center"/>
          </w:tcPr>
          <w:p>
            <w:pPr>
              <w:kinsoku/>
              <w:wordWrap/>
              <w:overflowPunct/>
              <w:topLinePunct w:val="0"/>
              <w:bidi w:val="0"/>
              <w:spacing w:line="312"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10</w:t>
            </w:r>
          </w:p>
        </w:tc>
        <w:tc>
          <w:tcPr>
            <w:tcW w:w="1413" w:type="dxa"/>
            <w:vAlign w:val="center"/>
          </w:tcPr>
          <w:p>
            <w:pPr>
              <w:kinsoku/>
              <w:wordWrap/>
              <w:overflowPunct/>
              <w:topLinePunct w:val="0"/>
              <w:bidi w:val="0"/>
              <w:adjustRightInd w:val="0"/>
              <w:snapToGrid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项目经费管理方案</w:t>
            </w:r>
          </w:p>
        </w:tc>
        <w:tc>
          <w:tcPr>
            <w:tcW w:w="6416" w:type="dxa"/>
            <w:vAlign w:val="center"/>
          </w:tcPr>
          <w:p>
            <w:pPr>
              <w:kinsoku/>
              <w:wordWrap/>
              <w:overflowPunct/>
              <w:topLinePunct w:val="0"/>
              <w:bidi w:val="0"/>
              <w:adjustRightInd w:val="0"/>
              <w:snapToGrid w:val="0"/>
              <w:spacing w:line="312"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投标人针对本项目实际情况制订各项费用收、支运行（预算）情况方案，包括但不限于人员薪酬、工作时间、派遣人员劳务合同签订执行标准等内容</w:t>
            </w:r>
            <w:r>
              <w:rPr>
                <w:rFonts w:hint="eastAsia" w:ascii="仿宋_GB2312" w:hAnsi="仿宋_GB2312" w:eastAsia="仿宋_GB2312" w:cs="仿宋_GB2312"/>
                <w:color w:val="000000"/>
                <w:sz w:val="24"/>
                <w:szCs w:val="24"/>
              </w:rPr>
              <w:t>。</w:t>
            </w:r>
          </w:p>
          <w:p>
            <w:pPr>
              <w:kinsoku/>
              <w:wordWrap/>
              <w:overflowPunct/>
              <w:topLinePunct w:val="0"/>
              <w:bidi w:val="0"/>
              <w:adjustRightInd w:val="0"/>
              <w:snapToGrid w:val="0"/>
              <w:spacing w:line="312"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(本项分值设置为</w:t>
            </w:r>
            <w:r>
              <w:rPr>
                <w:rFonts w:hint="eastAsia" w:ascii="仿宋_GB2312" w:hAnsi="仿宋_GB2312" w:eastAsia="仿宋_GB2312" w:cs="仿宋_GB2312"/>
                <w:color w:val="000000"/>
                <w:sz w:val="24"/>
                <w:szCs w:val="24"/>
                <w:lang w:val="en-US" w:eastAsia="zh-CN"/>
              </w:rPr>
              <w:t>5,4,</w:t>
            </w:r>
            <w:r>
              <w:rPr>
                <w:rFonts w:hint="eastAsia" w:ascii="仿宋_GB2312" w:hAnsi="仿宋_GB2312" w:eastAsia="仿宋_GB2312" w:cs="仿宋_GB2312"/>
                <w:color w:val="000000"/>
                <w:sz w:val="24"/>
                <w:szCs w:val="24"/>
              </w:rPr>
              <w:t>3,2,1,0.5,0分)</w:t>
            </w:r>
          </w:p>
        </w:tc>
        <w:tc>
          <w:tcPr>
            <w:tcW w:w="786" w:type="dxa"/>
            <w:vAlign w:val="center"/>
          </w:tcPr>
          <w:p>
            <w:pPr>
              <w:widowControl/>
              <w:kinsoku/>
              <w:wordWrap/>
              <w:overflowPunct/>
              <w:topLinePunct w:val="0"/>
              <w:bidi w:val="0"/>
              <w:snapToGrid w:val="0"/>
              <w:spacing w:line="312" w:lineRule="auto"/>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11" w:type="dxa"/>
            <w:shd w:val="clear" w:color="auto" w:fill="auto"/>
            <w:vAlign w:val="center"/>
          </w:tcPr>
          <w:p>
            <w:pPr>
              <w:kinsoku/>
              <w:wordWrap/>
              <w:overflowPunct/>
              <w:topLinePunct w:val="0"/>
              <w:bidi w:val="0"/>
              <w:spacing w:line="312"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11</w:t>
            </w:r>
          </w:p>
        </w:tc>
        <w:tc>
          <w:tcPr>
            <w:tcW w:w="1413" w:type="dxa"/>
            <w:vAlign w:val="center"/>
          </w:tcPr>
          <w:p>
            <w:pPr>
              <w:kinsoku/>
              <w:wordWrap/>
              <w:overflowPunct/>
              <w:topLinePunct w:val="0"/>
              <w:bidi w:val="0"/>
              <w:spacing w:line="312" w:lineRule="auto"/>
              <w:ind w:left="240" w:hanging="240" w:hangingChars="10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员工培训</w:t>
            </w:r>
          </w:p>
          <w:p>
            <w:pPr>
              <w:kinsoku/>
              <w:wordWrap/>
              <w:overflowPunct/>
              <w:topLinePunct w:val="0"/>
              <w:bidi w:val="0"/>
              <w:spacing w:line="312" w:lineRule="auto"/>
              <w:ind w:left="240" w:hanging="240" w:hangingChars="10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方案</w:t>
            </w:r>
          </w:p>
        </w:tc>
        <w:tc>
          <w:tcPr>
            <w:tcW w:w="6416" w:type="dxa"/>
            <w:vAlign w:val="center"/>
          </w:tcPr>
          <w:p>
            <w:pPr>
              <w:widowControl/>
              <w:kinsoku/>
              <w:wordWrap/>
              <w:overflowPunct/>
              <w:topLinePunct w:val="0"/>
              <w:bidi w:val="0"/>
              <w:snapToGrid w:val="0"/>
              <w:spacing w:line="312" w:lineRule="auto"/>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根据投标人提供的员工培训方案进行打分，包括但不限于职业技能培训教育能力或认定资质；培训的频次、内容等</w:t>
            </w:r>
            <w:r>
              <w:rPr>
                <w:rFonts w:hint="eastAsia" w:ascii="仿宋_GB2312" w:hAnsi="仿宋_GB2312" w:eastAsia="仿宋_GB2312" w:cs="仿宋_GB2312"/>
                <w:color w:val="000000"/>
                <w:sz w:val="24"/>
                <w:szCs w:val="24"/>
              </w:rPr>
              <w:t>。</w:t>
            </w:r>
          </w:p>
          <w:p>
            <w:pPr>
              <w:widowControl/>
              <w:kinsoku/>
              <w:wordWrap/>
              <w:overflowPunct/>
              <w:topLinePunct w:val="0"/>
              <w:bidi w:val="0"/>
              <w:snapToGrid w:val="0"/>
              <w:spacing w:line="312"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(本项分值设置为</w:t>
            </w:r>
            <w:r>
              <w:rPr>
                <w:rFonts w:hint="eastAsia" w:ascii="仿宋_GB2312" w:hAnsi="仿宋_GB2312" w:eastAsia="仿宋_GB2312" w:cs="仿宋_GB2312"/>
                <w:color w:val="000000"/>
                <w:sz w:val="24"/>
                <w:szCs w:val="24"/>
                <w:lang w:val="en-US" w:eastAsia="zh-CN"/>
              </w:rPr>
              <w:t>5,4,</w:t>
            </w:r>
            <w:r>
              <w:rPr>
                <w:rFonts w:hint="eastAsia" w:ascii="仿宋_GB2312" w:hAnsi="仿宋_GB2312" w:eastAsia="仿宋_GB2312" w:cs="仿宋_GB2312"/>
                <w:color w:val="000000"/>
                <w:sz w:val="24"/>
                <w:szCs w:val="24"/>
              </w:rPr>
              <w:t>3,2,1,0.5,0分)</w:t>
            </w:r>
          </w:p>
        </w:tc>
        <w:tc>
          <w:tcPr>
            <w:tcW w:w="786" w:type="dxa"/>
            <w:vAlign w:val="center"/>
          </w:tcPr>
          <w:p>
            <w:pPr>
              <w:widowControl/>
              <w:kinsoku/>
              <w:wordWrap/>
              <w:overflowPunct/>
              <w:topLinePunct w:val="0"/>
              <w:bidi w:val="0"/>
              <w:snapToGrid w:val="0"/>
              <w:spacing w:line="312" w:lineRule="auto"/>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shd w:val="clear" w:color="auto" w:fill="auto"/>
            <w:vAlign w:val="center"/>
          </w:tcPr>
          <w:p>
            <w:pPr>
              <w:kinsoku/>
              <w:wordWrap/>
              <w:overflowPunct/>
              <w:topLinePunct w:val="0"/>
              <w:bidi w:val="0"/>
              <w:spacing w:line="312"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12</w:t>
            </w:r>
          </w:p>
        </w:tc>
        <w:tc>
          <w:tcPr>
            <w:tcW w:w="1413" w:type="dxa"/>
            <w:vAlign w:val="center"/>
          </w:tcPr>
          <w:p>
            <w:pPr>
              <w:kinsoku/>
              <w:wordWrap/>
              <w:overflowPunct/>
              <w:topLinePunct w:val="0"/>
              <w:bidi w:val="0"/>
              <w:spacing w:line="312" w:lineRule="auto"/>
              <w:ind w:left="240" w:hanging="240" w:hangingChars="10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垃圾服务</w:t>
            </w:r>
          </w:p>
          <w:p>
            <w:pPr>
              <w:kinsoku/>
              <w:wordWrap/>
              <w:overflowPunct/>
              <w:topLinePunct w:val="0"/>
              <w:bidi w:val="0"/>
              <w:spacing w:line="312" w:lineRule="auto"/>
              <w:ind w:left="240" w:hanging="240" w:hangingChars="10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方案</w:t>
            </w:r>
          </w:p>
        </w:tc>
        <w:tc>
          <w:tcPr>
            <w:tcW w:w="6416" w:type="dxa"/>
            <w:vAlign w:val="center"/>
          </w:tcPr>
          <w:p>
            <w:pPr>
              <w:widowControl/>
              <w:kinsoku/>
              <w:wordWrap/>
              <w:overflowPunct/>
              <w:topLinePunct w:val="0"/>
              <w:bidi w:val="0"/>
              <w:snapToGrid w:val="0"/>
              <w:spacing w:line="312" w:lineRule="auto"/>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根据投标人提供的垃圾服务方案进行打分，包括但不限于</w:t>
            </w:r>
            <w:r>
              <w:rPr>
                <w:rFonts w:hint="eastAsia" w:ascii="仿宋_GB2312" w:hAnsi="仿宋_GB2312" w:eastAsia="仿宋_GB2312" w:cs="仿宋_GB2312"/>
                <w:kern w:val="0"/>
                <w:sz w:val="24"/>
                <w:szCs w:val="24"/>
              </w:rPr>
              <w:t>垃圾、废弃物清理；垃圾分类；垃圾运输处置等</w:t>
            </w:r>
            <w:r>
              <w:rPr>
                <w:rFonts w:hint="eastAsia" w:ascii="仿宋_GB2312" w:hAnsi="仿宋_GB2312" w:eastAsia="仿宋_GB2312" w:cs="仿宋_GB2312"/>
                <w:color w:val="000000"/>
                <w:sz w:val="24"/>
                <w:szCs w:val="24"/>
              </w:rPr>
              <w:t>。</w:t>
            </w:r>
          </w:p>
          <w:p>
            <w:pPr>
              <w:widowControl/>
              <w:kinsoku/>
              <w:wordWrap/>
              <w:overflowPunct/>
              <w:topLinePunct w:val="0"/>
              <w:bidi w:val="0"/>
              <w:snapToGrid w:val="0"/>
              <w:spacing w:line="312"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(本项分值设置为</w:t>
            </w:r>
            <w:r>
              <w:rPr>
                <w:rFonts w:hint="eastAsia" w:ascii="仿宋_GB2312" w:hAnsi="仿宋_GB2312" w:eastAsia="仿宋_GB2312" w:cs="仿宋_GB2312"/>
                <w:color w:val="000000"/>
                <w:sz w:val="24"/>
                <w:szCs w:val="24"/>
                <w:lang w:val="en-US" w:eastAsia="zh-CN"/>
              </w:rPr>
              <w:t>5,4,</w:t>
            </w:r>
            <w:r>
              <w:rPr>
                <w:rFonts w:hint="eastAsia" w:ascii="仿宋_GB2312" w:hAnsi="仿宋_GB2312" w:eastAsia="仿宋_GB2312" w:cs="仿宋_GB2312"/>
                <w:color w:val="000000"/>
                <w:sz w:val="24"/>
                <w:szCs w:val="24"/>
              </w:rPr>
              <w:t>3,2,1,0.5,0分)</w:t>
            </w:r>
          </w:p>
        </w:tc>
        <w:tc>
          <w:tcPr>
            <w:tcW w:w="786" w:type="dxa"/>
            <w:vAlign w:val="center"/>
          </w:tcPr>
          <w:p>
            <w:pPr>
              <w:widowControl/>
              <w:kinsoku/>
              <w:wordWrap/>
              <w:overflowPunct/>
              <w:topLinePunct w:val="0"/>
              <w:bidi w:val="0"/>
              <w:snapToGrid w:val="0"/>
              <w:spacing w:line="312" w:lineRule="auto"/>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shd w:val="clear" w:color="auto" w:fill="auto"/>
            <w:vAlign w:val="center"/>
          </w:tcPr>
          <w:p>
            <w:pPr>
              <w:kinsoku/>
              <w:wordWrap/>
              <w:overflowPunct/>
              <w:topLinePunct w:val="0"/>
              <w:bidi w:val="0"/>
              <w:spacing w:line="312"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13</w:t>
            </w:r>
          </w:p>
        </w:tc>
        <w:tc>
          <w:tcPr>
            <w:tcW w:w="1413"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紧急事件防范预案</w:t>
            </w:r>
          </w:p>
        </w:tc>
        <w:tc>
          <w:tcPr>
            <w:tcW w:w="6416" w:type="dxa"/>
            <w:vAlign w:val="center"/>
          </w:tcPr>
          <w:p>
            <w:pPr>
              <w:widowControl/>
              <w:kinsoku/>
              <w:wordWrap/>
              <w:overflowPunct/>
              <w:topLinePunct w:val="0"/>
              <w:bidi w:val="0"/>
              <w:snapToGrid w:val="0"/>
              <w:spacing w:line="312"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根据投标人</w:t>
            </w:r>
            <w:r>
              <w:rPr>
                <w:rFonts w:hint="eastAsia" w:ascii="仿宋_GB2312" w:hAnsi="仿宋_GB2312" w:eastAsia="仿宋_GB2312" w:cs="仿宋_GB2312"/>
                <w:kern w:val="0"/>
                <w:sz w:val="24"/>
                <w:szCs w:val="24"/>
                <w:lang w:val="en-US" w:eastAsia="zh-CN"/>
              </w:rPr>
              <w:t>提供的</w:t>
            </w:r>
            <w:r>
              <w:rPr>
                <w:rFonts w:hint="eastAsia" w:ascii="仿宋_GB2312" w:hAnsi="仿宋_GB2312" w:eastAsia="仿宋_GB2312" w:cs="仿宋_GB2312"/>
                <w:sz w:val="24"/>
                <w:szCs w:val="24"/>
              </w:rPr>
              <w:t>紧急事件防范预案</w:t>
            </w:r>
            <w:r>
              <w:rPr>
                <w:rFonts w:hint="eastAsia" w:ascii="仿宋_GB2312" w:hAnsi="仿宋_GB2312" w:eastAsia="仿宋_GB2312" w:cs="仿宋_GB2312"/>
                <w:sz w:val="24"/>
                <w:szCs w:val="24"/>
                <w:lang w:val="en-US" w:eastAsia="zh-CN"/>
              </w:rPr>
              <w:t>进行打分，包括但不限于</w:t>
            </w:r>
            <w:r>
              <w:rPr>
                <w:rFonts w:hint="eastAsia" w:ascii="仿宋_GB2312" w:hAnsi="仿宋_GB2312" w:eastAsia="仿宋_GB2312" w:cs="仿宋_GB2312"/>
                <w:kern w:val="0"/>
                <w:sz w:val="24"/>
                <w:szCs w:val="24"/>
              </w:rPr>
              <w:t>针对防台、防汛、防火、防震、突发事件处置的应急方案及措施</w:t>
            </w:r>
            <w:r>
              <w:rPr>
                <w:rFonts w:hint="eastAsia" w:ascii="仿宋_GB2312" w:hAnsi="仿宋_GB2312" w:eastAsia="仿宋_GB2312" w:cs="仿宋_GB2312"/>
                <w:kern w:val="0"/>
                <w:sz w:val="24"/>
                <w:szCs w:val="24"/>
                <w:lang w:val="en-US" w:eastAsia="zh-CN"/>
              </w:rPr>
              <w:t>等</w:t>
            </w:r>
            <w:r>
              <w:rPr>
                <w:rFonts w:hint="eastAsia" w:ascii="仿宋_GB2312" w:hAnsi="仿宋_GB2312" w:eastAsia="仿宋_GB2312" w:cs="仿宋_GB2312"/>
                <w:color w:val="000000"/>
                <w:sz w:val="24"/>
                <w:szCs w:val="24"/>
              </w:rPr>
              <w:t>。(本项分值设置为</w:t>
            </w:r>
            <w:r>
              <w:rPr>
                <w:rFonts w:hint="eastAsia" w:ascii="仿宋_GB2312" w:hAnsi="仿宋_GB2312" w:eastAsia="仿宋_GB2312" w:cs="仿宋_GB2312"/>
                <w:color w:val="000000"/>
                <w:sz w:val="24"/>
                <w:szCs w:val="24"/>
                <w:lang w:val="en-US" w:eastAsia="zh-CN"/>
              </w:rPr>
              <w:t>5,4,</w:t>
            </w:r>
            <w:r>
              <w:rPr>
                <w:rFonts w:hint="eastAsia" w:ascii="仿宋_GB2312" w:hAnsi="仿宋_GB2312" w:eastAsia="仿宋_GB2312" w:cs="仿宋_GB2312"/>
                <w:color w:val="000000"/>
                <w:sz w:val="24"/>
                <w:szCs w:val="24"/>
              </w:rPr>
              <w:t>3,2,1,0.5,0分)</w:t>
            </w:r>
          </w:p>
        </w:tc>
        <w:tc>
          <w:tcPr>
            <w:tcW w:w="786" w:type="dxa"/>
            <w:vAlign w:val="center"/>
          </w:tcPr>
          <w:p>
            <w:pPr>
              <w:widowControl/>
              <w:kinsoku/>
              <w:wordWrap/>
              <w:overflowPunct/>
              <w:topLinePunct w:val="0"/>
              <w:bidi w:val="0"/>
              <w:snapToGrid w:val="0"/>
              <w:spacing w:line="312" w:lineRule="auto"/>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shd w:val="clear" w:color="auto" w:fill="auto"/>
            <w:vAlign w:val="center"/>
          </w:tcPr>
          <w:p>
            <w:pPr>
              <w:kinsoku/>
              <w:wordWrap/>
              <w:overflowPunct/>
              <w:topLinePunct w:val="0"/>
              <w:bidi w:val="0"/>
              <w:spacing w:line="312"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14</w:t>
            </w:r>
          </w:p>
        </w:tc>
        <w:tc>
          <w:tcPr>
            <w:tcW w:w="1413"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稳定员工队伍的措施</w:t>
            </w:r>
          </w:p>
        </w:tc>
        <w:tc>
          <w:tcPr>
            <w:tcW w:w="6416" w:type="dxa"/>
            <w:vAlign w:val="center"/>
          </w:tcPr>
          <w:p>
            <w:pPr>
              <w:widowControl/>
              <w:kinsoku/>
              <w:wordWrap/>
              <w:overflowPunct/>
              <w:topLinePunct w:val="0"/>
              <w:bidi w:val="0"/>
              <w:snapToGrid w:val="0"/>
              <w:spacing w:line="312" w:lineRule="auto"/>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根据投标人提供的稳定员工队伍的措施进行打分，包括但不限于员工福利待遇，工会福利等方面</w:t>
            </w:r>
            <w:r>
              <w:rPr>
                <w:rFonts w:hint="eastAsia" w:ascii="仿宋_GB2312" w:hAnsi="仿宋_GB2312" w:eastAsia="仿宋_GB2312" w:cs="仿宋_GB2312"/>
                <w:color w:val="000000"/>
                <w:sz w:val="24"/>
                <w:szCs w:val="24"/>
              </w:rPr>
              <w:t>。</w:t>
            </w:r>
          </w:p>
          <w:p>
            <w:pPr>
              <w:widowControl/>
              <w:kinsoku/>
              <w:wordWrap/>
              <w:overflowPunct/>
              <w:topLinePunct w:val="0"/>
              <w:bidi w:val="0"/>
              <w:snapToGrid w:val="0"/>
              <w:spacing w:line="312"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(本项分值设置为</w:t>
            </w:r>
            <w:r>
              <w:rPr>
                <w:rFonts w:hint="eastAsia" w:ascii="仿宋_GB2312" w:hAnsi="仿宋_GB2312" w:eastAsia="仿宋_GB2312" w:cs="仿宋_GB2312"/>
                <w:color w:val="000000"/>
                <w:sz w:val="24"/>
                <w:szCs w:val="24"/>
                <w:lang w:val="en-US" w:eastAsia="zh-CN"/>
              </w:rPr>
              <w:t>5,4,</w:t>
            </w:r>
            <w:r>
              <w:rPr>
                <w:rFonts w:hint="eastAsia" w:ascii="仿宋_GB2312" w:hAnsi="仿宋_GB2312" w:eastAsia="仿宋_GB2312" w:cs="仿宋_GB2312"/>
                <w:color w:val="000000"/>
                <w:sz w:val="24"/>
                <w:szCs w:val="24"/>
              </w:rPr>
              <w:t>3,2,1,0.5,0分)</w:t>
            </w:r>
          </w:p>
        </w:tc>
        <w:tc>
          <w:tcPr>
            <w:tcW w:w="786" w:type="dxa"/>
            <w:vAlign w:val="center"/>
          </w:tcPr>
          <w:p>
            <w:pPr>
              <w:widowControl/>
              <w:kinsoku/>
              <w:wordWrap/>
              <w:overflowPunct/>
              <w:topLinePunct w:val="0"/>
              <w:bidi w:val="0"/>
              <w:snapToGrid w:val="0"/>
              <w:spacing w:line="312" w:lineRule="auto"/>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w:t>
            </w:r>
          </w:p>
        </w:tc>
        <w:tc>
          <w:tcPr>
            <w:tcW w:w="1413"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交接方案</w:t>
            </w:r>
          </w:p>
        </w:tc>
        <w:tc>
          <w:tcPr>
            <w:tcW w:w="6416" w:type="dxa"/>
            <w:vAlign w:val="center"/>
          </w:tcPr>
          <w:p>
            <w:pPr>
              <w:widowControl/>
              <w:kinsoku/>
              <w:wordWrap/>
              <w:overflowPunct/>
              <w:topLinePunct w:val="0"/>
              <w:bidi w:val="0"/>
              <w:snapToGrid w:val="0"/>
              <w:spacing w:line="312" w:lineRule="auto"/>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根据投标人提供物业交接方案进行打分，包</w:t>
            </w:r>
            <w:r>
              <w:rPr>
                <w:rFonts w:hint="eastAsia" w:ascii="仿宋_GB2312" w:hAnsi="仿宋_GB2312" w:eastAsia="仿宋_GB2312" w:cs="仿宋_GB2312"/>
                <w:sz w:val="24"/>
                <w:szCs w:val="24"/>
                <w:lang w:val="en-US" w:eastAsia="zh-CN"/>
              </w:rPr>
              <w:t>括</w:t>
            </w:r>
            <w:r>
              <w:rPr>
                <w:rFonts w:hint="eastAsia" w:ascii="仿宋_GB2312" w:hAnsi="仿宋_GB2312" w:eastAsia="仿宋_GB2312" w:cs="仿宋_GB2312"/>
                <w:sz w:val="24"/>
                <w:szCs w:val="24"/>
              </w:rPr>
              <w:t>但不限于人员安置、工作移交、设备盘点交接、提前对接等</w:t>
            </w:r>
            <w:r>
              <w:rPr>
                <w:rFonts w:hint="eastAsia" w:ascii="仿宋_GB2312" w:hAnsi="仿宋_GB2312" w:eastAsia="仿宋_GB2312" w:cs="仿宋_GB2312"/>
                <w:color w:val="000000"/>
                <w:sz w:val="24"/>
                <w:szCs w:val="24"/>
              </w:rPr>
              <w:t>。</w:t>
            </w:r>
          </w:p>
          <w:p>
            <w:pPr>
              <w:widowControl/>
              <w:kinsoku/>
              <w:wordWrap/>
              <w:overflowPunct/>
              <w:topLinePunct w:val="0"/>
              <w:bidi w:val="0"/>
              <w:snapToGrid w:val="0"/>
              <w:spacing w:line="312"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(本项分值设置为</w:t>
            </w:r>
            <w:r>
              <w:rPr>
                <w:rFonts w:hint="eastAsia" w:ascii="仿宋_GB2312" w:hAnsi="仿宋_GB2312" w:eastAsia="仿宋_GB2312" w:cs="仿宋_GB2312"/>
                <w:color w:val="000000"/>
                <w:sz w:val="24"/>
                <w:szCs w:val="24"/>
                <w:lang w:val="en-US" w:eastAsia="zh-CN"/>
              </w:rPr>
              <w:t>4,</w:t>
            </w:r>
            <w:r>
              <w:rPr>
                <w:rFonts w:hint="eastAsia" w:ascii="仿宋_GB2312" w:hAnsi="仿宋_GB2312" w:eastAsia="仿宋_GB2312" w:cs="仿宋_GB2312"/>
                <w:color w:val="000000"/>
                <w:sz w:val="24"/>
                <w:szCs w:val="24"/>
              </w:rPr>
              <w:t>3,2,1,0.5,0分)</w:t>
            </w:r>
          </w:p>
        </w:tc>
        <w:tc>
          <w:tcPr>
            <w:tcW w:w="786" w:type="dxa"/>
            <w:vAlign w:val="center"/>
          </w:tcPr>
          <w:p>
            <w:pPr>
              <w:widowControl/>
              <w:kinsoku/>
              <w:wordWrap/>
              <w:overflowPunct/>
              <w:topLinePunct w:val="0"/>
              <w:bidi w:val="0"/>
              <w:snapToGrid w:val="0"/>
              <w:spacing w:line="312" w:lineRule="auto"/>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16</w:t>
            </w:r>
          </w:p>
        </w:tc>
        <w:tc>
          <w:tcPr>
            <w:tcW w:w="1413"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工作组织实施方案</w:t>
            </w:r>
          </w:p>
        </w:tc>
        <w:tc>
          <w:tcPr>
            <w:tcW w:w="6416" w:type="dxa"/>
            <w:vAlign w:val="center"/>
          </w:tcPr>
          <w:p>
            <w:pPr>
              <w:widowControl/>
              <w:kinsoku/>
              <w:wordWrap/>
              <w:overflowPunct/>
              <w:topLinePunct w:val="0"/>
              <w:bidi w:val="0"/>
              <w:snapToGrid w:val="0"/>
              <w:spacing w:line="312"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根据投标人提供的工作组织实施方案进行打分，包</w:t>
            </w:r>
            <w:r>
              <w:rPr>
                <w:rFonts w:hint="eastAsia" w:ascii="仿宋_GB2312" w:hAnsi="仿宋_GB2312" w:eastAsia="仿宋_GB2312" w:cs="仿宋_GB2312"/>
                <w:sz w:val="24"/>
                <w:szCs w:val="24"/>
                <w:lang w:val="en-US" w:eastAsia="zh-CN"/>
              </w:rPr>
              <w:t>括</w:t>
            </w:r>
            <w:r>
              <w:rPr>
                <w:rFonts w:hint="eastAsia" w:ascii="仿宋_GB2312" w:hAnsi="仿宋_GB2312" w:eastAsia="仿宋_GB2312" w:cs="仿宋_GB2312"/>
                <w:sz w:val="24"/>
                <w:szCs w:val="24"/>
              </w:rPr>
              <w:t>但不限于管理流程，包括运作流程图、激励机制、监督机制、自我约束机制、信息反馈渠道及处理机制，管理指标承诺达到物业管理标准等</w:t>
            </w:r>
            <w:r>
              <w:rPr>
                <w:rFonts w:hint="eastAsia" w:ascii="仿宋_GB2312" w:hAnsi="仿宋_GB2312" w:eastAsia="仿宋_GB2312" w:cs="仿宋_GB2312"/>
                <w:color w:val="000000"/>
                <w:sz w:val="24"/>
                <w:szCs w:val="24"/>
              </w:rPr>
              <w:t>。(本项分值设置为</w:t>
            </w:r>
            <w:r>
              <w:rPr>
                <w:rFonts w:hint="eastAsia" w:ascii="仿宋_GB2312" w:hAnsi="仿宋_GB2312" w:eastAsia="仿宋_GB2312" w:cs="仿宋_GB2312"/>
                <w:color w:val="000000"/>
                <w:sz w:val="24"/>
                <w:szCs w:val="24"/>
                <w:lang w:val="en-US" w:eastAsia="zh-CN"/>
              </w:rPr>
              <w:t>4,</w:t>
            </w:r>
            <w:r>
              <w:rPr>
                <w:rFonts w:hint="eastAsia" w:ascii="仿宋_GB2312" w:hAnsi="仿宋_GB2312" w:eastAsia="仿宋_GB2312" w:cs="仿宋_GB2312"/>
                <w:color w:val="000000"/>
                <w:sz w:val="24"/>
                <w:szCs w:val="24"/>
              </w:rPr>
              <w:t>3,2,1,0.5,0分)</w:t>
            </w:r>
          </w:p>
        </w:tc>
        <w:tc>
          <w:tcPr>
            <w:tcW w:w="786" w:type="dxa"/>
            <w:vAlign w:val="center"/>
          </w:tcPr>
          <w:p>
            <w:pPr>
              <w:widowControl/>
              <w:kinsoku/>
              <w:wordWrap/>
              <w:overflowPunct/>
              <w:topLinePunct w:val="0"/>
              <w:bidi w:val="0"/>
              <w:snapToGrid w:val="0"/>
              <w:spacing w:line="312" w:lineRule="auto"/>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17</w:t>
            </w:r>
          </w:p>
        </w:tc>
        <w:tc>
          <w:tcPr>
            <w:tcW w:w="1413" w:type="dxa"/>
            <w:vAlign w:val="center"/>
          </w:tcPr>
          <w:p>
            <w:pPr>
              <w:kinsoku/>
              <w:wordWrap/>
              <w:overflowPunct/>
              <w:topLinePunct w:val="0"/>
              <w:bidi w:val="0"/>
              <w:spacing w:line="312"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服务承诺及合理化建议</w:t>
            </w:r>
          </w:p>
        </w:tc>
        <w:tc>
          <w:tcPr>
            <w:tcW w:w="6416" w:type="dxa"/>
            <w:vAlign w:val="center"/>
          </w:tcPr>
          <w:p>
            <w:pPr>
              <w:kinsoku/>
              <w:wordWrap/>
              <w:overflowPunct/>
              <w:topLinePunct w:val="0"/>
              <w:bidi w:val="0"/>
              <w:spacing w:line="312" w:lineRule="auto"/>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bCs/>
                <w:iCs/>
                <w:sz w:val="24"/>
                <w:szCs w:val="24"/>
                <w:lang w:val="en-US" w:eastAsia="zh-CN"/>
              </w:rPr>
              <w:t>根据</w:t>
            </w:r>
            <w:r>
              <w:rPr>
                <w:rFonts w:hint="eastAsia" w:ascii="仿宋_GB2312" w:hAnsi="仿宋_GB2312" w:eastAsia="仿宋_GB2312" w:cs="仿宋_GB2312"/>
                <w:bCs/>
                <w:iCs/>
                <w:sz w:val="24"/>
                <w:szCs w:val="24"/>
              </w:rPr>
              <w:t>投标人提供</w:t>
            </w:r>
            <w:r>
              <w:rPr>
                <w:rFonts w:hint="eastAsia" w:ascii="仿宋_GB2312" w:hAnsi="仿宋_GB2312" w:eastAsia="仿宋_GB2312" w:cs="仿宋_GB2312"/>
                <w:sz w:val="24"/>
                <w:szCs w:val="24"/>
                <w:lang w:val="zh-CN"/>
              </w:rPr>
              <w:t>的</w:t>
            </w:r>
            <w:r>
              <w:rPr>
                <w:rFonts w:hint="eastAsia" w:ascii="仿宋_GB2312" w:hAnsi="仿宋_GB2312" w:eastAsia="仿宋_GB2312" w:cs="仿宋_GB2312"/>
                <w:sz w:val="24"/>
                <w:szCs w:val="24"/>
              </w:rPr>
              <w:t>服务承诺及合理化建议</w:t>
            </w:r>
            <w:r>
              <w:rPr>
                <w:rFonts w:hint="eastAsia" w:ascii="仿宋_GB2312" w:hAnsi="仿宋_GB2312" w:eastAsia="仿宋_GB2312" w:cs="仿宋_GB2312"/>
                <w:sz w:val="24"/>
                <w:szCs w:val="24"/>
                <w:lang w:val="en-US" w:eastAsia="zh-CN"/>
              </w:rPr>
              <w:t>进行打分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Cs/>
                <w:iCs/>
                <w:sz w:val="24"/>
                <w:szCs w:val="24"/>
              </w:rPr>
              <w:t>包</w:t>
            </w:r>
            <w:r>
              <w:rPr>
                <w:rFonts w:hint="eastAsia" w:ascii="仿宋_GB2312" w:hAnsi="仿宋_GB2312" w:eastAsia="仿宋_GB2312" w:cs="仿宋_GB2312"/>
                <w:bCs/>
                <w:iCs/>
                <w:sz w:val="24"/>
                <w:szCs w:val="24"/>
                <w:lang w:val="en-US" w:eastAsia="zh-CN"/>
              </w:rPr>
              <w:t>括</w:t>
            </w:r>
            <w:r>
              <w:rPr>
                <w:rFonts w:hint="eastAsia" w:ascii="仿宋_GB2312" w:hAnsi="仿宋_GB2312" w:eastAsia="仿宋_GB2312" w:cs="仿宋_GB2312"/>
                <w:bCs/>
                <w:iCs/>
                <w:sz w:val="24"/>
                <w:szCs w:val="24"/>
              </w:rPr>
              <w:t>但不限于</w:t>
            </w:r>
            <w:r>
              <w:rPr>
                <w:rFonts w:hint="eastAsia" w:ascii="仿宋_GB2312" w:hAnsi="仿宋_GB2312" w:eastAsia="仿宋_GB2312" w:cs="仿宋_GB2312"/>
                <w:sz w:val="24"/>
                <w:szCs w:val="24"/>
              </w:rPr>
              <w:t>合理化建议、人性化服务和</w:t>
            </w:r>
            <w:r>
              <w:rPr>
                <w:rFonts w:hint="eastAsia" w:ascii="仿宋_GB2312" w:hAnsi="仿宋_GB2312" w:eastAsia="仿宋_GB2312" w:cs="仿宋_GB2312"/>
                <w:sz w:val="24"/>
                <w:szCs w:val="24"/>
                <w:lang w:val="en-US" w:eastAsia="zh-CN"/>
              </w:rPr>
              <w:t>其他</w:t>
            </w:r>
            <w:r>
              <w:rPr>
                <w:rFonts w:hint="eastAsia" w:ascii="仿宋_GB2312" w:hAnsi="仿宋_GB2312" w:eastAsia="仿宋_GB2312" w:cs="仿宋_GB2312"/>
                <w:sz w:val="24"/>
                <w:szCs w:val="24"/>
              </w:rPr>
              <w:t>措施等</w:t>
            </w:r>
            <w:r>
              <w:rPr>
                <w:rFonts w:hint="eastAsia" w:ascii="仿宋_GB2312" w:hAnsi="仿宋_GB2312" w:eastAsia="仿宋_GB2312" w:cs="仿宋_GB2312"/>
                <w:color w:val="000000"/>
                <w:sz w:val="24"/>
                <w:szCs w:val="24"/>
              </w:rPr>
              <w:t>。</w:t>
            </w:r>
          </w:p>
          <w:p>
            <w:pPr>
              <w:kinsoku/>
              <w:wordWrap/>
              <w:overflowPunct/>
              <w:topLinePunct w:val="0"/>
              <w:bidi w:val="0"/>
              <w:spacing w:line="312"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(本项分值设置为</w:t>
            </w:r>
            <w:r>
              <w:rPr>
                <w:rFonts w:hint="eastAsia" w:ascii="仿宋_GB2312" w:hAnsi="仿宋_GB2312" w:eastAsia="仿宋_GB2312" w:cs="仿宋_GB2312"/>
                <w:color w:val="000000"/>
                <w:sz w:val="24"/>
                <w:szCs w:val="24"/>
                <w:lang w:val="en-US" w:eastAsia="zh-CN"/>
              </w:rPr>
              <w:t>4,</w:t>
            </w:r>
            <w:r>
              <w:rPr>
                <w:rFonts w:hint="eastAsia" w:ascii="仿宋_GB2312" w:hAnsi="仿宋_GB2312" w:eastAsia="仿宋_GB2312" w:cs="仿宋_GB2312"/>
                <w:color w:val="000000"/>
                <w:sz w:val="24"/>
                <w:szCs w:val="24"/>
              </w:rPr>
              <w:t>3,2,1,0.5,0分)</w:t>
            </w:r>
          </w:p>
        </w:tc>
        <w:tc>
          <w:tcPr>
            <w:tcW w:w="786" w:type="dxa"/>
            <w:vAlign w:val="center"/>
          </w:tcPr>
          <w:p>
            <w:pPr>
              <w:widowControl/>
              <w:kinsoku/>
              <w:wordWrap/>
              <w:overflowPunct/>
              <w:topLinePunct w:val="0"/>
              <w:bidi w:val="0"/>
              <w:snapToGrid w:val="0"/>
              <w:spacing w:line="312"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4</w:t>
            </w:r>
          </w:p>
        </w:tc>
      </w:tr>
    </w:tbl>
    <w:p>
      <w:pPr>
        <w:keepNext w:val="0"/>
        <w:keepLines w:val="0"/>
        <w:pageBreakBefore w:val="0"/>
        <w:kinsoku/>
        <w:wordWrap w:val="0"/>
        <w:overflowPunct/>
        <w:topLinePunct w:val="0"/>
        <w:bidi w:val="0"/>
        <w:adjustRightInd w:val="0"/>
        <w:snapToGrid w:val="0"/>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0"/>
          <w:szCs w:val="20"/>
          <w:highlight w:val="none"/>
          <w:shd w:val="clear" w:color="auto" w:fill="FFFFFF"/>
        </w:rPr>
        <w:t> </w:t>
      </w:r>
      <w:r>
        <w:rPr>
          <w:rFonts w:hint="eastAsia" w:ascii="仿宋_GB2312" w:hAnsi="仿宋_GB2312" w:eastAsia="仿宋_GB2312" w:cs="仿宋_GB2312"/>
          <w:b/>
          <w:color w:val="auto"/>
          <w:sz w:val="24"/>
          <w:highlight w:val="none"/>
        </w:rPr>
        <w:t>备注：</w:t>
      </w:r>
      <w:r>
        <w:rPr>
          <w:rFonts w:hint="eastAsia" w:ascii="仿宋_GB2312" w:hAnsi="仿宋_GB2312" w:eastAsia="仿宋_GB2312" w:cs="仿宋_GB2312"/>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2.2价格分（</w:t>
      </w:r>
      <w:r>
        <w:rPr>
          <w:rFonts w:hint="eastAsia" w:ascii="仿宋_GB2312" w:hAnsi="仿宋_GB2312" w:eastAsia="仿宋_GB2312" w:cs="仿宋_GB2312"/>
          <w:b/>
          <w:bCs/>
          <w:iCs/>
          <w:color w:val="auto"/>
          <w:sz w:val="24"/>
          <w:highlight w:val="none"/>
          <w:u w:val="none"/>
          <w:lang w:val="en-US" w:eastAsia="zh-CN"/>
        </w:rPr>
        <w:t>20</w:t>
      </w:r>
      <w:r>
        <w:rPr>
          <w:rFonts w:hint="eastAsia" w:ascii="仿宋_GB2312" w:hAnsi="仿宋_GB2312" w:eastAsia="仿宋_GB2312" w:cs="仿宋_GB2312"/>
          <w:b/>
          <w:bCs/>
          <w:iCs/>
          <w:color w:val="auto"/>
          <w:sz w:val="24"/>
          <w:highlight w:val="none"/>
        </w:rPr>
        <w:t>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2.2.1评标基准价：即满足招标文件要求且投标价格最低的投标报价为评标基准价，其价格分为满分。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lang w:val="en-US" w:eastAsia="zh-CN"/>
        </w:rPr>
      </w:pPr>
      <w:r>
        <w:rPr>
          <w:rFonts w:hint="eastAsia" w:ascii="仿宋_GB2312" w:hAnsi="仿宋_GB2312" w:eastAsia="仿宋_GB2312" w:cs="仿宋_GB2312"/>
          <w:bCs/>
          <w:iCs/>
          <w:color w:val="auto"/>
          <w:sz w:val="24"/>
          <w:highlight w:val="none"/>
        </w:rPr>
        <w:t>即：投标报价得分=(评标基准价／投标报价)×</w:t>
      </w:r>
      <w:r>
        <w:rPr>
          <w:rFonts w:hint="eastAsia" w:ascii="仿宋_GB2312" w:hAnsi="仿宋_GB2312" w:eastAsia="仿宋_GB2312" w:cs="仿宋_GB2312"/>
          <w:bCs/>
          <w:iCs/>
          <w:color w:val="auto"/>
          <w:sz w:val="24"/>
          <w:highlight w:val="none"/>
          <w:u w:val="none"/>
          <w:lang w:val="en-US" w:eastAsia="zh-CN"/>
        </w:rPr>
        <w:t>20</w:t>
      </w:r>
    </w:p>
    <w:p>
      <w:pPr>
        <w:pStyle w:val="26"/>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pPr>
        <w:widowControl/>
        <w:kinsoku/>
        <w:wordWrap w:val="0"/>
        <w:overflowPunct/>
        <w:topLinePunct w:val="0"/>
        <w:bidi w:val="0"/>
        <w:adjustRightInd/>
        <w:jc w:val="center"/>
        <w:rPr>
          <w:rFonts w:hint="eastAsia" w:ascii="仿宋_GB2312" w:hAnsi="仿宋_GB2312" w:eastAsia="仿宋_GB2312" w:cs="仿宋_GB2312"/>
          <w:b/>
          <w:color w:val="auto"/>
          <w:sz w:val="36"/>
          <w:szCs w:val="20"/>
          <w:highlight w:val="none"/>
        </w:rPr>
      </w:pPr>
    </w:p>
    <w:p>
      <w:pPr>
        <w:pStyle w:val="2"/>
        <w:kinsoku/>
        <w:wordWrap w:val="0"/>
        <w:overflowPunct/>
        <w:topLinePunct w:val="0"/>
        <w:bidi w:val="0"/>
        <w:rPr>
          <w:rFonts w:hint="eastAsia" w:ascii="仿宋_GB2312" w:hAnsi="仿宋_GB2312" w:eastAsia="仿宋_GB2312" w:cs="仿宋_GB2312"/>
          <w:b/>
          <w:color w:val="auto"/>
          <w:sz w:val="36"/>
          <w:szCs w:val="20"/>
          <w:highlight w:val="none"/>
        </w:rPr>
      </w:pPr>
    </w:p>
    <w:p>
      <w:pPr>
        <w:pStyle w:val="3"/>
        <w:kinsoku/>
        <w:wordWrap w:val="0"/>
        <w:overflowPunct/>
        <w:topLinePunct w:val="0"/>
        <w:bidi w:val="0"/>
        <w:rPr>
          <w:rFonts w:hint="eastAsia" w:ascii="仿宋_GB2312" w:hAnsi="仿宋_GB2312" w:eastAsia="仿宋_GB2312" w:cs="仿宋_GB2312"/>
          <w:b/>
          <w:color w:val="auto"/>
          <w:sz w:val="36"/>
          <w:szCs w:val="20"/>
          <w:highlight w:val="none"/>
        </w:rPr>
      </w:pPr>
    </w:p>
    <w:p>
      <w:pPr>
        <w:kinsoku/>
        <w:wordWrap w:val="0"/>
        <w:overflowPunct/>
        <w:topLinePunct w:val="0"/>
        <w:bidi w:val="0"/>
        <w:rPr>
          <w:rFonts w:hint="eastAsia" w:ascii="仿宋_GB2312" w:hAnsi="仿宋_GB2312" w:eastAsia="仿宋_GB2312" w:cs="仿宋_GB2312"/>
          <w:b/>
          <w:color w:val="auto"/>
          <w:sz w:val="36"/>
          <w:szCs w:val="20"/>
          <w:highlight w:val="none"/>
        </w:rPr>
      </w:pPr>
    </w:p>
    <w:p>
      <w:pPr>
        <w:pStyle w:val="2"/>
        <w:kinsoku/>
        <w:wordWrap w:val="0"/>
        <w:overflowPunct/>
        <w:topLinePunct w:val="0"/>
        <w:bidi w:val="0"/>
        <w:rPr>
          <w:rFonts w:hint="eastAsia" w:ascii="仿宋_GB2312" w:hAnsi="仿宋_GB2312" w:eastAsia="仿宋_GB2312" w:cs="仿宋_GB2312"/>
          <w:b/>
          <w:color w:val="auto"/>
          <w:sz w:val="36"/>
          <w:szCs w:val="20"/>
          <w:highlight w:val="none"/>
        </w:rPr>
      </w:pPr>
    </w:p>
    <w:p>
      <w:pPr>
        <w:pStyle w:val="3"/>
        <w:kinsoku/>
        <w:wordWrap w:val="0"/>
        <w:overflowPunct/>
        <w:topLinePunct w:val="0"/>
        <w:bidi w:val="0"/>
        <w:rPr>
          <w:rFonts w:hint="eastAsia" w:ascii="仿宋_GB2312" w:hAnsi="仿宋_GB2312" w:eastAsia="仿宋_GB2312" w:cs="仿宋_GB2312"/>
          <w:b/>
          <w:color w:val="auto"/>
          <w:sz w:val="36"/>
          <w:szCs w:val="20"/>
          <w:highlight w:val="none"/>
        </w:rPr>
      </w:pPr>
    </w:p>
    <w:p>
      <w:pPr>
        <w:kinsoku/>
        <w:wordWrap w:val="0"/>
        <w:overflowPunct/>
        <w:topLinePunct w:val="0"/>
        <w:bidi w:val="0"/>
        <w:rPr>
          <w:rFonts w:hint="eastAsia" w:ascii="仿宋_GB2312" w:hAnsi="仿宋_GB2312" w:eastAsia="仿宋_GB2312" w:cs="仿宋_GB2312"/>
          <w:b/>
          <w:color w:val="auto"/>
          <w:sz w:val="36"/>
          <w:szCs w:val="20"/>
          <w:highlight w:val="none"/>
        </w:rPr>
      </w:pPr>
    </w:p>
    <w:p>
      <w:pPr>
        <w:pStyle w:val="2"/>
        <w:kinsoku/>
        <w:wordWrap w:val="0"/>
        <w:overflowPunct/>
        <w:topLinePunct w:val="0"/>
        <w:bidi w:val="0"/>
        <w:rPr>
          <w:rFonts w:hint="eastAsia" w:ascii="仿宋_GB2312" w:hAnsi="仿宋_GB2312" w:eastAsia="仿宋_GB2312" w:cs="仿宋_GB2312"/>
          <w:b/>
          <w:color w:val="auto"/>
          <w:sz w:val="36"/>
          <w:szCs w:val="20"/>
          <w:highlight w:val="none"/>
        </w:rPr>
      </w:pPr>
    </w:p>
    <w:p>
      <w:pPr>
        <w:pStyle w:val="3"/>
        <w:kinsoku/>
        <w:wordWrap w:val="0"/>
        <w:overflowPunct/>
        <w:topLinePunct w:val="0"/>
        <w:bidi w:val="0"/>
        <w:rPr>
          <w:rFonts w:hint="eastAsia" w:ascii="仿宋_GB2312" w:hAnsi="仿宋_GB2312" w:eastAsia="仿宋_GB2312" w:cs="仿宋_GB2312"/>
          <w:b/>
          <w:color w:val="auto"/>
          <w:sz w:val="36"/>
          <w:szCs w:val="20"/>
          <w:highlight w:val="none"/>
        </w:rPr>
      </w:pPr>
    </w:p>
    <w:p>
      <w:pPr>
        <w:kinsoku/>
        <w:wordWrap w:val="0"/>
        <w:overflowPunct/>
        <w:topLinePunct w:val="0"/>
        <w:bidi w:val="0"/>
        <w:rPr>
          <w:rFonts w:hint="eastAsia" w:ascii="仿宋_GB2312" w:hAnsi="仿宋_GB2312" w:eastAsia="仿宋_GB2312" w:cs="仿宋_GB2312"/>
          <w:b/>
          <w:color w:val="auto"/>
          <w:sz w:val="36"/>
          <w:szCs w:val="20"/>
          <w:highlight w:val="none"/>
        </w:rPr>
      </w:pPr>
    </w:p>
    <w:p>
      <w:pPr>
        <w:pStyle w:val="2"/>
        <w:kinsoku/>
        <w:wordWrap w:val="0"/>
        <w:overflowPunct/>
        <w:topLinePunct w:val="0"/>
        <w:bidi w:val="0"/>
        <w:rPr>
          <w:rFonts w:hint="eastAsia" w:ascii="仿宋_GB2312" w:hAnsi="仿宋_GB2312" w:eastAsia="仿宋_GB2312" w:cs="仿宋_GB2312"/>
          <w:b/>
          <w:color w:val="auto"/>
          <w:sz w:val="36"/>
          <w:szCs w:val="20"/>
          <w:highlight w:val="none"/>
        </w:rPr>
      </w:pPr>
    </w:p>
    <w:p>
      <w:pPr>
        <w:pStyle w:val="3"/>
        <w:kinsoku/>
        <w:wordWrap w:val="0"/>
        <w:overflowPunct/>
        <w:topLinePunct w:val="0"/>
        <w:bidi w:val="0"/>
        <w:rPr>
          <w:rFonts w:hint="eastAsia" w:ascii="仿宋_GB2312" w:hAnsi="仿宋_GB2312" w:eastAsia="仿宋_GB2312" w:cs="仿宋_GB2312"/>
          <w:b/>
          <w:color w:val="auto"/>
          <w:sz w:val="36"/>
          <w:szCs w:val="20"/>
          <w:highlight w:val="none"/>
        </w:rPr>
      </w:pPr>
    </w:p>
    <w:p>
      <w:pPr>
        <w:pStyle w:val="2"/>
        <w:kinsoku/>
        <w:wordWrap w:val="0"/>
        <w:overflowPunct/>
        <w:topLinePunct w:val="0"/>
        <w:bidi w:val="0"/>
        <w:rPr>
          <w:rFonts w:hint="eastAsia" w:ascii="仿宋_GB2312" w:hAnsi="仿宋_GB2312" w:eastAsia="仿宋_GB2312" w:cs="仿宋_GB2312"/>
          <w:b/>
          <w:color w:val="auto"/>
          <w:sz w:val="36"/>
          <w:szCs w:val="20"/>
          <w:highlight w:val="none"/>
        </w:rPr>
      </w:pPr>
    </w:p>
    <w:p>
      <w:pPr>
        <w:pStyle w:val="3"/>
        <w:kinsoku/>
        <w:wordWrap w:val="0"/>
        <w:overflowPunct/>
        <w:topLinePunct w:val="0"/>
        <w:bidi w:val="0"/>
        <w:rPr>
          <w:rFonts w:hint="eastAsia" w:ascii="仿宋_GB2312" w:hAnsi="仿宋_GB2312" w:eastAsia="仿宋_GB2312" w:cs="仿宋_GB2312"/>
          <w:b/>
          <w:color w:val="auto"/>
          <w:sz w:val="36"/>
          <w:szCs w:val="20"/>
          <w:highlight w:val="none"/>
        </w:rPr>
      </w:pPr>
    </w:p>
    <w:p>
      <w:pPr>
        <w:kinsoku/>
        <w:wordWrap w:val="0"/>
        <w:overflowPunct/>
        <w:topLinePunct w:val="0"/>
        <w:bidi w:val="0"/>
        <w:rPr>
          <w:rFonts w:hint="eastAsia" w:ascii="仿宋_GB2312" w:hAnsi="仿宋_GB2312" w:eastAsia="仿宋_GB2312" w:cs="仿宋_GB2312"/>
          <w:color w:val="auto"/>
          <w:highlight w:val="none"/>
        </w:rPr>
      </w:pPr>
    </w:p>
    <w:p>
      <w:pPr>
        <w:keepNext w:val="0"/>
        <w:keepLines w:val="0"/>
        <w:pageBreakBefore/>
        <w:widowControl/>
        <w:kinsoku/>
        <w:wordWrap w:val="0"/>
        <w:overflowPunct/>
        <w:topLinePunct w:val="0"/>
        <w:autoSpaceDE/>
        <w:autoSpaceDN/>
        <w:bidi w:val="0"/>
        <w:adjustRightInd/>
        <w:snapToGrid/>
        <w:jc w:val="center"/>
        <w:textAlignment w:val="auto"/>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w:t>
      </w:r>
      <w:bookmarkEnd w:id="36"/>
      <w:r>
        <w:rPr>
          <w:rFonts w:hint="eastAsia" w:ascii="仿宋_GB2312" w:hAnsi="仿宋_GB2312" w:eastAsia="仿宋_GB2312" w:cs="仿宋_GB2312"/>
          <w:b/>
          <w:color w:val="auto"/>
          <w:sz w:val="36"/>
          <w:szCs w:val="20"/>
          <w:highlight w:val="none"/>
        </w:rPr>
        <w:t xml:space="preserve"> </w:t>
      </w:r>
      <w:bookmarkEnd w:id="37"/>
      <w:r>
        <w:rPr>
          <w:rFonts w:hint="eastAsia" w:ascii="仿宋_GB2312" w:hAnsi="仿宋_GB2312" w:eastAsia="仿宋_GB2312" w:cs="仿宋_GB2312"/>
          <w:b/>
          <w:color w:val="auto"/>
          <w:sz w:val="36"/>
          <w:szCs w:val="20"/>
          <w:highlight w:val="none"/>
        </w:rPr>
        <w:t>投标文件及其附件格式</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资格文件部分</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（1）符合参加政府采购活动应当具备的一般条件的承诺函……………（页码）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szCs w:val="20"/>
          <w:highlight w:val="none"/>
        </w:rPr>
        <w:t>（2）联合协议</w:t>
      </w:r>
      <w:r>
        <w:rPr>
          <w:rFonts w:hint="eastAsia" w:ascii="仿宋_GB2312" w:hAnsi="仿宋_GB2312" w:eastAsia="仿宋_GB2312" w:cs="仿宋_GB2312"/>
          <w:color w:val="auto"/>
          <w:sz w:val="24"/>
          <w:highlight w:val="none"/>
        </w:rPr>
        <w:t>………………………………………………………………（页码）</w:t>
      </w:r>
    </w:p>
    <w:p>
      <w:pPr>
        <w:pStyle w:val="2"/>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rPr>
        <w:t>（3）</w:t>
      </w:r>
      <w:r>
        <w:rPr>
          <w:rFonts w:hint="eastAsia" w:ascii="仿宋_GB2312" w:hAnsi="仿宋_GB2312" w:eastAsia="仿宋_GB2312" w:cs="仿宋_GB2312"/>
          <w:color w:val="auto"/>
          <w:sz w:val="24"/>
          <w:highlight w:val="none"/>
          <w:lang w:eastAsia="zh-CN"/>
        </w:rPr>
        <w:t>分包协议</w:t>
      </w:r>
      <w:r>
        <w:rPr>
          <w:rFonts w:hint="eastAsia" w:ascii="仿宋_GB2312" w:hAnsi="仿宋_GB2312" w:eastAsia="仿宋_GB2312" w:cs="仿宋_GB2312"/>
          <w:color w:val="auto"/>
          <w:sz w:val="24"/>
          <w:highlight w:val="none"/>
        </w:rPr>
        <w:t>………………………………………………………………（页码）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）落实政府采购政策需满足的资格要求………………………………（页码）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）本项目的特定资格要求………………………………………………（页码）</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kern w:val="0"/>
          <w:sz w:val="24"/>
          <w:highlight w:val="none"/>
        </w:rPr>
        <w:br w:type="page"/>
      </w:r>
      <w:r>
        <w:rPr>
          <w:rFonts w:hint="eastAsia" w:ascii="仿宋_GB2312" w:hAnsi="仿宋_GB2312" w:eastAsia="仿宋_GB2312" w:cs="仿宋_GB2312"/>
          <w:b/>
          <w:color w:val="auto"/>
          <w:kern w:val="0"/>
          <w:sz w:val="32"/>
          <w:szCs w:val="32"/>
          <w:highlight w:val="none"/>
        </w:rPr>
        <w:t xml:space="preserve">  一、 符合参加政府采购活动应当具备的一般条件的承诺函</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绍兴市第一中学</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sz w:val="24"/>
          <w:highlight w:val="none"/>
        </w:rPr>
        <w:t>：</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我方参与</w:t>
      </w:r>
      <w:r>
        <w:rPr>
          <w:rFonts w:hint="eastAsia" w:ascii="仿宋_GB2312" w:hAnsi="仿宋_GB2312" w:eastAsia="仿宋_GB2312" w:cs="仿宋_GB2312"/>
          <w:color w:val="auto"/>
          <w:sz w:val="24"/>
          <w:highlight w:val="none"/>
          <w:lang w:eastAsia="zh-CN"/>
        </w:rPr>
        <w:t>绍兴市第一中学2025年保洁、保安、绿化养护（租摆）与运行维护采购项目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2025-01-0002</w:t>
      </w:r>
      <w:r>
        <w:rPr>
          <w:rFonts w:hint="eastAsia" w:ascii="仿宋_GB2312" w:hAnsi="仿宋_GB2312" w:eastAsia="仿宋_GB2312" w:cs="仿宋_GB2312"/>
          <w:color w:val="auto"/>
          <w:sz w:val="24"/>
          <w:highlight w:val="none"/>
        </w:rPr>
        <w:t>】政府采购活动，郑重承诺：</w:t>
      </w:r>
    </w:p>
    <w:p>
      <w:pPr>
        <w:kinsoku/>
        <w:wordWrap w:val="0"/>
        <w:overflowPunct/>
        <w:topLinePunct w:val="0"/>
        <w:bidi w:val="0"/>
        <w:snapToGrid w:val="0"/>
        <w:spacing w:line="360" w:lineRule="auto"/>
        <w:ind w:firstLine="360" w:firstLineChars="1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（一）具备《中华人民共和国政府采购法》第二十二条第一款规定的条件：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2、具有良好的商业信誉和健全的财务会计制度； </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3、具有履行合同所必需的设备和专业技术能力；</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4、有依法缴纳税收和社会保障资金的良好记录；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5、参加政府采购活动前三年内，在经营活动中没有重大违法记录；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6、具有法律、行政法规规定的其他条件。</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（二）未被信用中国（www.creditchina.gov.cn)、中国政府采购网（www.ccgp.gov.cn）列入失信被执行人、重大税收违法案件当事人名单、政府采购严重违法失信行为记录名单。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（三）不存在以下情况：</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1、单位负责人为同一人或者存在直接控股、管理关系的不同供应商参加同一合同项下的政府采购活动的；</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2、为采购项目提供整体设计、规范编制或者项目管理、监理、检测等服务后再参加该采购项目的其他采购活动的。</w:t>
      </w:r>
    </w:p>
    <w:p>
      <w:pPr>
        <w:kinsoku/>
        <w:wordWrap w:val="0"/>
        <w:overflowPunct/>
        <w:topLinePunct w:val="0"/>
        <w:bidi w:val="0"/>
        <w:snapToGrid w:val="0"/>
        <w:spacing w:line="360" w:lineRule="auto"/>
        <w:ind w:firstLine="5520" w:firstLineChars="23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widowControl/>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pPr>
        <w:widowControl/>
        <w:kinsoku/>
        <w:wordWrap w:val="0"/>
        <w:overflowPunct/>
        <w:topLinePunct w:val="0"/>
        <w:bidi w:val="0"/>
        <w:spacing w:line="360" w:lineRule="auto"/>
        <w:ind w:firstLine="643" w:firstLineChars="20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二、联合协议（如有）</w:t>
      </w:r>
    </w:p>
    <w:p>
      <w:pPr>
        <w:widowControl/>
        <w:kinsoku/>
        <w:wordWrap w:val="0"/>
        <w:overflowPunct/>
        <w:topLinePunct w:val="0"/>
        <w:bidi w:val="0"/>
        <w:spacing w:line="360"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[以联合体形式投标的，提供联合协议（附件5）；本项目不接受联合体投标或者投标人不以联合体形式投标的，则不需要提供）]</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三、分包意向协议（如有）</w:t>
      </w:r>
    </w:p>
    <w:p>
      <w:pPr>
        <w:widowControl/>
        <w:kinsoku/>
        <w:wordWrap w:val="0"/>
        <w:overflowPunct/>
        <w:topLinePunct w:val="0"/>
        <w:bidi w:val="0"/>
        <w:spacing w:line="360" w:lineRule="auto"/>
        <w:ind w:firstLine="361" w:firstLineChars="1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[中标后以分包方式履行合同的，提供分包意向协议(附件6)；采购人不同意分包或者投标人中标后不以分包方式履行合同的，则不需要提供。]</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四</w:t>
      </w:r>
      <w:r>
        <w:rPr>
          <w:rFonts w:hint="eastAsia" w:ascii="仿宋_GB2312" w:hAnsi="仿宋_GB2312" w:eastAsia="仿宋_GB2312" w:cs="仿宋_GB2312"/>
          <w:b/>
          <w:color w:val="auto"/>
          <w:kern w:val="0"/>
          <w:sz w:val="32"/>
          <w:szCs w:val="32"/>
          <w:highlight w:val="none"/>
        </w:rPr>
        <w:t>、落实政府采购政策需满足的资格要求</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（根据招标公告落实政府采购政策需满足的资格要求选择提供相应的材料；未要求的，无需提供）</w:t>
      </w:r>
    </w:p>
    <w:p>
      <w:pPr>
        <w:kinsoku/>
        <w:wordWrap w:val="0"/>
        <w:overflowPunct/>
        <w:topLinePunct w:val="0"/>
        <w:bidi w:val="0"/>
        <w:snapToGrid w:val="0"/>
        <w:spacing w:before="50" w:after="50"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A</w:t>
      </w:r>
      <w:r>
        <w:rPr>
          <w:rFonts w:hint="eastAsia" w:ascii="仿宋_GB2312" w:hAnsi="仿宋_GB2312" w:eastAsia="仿宋_GB2312" w:cs="仿宋_GB2312"/>
          <w:color w:val="auto"/>
          <w:sz w:val="24"/>
          <w:highlight w:val="none"/>
        </w:rPr>
        <w:t xml:space="preserve">.专门面向中小企业，服务全部由符合政策要求的中小企业（或小微企业）承接的，提供相应的中小企业声明函（附件7）。 </w:t>
      </w:r>
    </w:p>
    <w:p>
      <w:pPr>
        <w:widowControl/>
        <w:kinsoku/>
        <w:wordWrap w:val="0"/>
        <w:overflowPunct/>
        <w:topLinePunct w:val="0"/>
        <w:bidi w:val="0"/>
        <w:spacing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B.</w:t>
      </w:r>
      <w:r>
        <w:rPr>
          <w:rFonts w:hint="eastAsia" w:ascii="仿宋_GB2312" w:hAnsi="仿宋_GB2312" w:eastAsia="仿宋_GB2312" w:cs="仿宋_GB2312"/>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视同符合了资格条件，无需再与其他中小企业组成联合体参加政府采购活动，无需提供联合协议。</w:t>
      </w:r>
      <w:r>
        <w:rPr>
          <w:rFonts w:hint="eastAsia" w:ascii="仿宋_GB2312" w:hAnsi="仿宋_GB2312" w:eastAsia="仿宋_GB2312" w:cs="仿宋_GB2312"/>
          <w:b/>
          <w:color w:val="auto"/>
          <w:sz w:val="24"/>
          <w:highlight w:val="none"/>
        </w:rPr>
        <w:t xml:space="preserve"> </w:t>
      </w:r>
    </w:p>
    <w:p>
      <w:pPr>
        <w:kinsoku/>
        <w:wordWrap w:val="0"/>
        <w:overflowPunct/>
        <w:topLinePunct w:val="0"/>
        <w:bidi w:val="0"/>
        <w:spacing w:line="360" w:lineRule="auto"/>
        <w:ind w:firstLine="482"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C、</w:t>
      </w:r>
      <w:r>
        <w:rPr>
          <w:rFonts w:hint="eastAsia" w:ascii="仿宋_GB2312" w:hAnsi="仿宋_GB2312" w:eastAsia="仿宋_GB2312" w:cs="仿宋_GB2312"/>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视同符合了资格条件，无需再向中小企业分包，无需提供分包意向协议。</w:t>
      </w:r>
    </w:p>
    <w:p>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p>
    <w:p>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五</w:t>
      </w:r>
      <w:r>
        <w:rPr>
          <w:rFonts w:hint="eastAsia" w:ascii="仿宋_GB2312" w:hAnsi="仿宋_GB2312" w:eastAsia="仿宋_GB2312" w:cs="仿宋_GB2312"/>
          <w:b/>
          <w:color w:val="auto"/>
          <w:kern w:val="0"/>
          <w:sz w:val="32"/>
          <w:szCs w:val="32"/>
          <w:highlight w:val="none"/>
        </w:rPr>
        <w:t>、本项目的特定资格要求</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（根据招标公告本项目的特定资格要求提供相应的材料；未要求的，无需提供）</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24"/>
          <w:highlight w:val="none"/>
        </w:rPr>
      </w:pPr>
    </w:p>
    <w:p>
      <w:pPr>
        <w:keepNext w:val="0"/>
        <w:keepLines w:val="0"/>
        <w:pageBreakBefore/>
        <w:widowControl w:val="0"/>
        <w:kinsoku/>
        <w:wordWrap w:val="0"/>
        <w:overflowPunct/>
        <w:topLinePunct w:val="0"/>
        <w:autoSpaceDE/>
        <w:autoSpaceDN/>
        <w:bidi w:val="0"/>
        <w:adjustRightInd w:val="0"/>
        <w:snapToGrid/>
        <w:spacing w:line="336" w:lineRule="auto"/>
        <w:jc w:val="center"/>
        <w:textAlignment w:val="auto"/>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商务技术文件部分</w:t>
      </w:r>
    </w:p>
    <w:p>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4"/>
          <w:highlight w:val="none"/>
        </w:rPr>
      </w:pPr>
    </w:p>
    <w:p>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目录</w:t>
      </w:r>
    </w:p>
    <w:p>
      <w:pPr>
        <w:pStyle w:val="904"/>
        <w:numPr>
          <w:ilvl w:val="0"/>
          <w:numId w:val="3"/>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投标函</w:t>
      </w:r>
      <w:r>
        <w:rPr>
          <w:rFonts w:hint="eastAsia" w:ascii="仿宋_GB2312" w:hAnsi="仿宋_GB2312" w:eastAsia="仿宋_GB2312" w:cs="仿宋_GB2312"/>
          <w:color w:val="auto"/>
          <w:highlight w:val="none"/>
        </w:rPr>
        <w:t>…………………………………………………………………………（页码）</w:t>
      </w:r>
    </w:p>
    <w:p>
      <w:pPr>
        <w:pStyle w:val="904"/>
        <w:numPr>
          <w:ilvl w:val="0"/>
          <w:numId w:val="3"/>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rPr>
        <w:t>法定代表人授权委托书</w:t>
      </w:r>
      <w:r>
        <w:rPr>
          <w:rFonts w:hint="eastAsia" w:ascii="仿宋_GB2312" w:hAnsi="仿宋_GB2312" w:eastAsia="仿宋_GB2312" w:cs="仿宋_GB2312"/>
          <w:color w:val="auto"/>
          <w:highlight w:val="none"/>
        </w:rPr>
        <w:t xml:space="preserve"> …………………………………………………… （页码）</w:t>
      </w:r>
    </w:p>
    <w:p>
      <w:pPr>
        <w:pStyle w:val="904"/>
        <w:numPr>
          <w:ilvl w:val="0"/>
          <w:numId w:val="3"/>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法定代表人及其授权代表身份证复印件……………………………………（页码）</w:t>
      </w:r>
    </w:p>
    <w:p>
      <w:pPr>
        <w:pStyle w:val="904"/>
        <w:numPr>
          <w:ilvl w:val="0"/>
          <w:numId w:val="3"/>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lang w:val="en-US" w:eastAsia="zh-CN"/>
        </w:rPr>
        <w:t>授权代表社保证明</w:t>
      </w:r>
      <w:r>
        <w:rPr>
          <w:rFonts w:hint="eastAsia" w:ascii="仿宋_GB2312" w:hAnsi="仿宋_GB2312" w:eastAsia="仿宋_GB2312" w:cs="仿宋_GB2312"/>
          <w:color w:val="auto"/>
          <w:highlight w:val="none"/>
        </w:rPr>
        <w:t>……………………………………………………………（页码）</w:t>
      </w:r>
    </w:p>
    <w:p>
      <w:pPr>
        <w:pStyle w:val="904"/>
        <w:numPr>
          <w:ilvl w:val="0"/>
          <w:numId w:val="3"/>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法定代表人身份证明书………………………………………………………（页码）</w:t>
      </w:r>
    </w:p>
    <w:p>
      <w:pPr>
        <w:pStyle w:val="904"/>
        <w:numPr>
          <w:ilvl w:val="0"/>
          <w:numId w:val="3"/>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商务技术</w:t>
      </w:r>
      <w:r>
        <w:rPr>
          <w:rFonts w:hint="eastAsia" w:ascii="仿宋_GB2312" w:hAnsi="仿宋_GB2312" w:eastAsia="仿宋_GB2312" w:cs="仿宋_GB2312"/>
          <w:color w:val="auto"/>
          <w:highlight w:val="none"/>
          <w:lang w:eastAsia="zh-CN"/>
        </w:rPr>
        <w:t>偏离表</w:t>
      </w:r>
      <w:r>
        <w:rPr>
          <w:rFonts w:hint="eastAsia" w:ascii="仿宋_GB2312" w:hAnsi="仿宋_GB2312" w:eastAsia="仿宋_GB2312" w:cs="仿宋_GB2312"/>
          <w:color w:val="auto"/>
          <w:highlight w:val="none"/>
        </w:rPr>
        <w:t>………………………………………………………………（页码）</w:t>
      </w:r>
    </w:p>
    <w:p>
      <w:pPr>
        <w:pStyle w:val="904"/>
        <w:numPr>
          <w:ilvl w:val="0"/>
          <w:numId w:val="3"/>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政府采购供应商廉洁自律承诺书</w:t>
      </w:r>
      <w:r>
        <w:rPr>
          <w:rFonts w:hint="eastAsia" w:ascii="仿宋_GB2312" w:hAnsi="仿宋_GB2312" w:eastAsia="仿宋_GB2312" w:cs="仿宋_GB2312"/>
          <w:color w:val="auto"/>
          <w:highlight w:val="none"/>
        </w:rPr>
        <w:t>……………………………………………（页码）</w:t>
      </w:r>
    </w:p>
    <w:p>
      <w:pPr>
        <w:kinsoku/>
        <w:wordWrap w:val="0"/>
        <w:overflowPunct/>
        <w:topLinePunct w:val="0"/>
        <w:bidi w:val="0"/>
        <w:adjustRightInd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_GB2312" w:hAnsi="仿宋_GB2312" w:eastAsia="仿宋_GB2312" w:cs="仿宋_GB2312"/>
          <w:color w:val="auto"/>
          <w:sz w:val="24"/>
          <w:highlight w:val="none"/>
        </w:rPr>
        <w:t>（页码）</w:t>
      </w:r>
    </w:p>
    <w:p>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12）</w:t>
      </w:r>
      <w:r>
        <w:rPr>
          <w:rFonts w:hint="eastAsia" w:ascii="仿宋_GB2312" w:hAnsi="仿宋_GB2312" w:eastAsia="仿宋_GB2312" w:cs="仿宋_GB2312"/>
          <w:color w:val="auto"/>
          <w:sz w:val="24"/>
          <w:highlight w:val="none"/>
        </w:rPr>
        <w:t>供应商售后服务证明材料……………………………………………………（页码）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368" w:rightChars="-175"/>
        <w:jc w:val="both"/>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both"/>
        <w:rPr>
          <w:rFonts w:hint="eastAsia" w:ascii="仿宋_GB2312" w:hAnsi="仿宋_GB2312" w:eastAsia="仿宋_GB2312" w:cs="仿宋_GB2312"/>
          <w:b/>
          <w:color w:val="auto"/>
          <w:kern w:val="0"/>
          <w:sz w:val="32"/>
          <w:szCs w:val="32"/>
          <w:highlight w:val="none"/>
          <w:lang w:val="zh-CN"/>
        </w:rPr>
      </w:pPr>
    </w:p>
    <w:p>
      <w:pPr>
        <w:widowControl/>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pPr>
        <w:kinsoku/>
        <w:wordWrap w:val="0"/>
        <w:overflowPunct/>
        <w:topLinePunct w:val="0"/>
        <w:bidi w:val="0"/>
        <w:snapToGrid w:val="0"/>
        <w:spacing w:line="360"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kern w:val="0"/>
          <w:sz w:val="32"/>
          <w:szCs w:val="32"/>
          <w:highlight w:val="none"/>
        </w:rPr>
        <w:t>一、投标</w:t>
      </w:r>
      <w:r>
        <w:rPr>
          <w:rFonts w:hint="eastAsia" w:ascii="仿宋_GB2312" w:hAnsi="仿宋_GB2312" w:eastAsia="仿宋_GB2312" w:cs="仿宋_GB2312"/>
          <w:b/>
          <w:color w:val="auto"/>
          <w:sz w:val="32"/>
          <w:szCs w:val="32"/>
          <w:highlight w:val="none"/>
        </w:rPr>
        <w:t>函</w:t>
      </w:r>
    </w:p>
    <w:p>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szCs w:val="24"/>
          <w:u w:val="single"/>
          <w:lang w:eastAsia="zh-CN"/>
        </w:rPr>
        <w:t>绍兴市第一中学</w:t>
      </w:r>
      <w:r>
        <w:rPr>
          <w:rFonts w:hint="eastAsia" w:ascii="仿宋_GB2312" w:hAnsi="仿宋_GB2312" w:eastAsia="仿宋_GB2312" w:cs="仿宋_GB2312"/>
          <w:szCs w:val="24"/>
          <w:u w:val="single"/>
        </w:rPr>
        <w:t>、绍兴市公共资源交易中心</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根据贵方招标文件（</w:t>
      </w:r>
      <w:r>
        <w:rPr>
          <w:rFonts w:hint="eastAsia" w:ascii="仿宋_GB2312" w:hAnsi="仿宋_GB2312" w:eastAsia="仿宋_GB2312" w:cs="仿宋_GB2312"/>
          <w:b/>
          <w:color w:val="auto"/>
          <w:sz w:val="24"/>
          <w:szCs w:val="24"/>
          <w:highlight w:val="none"/>
          <w:u w:val="single"/>
        </w:rPr>
        <w:t>填写招标编号：</w:t>
      </w:r>
      <w:r>
        <w:rPr>
          <w:rFonts w:hint="eastAsia" w:ascii="仿宋_GB2312" w:hAnsi="仿宋_GB2312" w:eastAsia="仿宋_GB2312" w:cs="仿宋_GB2312"/>
          <w:color w:val="auto"/>
          <w:sz w:val="24"/>
          <w:szCs w:val="24"/>
          <w:highlight w:val="none"/>
        </w:rPr>
        <w:t>）的要求，正式授权</w:t>
      </w:r>
      <w:r>
        <w:rPr>
          <w:rFonts w:hint="eastAsia" w:ascii="仿宋_GB2312" w:hAnsi="仿宋_GB2312" w:eastAsia="仿宋_GB2312" w:cs="仿宋_GB2312"/>
          <w:b/>
          <w:color w:val="auto"/>
          <w:sz w:val="24"/>
          <w:szCs w:val="24"/>
          <w:highlight w:val="none"/>
          <w:u w:val="single"/>
        </w:rPr>
        <w:t>（全权代表姓名    、单位    、职务   ）</w:t>
      </w:r>
      <w:r>
        <w:rPr>
          <w:rFonts w:hint="eastAsia" w:ascii="仿宋_GB2312" w:hAnsi="仿宋_GB2312" w:eastAsia="仿宋_GB2312" w:cs="仿宋_GB2312"/>
          <w:color w:val="auto"/>
          <w:sz w:val="24"/>
          <w:szCs w:val="24"/>
          <w:highlight w:val="none"/>
        </w:rPr>
        <w:t>代表投标人</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b/>
          <w:color w:val="auto"/>
          <w:sz w:val="24"/>
          <w:szCs w:val="24"/>
          <w:highlight w:val="none"/>
          <w:u w:val="single"/>
        </w:rPr>
        <w:t xml:space="preserve">填写单位    、地址   </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color w:val="auto"/>
          <w:sz w:val="24"/>
          <w:szCs w:val="24"/>
          <w:highlight w:val="none"/>
        </w:rPr>
        <w:t>提交投标文件。</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我方已完全明白招标文件的所有条款要求，兹声明同意如下：</w:t>
      </w:r>
    </w:p>
    <w:p>
      <w:pPr>
        <w:pStyle w:val="16"/>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1.我方同意在投标人</w:t>
      </w:r>
      <w:r>
        <w:rPr>
          <w:rFonts w:hint="eastAsia" w:ascii="仿宋_GB2312" w:hAnsi="仿宋_GB2312" w:eastAsia="仿宋_GB2312" w:cs="仿宋_GB2312"/>
          <w:color w:val="auto"/>
          <w:kern w:val="44"/>
          <w:sz w:val="24"/>
          <w:szCs w:val="24"/>
          <w:highlight w:val="none"/>
        </w:rPr>
        <w:t>须知</w:t>
      </w:r>
      <w:r>
        <w:rPr>
          <w:rFonts w:hint="eastAsia" w:ascii="仿宋_GB2312" w:hAnsi="仿宋_GB2312" w:eastAsia="仿宋_GB2312" w:cs="仿宋_GB2312"/>
          <w:color w:val="auto"/>
          <w:sz w:val="24"/>
          <w:szCs w:val="24"/>
          <w:highlight w:val="none"/>
        </w:rPr>
        <w:t>规定的开标日期起遵守本投标文件中的承诺且在投标有效期满之前均具有约束力。</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2.我方承诺已经具备《中华人民共和国政府采购法》中规定的参加政府采购活动的供应商应当具备的条件。</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_GB2312" w:hAnsi="仿宋_GB2312" w:eastAsia="仿宋_GB2312" w:cs="仿宋_GB2312"/>
          <w:color w:val="auto"/>
          <w:sz w:val="24"/>
          <w:szCs w:val="24"/>
          <w:highlight w:val="none"/>
          <w:lang w:eastAsia="zh-CN"/>
        </w:rPr>
        <w:t>采购代理机构</w:t>
      </w:r>
      <w:r>
        <w:rPr>
          <w:rFonts w:hint="eastAsia" w:ascii="仿宋_GB2312" w:hAnsi="仿宋_GB2312" w:eastAsia="仿宋_GB2312" w:cs="仿宋_GB2312"/>
          <w:color w:val="auto"/>
          <w:sz w:val="24"/>
          <w:szCs w:val="24"/>
          <w:highlight w:val="none"/>
        </w:rPr>
        <w:t>提供可能另外要求的与投标有关的任何数据或资料。</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4.我方理解贵方将不受你们所收到的最低报价的约束。</w:t>
      </w:r>
    </w:p>
    <w:p>
      <w:pPr>
        <w:pStyle w:val="16"/>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5.本投标自开标之日（投标截止之日）起90天内有效。</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a)提供虚假材料谋取中标、成交的；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b)采取不正当手段诋毁、排挤其他供应商的；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c)与采购人、其它供应商或者采购代理机构恶意串通的；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d)向采购人、采购代理机构行贿或者提供其他不正当利益的；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e)在招标采购过程中与采购人进行协商谈判的；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f)拒绝有关部门监督检查或提供虚假情况的。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供应商有前款第a)至e)项情形之一的，中标、成交无效。</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地址：　　　　　　　　　　　　　　　邮政编码：</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电话：                              传真：</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开户银行：                          帐号：</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法定代表人或其授权代表(签字或盖章)：</w:t>
      </w: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color w:val="auto"/>
          <w:sz w:val="24"/>
          <w:szCs w:val="24"/>
          <w:highlight w:val="none"/>
        </w:rPr>
      </w:pP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sz w:val="24"/>
          <w:szCs w:val="24"/>
          <w:highlight w:val="none"/>
        </w:rPr>
        <w:t xml:space="preserve">投标人(电子签章)：　　　　　　　　　日期：  </w:t>
      </w:r>
    </w:p>
    <w:p>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二</w:t>
      </w: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（适用于非联合体投标）</w:t>
      </w:r>
    </w:p>
    <w:p>
      <w:pPr>
        <w:kinsoku/>
        <w:wordWrap w:val="0"/>
        <w:overflowPunct/>
        <w:topLinePunct w:val="0"/>
        <w:bidi w:val="0"/>
        <w:jc w:val="center"/>
        <w:rPr>
          <w:rFonts w:hint="eastAsia" w:ascii="仿宋_GB2312" w:hAnsi="仿宋_GB2312" w:eastAsia="仿宋_GB2312" w:cs="仿宋_GB2312"/>
          <w:b/>
          <w:color w:val="auto"/>
          <w:sz w:val="24"/>
          <w:highlight w:val="none"/>
        </w:rPr>
      </w:pPr>
    </w:p>
    <w:p>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本授权委托书声明：我</w:t>
      </w:r>
      <w:r>
        <w:rPr>
          <w:rFonts w:hint="eastAsia" w:ascii="仿宋_GB2312" w:hAnsi="仿宋_GB2312" w:eastAsia="仿宋_GB2312" w:cs="仿宋_GB2312"/>
          <w:color w:val="auto"/>
          <w:sz w:val="24"/>
          <w:highlight w:val="none"/>
          <w:u w:val="single"/>
        </w:rPr>
        <w:t xml:space="preserve">         (填写姓名)</w:t>
      </w: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（填写投标人单位全称）</w:t>
      </w:r>
      <w:r>
        <w:rPr>
          <w:rFonts w:hint="eastAsia" w:ascii="仿宋_GB2312" w:hAnsi="仿宋_GB2312" w:eastAsia="仿宋_GB2312" w:cs="仿宋_GB2312"/>
          <w:color w:val="auto"/>
          <w:sz w:val="24"/>
          <w:highlight w:val="none"/>
        </w:rPr>
        <w:t>的法定代表人，现授权委托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的（填写姓名）为我公司授权代表，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。以本公司的名义参加</w:t>
      </w:r>
      <w:r>
        <w:rPr>
          <w:rFonts w:hint="eastAsia" w:ascii="仿宋_GB2312" w:hAnsi="仿宋_GB2312" w:eastAsia="仿宋_GB2312" w:cs="仿宋_GB2312"/>
          <w:color w:val="auto"/>
          <w:sz w:val="24"/>
          <w:highlight w:val="none"/>
          <w:u w:val="single"/>
          <w:lang w:val="en-US" w:eastAsia="zh-CN"/>
        </w:rPr>
        <w:t xml:space="preserve"> 绍兴市第一中学、绍兴市公共资源交易中心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绍兴市第一中学2025年保洁、保安、绿化养护（租摆）与运行维护采购项目（招标编号:2025-01-0002）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投标人（电子签章）：</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法定代表人（签字或盖章）：</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ind w:firstLine="5280" w:firstLineChars="2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日期：    年   月   日</w:t>
      </w:r>
    </w:p>
    <w:p>
      <w:pPr>
        <w:kinsoku/>
        <w:wordWrap w:val="0"/>
        <w:overflowPunct/>
        <w:topLinePunct w:val="0"/>
        <w:bidi w:val="0"/>
        <w:ind w:firstLine="4920" w:firstLineChars="2050"/>
        <w:jc w:val="left"/>
        <w:rPr>
          <w:rFonts w:hint="eastAsia" w:ascii="仿宋_GB2312" w:hAnsi="仿宋_GB2312" w:eastAsia="仿宋_GB2312" w:cs="仿宋_GB2312"/>
          <w:color w:val="auto"/>
          <w:sz w:val="24"/>
          <w:highlight w:val="none"/>
        </w:rPr>
      </w:pP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（适用于联合体投标）</w:t>
      </w:r>
    </w:p>
    <w:p>
      <w:pPr>
        <w:kinsoku/>
        <w:wordWrap w:val="0"/>
        <w:overflowPunct/>
        <w:topLinePunct w:val="0"/>
        <w:bidi w:val="0"/>
        <w:jc w:val="center"/>
        <w:rPr>
          <w:rFonts w:hint="eastAsia" w:ascii="仿宋_GB2312" w:hAnsi="仿宋_GB2312" w:eastAsia="仿宋_GB2312" w:cs="仿宋_GB2312"/>
          <w:b/>
          <w:color w:val="auto"/>
          <w:sz w:val="24"/>
          <w:highlight w:val="none"/>
        </w:rPr>
      </w:pPr>
    </w:p>
    <w:p>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w:t>
      </w:r>
    </w:p>
    <w:p>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的（填写姓名）为我方授权代表，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。以我方的名义参加</w:t>
      </w:r>
      <w:r>
        <w:rPr>
          <w:rFonts w:hint="eastAsia" w:ascii="仿宋_GB2312" w:hAnsi="仿宋_GB2312" w:eastAsia="仿宋_GB2312" w:cs="仿宋_GB2312"/>
          <w:color w:val="auto"/>
          <w:sz w:val="24"/>
          <w:highlight w:val="none"/>
          <w:u w:val="single"/>
          <w:lang w:val="en-US" w:eastAsia="zh-CN"/>
        </w:rPr>
        <w:t xml:space="preserve"> 绍兴市第一中学、绍兴市公共资源交易中心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绍兴市第一中学2025年保洁、保安、绿化养护（租摆）与运行维护采购项目（招标编号:2025-01-0002）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insoku/>
        <w:wordWrap w:val="0"/>
        <w:overflowPunct/>
        <w:topLinePunct w:val="0"/>
        <w:bidi w:val="0"/>
        <w:snapToGrid w:val="0"/>
        <w:spacing w:line="360" w:lineRule="auto"/>
        <w:ind w:firstLine="5760" w:firstLineChars="24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三、授权代表社保证明（复印件）</w:t>
      </w:r>
    </w:p>
    <w:p>
      <w:pPr>
        <w:kinsoku/>
        <w:wordWrap w:val="0"/>
        <w:overflowPunct/>
        <w:topLinePunct w:val="0"/>
        <w:bidi w:val="0"/>
        <w:spacing w:line="800" w:lineRule="exact"/>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四</w:t>
      </w:r>
      <w:r>
        <w:rPr>
          <w:rFonts w:hint="eastAsia" w:ascii="仿宋_GB2312" w:hAnsi="仿宋_GB2312" w:eastAsia="仿宋_GB2312" w:cs="仿宋_GB2312"/>
          <w:b/>
          <w:color w:val="auto"/>
          <w:sz w:val="30"/>
          <w:szCs w:val="30"/>
          <w:highlight w:val="none"/>
        </w:rPr>
        <w:t>、法定代表人及其授权代表身份证复印件（正反面）</w:t>
      </w: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五</w:t>
      </w:r>
      <w:r>
        <w:rPr>
          <w:rFonts w:hint="eastAsia" w:ascii="仿宋_GB2312" w:hAnsi="仿宋_GB2312" w:eastAsia="仿宋_GB2312" w:cs="仿宋_GB2312"/>
          <w:b/>
          <w:color w:val="auto"/>
          <w:sz w:val="30"/>
          <w:szCs w:val="30"/>
          <w:highlight w:val="none"/>
        </w:rPr>
        <w:t>、法定代表人身份证明书(格式)</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 标 人：</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姓    名：</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身份证号码：</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   务：</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（填写投标人名称）</w:t>
      </w:r>
      <w:r>
        <w:rPr>
          <w:rFonts w:hint="eastAsia" w:ascii="仿宋_GB2312" w:hAnsi="仿宋_GB2312" w:eastAsia="仿宋_GB2312" w:cs="仿宋_GB2312"/>
          <w:color w:val="auto"/>
          <w:sz w:val="24"/>
          <w:highlight w:val="none"/>
        </w:rPr>
        <w:t>的法定代表人。</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特此证明。</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w:t>
      </w:r>
      <w:r>
        <w:rPr>
          <w:rFonts w:hint="eastAsia" w:ascii="仿宋_GB2312" w:hAnsi="仿宋_GB2312" w:eastAsia="仿宋_GB2312" w:cs="仿宋_GB2312"/>
          <w:color w:val="auto"/>
          <w:sz w:val="24"/>
          <w:highlight w:val="none"/>
          <w:lang w:eastAsia="zh-CN"/>
        </w:rPr>
        <w:t>名称</w:t>
      </w:r>
      <w:r>
        <w:rPr>
          <w:rFonts w:hint="eastAsia" w:ascii="仿宋_GB2312" w:hAnsi="仿宋_GB2312" w:eastAsia="仿宋_GB2312" w:cs="仿宋_GB2312"/>
          <w:color w:val="auto"/>
          <w:sz w:val="24"/>
          <w:highlight w:val="none"/>
        </w:rPr>
        <w:t>：                             （电子签章）</w:t>
      </w:r>
    </w:p>
    <w:p>
      <w:pPr>
        <w:kinsoku/>
        <w:wordWrap w:val="0"/>
        <w:overflowPunct/>
        <w:topLinePunct w:val="0"/>
        <w:bidi w:val="0"/>
        <w:spacing w:line="440" w:lineRule="exact"/>
        <w:ind w:right="480"/>
        <w:rPr>
          <w:rFonts w:hint="eastAsia" w:ascii="仿宋_GB2312" w:hAnsi="仿宋_GB2312" w:eastAsia="仿宋_GB2312" w:cs="仿宋_GB2312"/>
          <w:color w:val="auto"/>
          <w:sz w:val="24"/>
          <w:highlight w:val="none"/>
        </w:rPr>
      </w:pPr>
    </w:p>
    <w:p>
      <w:pPr>
        <w:kinsoku/>
        <w:wordWrap w:val="0"/>
        <w:overflowPunct/>
        <w:topLinePunct w:val="0"/>
        <w:bidi w:val="0"/>
        <w:spacing w:line="440" w:lineRule="exact"/>
        <w:ind w:right="72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   月   日</w:t>
      </w: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both"/>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val="en-US" w:eastAsia="zh-CN"/>
        </w:rPr>
        <w:t>六</w:t>
      </w:r>
      <w:r>
        <w:rPr>
          <w:rFonts w:hint="eastAsia" w:ascii="仿宋_GB2312" w:hAnsi="仿宋_GB2312" w:eastAsia="仿宋_GB2312" w:cs="仿宋_GB2312"/>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3683"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招标文件章节及具体内容</w:t>
            </w:r>
          </w:p>
        </w:tc>
        <w:tc>
          <w:tcPr>
            <w:tcW w:w="3546"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投标文件章节及具体内容</w:t>
            </w:r>
          </w:p>
        </w:tc>
        <w:tc>
          <w:tcPr>
            <w:tcW w:w="1276"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bl>
    <w:p>
      <w:pPr>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投标人保证：除商务技术偏离表列出的偏离外，投标人响应招标文件的全部要求</w:t>
      </w: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pacing w:line="360" w:lineRule="auto"/>
        <w:ind w:right="420"/>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24"/>
          <w:highlight w:val="none"/>
        </w:rPr>
        <w:t>注：按本格式和要求提供。</w:t>
      </w:r>
    </w:p>
    <w:p>
      <w:pPr>
        <w:widowControl/>
        <w:kinsoku/>
        <w:wordWrap w:val="0"/>
        <w:overflowPunct/>
        <w:topLinePunct w:val="0"/>
        <w:bidi w:val="0"/>
        <w:adjustRightInd/>
        <w:jc w:val="left"/>
        <w:rPr>
          <w:rFonts w:hint="eastAsia" w:ascii="仿宋_GB2312" w:hAnsi="仿宋_GB2312" w:eastAsia="仿宋_GB2312" w:cs="仿宋_GB2312"/>
          <w:b/>
          <w:bCs/>
          <w:color w:val="auto"/>
          <w:sz w:val="32"/>
          <w:szCs w:val="32"/>
          <w:highlight w:val="none"/>
          <w:lang w:eastAsia="zh-CN"/>
        </w:rPr>
      </w:pPr>
    </w:p>
    <w:p>
      <w:pPr>
        <w:keepNext w:val="0"/>
        <w:keepLines w:val="0"/>
        <w:pageBreakBefore/>
        <w:widowControl/>
        <w:kinsoku/>
        <w:wordWrap w:val="0"/>
        <w:overflowPunct/>
        <w:topLinePunct w:val="0"/>
        <w:autoSpaceDE/>
        <w:autoSpaceDN/>
        <w:bidi w:val="0"/>
        <w:adjustRightInd/>
        <w:snapToGrid/>
        <w:jc w:val="center"/>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color w:val="auto"/>
          <w:kern w:val="0"/>
          <w:sz w:val="32"/>
          <w:szCs w:val="32"/>
          <w:highlight w:val="none"/>
        </w:rPr>
        <w:t>、</w:t>
      </w:r>
      <w:r>
        <w:rPr>
          <w:rFonts w:hint="eastAsia" w:ascii="仿宋_GB2312" w:hAnsi="仿宋_GB2312" w:eastAsia="仿宋_GB2312" w:cs="仿宋_GB2312"/>
          <w:b/>
          <w:color w:val="auto"/>
          <w:kern w:val="0"/>
          <w:sz w:val="32"/>
          <w:szCs w:val="32"/>
          <w:highlight w:val="none"/>
          <w:lang w:val="zh-CN"/>
        </w:rPr>
        <w:t>政府采购供应商廉洁自律承诺书</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绍兴市第一中学</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kern w:val="0"/>
          <w:sz w:val="24"/>
          <w:highlight w:val="none"/>
          <w:lang w:val="zh-CN"/>
        </w:rPr>
        <w:t>：</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项目招标要求参加投标。在这次投标过程中和中标后，我们将严格遵守国家法律法规要求，并郑重承诺：</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一、不向项目有关人员及部门赠送礼金礼物、有价证券、回扣以及中介费、介绍费、咨询费等好处费；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二、不为项目有关人员及部门报销应由你方单位或个人支付的费用；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三、不向项目有关人员及部门提供有可能影响公正的宴请和健身娱乐等活动；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四、不为项目有关人员及部门出国（境）、旅游等提供方便；</w:t>
      </w:r>
    </w:p>
    <w:p>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五、不为项目有关人员个人装修住房、婚丧嫁娶、配偶子女工作安排等提供</w:t>
      </w:r>
    </w:p>
    <w:p>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好处；</w:t>
      </w:r>
    </w:p>
    <w:p>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六、严格遵守《</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政府采购法》《</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招标投标</w:t>
      </w:r>
    </w:p>
    <w:p>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法》</w:t>
      </w:r>
      <w:r>
        <w:rPr>
          <w:rFonts w:hint="eastAsia" w:ascii="仿宋_GB2312" w:hAnsi="仿宋_GB2312" w:eastAsia="仿宋_GB2312" w:cs="仿宋_GB2312"/>
          <w:color w:val="auto"/>
          <w:sz w:val="24"/>
          <w:highlight w:val="none"/>
          <w:lang w:val="zh-CN"/>
        </w:rPr>
        <w:t>《中华人民共和国民法典》</w:t>
      </w:r>
      <w:r>
        <w:rPr>
          <w:rFonts w:hint="eastAsia" w:ascii="仿宋_GB2312" w:hAnsi="仿宋_GB2312" w:eastAsia="仿宋_GB2312" w:cs="仿宋_GB2312"/>
          <w:color w:val="auto"/>
          <w:kern w:val="0"/>
          <w:sz w:val="24"/>
          <w:highlight w:val="none"/>
          <w:lang w:val="zh-CN"/>
        </w:rPr>
        <w:t xml:space="preserve">等法律法规，诚实守信，合法经营，坚决抵制各种违法违纪行为。 </w:t>
      </w:r>
    </w:p>
    <w:p>
      <w:pPr>
        <w:kinsoku/>
        <w:wordWrap w:val="0"/>
        <w:overflowPunct/>
        <w:topLinePunct w:val="0"/>
        <w:autoSpaceDE w:val="0"/>
        <w:autoSpaceDN w:val="0"/>
        <w:bidi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leftChars="1" w:right="1120" w:firstLine="4560" w:firstLineChars="19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投标人名称（</w:t>
      </w:r>
      <w:r>
        <w:rPr>
          <w:rFonts w:hint="eastAsia" w:ascii="仿宋_GB2312" w:hAnsi="仿宋_GB2312" w:eastAsia="仿宋_GB2312" w:cs="仿宋_GB2312"/>
          <w:color w:val="auto"/>
          <w:sz w:val="24"/>
          <w:highlight w:val="none"/>
        </w:rPr>
        <w:t>电子签名</w:t>
      </w:r>
      <w:r>
        <w:rPr>
          <w:rFonts w:hint="eastAsia" w:ascii="仿宋_GB2312" w:hAnsi="仿宋_GB2312" w:eastAsia="仿宋_GB2312" w:cs="仿宋_GB2312"/>
          <w:color w:val="auto"/>
          <w:kern w:val="0"/>
          <w:sz w:val="24"/>
          <w:highlight w:val="none"/>
          <w:lang w:val="zh-CN"/>
        </w:rPr>
        <w:t xml:space="preserve">）：                                                                                                                                                                                                               </w:t>
      </w:r>
    </w:p>
    <w:p>
      <w:pPr>
        <w:kinsoku/>
        <w:wordWrap w:val="0"/>
        <w:overflowPunct/>
        <w:topLinePunct w:val="0"/>
        <w:bidi w:val="0"/>
        <w:spacing w:line="360" w:lineRule="auto"/>
        <w:ind w:left="4620" w:leftChars="2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 xml:space="preserve">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kinsoku/>
        <w:wordWrap w:val="0"/>
        <w:overflowPunct/>
        <w:topLinePunct w:val="0"/>
        <w:autoSpaceDE w:val="0"/>
        <w:autoSpaceDN w:val="0"/>
        <w:bidi w:val="0"/>
        <w:spacing w:line="360" w:lineRule="auto"/>
        <w:ind w:firstLine="12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647"/>
        <w:kinsoku/>
        <w:wordWrap w:val="0"/>
        <w:overflowPunct/>
        <w:topLinePunct w:val="0"/>
        <w:bidi w:val="0"/>
        <w:ind w:firstLine="0"/>
        <w:jc w:val="both"/>
        <w:rPr>
          <w:rFonts w:hint="eastAsia" w:ascii="仿宋_GB2312" w:hAnsi="仿宋_GB2312" w:eastAsia="仿宋_GB2312" w:cs="仿宋_GB2312"/>
          <w:color w:val="auto"/>
          <w:highlight w:val="none"/>
        </w:rPr>
      </w:pP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pacing w:val="6"/>
          <w:sz w:val="24"/>
          <w:highlight w:val="none"/>
        </w:rPr>
      </w:pPr>
      <w:r>
        <w:rPr>
          <w:rFonts w:hint="eastAsia" w:ascii="仿宋_GB2312" w:hAnsi="仿宋_GB2312" w:eastAsia="仿宋_GB2312" w:cs="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pPr>
        <w:kinsoku/>
        <w:wordWrap w:val="0"/>
        <w:overflowPunct/>
        <w:topLinePunct w:val="0"/>
        <w:autoSpaceDE w:val="0"/>
        <w:autoSpaceDN w:val="0"/>
        <w:bidi w:val="0"/>
        <w:spacing w:line="360" w:lineRule="auto"/>
        <w:ind w:firstLine="4560" w:firstLineChars="1900"/>
        <w:rPr>
          <w:rFonts w:hint="eastAsia" w:ascii="仿宋_GB2312" w:hAnsi="仿宋_GB2312" w:eastAsia="仿宋_GB2312" w:cs="仿宋_GB2312"/>
          <w:color w:val="auto"/>
          <w:kern w:val="0"/>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6"/>
          <w:szCs w:val="36"/>
          <w:highlight w:val="none"/>
          <w:lang w:val="zh-CN"/>
        </w:rPr>
      </w:pPr>
    </w:p>
    <w:p>
      <w:pPr>
        <w:pageBreakBefore/>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kinsoku/>
        <w:wordWrap w:val="0"/>
        <w:overflowPunct/>
        <w:topLinePunct w:val="0"/>
        <w:autoSpaceDE w:val="0"/>
        <w:autoSpaceDN w:val="0"/>
        <w:bidi w:val="0"/>
        <w:spacing w:line="360" w:lineRule="auto"/>
        <w:ind w:right="1400"/>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kinsoku/>
        <w:wordWrap w:val="0"/>
        <w:overflowPunct/>
        <w:topLinePunct w:val="0"/>
        <w:autoSpaceDE w:val="0"/>
        <w:autoSpaceDN w:val="0"/>
        <w:bidi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ind w:left="-36" w:leftChars="-17" w:right="-181" w:rightChars="-86"/>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bl>
    <w:p>
      <w:pPr>
        <w:kinsoku/>
        <w:wordWrap w:val="0"/>
        <w:overflowPunct/>
        <w:topLinePunct w:val="0"/>
        <w:bidi w:val="0"/>
        <w:spacing w:line="360" w:lineRule="auto"/>
        <w:ind w:firstLine="480" w:firstLineChars="200"/>
        <w:jc w:val="right"/>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b/>
          <w:color w:val="auto"/>
          <w:sz w:val="30"/>
          <w:szCs w:val="30"/>
          <w:highlight w:val="none"/>
          <w:lang w:eastAsia="zh-CN"/>
        </w:rPr>
      </w:pPr>
    </w:p>
    <w:p>
      <w:pPr>
        <w:pStyle w:val="79"/>
        <w:kinsoku/>
        <w:wordWrap w:val="0"/>
        <w:overflowPunct/>
        <w:topLinePunct w:val="0"/>
        <w:bidi w:val="0"/>
        <w:rPr>
          <w:rFonts w:hint="eastAsia" w:ascii="仿宋_GB2312" w:hAnsi="仿宋_GB2312" w:eastAsia="仿宋_GB2312" w:cs="仿宋_GB2312"/>
          <w:color w:val="auto"/>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p>
    <w:p>
      <w:pPr>
        <w:pStyle w:val="79"/>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79"/>
        <w:kinsoku/>
        <w:wordWrap w:val="0"/>
        <w:overflowPunct/>
        <w:topLinePunct w:val="0"/>
        <w:bidi w:val="0"/>
        <w:rPr>
          <w:rFonts w:hint="eastAsia" w:ascii="仿宋_GB2312" w:hAnsi="仿宋_GB2312" w:eastAsia="仿宋_GB2312" w:cs="仿宋_GB2312"/>
          <w:color w:val="auto"/>
          <w:highlight w:val="none"/>
        </w:rPr>
      </w:pP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kinsoku/>
        <w:wordWrap w:val="0"/>
        <w:overflowPunct/>
        <w:topLinePunct w:val="0"/>
        <w:autoSpaceDE w:val="0"/>
        <w:autoSpaceDN w:val="0"/>
        <w:bidi w:val="0"/>
        <w:spacing w:line="360" w:lineRule="auto"/>
        <w:ind w:firstLine="477"/>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名称（电子签名）：</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napToGrid w:val="0"/>
        <w:spacing w:line="360" w:lineRule="auto"/>
        <w:ind w:firstLine="6907" w:firstLineChars="2150"/>
        <w:rPr>
          <w:rFonts w:hint="eastAsia" w:ascii="仿宋_GB2312" w:hAnsi="仿宋_GB2312" w:eastAsia="仿宋_GB2312" w:cs="仿宋_GB2312"/>
          <w:b/>
          <w:bCs/>
          <w:color w:val="auto"/>
          <w:sz w:val="32"/>
          <w:szCs w:val="32"/>
          <w:highlight w:val="none"/>
        </w:rPr>
      </w:pPr>
    </w:p>
    <w:p>
      <w:pPr>
        <w:kinsoku/>
        <w:wordWrap w:val="0"/>
        <w:overflowPunct/>
        <w:topLinePunct w:val="0"/>
        <w:bidi w:val="0"/>
        <w:snapToGrid w:val="0"/>
        <w:spacing w:line="360" w:lineRule="auto"/>
        <w:ind w:right="960"/>
        <w:jc w:val="both"/>
        <w:rPr>
          <w:rFonts w:hint="eastAsia"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hint="eastAsia" w:ascii="仿宋_GB2312" w:hAnsi="仿宋_GB2312" w:eastAsia="仿宋_GB2312" w:cs="仿宋_GB2312"/>
          <w:color w:val="auto"/>
          <w:sz w:val="18"/>
          <w:szCs w:val="18"/>
          <w:highlight w:val="none"/>
        </w:rPr>
      </w:pPr>
    </w:p>
    <w:p>
      <w:pPr>
        <w:pStyle w:val="79"/>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b/>
          <w:bCs/>
          <w:color w:val="auto"/>
          <w:sz w:val="18"/>
          <w:szCs w:val="18"/>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kinsoku/>
        <w:wordWrap w:val="0"/>
        <w:overflowPunct/>
        <w:topLinePunct w:val="0"/>
        <w:autoSpaceDE w:val="0"/>
        <w:autoSpaceDN w:val="0"/>
        <w:bidi w:val="0"/>
        <w:spacing w:line="360" w:lineRule="auto"/>
        <w:ind w:firstLine="477"/>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80"/>
        <w:kinsoku/>
        <w:wordWrap w:val="0"/>
        <w:overflowPunct/>
        <w:topLinePunct w:val="0"/>
        <w:bidi w:val="0"/>
        <w:rPr>
          <w:rFonts w:hint="eastAsia" w:ascii="仿宋_GB2312" w:hAnsi="仿宋_GB2312" w:eastAsia="仿宋_GB2312" w:cs="仿宋_GB2312"/>
          <w:color w:val="auto"/>
          <w:highlight w:val="none"/>
        </w:rPr>
        <w:sectPr>
          <w:headerReference r:id="rId12" w:type="first"/>
          <w:footerReference r:id="rId14" w:type="first"/>
          <w:footerReference r:id="rId13" w:type="default"/>
          <w:pgSz w:w="11906" w:h="16838"/>
          <w:pgMar w:top="1276" w:right="1418" w:bottom="1247" w:left="1418" w:header="851" w:footer="992" w:gutter="0"/>
          <w:pgNumType w:fmt="decimal"/>
          <w:cols w:space="720" w:num="1"/>
          <w:titlePg/>
          <w:docGrid w:linePitch="312" w:charSpace="0"/>
        </w:sectPr>
      </w:pP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报价文件部分</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（1）开标一览表（报价表）………………………………………………………（页码）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（2）中小企业声明函………………………………………………………………（页码）</w:t>
      </w:r>
    </w:p>
    <w:p>
      <w:pPr>
        <w:pStyle w:val="2"/>
        <w:numPr>
          <w:ilvl w:val="0"/>
          <w:numId w:val="0"/>
        </w:num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（3）残疾人福利性单位声明函……………………………………………………（页码）</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both"/>
        <w:rPr>
          <w:rFonts w:hint="eastAsia" w:ascii="仿宋_GB2312" w:hAnsi="仿宋_GB2312" w:eastAsia="仿宋_GB2312" w:cs="仿宋_GB2312"/>
          <w:b/>
          <w:color w:val="auto"/>
          <w:kern w:val="0"/>
          <w:sz w:val="32"/>
          <w:szCs w:val="32"/>
          <w:highlight w:val="none"/>
        </w:r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footerReference r:id="rId17" w:type="first"/>
          <w:headerReference r:id="rId15" w:type="default"/>
          <w:footerReference r:id="rId16" w:type="default"/>
          <w:pgSz w:w="11906" w:h="16838"/>
          <w:pgMar w:top="1276" w:right="1418" w:bottom="1247" w:left="1418" w:header="851" w:footer="992" w:gutter="0"/>
          <w:pgNumType w:fmt="decimal"/>
          <w:cols w:space="720" w:num="1"/>
          <w:titlePg/>
          <w:docGrid w:linePitch="312" w:charSpace="0"/>
        </w:sect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一、开标一览表（报价表）</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绍兴市第一中学</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napToGrid w:val="0"/>
        <w:spacing w:line="360" w:lineRule="auto"/>
        <w:ind w:firstLine="482"/>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_GB2312" w:eastAsia="仿宋_GB2312" w:cs="仿宋_GB2312"/>
          <w:color w:val="auto"/>
          <w:sz w:val="24"/>
          <w:highlight w:val="none"/>
          <w:lang w:eastAsia="zh-CN"/>
        </w:rPr>
        <w:t>绍兴市第一中学2025年保洁、保安、绿化养护（租摆）与运行维护采购项目</w:t>
      </w:r>
      <w:r>
        <w:rPr>
          <w:rFonts w:hint="eastAsia" w:ascii="仿宋_GB2312" w:hAnsi="仿宋_GB2312" w:eastAsia="仿宋_GB2312" w:cs="仿宋_GB2312"/>
          <w:color w:val="auto"/>
          <w:kern w:val="0"/>
          <w:sz w:val="24"/>
          <w:highlight w:val="none"/>
          <w:lang w:val="zh-CN"/>
        </w:rPr>
        <w:t>【招标编号：</w:t>
      </w:r>
      <w:r>
        <w:rPr>
          <w:rFonts w:hint="eastAsia" w:ascii="仿宋_GB2312" w:hAnsi="仿宋_GB2312" w:eastAsia="仿宋_GB2312" w:cs="仿宋_GB2312"/>
          <w:color w:val="auto"/>
          <w:sz w:val="24"/>
          <w:highlight w:val="none"/>
          <w:lang w:eastAsia="zh-CN"/>
        </w:rPr>
        <w:t>2025-01-0002</w:t>
      </w:r>
      <w:r>
        <w:rPr>
          <w:rFonts w:hint="eastAsia" w:ascii="仿宋_GB2312" w:hAnsi="仿宋_GB2312" w:eastAsia="仿宋_GB2312" w:cs="仿宋_GB2312"/>
          <w:color w:val="auto"/>
          <w:sz w:val="24"/>
          <w:highlight w:val="none"/>
        </w:rPr>
        <w:t>】的实施</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pacing w:line="360" w:lineRule="auto"/>
        <w:jc w:val="center"/>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87"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名称</w:t>
            </w:r>
          </w:p>
        </w:tc>
        <w:tc>
          <w:tcPr>
            <w:tcW w:w="657" w:type="pct"/>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服务范围</w:t>
            </w:r>
          </w:p>
        </w:tc>
        <w:tc>
          <w:tcPr>
            <w:tcW w:w="698"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服务要求</w:t>
            </w:r>
          </w:p>
        </w:tc>
        <w:tc>
          <w:tcPr>
            <w:tcW w:w="657"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服务时间</w:t>
            </w: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服务标准</w:t>
            </w:r>
          </w:p>
        </w:tc>
        <w:tc>
          <w:tcPr>
            <w:tcW w:w="616" w:type="pct"/>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服务人数</w:t>
            </w: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lang w:val="en-US" w:eastAsia="zh-CN"/>
              </w:rPr>
              <w:t>服务单价</w:t>
            </w: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备注（如有）</w:t>
            </w: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28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XX</w:t>
            </w: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6"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28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XX</w:t>
            </w: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6"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28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6"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28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6"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28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6"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投标报价（小写）</w:t>
            </w:r>
          </w:p>
        </w:tc>
        <w:tc>
          <w:tcPr>
            <w:tcW w:w="2504" w:type="pct"/>
            <w:gridSpan w:val="4"/>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投标报价（大写）</w:t>
            </w:r>
          </w:p>
        </w:tc>
        <w:tc>
          <w:tcPr>
            <w:tcW w:w="2504" w:type="pct"/>
            <w:gridSpan w:val="4"/>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bidi w:val="0"/>
        <w:snapToGrid w:val="0"/>
        <w:spacing w:line="360" w:lineRule="auto"/>
        <w:ind w:left="480"/>
        <w:rPr>
          <w:rFonts w:hint="eastAsia" w:ascii="仿宋_GB2312" w:hAnsi="仿宋_GB2312" w:eastAsia="仿宋_GB2312" w:cs="仿宋_GB2312"/>
          <w:b/>
          <w:color w:val="auto"/>
          <w:kern w:val="0"/>
          <w:sz w:val="24"/>
          <w:highlight w:val="none"/>
          <w:lang w:val="zh-CN"/>
        </w:rPr>
      </w:pPr>
    </w:p>
    <w:p>
      <w:pPr>
        <w:kinsoku/>
        <w:wordWrap w:val="0"/>
        <w:overflowPunct/>
        <w:topLinePunct w:val="0"/>
        <w:bidi w:val="0"/>
        <w:snapToGrid w:val="0"/>
        <w:spacing w:line="360" w:lineRule="auto"/>
        <w:ind w:left="480" w:firstLine="9120" w:firstLineChars="3800"/>
        <w:rPr>
          <w:rFonts w:hint="eastAsia" w:ascii="仿宋_GB2312" w:hAnsi="仿宋_GB2312" w:eastAsia="仿宋_GB2312" w:cs="仿宋_GB2312"/>
          <w:b/>
          <w:color w:val="auto"/>
          <w:kern w:val="0"/>
          <w:sz w:val="24"/>
          <w:highlight w:val="none"/>
          <w:lang w:val="en-US"/>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名称（电子签名）</w:t>
      </w:r>
      <w:r>
        <w:rPr>
          <w:rFonts w:hint="eastAsia" w:ascii="仿宋_GB2312" w:hAnsi="仿宋_GB2312" w:eastAsia="仿宋_GB2312" w:cs="仿宋_GB2312"/>
          <w:color w:val="auto"/>
          <w:sz w:val="24"/>
          <w:highlight w:val="none"/>
          <w:lang w:val="en-US"/>
        </w:rPr>
        <w:t>:</w:t>
      </w:r>
    </w:p>
    <w:p>
      <w:pPr>
        <w:kinsoku/>
        <w:wordWrap w:val="0"/>
        <w:overflowPunct/>
        <w:topLinePunct w:val="0"/>
        <w:bidi w:val="0"/>
        <w:snapToGrid w:val="0"/>
        <w:spacing w:line="360" w:lineRule="auto"/>
        <w:ind w:firstLine="9600" w:firstLineChars="4000"/>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sz w:val="24"/>
          <w:highlight w:val="none"/>
        </w:rPr>
        <w:t>日期：  年   月   日</w:t>
      </w:r>
    </w:p>
    <w:p>
      <w:pPr>
        <w:kinsoku/>
        <w:wordWrap w:val="0"/>
        <w:overflowPunct/>
        <w:topLinePunct w:val="0"/>
        <w:bidi w:val="0"/>
        <w:snapToGrid w:val="0"/>
        <w:spacing w:line="360" w:lineRule="auto"/>
        <w:ind w:left="480"/>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注：</w:t>
      </w:r>
    </w:p>
    <w:p>
      <w:pPr>
        <w:kinsoku/>
        <w:wordWrap w:val="0"/>
        <w:overflowPunct/>
        <w:topLinePunct w:val="0"/>
        <w:bidi w:val="0"/>
        <w:spacing w:line="360" w:lineRule="auto"/>
        <w:ind w:left="-2" w:leftChars="-1" w:firstLine="480" w:firstLineChars="2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1、投标人需按本表格式填写</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2、有关本项目实施所涉及的一切费用均计入报价。</w:t>
      </w:r>
      <w:r>
        <w:rPr>
          <w:rFonts w:hint="eastAsia" w:ascii="仿宋_GB2312" w:hAnsi="仿宋_GB2312" w:eastAsia="仿宋_GB2312" w:cs="仿宋_GB2312"/>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不得出现“0元”“免费赠送”等形式的无偿报价，</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；采购内容未包含在《开标一览表（报价表）》名称栏中，投标人不能作出合理解释的，</w:t>
      </w:r>
      <w:r>
        <w:rPr>
          <w:rFonts w:hint="eastAsia" w:ascii="仿宋_GB2312" w:hAnsi="仿宋_GB2312" w:eastAsia="仿宋_GB2312" w:cs="仿宋_GB2312"/>
          <w:b/>
          <w:color w:val="auto"/>
          <w:kern w:val="0"/>
          <w:sz w:val="24"/>
          <w:highlight w:val="none"/>
        </w:rPr>
        <w:t>视为</w:t>
      </w:r>
      <w:r>
        <w:rPr>
          <w:rFonts w:hint="eastAsia" w:ascii="仿宋_GB2312" w:hAnsi="仿宋_GB2312" w:eastAsia="仿宋_GB2312" w:cs="仿宋_GB2312"/>
          <w:b/>
          <w:color w:val="auto"/>
          <w:sz w:val="24"/>
          <w:highlight w:val="none"/>
        </w:rPr>
        <w:t>投标文件含有采购人不能接受的附加条件的，投标无效。</w:t>
      </w:r>
    </w:p>
    <w:p>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szCs w:val="22"/>
          <w:highlight w:val="none"/>
          <w:lang w:val="zh-CN"/>
        </w:rPr>
        <w:t>4、</w:t>
      </w:r>
      <w:r>
        <w:rPr>
          <w:rFonts w:hint="eastAsia" w:ascii="仿宋_GB2312" w:hAnsi="仿宋_GB2312" w:eastAsia="仿宋_GB2312" w:cs="仿宋_GB2312"/>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kinsoku/>
        <w:wordWrap w:val="0"/>
        <w:overflowPunct/>
        <w:topLinePunct w:val="0"/>
        <w:bidi w:val="0"/>
        <w:spacing w:line="360" w:lineRule="auto"/>
        <w:ind w:firstLine="482" w:firstLineChars="200"/>
        <w:rPr>
          <w:rFonts w:hint="eastAsia" w:ascii="仿宋_GB2312" w:hAnsi="仿宋_GB2312" w:eastAsia="仿宋_GB2312" w:cs="仿宋_GB2312"/>
          <w:b/>
          <w:color w:val="auto"/>
          <w:kern w:val="0"/>
          <w:sz w:val="24"/>
          <w:highlight w:val="none"/>
        </w:r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rPr>
        <w:t>二、</w:t>
      </w:r>
      <w:r>
        <w:rPr>
          <w:rFonts w:hint="eastAsia" w:ascii="仿宋_GB2312" w:hAnsi="仿宋_GB2312" w:eastAsia="仿宋_GB2312" w:cs="仿宋_GB2312"/>
          <w:color w:val="auto"/>
          <w:sz w:val="32"/>
          <w:szCs w:val="32"/>
          <w:highlight w:val="none"/>
        </w:rPr>
        <w:t>中小企业声明函（如有）</w:t>
      </w:r>
    </w:p>
    <w:p>
      <w:pPr>
        <w:widowControl/>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kinsoku/>
        <w:wordWrap w:val="0"/>
        <w:overflowPunct/>
        <w:topLinePunct w:val="0"/>
        <w:bidi w:val="0"/>
        <w:rPr>
          <w:rFonts w:hint="eastAsia" w:ascii="仿宋_GB2312" w:hAnsi="仿宋_GB2312" w:eastAsia="仿宋_GB2312" w:cs="仿宋_GB2312"/>
          <w:b/>
          <w:color w:val="auto"/>
          <w:sz w:val="24"/>
          <w:highlight w:val="none"/>
        </w:rPr>
      </w:pPr>
    </w:p>
    <w:p>
      <w:pPr>
        <w:pStyle w:val="80"/>
        <w:kinsoku/>
        <w:wordWrap w:val="0"/>
        <w:overflowPunct/>
        <w:topLinePunct w:val="0"/>
        <w:bidi w:val="0"/>
        <w:rPr>
          <w:rFonts w:hint="eastAsia" w:ascii="仿宋_GB2312" w:hAnsi="仿宋_GB2312" w:eastAsia="仿宋_GB2312" w:cs="仿宋_GB2312"/>
          <w:b/>
          <w:color w:val="auto"/>
          <w:sz w:val="24"/>
          <w:highlight w:val="none"/>
        </w:rPr>
      </w:pPr>
    </w:p>
    <w:p>
      <w:pPr>
        <w:kinsoku/>
        <w:wordWrap w:val="0"/>
        <w:overflowPunct/>
        <w:topLinePunct w:val="0"/>
        <w:bidi w:val="0"/>
        <w:rPr>
          <w:rFonts w:hint="eastAsia" w:ascii="仿宋_GB2312" w:hAnsi="仿宋_GB2312" w:eastAsia="仿宋_GB2312" w:cs="仿宋_GB2312"/>
          <w:b/>
          <w:color w:val="auto"/>
          <w:sz w:val="24"/>
          <w:highlight w:val="none"/>
        </w:rPr>
      </w:pPr>
    </w:p>
    <w:p>
      <w:pPr>
        <w:pStyle w:val="79"/>
        <w:kinsoku/>
        <w:wordWrap w:val="0"/>
        <w:overflowPunct/>
        <w:topLinePunct w:val="0"/>
        <w:bidi w:val="0"/>
        <w:rPr>
          <w:rFonts w:hint="eastAsia" w:ascii="仿宋_GB2312" w:hAnsi="仿宋_GB2312" w:eastAsia="仿宋_GB2312" w:cs="仿宋_GB2312"/>
          <w:b/>
          <w:color w:val="auto"/>
          <w:sz w:val="24"/>
          <w:highlight w:val="none"/>
        </w:rPr>
      </w:pPr>
    </w:p>
    <w:p>
      <w:pPr>
        <w:pStyle w:val="80"/>
        <w:kinsoku/>
        <w:wordWrap w:val="0"/>
        <w:overflowPunct/>
        <w:topLinePunct w:val="0"/>
        <w:bidi w:val="0"/>
        <w:rPr>
          <w:rFonts w:hint="eastAsia" w:ascii="仿宋_GB2312" w:hAnsi="仿宋_GB2312" w:eastAsia="仿宋_GB2312" w:cs="仿宋_GB2312"/>
          <w:b/>
          <w:color w:val="auto"/>
          <w:sz w:val="24"/>
          <w:highlight w:val="none"/>
        </w:rPr>
      </w:pPr>
    </w:p>
    <w:p>
      <w:pPr>
        <w:kinsoku/>
        <w:wordWrap w:val="0"/>
        <w:overflowPunct/>
        <w:topLinePunct w:val="0"/>
        <w:bidi w:val="0"/>
        <w:rPr>
          <w:rFonts w:hint="eastAsia" w:ascii="仿宋_GB2312" w:hAnsi="仿宋_GB2312" w:eastAsia="仿宋_GB2312" w:cs="仿宋_GB2312"/>
          <w:color w:val="auto"/>
          <w:highlight w:val="none"/>
          <w:lang w:eastAsia="zh-CN"/>
        </w:rPr>
      </w:pPr>
    </w:p>
    <w:p>
      <w:pPr>
        <w:widowControl/>
        <w:kinsoku/>
        <w:wordWrap w:val="0"/>
        <w:overflowPunct/>
        <w:topLinePunct w:val="0"/>
        <w:bidi w:val="0"/>
        <w:spacing w:line="360" w:lineRule="auto"/>
        <w:ind w:firstLine="161" w:firstLineChars="50"/>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lang w:eastAsia="zh-CN"/>
        </w:rPr>
        <w:t>三、残疾人福利性单位声明函（如有）</w:t>
      </w:r>
    </w:p>
    <w:p>
      <w:pPr>
        <w:pStyle w:val="2"/>
        <w:widowControl/>
        <w:numPr>
          <w:ilvl w:val="0"/>
          <w:numId w:val="0"/>
        </w:numPr>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eastAsia="zh-CN"/>
        </w:rPr>
        <w:t>[符合条件的残疾人福利性单位，提供残疾人福利性单位声明函(附件6)，否则不需要提供。]</w:t>
      </w: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b w:val="0"/>
          <w:color w:val="auto"/>
          <w:sz w:val="32"/>
          <w:szCs w:val="32"/>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pStyle w:val="5"/>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附件</w:t>
      </w: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附件1：质疑函范本及制作说明</w:t>
      </w: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质疑函范本</w:t>
      </w:r>
    </w:p>
    <w:p>
      <w:pPr>
        <w:kinsoku/>
        <w:wordWrap w:val="0"/>
        <w:overflowPunct/>
        <w:topLinePunct w:val="0"/>
        <w:bidi w:val="0"/>
        <w:snapToGrid w:val="0"/>
        <w:spacing w:before="240" w:beforeLines="100"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一、质疑供应商基本信息</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质疑供应商：</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地址： </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二、质疑项目基本情况</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采购文件获取日期：</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三、质疑事项具体内容</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质疑事项1：</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质疑事项2</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四、与质疑事项相关的质疑请求</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质疑函制作说明：</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1.供应商提出质疑时，应提交质疑函和必要的证明材料。</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2.质疑供应商若委托代理人进行质疑的，质疑函应按要求列明“授权代表”的有关内容，并在附件中提交由质疑</w:t>
      </w:r>
      <w:r>
        <w:rPr>
          <w:rFonts w:hint="eastAsia" w:ascii="仿宋_GB2312" w:hAnsi="仿宋_GB2312" w:eastAsia="仿宋_GB2312" w:cs="仿宋_GB2312"/>
          <w:color w:val="auto"/>
          <w:kern w:val="0"/>
          <w:sz w:val="24"/>
          <w:highlight w:val="none"/>
        </w:rPr>
        <w:t>供应商签署的授权委托书。授权委托书应载明代理人的姓名或者名称、代理事项、具体权限、期限和相关事项。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3.质疑供应商若对项目的某一分包进行质疑，质疑函中应列明具体分包号。</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4.质疑函的质疑事项应具体、明确，并有必要的事实依据和法律依据。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5.质疑函的质疑请求应与质疑事项相关。</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kinsoku/>
        <w:wordWrap w:val="0"/>
        <w:overflowPunct/>
        <w:topLinePunct w:val="0"/>
        <w:bidi w:val="0"/>
        <w:spacing w:line="360" w:lineRule="auto"/>
        <w:ind w:firstLine="600" w:firstLineChars="200"/>
        <w:jc w:val="left"/>
        <w:rPr>
          <w:rFonts w:hint="eastAsia" w:ascii="仿宋_GB2312" w:hAnsi="仿宋_GB2312" w:eastAsia="仿宋_GB2312" w:cs="仿宋_GB2312"/>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2</w:t>
      </w:r>
      <w:r>
        <w:rPr>
          <w:rFonts w:hint="eastAsia" w:ascii="仿宋_GB2312" w:hAnsi="仿宋_GB2312" w:eastAsia="仿宋_GB2312" w:cs="仿宋_GB2312"/>
          <w:b/>
          <w:color w:val="auto"/>
          <w:spacing w:val="6"/>
          <w:sz w:val="32"/>
          <w:szCs w:val="32"/>
          <w:highlight w:val="none"/>
        </w:rPr>
        <w:t>：投诉书范本及制作说明</w:t>
      </w: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投诉书范本</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一、投诉相关主体基本情况</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tabs>
          <w:tab w:val="left" w:pos="6510"/>
        </w:tabs>
        <w:kinsoku/>
        <w:wordWrap w:val="0"/>
        <w:overflowPunct/>
        <w:topLinePunct w:val="0"/>
        <w:bidi w:val="0"/>
        <w:spacing w:line="360"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法定代表人/主要负责人：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tabs>
          <w:tab w:val="left" w:pos="6510"/>
        </w:tabs>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被投诉人1：</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被投诉人2</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相关供应商：</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二、投诉项目基本情况</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采购项目名称：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采购项目编号：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代理机构名称：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采购文件公告: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采购结果公告: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三、质疑基本情况</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日,向</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提出质疑，质疑事项为：</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采购人/代理机构</w:t>
      </w:r>
      <w:r>
        <w:rPr>
          <w:rFonts w:hint="eastAsia" w:ascii="仿宋_GB2312" w:hAnsi="仿宋_GB2312" w:eastAsia="仿宋_GB2312" w:cs="仿宋_GB2312"/>
          <w:color w:val="auto"/>
          <w:sz w:val="24"/>
          <w:highlight w:val="none"/>
        </w:rPr>
        <w:t>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日,就质疑事项作出了答复/没有在法定期限内作出答复。</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四、投诉事项具体内容</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投诉事项 1：</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投诉事项2</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五、与投诉事项相关的投诉请求</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投诉书制作说明：</w:t>
      </w:r>
    </w:p>
    <w:p>
      <w:pPr>
        <w:widowControl/>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1.投诉人提起投诉时，应当提交投诉书和必要的证明材料，并按照被投诉人和与投诉事项有关的供应商数量提供投诉书副本。</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2.投诉人若委托代理人进行投诉的，投诉书应按照要求列明“授权代表”的有关内容，并在附件中提交由</w:t>
      </w:r>
      <w:r>
        <w:rPr>
          <w:rFonts w:hint="eastAsia" w:ascii="仿宋_GB2312" w:hAnsi="仿宋_GB2312" w:eastAsia="仿宋_GB2312" w:cs="仿宋_GB2312"/>
          <w:color w:val="auto"/>
          <w:kern w:val="0"/>
          <w:sz w:val="24"/>
          <w:highlight w:val="none"/>
        </w:rPr>
        <w:t>投诉人签署的授权委托书。授权委托书应当载明代理人的姓名或者名称、代理事项、具体权限、期限和相关事项。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3.投诉人若对项目的某一分包进行投诉，投诉书应列明具体分包号。</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4.投诉书应简要列明质疑事项，质疑函、质疑答复等作为附件材料提供。</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5.投诉书的投诉事项应具体、明确，并有必要的事实依据和法律依据。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6.投诉书的投诉请求应与投诉事项相关。</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7.投诉人为自然人的，投诉书应当由本人签字；投诉人为法人或者其他组织的，投诉书应当由法定代表人、主要负责人，或者其授权代表签字或者盖章，并加盖公章。</w:t>
      </w: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3</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bCs/>
          <w:color w:val="auto"/>
          <w:sz w:val="32"/>
          <w:szCs w:val="32"/>
          <w:highlight w:val="none"/>
        </w:rPr>
        <w:t>业务专用章使用说明函</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p>
    <w:p>
      <w:pPr>
        <w:keepNext w:val="0"/>
        <w:keepLines w:val="0"/>
        <w:pageBreakBefore w:val="0"/>
        <w:widowControl w:val="0"/>
        <w:kinsoku/>
        <w:wordWrap w:val="0"/>
        <w:overflowPunct/>
        <w:topLinePunct w:val="0"/>
        <w:autoSpaceDE/>
        <w:autoSpaceDN/>
        <w:bidi w:val="0"/>
        <w:adjustRightInd w:val="0"/>
        <w:snapToGrid/>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eastAsia="zh-CN"/>
        </w:rPr>
        <w:t>绍兴市第一中学</w:t>
      </w:r>
      <w:r>
        <w:rPr>
          <w:rFonts w:hint="eastAsia" w:ascii="仿宋_GB2312" w:hAnsi="仿宋_GB2312" w:eastAsia="仿宋_GB2312" w:cs="仿宋_GB2312"/>
          <w:color w:val="auto"/>
          <w:sz w:val="24"/>
          <w:highlight w:val="none"/>
          <w:u w:val="single"/>
        </w:rPr>
        <w:t>、</w:t>
      </w:r>
      <w:r>
        <w:rPr>
          <w:rFonts w:hint="eastAsia" w:ascii="仿宋_GB2312" w:hAnsi="仿宋_GB2312" w:eastAsia="仿宋_GB2312" w:cs="仿宋_GB2312"/>
          <w:color w:val="auto"/>
          <w:sz w:val="24"/>
          <w:highlight w:val="none"/>
          <w:u w:val="single"/>
          <w:lang w:eastAsia="zh-CN"/>
        </w:rPr>
        <w:t>绍兴市公共资源交易中心</w:t>
      </w:r>
      <w:r>
        <w:rPr>
          <w:rFonts w:hint="eastAsia" w:ascii="仿宋_GB2312" w:hAnsi="仿宋_GB2312" w:eastAsia="仿宋_GB2312" w:cs="仿宋_GB2312"/>
          <w:color w:val="auto"/>
          <w:sz w:val="24"/>
          <w:highlight w:val="none"/>
          <w:u w:val="single"/>
        </w:rPr>
        <w:t>：</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我方</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sz w:val="24"/>
          <w:highlight w:val="none"/>
        </w:rPr>
        <w:t>(投标人全称)是中华人民共和国依法登记注册的合法企业，</w:t>
      </w:r>
      <w:r>
        <w:rPr>
          <w:rFonts w:hint="eastAsia" w:ascii="仿宋_GB2312" w:hAnsi="仿宋_GB2312" w:eastAsia="仿宋_GB2312" w:cs="仿宋_GB2312"/>
          <w:bCs/>
          <w:color w:val="auto"/>
          <w:sz w:val="24"/>
          <w:highlight w:val="none"/>
        </w:rPr>
        <w:t>在参加</w:t>
      </w:r>
      <w:r>
        <w:rPr>
          <w:rFonts w:hint="eastAsia" w:ascii="仿宋_GB2312" w:hAnsi="仿宋_GB2312" w:eastAsia="仿宋_GB2312" w:cs="仿宋_GB2312"/>
          <w:color w:val="auto"/>
          <w:sz w:val="24"/>
          <w:highlight w:val="none"/>
        </w:rPr>
        <w:t>你方组织的</w:t>
      </w:r>
      <w:r>
        <w:rPr>
          <w:rFonts w:hint="eastAsia" w:ascii="仿宋_GB2312" w:hAnsi="仿宋_GB2312" w:eastAsia="仿宋_GB2312" w:cs="仿宋_GB2312"/>
          <w:color w:val="auto"/>
          <w:sz w:val="24"/>
          <w:highlight w:val="none"/>
          <w:lang w:eastAsia="zh-CN"/>
        </w:rPr>
        <w:t>绍兴市第一中学2025年保洁、保安、绿化养护（租摆）与运行维护采购项目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2025-01-0002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Cs/>
          <w:color w:val="auto"/>
          <w:sz w:val="24"/>
          <w:highlight w:val="none"/>
        </w:rPr>
        <w:t>投标活动中作如下说明：</w:t>
      </w:r>
      <w:r>
        <w:rPr>
          <w:rFonts w:hint="eastAsia" w:ascii="仿宋_GB2312" w:hAnsi="仿宋_GB2312" w:eastAsia="仿宋_GB2312" w:cs="仿宋_GB2312"/>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特此说明。</w:t>
      </w: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right="480" w:firstLine="4080" w:firstLineChars="17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投标单位（法定名称章）：</w:t>
      </w:r>
    </w:p>
    <w:p>
      <w:pPr>
        <w:kinsoku/>
        <w:wordWrap w:val="0"/>
        <w:overflowPunct/>
        <w:topLinePunct w:val="0"/>
        <w:bidi w:val="0"/>
        <w:ind w:right="1440" w:firstLine="494"/>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附：</w:t>
      </w:r>
    </w:p>
    <w:p>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_GB2312" w:hAnsi="仿宋_GB2312" w:eastAsia="仿宋_GB2312" w:cs="仿宋_GB2312"/>
          <w:color w:val="auto"/>
          <w:sz w:val="24"/>
          <w:highlight w:val="none"/>
        </w:rPr>
        <w:t>投标单位法定名称章（印模）                投标单位“XX专用章”（印模）</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4</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color w:val="auto"/>
          <w:kern w:val="0"/>
          <w:sz w:val="32"/>
          <w:szCs w:val="32"/>
          <w:highlight w:val="none"/>
          <w:lang w:val="zh-CN"/>
        </w:rPr>
        <w:t>联合协议</w:t>
      </w:r>
    </w:p>
    <w:p>
      <w:pPr>
        <w:keepNext w:val="0"/>
        <w:keepLines w:val="0"/>
        <w:pageBreakBefore w:val="0"/>
        <w:widowControl/>
        <w:kinsoku/>
        <w:wordWrap w:val="0"/>
        <w:overflowPunct/>
        <w:topLinePunct w:val="0"/>
        <w:autoSpaceDE/>
        <w:autoSpaceDN/>
        <w:bidi w:val="0"/>
        <w:adjustRightInd w:val="0"/>
        <w:spacing w:line="440" w:lineRule="exact"/>
        <w:ind w:righ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（联合体所有成员名称）</w:t>
      </w:r>
      <w:r>
        <w:rPr>
          <w:rFonts w:hint="eastAsia" w:ascii="仿宋_GB2312" w:hAnsi="仿宋_GB2312" w:eastAsia="仿宋_GB2312" w:cs="仿宋_GB2312"/>
          <w:color w:val="auto"/>
          <w:kern w:val="0"/>
          <w:sz w:val="24"/>
          <w:highlight w:val="none"/>
        </w:rPr>
        <w:t>自愿</w:t>
      </w:r>
      <w:r>
        <w:rPr>
          <w:rFonts w:hint="eastAsia" w:ascii="仿宋_GB2312" w:hAnsi="仿宋_GB2312" w:eastAsia="仿宋_GB2312" w:cs="仿宋_GB2312"/>
          <w:color w:val="auto"/>
          <w:kern w:val="0"/>
          <w:sz w:val="24"/>
          <w:highlight w:val="none"/>
          <w:lang w:val="zh-CN"/>
        </w:rPr>
        <w:t>组成一个联合体，以一个投标人的身份</w:t>
      </w:r>
      <w:r>
        <w:rPr>
          <w:rFonts w:hint="eastAsia" w:ascii="仿宋_GB2312" w:hAnsi="仿宋_GB2312" w:eastAsia="仿宋_GB2312" w:cs="仿宋_GB2312"/>
          <w:color w:val="auto"/>
          <w:kern w:val="0"/>
          <w:sz w:val="24"/>
          <w:highlight w:val="none"/>
        </w:rPr>
        <w:t>参加</w:t>
      </w:r>
      <w:r>
        <w:rPr>
          <w:rFonts w:hint="eastAsia" w:ascii="仿宋_GB2312" w:hAnsi="仿宋_GB2312" w:eastAsia="仿宋_GB2312" w:cs="仿宋_GB2312"/>
          <w:color w:val="auto"/>
          <w:sz w:val="24"/>
          <w:highlight w:val="none"/>
          <w:lang w:eastAsia="zh-CN"/>
        </w:rPr>
        <w:t>绍兴市第一中学2025年保洁、保安、绿化养护（租摆）与运行维护采购项目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2025-01-0002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投标。 </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一、各方一致决定，</w:t>
      </w:r>
      <w:r>
        <w:rPr>
          <w:rFonts w:hint="eastAsia" w:ascii="仿宋_GB2312" w:hAnsi="仿宋_GB2312" w:eastAsia="仿宋_GB2312" w:cs="仿宋_GB2312"/>
          <w:color w:val="auto"/>
          <w:kern w:val="0"/>
          <w:sz w:val="24"/>
          <w:highlight w:val="none"/>
          <w:u w:val="single"/>
        </w:rPr>
        <w:t>（某联合体成员名称）</w:t>
      </w:r>
      <w:r>
        <w:rPr>
          <w:rFonts w:hint="eastAsia" w:ascii="仿宋_GB2312" w:hAnsi="仿宋_GB2312" w:eastAsia="仿宋_GB2312" w:cs="仿宋_GB2312"/>
          <w:color w:val="auto"/>
          <w:kern w:val="0"/>
          <w:sz w:val="24"/>
          <w:highlight w:val="none"/>
        </w:rPr>
        <w:t>为联合体</w:t>
      </w:r>
      <w:r>
        <w:rPr>
          <w:rFonts w:hint="eastAsia" w:ascii="仿宋_GB2312" w:hAnsi="仿宋_GB2312" w:eastAsia="仿宋_GB2312" w:cs="仿宋_GB2312"/>
          <w:color w:val="auto"/>
          <w:kern w:val="0"/>
          <w:sz w:val="24"/>
          <w:highlight w:val="none"/>
          <w:lang w:val="zh-CN"/>
        </w:rPr>
        <w:t>牵头人</w:t>
      </w:r>
      <w:r>
        <w:rPr>
          <w:rFonts w:hint="eastAsia" w:ascii="仿宋_GB2312" w:hAnsi="仿宋_GB2312" w:eastAsia="仿宋_GB2312" w:cs="仿宋_GB2312"/>
          <w:color w:val="auto"/>
          <w:sz w:val="24"/>
          <w:highlight w:val="none"/>
        </w:rPr>
        <w:t>，代表所有联合体成员负责投标和合同实施阶段的主办、协调工作</w:t>
      </w:r>
      <w:r>
        <w:rPr>
          <w:rFonts w:hint="eastAsia" w:ascii="仿宋_GB2312" w:hAnsi="仿宋_GB2312" w:eastAsia="仿宋_GB2312" w:cs="仿宋_GB2312"/>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w:t>
      </w:r>
      <w:r>
        <w:rPr>
          <w:rFonts w:hint="eastAsia" w:ascii="仿宋_GB2312" w:hAnsi="仿宋_GB2312" w:eastAsia="仿宋_GB2312" w:cs="仿宋_GB2312"/>
          <w:color w:val="auto"/>
          <w:sz w:val="24"/>
          <w:highlight w:val="none"/>
        </w:rPr>
        <w:t>所有联合体成员各方签署授权书，授权书载明的</w:t>
      </w:r>
      <w:r>
        <w:rPr>
          <w:rFonts w:hint="eastAsia" w:ascii="仿宋_GB2312" w:hAnsi="仿宋_GB2312" w:eastAsia="仿宋_GB2312" w:cs="仿宋_GB2312"/>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三、本次联合投标中，分工如下：</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（联合体成员1）</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（联合体成员2）</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四、联合体成员中小企业合同份额。</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lang w:val="zh-CN"/>
        </w:rPr>
        <w:t>1、</w:t>
      </w:r>
      <w:r>
        <w:rPr>
          <w:rFonts w:hint="eastAsia" w:ascii="仿宋_GB2312" w:hAnsi="仿宋_GB2312" w:eastAsia="仿宋_GB2312" w:cs="仿宋_GB2312"/>
          <w:color w:val="auto"/>
          <w:kern w:val="0"/>
          <w:sz w:val="24"/>
          <w:highlight w:val="none"/>
          <w:u w:val="single"/>
        </w:rPr>
        <w:t>（</w:t>
      </w:r>
      <w:bookmarkStart w:id="160" w:name="_Hlk101131882"/>
      <w:r>
        <w:rPr>
          <w:rFonts w:hint="eastAsia" w:ascii="仿宋_GB2312" w:hAnsi="仿宋_GB2312" w:eastAsia="仿宋_GB2312" w:cs="仿宋_GB2312"/>
          <w:color w:val="auto"/>
          <w:kern w:val="0"/>
          <w:sz w:val="24"/>
          <w:highlight w:val="none"/>
          <w:u w:val="single"/>
        </w:rPr>
        <w:t>联合体成员X,……</w:t>
      </w:r>
      <w:bookmarkEnd w:id="160"/>
      <w:r>
        <w:rPr>
          <w:rFonts w:hint="eastAsia" w:ascii="仿宋_GB2312" w:hAnsi="仿宋_GB2312" w:eastAsia="仿宋_GB2312" w:cs="仿宋_GB2312"/>
          <w:color w:val="auto"/>
          <w:kern w:val="0"/>
          <w:sz w:val="24"/>
          <w:highlight w:val="none"/>
          <w:u w:val="single"/>
        </w:rPr>
        <w:t>）</w:t>
      </w:r>
      <w:r>
        <w:rPr>
          <w:rFonts w:hint="eastAsia" w:ascii="仿宋_GB2312" w:hAnsi="仿宋_GB2312" w:eastAsia="仿宋_GB2312" w:cs="仿宋_GB2312"/>
          <w:color w:val="auto"/>
          <w:kern w:val="0"/>
          <w:sz w:val="24"/>
          <w:highlight w:val="none"/>
        </w:rPr>
        <w:t>提供的服务由小微企业承接，其合同份额占到合同总金额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w:t>
      </w:r>
      <w:bookmarkStart w:id="161" w:name="_Hlk101133598"/>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bookmarkEnd w:id="161"/>
      <w:r>
        <w:rPr>
          <w:rFonts w:hint="eastAsia" w:ascii="仿宋_GB2312" w:hAnsi="仿宋_GB2312" w:eastAsia="仿宋_GB2312" w:cs="仿宋_GB2312"/>
          <w:b/>
          <w:color w:val="auto"/>
          <w:kern w:val="0"/>
          <w:sz w:val="24"/>
          <w:highlight w:val="none"/>
          <w:lang w:val="zh-CN"/>
        </w:rPr>
        <w:t>）</w:t>
      </w:r>
    </w:p>
    <w:p>
      <w:pPr>
        <w:keepNext w:val="0"/>
        <w:keepLines w:val="0"/>
        <w:pageBreakBefore w:val="0"/>
        <w:kinsoku/>
        <w:wordWrap w:val="0"/>
        <w:overflowPunct/>
        <w:topLinePunct w:val="0"/>
        <w:autoSpaceDE/>
        <w:autoSpaceDN/>
        <w:bidi w:val="0"/>
        <w:adjustRightInd w:val="0"/>
        <w:spacing w:line="440" w:lineRule="exact"/>
        <w:ind w:right="0" w:firstLine="600" w:firstLineChars="250"/>
        <w:textAlignment w:val="auto"/>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w:t>
      </w:r>
      <w:bookmarkStart w:id="162" w:name="_Hlk101133173"/>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bookmarkEnd w:id="162"/>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五、如果中标，</w:t>
      </w:r>
      <w:r>
        <w:rPr>
          <w:rFonts w:hint="eastAsia" w:ascii="仿宋_GB2312" w:hAnsi="仿宋_GB2312" w:eastAsia="仿宋_GB2312" w:cs="仿宋_GB2312"/>
          <w:color w:val="auto"/>
          <w:sz w:val="24"/>
          <w:highlight w:val="none"/>
        </w:rPr>
        <w:t>联合体各成员方共同与采购人签订合同，并就采购合同约定的事项对采购人承担连带责任。</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六、有关本次联合投标的其他事宜：</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eepNext w:val="0"/>
        <w:keepLines w:val="0"/>
        <w:pageBreakBefore w:val="0"/>
        <w:kinsoku/>
        <w:wordWrap w:val="0"/>
        <w:overflowPunct/>
        <w:topLinePunct w:val="0"/>
        <w:autoSpaceDE/>
        <w:autoSpaceDN/>
        <w:bidi w:val="0"/>
        <w:adjustRightInd w:val="0"/>
        <w:snapToGrid w:val="0"/>
        <w:spacing w:line="440" w:lineRule="exact"/>
        <w:ind w:right="0"/>
        <w:jc w:val="center"/>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w:t>
      </w:r>
    </w:p>
    <w:p>
      <w:pPr>
        <w:keepNext w:val="0"/>
        <w:keepLines w:val="0"/>
        <w:pageBreakBefore w:val="0"/>
        <w:kinsoku/>
        <w:wordWrap w:val="0"/>
        <w:overflowPunct/>
        <w:topLinePunct w:val="0"/>
        <w:autoSpaceDE/>
        <w:autoSpaceDN/>
        <w:bidi w:val="0"/>
        <w:adjustRightInd w:val="0"/>
        <w:snapToGrid w:val="0"/>
        <w:spacing w:line="440" w:lineRule="exact"/>
        <w:ind w:right="0"/>
        <w:jc w:val="right"/>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  年  月   日</w:t>
      </w:r>
    </w:p>
    <w:p>
      <w:pPr>
        <w:keepNext w:val="0"/>
        <w:keepLines w:val="0"/>
        <w:pageBreakBefore w:val="0"/>
        <w:kinsoku/>
        <w:wordWrap w:val="0"/>
        <w:overflowPunct/>
        <w:topLinePunct w:val="0"/>
        <w:autoSpaceDE/>
        <w:autoSpaceDN/>
        <w:bidi w:val="0"/>
        <w:adjustRightInd w:val="0"/>
        <w:spacing w:line="440" w:lineRule="exact"/>
        <w:ind w:right="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napToGrid w:val="0"/>
        <w:spacing w:line="360" w:lineRule="auto"/>
        <w:ind w:firstLine="3666" w:firstLineChars="1100"/>
        <w:rPr>
          <w:rFonts w:hint="eastAsia" w:ascii="仿宋_GB2312" w:hAnsi="仿宋_GB2312" w:eastAsia="仿宋_GB2312" w:cs="仿宋_GB2312"/>
          <w:b/>
          <w:color w:val="auto"/>
          <w:spacing w:val="6"/>
          <w:sz w:val="32"/>
          <w:szCs w:val="32"/>
          <w:highlight w:val="none"/>
        </w:rPr>
      </w:pPr>
    </w:p>
    <w:p>
      <w:pPr>
        <w:widowControl/>
        <w:kinsoku/>
        <w:wordWrap w:val="0"/>
        <w:overflowPunct/>
        <w:topLinePunct w:val="0"/>
        <w:bidi w:val="0"/>
        <w:adjustRightInd/>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br w:type="page"/>
      </w: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5</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color w:val="auto"/>
          <w:kern w:val="0"/>
          <w:sz w:val="32"/>
          <w:szCs w:val="32"/>
          <w:highlight w:val="none"/>
        </w:rPr>
        <w:t>分包意向协议</w:t>
      </w:r>
    </w:p>
    <w:p>
      <w:pPr>
        <w:pageBreakBefore w:val="0"/>
        <w:widowControl/>
        <w:kinsoku/>
        <w:wordWrap w:val="0"/>
        <w:overflowPunct/>
        <w:topLinePunct w:val="0"/>
        <w:autoSpaceDE/>
        <w:autoSpaceDN/>
        <w:bidi w:val="0"/>
        <w:spacing w:line="440" w:lineRule="exact"/>
        <w:ind w:left="0" w:leftChars="0" w:right="0" w:firstLine="120" w:firstLineChars="5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若成为</w:t>
      </w:r>
      <w:r>
        <w:rPr>
          <w:rFonts w:hint="eastAsia" w:ascii="仿宋_GB2312" w:hAnsi="仿宋_GB2312" w:eastAsia="仿宋_GB2312" w:cs="仿宋_GB2312"/>
          <w:color w:val="auto"/>
          <w:sz w:val="24"/>
          <w:highlight w:val="none"/>
          <w:lang w:eastAsia="zh-CN"/>
        </w:rPr>
        <w:t>绍兴市第一中学2025年保洁、保安、绿化养护（租摆）与运行维护采购项目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2025-01-0002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的中标供应商，将依法采取分包方式履行合同。</w:t>
      </w: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rPr>
        <w:t>与</w:t>
      </w:r>
      <w:r>
        <w:rPr>
          <w:rFonts w:hint="eastAsia" w:ascii="仿宋_GB2312" w:hAnsi="仿宋_GB2312" w:eastAsia="仿宋_GB2312" w:cs="仿宋_GB2312"/>
          <w:color w:val="auto"/>
          <w:kern w:val="0"/>
          <w:sz w:val="24"/>
          <w:highlight w:val="none"/>
          <w:u w:val="single"/>
        </w:rPr>
        <w:t>（所有分包供应商名称）</w:t>
      </w:r>
      <w:r>
        <w:rPr>
          <w:rFonts w:hint="eastAsia" w:ascii="仿宋_GB2312" w:hAnsi="仿宋_GB2312" w:eastAsia="仿宋_GB2312" w:cs="仿宋_GB2312"/>
          <w:color w:val="auto"/>
          <w:kern w:val="0"/>
          <w:sz w:val="24"/>
          <w:highlight w:val="none"/>
        </w:rPr>
        <w:t>达成分包意向协议</w:t>
      </w:r>
      <w:r>
        <w:rPr>
          <w:rFonts w:hint="eastAsia" w:ascii="仿宋_GB2312" w:hAnsi="仿宋_GB2312" w:eastAsia="仿宋_GB2312" w:cs="仿宋_GB2312"/>
          <w:color w:val="auto"/>
          <w:kern w:val="0"/>
          <w:sz w:val="24"/>
          <w:highlight w:val="none"/>
          <w:lang w:val="zh-CN"/>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一、分包标的及数量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将</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u w:val="single"/>
        </w:rPr>
        <w:t xml:space="preserve"> XX工作内容   </w:t>
      </w:r>
      <w:r>
        <w:rPr>
          <w:rFonts w:hint="eastAsia" w:ascii="仿宋_GB2312" w:hAnsi="仿宋_GB2312" w:eastAsia="仿宋_GB2312" w:cs="仿宋_GB2312"/>
          <w:color w:val="auto"/>
          <w:sz w:val="24"/>
          <w:highlight w:val="none"/>
        </w:rPr>
        <w:t>分包给</w:t>
      </w:r>
      <w:r>
        <w:rPr>
          <w:rFonts w:hint="eastAsia" w:ascii="仿宋_GB2312" w:hAnsi="仿宋_GB2312" w:eastAsia="仿宋_GB2312" w:cs="仿宋_GB2312"/>
          <w:color w:val="auto"/>
          <w:kern w:val="0"/>
          <w:sz w:val="24"/>
          <w:highlight w:val="none"/>
          <w:u w:val="single"/>
        </w:rPr>
        <w:t>（分包供应商1名称）</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u w:val="single"/>
        </w:rPr>
        <w:t>（分包供应商2名称），</w:t>
      </w:r>
      <w:r>
        <w:rPr>
          <w:rFonts w:hint="eastAsia" w:ascii="仿宋_GB2312" w:hAnsi="仿宋_GB2312" w:eastAsia="仿宋_GB2312" w:cs="仿宋_GB2312"/>
          <w:color w:val="auto"/>
          <w:kern w:val="0"/>
          <w:sz w:val="24"/>
          <w:highlight w:val="none"/>
          <w:lang w:val="zh-CN"/>
        </w:rPr>
        <w:t>具备承</w:t>
      </w:r>
      <w:r>
        <w:rPr>
          <w:rFonts w:hint="eastAsia" w:ascii="仿宋_GB2312" w:hAnsi="仿宋_GB2312" w:eastAsia="仿宋_GB2312" w:cs="仿宋_GB2312"/>
          <w:color w:val="auto"/>
          <w:kern w:val="0"/>
          <w:sz w:val="24"/>
          <w:highlight w:val="none"/>
        </w:rPr>
        <w:t>担</w:t>
      </w:r>
      <w:r>
        <w:rPr>
          <w:rFonts w:hint="eastAsia" w:ascii="仿宋_GB2312" w:hAnsi="仿宋_GB2312" w:eastAsia="仿宋_GB2312" w:cs="仿宋_GB2312"/>
          <w:color w:val="auto"/>
          <w:kern w:val="0"/>
          <w:sz w:val="24"/>
          <w:highlight w:val="none"/>
          <w:u w:val="single"/>
          <w:lang w:val="zh-CN"/>
        </w:rPr>
        <w:t>XX工作内容</w:t>
      </w:r>
      <w:r>
        <w:rPr>
          <w:rFonts w:hint="eastAsia" w:ascii="仿宋_GB2312" w:hAnsi="仿宋_GB2312" w:eastAsia="仿宋_GB2312" w:cs="仿宋_GB2312"/>
          <w:color w:val="auto"/>
          <w:kern w:val="0"/>
          <w:sz w:val="24"/>
          <w:highlight w:val="none"/>
          <w:lang w:val="zh-CN"/>
        </w:rPr>
        <w:t>相应资质条件且不得再次分包；</w:t>
      </w:r>
    </w:p>
    <w:p>
      <w:pPr>
        <w:pStyle w:val="6"/>
        <w:pageBreakBefore w:val="0"/>
        <w:kinsoku/>
        <w:wordWrap w:val="0"/>
        <w:overflowPunct/>
        <w:topLinePunct w:val="0"/>
        <w:autoSpaceDE/>
        <w:autoSpaceDN/>
        <w:bidi w:val="0"/>
        <w:spacing w:line="440" w:lineRule="exact"/>
        <w:ind w:left="0" w:leftChars="0" w:right="0" w:firstLine="229" w:firstLineChars="95"/>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w:t>
      </w:r>
    </w:p>
    <w:p>
      <w:pPr>
        <w:pageBreakBefore w:val="0"/>
        <w:kinsoku/>
        <w:wordWrap w:val="0"/>
        <w:overflowPunct/>
        <w:topLinePunct w:val="0"/>
        <w:autoSpaceDE/>
        <w:autoSpaceDN/>
        <w:bidi w:val="0"/>
        <w:spacing w:line="440" w:lineRule="exact"/>
        <w:ind w:left="0" w:leftChars="0" w:right="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二、分包供应商中小企业合同份额</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color w:val="auto"/>
          <w:kern w:val="0"/>
          <w:sz w:val="24"/>
          <w:highlight w:val="none"/>
          <w:u w:val="single"/>
        </w:rPr>
        <w:t>（分包供应商X,……）提供的服务全部由小微企业承接，</w:t>
      </w:r>
      <w:r>
        <w:rPr>
          <w:rFonts w:hint="eastAsia" w:ascii="仿宋_GB2312" w:hAnsi="仿宋_GB2312" w:eastAsia="仿宋_GB2312" w:cs="仿宋_GB2312"/>
          <w:color w:val="auto"/>
          <w:kern w:val="0"/>
          <w:sz w:val="24"/>
          <w:highlight w:val="none"/>
        </w:rPr>
        <w:t>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highlight w:val="none"/>
        </w:rPr>
        <w:t>。</w:t>
      </w:r>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r>
        <w:rPr>
          <w:rFonts w:hint="eastAsia" w:ascii="仿宋_GB2312" w:hAnsi="仿宋_GB2312" w:eastAsia="仿宋_GB2312" w:cs="仿宋_GB2312"/>
          <w:b/>
          <w:color w:val="auto"/>
          <w:kern w:val="0"/>
          <w:sz w:val="24"/>
          <w:highlight w:val="none"/>
          <w:lang w:val="zh-CN"/>
        </w:rPr>
        <w:t>）</w:t>
      </w:r>
    </w:p>
    <w:p>
      <w:pPr>
        <w:pageBreakBefore w:val="0"/>
        <w:kinsoku/>
        <w:wordWrap w:val="0"/>
        <w:overflowPunct/>
        <w:topLinePunct w:val="0"/>
        <w:autoSpaceDE/>
        <w:autoSpaceDN/>
        <w:bidi w:val="0"/>
        <w:spacing w:line="440" w:lineRule="exact"/>
        <w:ind w:left="0" w:leftChars="0" w:right="0" w:firstLine="480" w:firstLineChars="200"/>
        <w:textAlignment w:val="auto"/>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要求合同分包形式参加的项目或采购包，供应商按招标文件第一部分招标公告申请人的资格要求中规定的</w:t>
      </w:r>
      <w:r>
        <w:rPr>
          <w:rFonts w:hint="eastAsia" w:ascii="仿宋_GB2312" w:hAnsi="仿宋_GB2312" w:eastAsia="仿宋_GB2312" w:cs="仿宋_GB2312"/>
          <w:b/>
          <w:color w:val="auto"/>
          <w:kern w:val="0"/>
          <w:sz w:val="24"/>
          <w:highlight w:val="none"/>
          <w:lang w:val="zh-CN"/>
        </w:rPr>
        <w:t>分包意向协议</w:t>
      </w:r>
      <w:r>
        <w:rPr>
          <w:rFonts w:hint="eastAsia" w:ascii="仿宋_GB2312" w:hAnsi="仿宋_GB2312" w:eastAsia="仿宋_GB2312" w:cs="仿宋_GB2312"/>
          <w:b/>
          <w:bCs/>
          <w:color w:val="auto"/>
          <w:sz w:val="24"/>
          <w:highlight w:val="none"/>
        </w:rPr>
        <w:t>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三、分包工作履行期限、地点、方式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四、质量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五、价款或者报酬</w:t>
      </w:r>
    </w:p>
    <w:p>
      <w:pPr>
        <w:pageBreakBefore w:val="0"/>
        <w:kinsoku/>
        <w:wordWrap w:val="0"/>
        <w:overflowPunct/>
        <w:topLinePunct w:val="0"/>
        <w:autoSpaceDE/>
        <w:autoSpaceDN/>
        <w:bidi w:val="0"/>
        <w:snapToGrid w:val="0"/>
        <w:spacing w:line="440" w:lineRule="exact"/>
        <w:ind w:left="0" w:leftChars="0" w:right="0" w:firstLine="525" w:firstLineChars="250"/>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600" w:firstLineChars="25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六、违约责任</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七、争议解决的办法</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八、其他</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  。                                           投标人名称(电子签名)：</w:t>
      </w:r>
    </w:p>
    <w:p>
      <w:pPr>
        <w:pageBreakBefore w:val="0"/>
        <w:kinsoku/>
        <w:wordWrap w:val="0"/>
        <w:overflowPunct/>
        <w:topLinePunct w:val="0"/>
        <w:autoSpaceDE/>
        <w:autoSpaceDN/>
        <w:bidi w:val="0"/>
        <w:snapToGrid w:val="0"/>
        <w:spacing w:line="440" w:lineRule="exact"/>
        <w:ind w:left="0" w:leftChars="0" w:right="0"/>
        <w:jc w:val="right"/>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分包供应商名称(电子签名/公章)：</w:t>
      </w:r>
    </w:p>
    <w:p>
      <w:pPr>
        <w:pageBreakBefore w:val="0"/>
        <w:kinsoku/>
        <w:wordWrap w:val="0"/>
        <w:overflowPunct/>
        <w:topLinePunct w:val="0"/>
        <w:autoSpaceDE/>
        <w:autoSpaceDN/>
        <w:bidi w:val="0"/>
        <w:snapToGrid w:val="0"/>
        <w:spacing w:line="440" w:lineRule="exact"/>
        <w:ind w:left="0" w:leftChars="0" w:right="0" w:firstLine="5760" w:firstLineChars="2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pPr>
        <w:pageBreakBefore w:val="0"/>
        <w:kinsoku/>
        <w:wordWrap w:val="0"/>
        <w:overflowPunct/>
        <w:topLinePunct w:val="0"/>
        <w:autoSpaceDE/>
        <w:autoSpaceDN/>
        <w:bidi w:val="0"/>
        <w:snapToGrid w:val="0"/>
        <w:spacing w:line="440" w:lineRule="exact"/>
        <w:ind w:left="5040" w:leftChars="0" w:right="0" w:hanging="5040" w:hanging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pPr>
        <w:pageBreakBefore w:val="0"/>
        <w:kinsoku/>
        <w:wordWrap w:val="0"/>
        <w:overflowPunct/>
        <w:topLinePunct w:val="0"/>
        <w:autoSpaceDE/>
        <w:autoSpaceDN/>
        <w:bidi w:val="0"/>
        <w:spacing w:line="440" w:lineRule="exact"/>
        <w:ind w:left="0" w:leftChars="0" w:right="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pStyle w:val="79"/>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79"/>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79"/>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79"/>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79"/>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79"/>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79"/>
        <w:kinsoku/>
        <w:wordWrap w:val="0"/>
        <w:overflowPunct/>
        <w:topLinePunct w:val="0"/>
        <w:bidi w:val="0"/>
        <w:rPr>
          <w:rFonts w:hint="eastAsia" w:ascii="仿宋_GB2312" w:hAnsi="仿宋_GB2312" w:eastAsia="仿宋_GB2312" w:cs="仿宋_GB2312"/>
          <w:color w:val="auto"/>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6</w:t>
      </w:r>
      <w:r>
        <w:rPr>
          <w:rFonts w:hint="eastAsia" w:ascii="仿宋_GB2312" w:hAnsi="仿宋_GB2312" w:eastAsia="仿宋_GB2312" w:cs="仿宋_GB2312"/>
          <w:b/>
          <w:color w:val="auto"/>
          <w:spacing w:val="6"/>
          <w:sz w:val="32"/>
          <w:szCs w:val="32"/>
          <w:highlight w:val="none"/>
        </w:rPr>
        <w:t>：</w:t>
      </w:r>
      <w:bookmarkStart w:id="163" w:name="OLE_LINK14"/>
      <w:bookmarkStart w:id="164" w:name="OLE_LINK13"/>
      <w:r>
        <w:rPr>
          <w:rFonts w:hint="eastAsia" w:ascii="仿宋_GB2312" w:hAnsi="仿宋_GB2312" w:eastAsia="仿宋_GB2312" w:cs="仿宋_GB2312"/>
          <w:b/>
          <w:color w:val="auto"/>
          <w:spacing w:val="6"/>
          <w:sz w:val="32"/>
          <w:szCs w:val="32"/>
          <w:highlight w:val="none"/>
        </w:rPr>
        <w:t>残疾人福利性单位声明函</w:t>
      </w:r>
    </w:p>
    <w:bookmarkEnd w:id="163"/>
    <w:bookmarkEnd w:id="164"/>
    <w:p>
      <w:pPr>
        <w:kinsoku/>
        <w:wordWrap w:val="0"/>
        <w:overflowPunct/>
        <w:topLinePunct w:val="0"/>
        <w:bidi w:val="0"/>
        <w:spacing w:line="360" w:lineRule="auto"/>
        <w:rPr>
          <w:rFonts w:hint="eastAsia" w:ascii="仿宋_GB2312" w:hAnsi="仿宋_GB2312" w:eastAsia="仿宋_GB2312" w:cs="仿宋_GB2312"/>
          <w:b/>
          <w:color w:val="auto"/>
          <w:spacing w:val="6"/>
          <w:sz w:val="30"/>
          <w:szCs w:val="30"/>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auto"/>
          <w:sz w:val="24"/>
          <w:highlight w:val="none"/>
          <w:u w:val="single"/>
          <w:lang w:eastAsia="zh-CN"/>
        </w:rPr>
        <w:t>绍兴市第一中学</w:t>
      </w:r>
      <w:r>
        <w:rPr>
          <w:rFonts w:hint="eastAsia" w:ascii="仿宋_GB2312" w:hAnsi="仿宋_GB2312" w:eastAsia="仿宋_GB2312" w:cs="仿宋_GB2312"/>
          <w:color w:val="auto"/>
          <w:sz w:val="24"/>
          <w:highlight w:val="none"/>
        </w:rPr>
        <w:t>单位的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lang w:eastAsia="zh-CN"/>
        </w:rPr>
        <w:t>绍兴市第一中学2025年保洁、保安、绿化养护（租摆）与运行维护采购项目</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none"/>
          <w:lang w:val="en-US" w:eastAsia="zh-CN"/>
        </w:rPr>
        <w:t>项目</w:t>
      </w:r>
      <w:r>
        <w:rPr>
          <w:rFonts w:hint="eastAsia" w:ascii="仿宋_GB2312" w:hAnsi="仿宋_GB2312" w:eastAsia="仿宋_GB2312" w:cs="仿宋_GB2312"/>
          <w:color w:val="auto"/>
          <w:sz w:val="24"/>
          <w:highlight w:val="none"/>
        </w:rPr>
        <w:t>采购活动提供本单位制造的货物（由本单位承担工程/提供服务），或者提供其他残疾人福利性单位制造的货物（不包括使用非残疾人福利性单位注册商标的货物）。</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lang w:val="zh-CN"/>
        </w:rPr>
        <w:t>投标人名称（电子签名）</w:t>
      </w:r>
      <w:r>
        <w:rPr>
          <w:rFonts w:hint="eastAsia" w:ascii="仿宋_GB2312" w:hAnsi="仿宋_GB2312" w:eastAsia="仿宋_GB2312" w:cs="仿宋_GB2312"/>
          <w:color w:val="auto"/>
          <w:sz w:val="24"/>
          <w:highlight w:val="none"/>
        </w:rPr>
        <w:t>：</w:t>
      </w:r>
    </w:p>
    <w:p>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  期：</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pStyle w:val="2"/>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附件</w:t>
      </w:r>
      <w:r>
        <w:rPr>
          <w:rFonts w:hint="eastAsia" w:ascii="仿宋_GB2312" w:hAnsi="仿宋_GB2312" w:eastAsia="仿宋_GB2312" w:cs="仿宋_GB2312"/>
          <w:b/>
          <w:color w:val="auto"/>
          <w:kern w:val="0"/>
          <w:sz w:val="32"/>
          <w:szCs w:val="32"/>
          <w:highlight w:val="none"/>
          <w:lang w:val="en-US" w:eastAsia="zh-CN"/>
        </w:rPr>
        <w:t>7</w:t>
      </w:r>
      <w:r>
        <w:rPr>
          <w:rFonts w:hint="eastAsia" w:ascii="仿宋_GB2312" w:hAnsi="仿宋_GB2312" w:eastAsia="仿宋_GB2312" w:cs="仿宋_GB2312"/>
          <w:b/>
          <w:color w:val="auto"/>
          <w:kern w:val="0"/>
          <w:sz w:val="32"/>
          <w:szCs w:val="32"/>
          <w:highlight w:val="none"/>
        </w:rPr>
        <w:t>：中小企业声明函</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u w:val="singl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中小企业声明函（服务）</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本公司（联合体）郑重声明，根据《政府采购促进中小企业发展管理办法》（财库﹝2020﹞46 号）的规定，本公司（联合体）参加 </w:t>
      </w:r>
      <w:r>
        <w:rPr>
          <w:rFonts w:hint="eastAsia" w:ascii="仿宋_GB2312" w:hAnsi="仿宋_GB2312" w:eastAsia="仿宋_GB2312" w:cs="仿宋_GB2312"/>
          <w:color w:val="auto"/>
          <w:sz w:val="24"/>
          <w:highlight w:val="none"/>
          <w:u w:val="single"/>
          <w:lang w:eastAsia="zh-CN"/>
        </w:rPr>
        <w:t>绍兴市第一中学</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绍兴市第一中学2025年保洁、保安、绿化养护（租摆）与运行维护采购项目</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采购活动</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服务全部由符合政策要求的中小企业承接。相关企业（含联合体中的中小企业、签订分包意向协议的中小企业）的具体情况如下：</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sz w:val="24"/>
          <w:highlight w:val="none"/>
          <w:u w:val="single"/>
        </w:rPr>
        <w:t>（标的名称）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（采购文件中明确的所属行业）</w:t>
      </w:r>
      <w:r>
        <w:rPr>
          <w:rFonts w:hint="eastAsia" w:ascii="仿宋_GB2312" w:hAnsi="仿宋_GB2312" w:eastAsia="仿宋_GB2312" w:cs="仿宋_GB2312"/>
          <w:color w:val="auto"/>
          <w:sz w:val="24"/>
          <w:highlight w:val="none"/>
        </w:rPr>
        <w:t xml:space="preserve"> ；承建（承接）企业为 </w:t>
      </w:r>
      <w:r>
        <w:rPr>
          <w:rFonts w:hint="eastAsia" w:ascii="仿宋_GB2312" w:hAnsi="仿宋_GB2312" w:eastAsia="仿宋_GB2312" w:cs="仿宋_GB2312"/>
          <w:color w:val="auto"/>
          <w:sz w:val="24"/>
          <w:highlight w:val="none"/>
          <w:u w:val="single"/>
        </w:rPr>
        <w:t>（企业名称）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 </w:t>
      </w: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 xml:space="preserve">属于 </w:t>
      </w:r>
      <w:r>
        <w:rPr>
          <w:rFonts w:hint="eastAsia" w:ascii="仿宋_GB2312" w:hAnsi="仿宋_GB2312" w:eastAsia="仿宋_GB2312" w:cs="仿宋_GB2312"/>
          <w:color w:val="auto"/>
          <w:sz w:val="24"/>
          <w:highlight w:val="none"/>
          <w:u w:val="single"/>
        </w:rPr>
        <w:t xml:space="preserve">（采购文件中明确的所属行业） </w:t>
      </w:r>
      <w:r>
        <w:rPr>
          <w:rFonts w:hint="eastAsia" w:ascii="仿宋_GB2312" w:hAnsi="仿宋_GB2312" w:eastAsia="仿宋_GB2312" w:cs="仿宋_GB2312"/>
          <w:color w:val="auto"/>
          <w:sz w:val="24"/>
          <w:highlight w:val="none"/>
        </w:rPr>
        <w:t xml:space="preserve">；承建（承接）企业为 </w:t>
      </w:r>
      <w:r>
        <w:rPr>
          <w:rFonts w:hint="eastAsia" w:ascii="仿宋_GB2312" w:hAnsi="仿宋_GB2312" w:eastAsia="仿宋_GB2312" w:cs="仿宋_GB2312"/>
          <w:color w:val="auto"/>
          <w:sz w:val="24"/>
          <w:highlight w:val="none"/>
          <w:u w:val="single"/>
        </w:rPr>
        <w:t>（企业名称）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 </w:t>
      </w: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kinsoku/>
        <w:wordWrap w:val="0"/>
        <w:overflowPunct/>
        <w:topLinePunct w:val="0"/>
        <w:bidi w:val="0"/>
        <w:spacing w:line="360" w:lineRule="auto"/>
        <w:ind w:right="176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投标人名称（电子签名）：</w:t>
      </w:r>
    </w:p>
    <w:p>
      <w:pPr>
        <w:kinsoku/>
        <w:wordWrap w:val="0"/>
        <w:overflowPunct/>
        <w:topLinePunct w:val="0"/>
        <w:bidi w:val="0"/>
        <w:spacing w:line="360" w:lineRule="auto"/>
        <w:ind w:right="1120" w:firstLine="4680" w:firstLineChars="19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 期：</w:t>
      </w:r>
    </w:p>
    <w:p>
      <w:pPr>
        <w:kinsoku/>
        <w:wordWrap w:val="0"/>
        <w:overflowPunct/>
        <w:topLinePunct w:val="0"/>
        <w:bidi w:val="0"/>
        <w:spacing w:line="360" w:lineRule="auto"/>
        <w:ind w:firstLine="310" w:firstLineChars="147"/>
        <w:jc w:val="left"/>
        <w:rPr>
          <w:rFonts w:hint="eastAsia" w:ascii="仿宋_GB2312" w:hAnsi="仿宋_GB2312" w:eastAsia="仿宋_GB2312" w:cs="仿宋_GB2312"/>
          <w:b/>
          <w:color w:val="auto"/>
          <w:szCs w:val="21"/>
          <w:highlight w:val="none"/>
        </w:rPr>
      </w:pPr>
      <w:r>
        <w:rPr>
          <w:rFonts w:hint="eastAsia" w:ascii="仿宋_GB2312" w:hAnsi="仿宋_GB2312" w:eastAsia="仿宋_GB2312" w:cs="仿宋_GB2312"/>
          <w:b/>
          <w:color w:val="auto"/>
          <w:szCs w:val="21"/>
          <w:highlight w:val="none"/>
        </w:rPr>
        <w:t>从业人员、营业收入、资产总额填报上一年度数据，无上一年度数据的新成立企业可不填报。</w:t>
      </w: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注：</w:t>
      </w:r>
    </w:p>
    <w:p>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6"/>
        <w:kinsoku/>
        <w:wordWrap w:val="0"/>
        <w:overflowPunct/>
        <w:topLinePunct w:val="0"/>
        <w:bidi w:val="0"/>
        <w:rPr>
          <w:rFonts w:hint="eastAsia" w:ascii="仿宋_GB2312" w:hAnsi="仿宋_GB2312" w:eastAsia="仿宋_GB2312" w:cs="仿宋_GB2312"/>
          <w:color w:val="auto"/>
          <w:highlight w:val="none"/>
          <w:lang w:val="en-US"/>
        </w:rPr>
      </w:pPr>
    </w:p>
    <w:p>
      <w:pPr>
        <w:pageBreakBefore/>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国家统计局关于印发《统计上大中小微型企业划分办法（2017）》的通知</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各省、自治区、直辖市统计局，新疆生产建设兵团统计局，国务院各有关部门，国家统计局各调查总队：</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kinsoku/>
        <w:wordWrap w:val="0"/>
        <w:overflowPunct/>
        <w:topLinePunct w:val="0"/>
        <w:bidi w:val="0"/>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附件：《统计上大中小微型企业划分办法（2017）》修订说明</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国家统计局  </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2017年12月28日</w:t>
      </w:r>
    </w:p>
    <w:p>
      <w:pPr>
        <w:pStyle w:val="2"/>
        <w:kinsoku/>
        <w:wordWrap w:val="0"/>
        <w:overflowPunct/>
        <w:topLinePunct w:val="0"/>
        <w:bidi w:val="0"/>
        <w:rPr>
          <w:rFonts w:hint="eastAsia" w:ascii="仿宋_GB2312" w:hAnsi="仿宋_GB2312" w:eastAsia="仿宋_GB2312" w:cs="仿宋_GB2312"/>
          <w:color w:val="auto"/>
          <w:highlight w:val="none"/>
          <w:lang w:val="en-US" w:eastAsia="zh-CN"/>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五、企业划分由政府综合统计部门根据统计年报每年确定一次，定报统计原则上不进行调整。</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六、本办法自印发之日起执行，国家统计局2011年印发的《统计上大中小微型企业划分办法》（国统字〔2011〕75号）同时废止。</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附表：统计上大中小微型企业划分标准</w:t>
      </w: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行业名称</w:t>
            </w:r>
          </w:p>
        </w:tc>
        <w:tc>
          <w:tcPr>
            <w:tcW w:w="156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指标名称</w:t>
            </w:r>
          </w:p>
        </w:tc>
        <w:tc>
          <w:tcPr>
            <w:tcW w:w="67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计量单位</w:t>
            </w:r>
          </w:p>
        </w:tc>
        <w:tc>
          <w:tcPr>
            <w:tcW w:w="123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大型</w:t>
            </w:r>
          </w:p>
        </w:tc>
        <w:tc>
          <w:tcPr>
            <w:tcW w:w="189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中型</w:t>
            </w:r>
          </w:p>
        </w:tc>
        <w:tc>
          <w:tcPr>
            <w:tcW w:w="173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小型</w:t>
            </w:r>
          </w:p>
        </w:tc>
        <w:tc>
          <w:tcPr>
            <w:tcW w:w="1203"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农、林、牧、渔业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50≤Y＜500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工业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2000≤Y＜40000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建筑业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Y≥80000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6000≤Y＜80000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300≤Y＜6000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Z≥80000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5000≤Z＜80000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300≤Z＜5000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批发业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20≤X＜200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5≤X＜20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5000≤Y＜40000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零售业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10≤X＜50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100≤Y＜500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交通运输业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200≤Y＜3000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仓储业*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邮政业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住宿业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餐饮业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信息传输业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软件和信息技术服务业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房地产开发经营</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1000≤Y＜200000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2000≤Z＜5000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物业管理</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租赁和商务服务业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8000≤Z＜120000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100≤Z＜8000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其他未列明行业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bl>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说明：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1.大型、中型和小型企业须同时满足所列指标的下限，否则下划一档；微型企业只须满足所列指标中的一项即可。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3.企业划分指标以现行统计制度为准。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（1）从业人员，是指期末从业人员数，没有期末从业人员数的，采用全年平均人员数代替。</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（3）资产总额，采用资产总计代替。</w:t>
      </w: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《统计上大中小微型企业划分办法（2017）》修订说明</w:t>
      </w:r>
    </w:p>
    <w:p>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一、修订背景</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二、修订主要内容</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将交通运输业中包括的“装卸搬运和运输代理业”修改为“多式联运和运输代理业、装卸搬运”。</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仓储业所包括的行业中类，根据《国民经济行业分类》（GB/T4754—2017）调整为“通用仓储，低温仓储，危险品仓储，谷物、棉花等农产品仓储，中药材仓储和其他仓储业”。</w:t>
      </w: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中国人民银行中国银行业监督管理委员会</w:t>
      </w: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中国证券监督管理委员会中国保险监督管理委员会</w:t>
      </w: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国家统计局关于印发《金融业企业划型标准规定》的通知</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附件：金融业企业划型标准规定</w:t>
      </w: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金融业企业划型标准规定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二、适用范围。本规定适用于从事《国民经济行业分类》(GB/T4754-2011)中J门类（金融业）活动的企业。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四、划型标准指标。采用一个完整会计年度中四个季度末法人并表口径的资产总额（信托公司为信托资产）平均值作为划型指标，该指标以监管部门数据为准。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五、指标标准值。依据指标标准值，将各类金融业企业划分为大、中、小、微四个规模类型，中型企业标准上限及以上的为大型企业。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七、标准值的评估和调整。金融业企业划型标准工作组毎五年对划型标准值受经济发展与通货膨胀等因素的响程度进行评估和调整。</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九</w:t>
      </w:r>
      <w:r>
        <w:rPr>
          <w:rFonts w:hint="eastAsia" w:ascii="仿宋_GB2312" w:hAnsi="仿宋_GB2312" w:eastAsia="仿宋_GB2312" w:cs="仿宋_GB2312"/>
          <w:color w:val="auto"/>
          <w:kern w:val="0"/>
          <w:szCs w:val="21"/>
          <w:highlight w:val="none"/>
          <w:lang w:eastAsia="zh-CN"/>
        </w:rPr>
        <w:t>、</w:t>
      </w:r>
      <w:r>
        <w:rPr>
          <w:rFonts w:hint="eastAsia" w:ascii="仿宋_GB2312" w:hAnsi="仿宋_GB2312" w:eastAsia="仿宋_GB2312" w:cs="仿宋_GB2312"/>
          <w:color w:val="auto"/>
          <w:kern w:val="0"/>
          <w:szCs w:val="21"/>
          <w:highlight w:val="none"/>
        </w:rPr>
        <w:t>融资担保公司参照本规定中“除贷款公司、小额贷款公司、典当行以外的其他金融机构”标准划型。</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十、本规定由人民银行会同银监会，证监会、保监会和统计局负责解释。</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十一、本规定自发布之日起实施。</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附：金融业企业划型标准</w:t>
      </w: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w:t>
            </w:r>
          </w:p>
        </w:tc>
        <w:tc>
          <w:tcPr>
            <w:tcW w:w="283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类别</w:t>
            </w:r>
          </w:p>
        </w:tc>
        <w:tc>
          <w:tcPr>
            <w:tcW w:w="60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类型</w:t>
            </w:r>
          </w:p>
        </w:tc>
        <w:tc>
          <w:tcPr>
            <w:tcW w:w="332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货币金融服务</w:t>
            </w: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货币银行服务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银行业存款类金融机构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非货币银行服务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银行业非存款类金融机构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贷款公司、小额贷款公司及典当行</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资本市场服务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证券业金融机构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其他金融业</w:t>
            </w: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金融信托与管理服务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信托公司</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控股公司服务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金融控股公司</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其他未包括的金融业</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除贷款公司、小额贷款公司及典当行以外的其他金融机构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bl>
    <w:p>
      <w:pPr>
        <w:kinsoku/>
        <w:wordWrap w:val="0"/>
        <w:overflowPunct/>
        <w:topLinePunct w:val="0"/>
        <w:bidi w:val="0"/>
        <w:rPr>
          <w:rFonts w:hint="eastAsia" w:ascii="仿宋_GB2312" w:hAnsi="仿宋_GB2312" w:eastAsia="仿宋_GB2312" w:cs="仿宋_GB2312"/>
          <w:color w:val="auto"/>
          <w:sz w:val="24"/>
          <w:highlight w:val="none"/>
        </w:rPr>
      </w:pPr>
    </w:p>
    <w:p>
      <w:pPr>
        <w:kinsoku/>
        <w:wordWrap w:val="0"/>
        <w:overflowPunct/>
        <w:topLinePunct w:val="0"/>
        <w:bidi w:val="0"/>
        <w:ind w:firstLine="420" w:firstLineChars="200"/>
        <w:rPr>
          <w:rFonts w:hint="eastAsia" w:ascii="仿宋_GB2312" w:hAnsi="仿宋_GB2312" w:eastAsia="仿宋_GB2312" w:cs="仿宋_GB2312"/>
          <w:color w:val="auto"/>
          <w:highlight w:val="none"/>
        </w:rPr>
      </w:pPr>
    </w:p>
    <w:p>
      <w:pPr>
        <w:kinsoku/>
        <w:wordWrap w:val="0"/>
        <w:overflowPunct/>
        <w:topLinePunct w:val="0"/>
        <w:bidi w:val="0"/>
        <w:spacing w:line="360" w:lineRule="auto"/>
        <w:ind w:right="420"/>
        <w:rPr>
          <w:rFonts w:hint="eastAsia" w:ascii="仿宋" w:hAnsi="仿宋" w:eastAsia="仿宋" w:cs="仿宋"/>
          <w:color w:val="auto"/>
          <w:highlight w:val="none"/>
        </w:rPr>
      </w:pPr>
    </w:p>
    <w:p>
      <w:pPr>
        <w:kinsoku/>
        <w:wordWrap w:val="0"/>
        <w:overflowPunct/>
        <w:topLinePunct w:val="0"/>
        <w:bidi w:val="0"/>
        <w:spacing w:line="360" w:lineRule="auto"/>
        <w:rPr>
          <w:rFonts w:ascii="宋体" w:hAnsi="宋体" w:cs="宋体"/>
          <w:bCs/>
          <w:color w:val="auto"/>
          <w:sz w:val="24"/>
          <w:highlight w:val="none"/>
        </w:rPr>
      </w:pPr>
    </w:p>
    <w:sectPr>
      <w:footerReference r:id="rId20" w:type="firs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hint="default"/>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w:t>
    </w:r>
    <w:r>
      <w:rPr>
        <w:rFonts w:hint="eastAsia" w:ascii="仿宋" w:hAnsi="仿宋" w:eastAsia="仿宋" w:cs="仿宋"/>
        <w:sz w:val="20"/>
        <w:szCs w:val="20"/>
        <w:lang w:val="en-US" w:eastAsia="zh-CN"/>
      </w:rPr>
      <w:t>0002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0"/>
      </w:pBdr>
      <w:tabs>
        <w:tab w:val="clear" w:pos="4153"/>
        <w:tab w:val="clear" w:pos="8306"/>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招标编号:2025-01-xxxx</w:t>
    </w:r>
  </w:p>
  <w:p>
    <w:pPr>
      <w:pStyle w:val="42"/>
      <w:pBdr>
        <w:bottom w:val="none" w:color="auto" w:sz="0" w:space="0"/>
      </w:pBdr>
      <w:tabs>
        <w:tab w:val="clear" w:pos="4153"/>
        <w:tab w:val="clear" w:pos="8306"/>
      </w:tabs>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b/>
        <w:i/>
        <w:sz w:val="18"/>
        <w:u w:val="single"/>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58D2910D"/>
    <w:multiLevelType w:val="singleLevel"/>
    <w:tmpl w:val="58D2910D"/>
    <w:lvl w:ilvl="0" w:tentative="0">
      <w:start w:val="1"/>
      <w:numFmt w:val="decimal"/>
      <w:lvlText w:val="%1."/>
      <w:lvlJc w:val="left"/>
      <w:pPr>
        <w:tabs>
          <w:tab w:val="left" w:pos="312"/>
        </w:tabs>
      </w:pPr>
    </w:lvl>
  </w:abstractNum>
  <w:abstractNum w:abstractNumId="3">
    <w:nsid w:val="5BB1F43B"/>
    <w:multiLevelType w:val="singleLevel"/>
    <w:tmpl w:val="5BB1F43B"/>
    <w:lvl w:ilvl="0" w:tentative="0">
      <w:start w:val="1"/>
      <w:numFmt w:val="decimal"/>
      <w:lvlText w:val="%1."/>
      <w:lvlJc w:val="left"/>
      <w:pPr>
        <w:tabs>
          <w:tab w:val="left" w:pos="312"/>
        </w:tabs>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35BEF8B"/>
    <w:rsid w:val="0F096B8F"/>
    <w:rsid w:val="0F63063F"/>
    <w:rsid w:val="134E3941"/>
    <w:rsid w:val="18E60774"/>
    <w:rsid w:val="1D2F1C3B"/>
    <w:rsid w:val="1FBFFEB0"/>
    <w:rsid w:val="21C23686"/>
    <w:rsid w:val="26E12F35"/>
    <w:rsid w:val="275DFFED"/>
    <w:rsid w:val="27936D88"/>
    <w:rsid w:val="2F0C0A43"/>
    <w:rsid w:val="30CD01D9"/>
    <w:rsid w:val="326F4556"/>
    <w:rsid w:val="34985663"/>
    <w:rsid w:val="3E6DF6DC"/>
    <w:rsid w:val="3FCFDA4A"/>
    <w:rsid w:val="427E60E8"/>
    <w:rsid w:val="47E94698"/>
    <w:rsid w:val="4F1636DC"/>
    <w:rsid w:val="4F4B3D85"/>
    <w:rsid w:val="4F981E95"/>
    <w:rsid w:val="5B73EE39"/>
    <w:rsid w:val="5CFAC9C4"/>
    <w:rsid w:val="5F561B6F"/>
    <w:rsid w:val="5F57E5CA"/>
    <w:rsid w:val="64AFCBD0"/>
    <w:rsid w:val="669C35D3"/>
    <w:rsid w:val="66BB07E1"/>
    <w:rsid w:val="6AFF2A6C"/>
    <w:rsid w:val="6EBAEEF7"/>
    <w:rsid w:val="6FC37AD4"/>
    <w:rsid w:val="778CFDC4"/>
    <w:rsid w:val="77EDE09C"/>
    <w:rsid w:val="77FC104D"/>
    <w:rsid w:val="78AD1F79"/>
    <w:rsid w:val="78BB59A6"/>
    <w:rsid w:val="7A0100CF"/>
    <w:rsid w:val="7DFF3A1B"/>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8"/>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w:basedOn w:val="1"/>
    <w:next w:val="3"/>
    <w:link w:val="428"/>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4"/>
    <w:link w:val="319"/>
    <w:qFormat/>
    <w:uiPriority w:val="0"/>
    <w:pPr>
      <w:ind w:firstLine="420"/>
    </w:pPr>
    <w:rPr>
      <w:rFonts w:hAnsi="Calibri" w:cs="Times New Roman"/>
      <w:snapToGrid/>
      <w:szCs w:val="20"/>
    </w:rPr>
  </w:style>
  <w:style w:type="paragraph" w:styleId="4">
    <w:name w:val="toc 6"/>
    <w:basedOn w:val="1"/>
    <w:next w:val="1"/>
    <w:qFormat/>
    <w:uiPriority w:val="0"/>
    <w:pPr>
      <w:ind w:left="2100" w:leftChars="1000"/>
    </w:pPr>
  </w:style>
  <w:style w:type="paragraph" w:styleId="8">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5">
    <w:name w:val="toc 7"/>
    <w:basedOn w:val="1"/>
    <w:next w:val="1"/>
    <w:qFormat/>
    <w:uiPriority w:val="0"/>
    <w:pPr>
      <w:ind w:left="2520" w:leftChars="1200"/>
    </w:pPr>
  </w:style>
  <w:style w:type="paragraph" w:styleId="16">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7">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9">
    <w:name w:val="caption"/>
    <w:basedOn w:val="1"/>
    <w:next w:val="1"/>
    <w:link w:val="228"/>
    <w:qFormat/>
    <w:uiPriority w:val="0"/>
    <w:rPr>
      <w:b/>
      <w:sz w:val="28"/>
      <w:szCs w:val="20"/>
    </w:rPr>
  </w:style>
  <w:style w:type="paragraph" w:styleId="20">
    <w:name w:val="index 5"/>
    <w:basedOn w:val="1"/>
    <w:next w:val="1"/>
    <w:qFormat/>
    <w:uiPriority w:val="0"/>
    <w:pPr>
      <w:adjustRightInd/>
      <w:ind w:left="800" w:leftChars="800" w:firstLine="200" w:firstLineChars="200"/>
    </w:pPr>
  </w:style>
  <w:style w:type="paragraph" w:styleId="21">
    <w:name w:val="Document Map"/>
    <w:basedOn w:val="1"/>
    <w:link w:val="201"/>
    <w:qFormat/>
    <w:uiPriority w:val="0"/>
    <w:pPr>
      <w:shd w:val="clear" w:color="auto" w:fill="000080"/>
    </w:pPr>
  </w:style>
  <w:style w:type="paragraph" w:styleId="22">
    <w:name w:val="annotation text"/>
    <w:basedOn w:val="1"/>
    <w:link w:val="342"/>
    <w:qFormat/>
    <w:uiPriority w:val="99"/>
    <w:pPr>
      <w:jc w:val="left"/>
    </w:pPr>
  </w:style>
  <w:style w:type="paragraph" w:styleId="23">
    <w:name w:val="Salutation"/>
    <w:basedOn w:val="1"/>
    <w:next w:val="1"/>
    <w:link w:val="296"/>
    <w:qFormat/>
    <w:uiPriority w:val="0"/>
    <w:rPr>
      <w:rFonts w:ascii="仿宋_GB2312" w:eastAsia="仿宋_GB2312"/>
      <w:sz w:val="28"/>
      <w:szCs w:val="20"/>
    </w:rPr>
  </w:style>
  <w:style w:type="paragraph" w:styleId="24">
    <w:name w:val="Body Text 3"/>
    <w:basedOn w:val="1"/>
    <w:link w:val="328"/>
    <w:qFormat/>
    <w:uiPriority w:val="0"/>
    <w:pPr>
      <w:jc w:val="center"/>
    </w:pPr>
    <w:rPr>
      <w:szCs w:val="20"/>
    </w:rPr>
  </w:style>
  <w:style w:type="paragraph" w:styleId="25">
    <w:name w:val="List Bullet 3"/>
    <w:basedOn w:val="1"/>
    <w:qFormat/>
    <w:uiPriority w:val="0"/>
    <w:pPr>
      <w:snapToGrid w:val="0"/>
      <w:spacing w:line="360" w:lineRule="auto"/>
      <w:ind w:left="360" w:right="238" w:hanging="360"/>
      <w:contextualSpacing/>
    </w:pPr>
    <w:rPr>
      <w:sz w:val="24"/>
    </w:rPr>
  </w:style>
  <w:style w:type="paragraph" w:styleId="26">
    <w:name w:val="Body Text Indent"/>
    <w:basedOn w:val="1"/>
    <w:link w:val="263"/>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8"/>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8"/>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2"/>
    <w:next w:val="22"/>
    <w:link w:val="95"/>
    <w:qFormat/>
    <w:uiPriority w:val="0"/>
    <w:rPr>
      <w:b/>
      <w:bCs/>
    </w:rPr>
  </w:style>
  <w:style w:type="paragraph" w:styleId="61">
    <w:name w:val="Body Text First Indent 2"/>
    <w:basedOn w:val="26"/>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1"/>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6"/>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7"/>
    <w:qFormat/>
    <w:uiPriority w:val="0"/>
    <w:rPr>
      <w:rFonts w:ascii="宋体"/>
      <w:kern w:val="2"/>
      <w:sz w:val="24"/>
      <w:szCs w:val="21"/>
      <w:lang w:val="zh-CN"/>
    </w:rPr>
  </w:style>
  <w:style w:type="character" w:customStyle="1" w:styleId="181">
    <w:name w:val="标题 9 Char"/>
    <w:link w:val="14"/>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8"/>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1"/>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9"/>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9"/>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5"/>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10"/>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3"/>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9"/>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2"/>
    <w:qFormat/>
    <w:uiPriority w:val="0"/>
    <w:rPr>
      <w:b/>
      <w:bCs/>
      <w:kern w:val="2"/>
      <w:sz w:val="24"/>
      <w:szCs w:val="24"/>
    </w:rPr>
  </w:style>
  <w:style w:type="character" w:customStyle="1" w:styleId="306">
    <w:name w:val="正文文本缩进 2 Char"/>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3"/>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9"/>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4"/>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2"/>
    <w:qFormat/>
    <w:uiPriority w:val="99"/>
    <w:rPr>
      <w:kern w:val="2"/>
      <w:sz w:val="21"/>
      <w:szCs w:val="24"/>
    </w:rPr>
  </w:style>
  <w:style w:type="character" w:customStyle="1" w:styleId="343">
    <w:name w:val="签名 Char"/>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3"/>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8"/>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9"/>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6"/>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1"/>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6"/>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7"/>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10"/>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7"/>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8"/>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9"/>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6"/>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6"/>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5"/>
    <w:qFormat/>
    <w:uiPriority w:val="0"/>
    <w:pPr>
      <w:tabs>
        <w:tab w:val="left" w:pos="840"/>
      </w:tabs>
      <w:adjustRightInd/>
      <w:ind w:left="840" w:hanging="420"/>
    </w:pPr>
  </w:style>
  <w:style w:type="paragraph" w:customStyle="1" w:styleId="624">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9"/>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9"/>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7"/>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8"/>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7"/>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9"/>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8"/>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1"/>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5"/>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10"/>
    <w:next w:val="1"/>
    <w:qFormat/>
    <w:uiPriority w:val="0"/>
    <w:pPr>
      <w:tabs>
        <w:tab w:val="left" w:pos="1080"/>
      </w:tabs>
      <w:ind w:left="1080" w:hanging="1080"/>
    </w:pPr>
  </w:style>
  <w:style w:type="paragraph" w:customStyle="1" w:styleId="895">
    <w:name w:val="数字标题1"/>
    <w:basedOn w:val="5"/>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40152</Words>
  <Characters>42752</Characters>
  <Paragraphs>1943</Paragraphs>
  <TotalTime>0</TotalTime>
  <ScaleCrop>false</ScaleCrop>
  <LinksUpToDate>false</LinksUpToDate>
  <CharactersWithSpaces>50218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市交易中心</cp:lastModifiedBy>
  <cp:lastPrinted>2021-12-31T19:06:00Z</cp:lastPrinted>
  <dcterms:modified xsi:type="dcterms:W3CDTF">2025-01-16T08:15:02Z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