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val="0"/>
        <w:overflowPunct/>
        <w:topLinePunct w:val="0"/>
        <w:autoSpaceDE/>
        <w:autoSpaceDN/>
        <w:bidi w:val="0"/>
        <w:adjustRightInd/>
        <w:snapToGrid/>
        <w:spacing w:line="800" w:lineRule="exact"/>
        <w:jc w:val="center"/>
        <w:textAlignment w:val="auto"/>
        <w:rPr>
          <w:rFonts w:hint="eastAsia" w:ascii="隶书" w:hAnsi="隶书" w:eastAsia="隶书" w:cs="隶书"/>
          <w:b/>
          <w:bCs/>
          <w:color w:val="auto"/>
          <w:sz w:val="56"/>
          <w:szCs w:val="56"/>
          <w:highlight w:val="none"/>
          <w:lang w:eastAsia="zh-CN"/>
        </w:rPr>
      </w:pPr>
      <w:r>
        <w:rPr>
          <w:rFonts w:hint="eastAsia" w:ascii="隶书" w:hAnsi="隶书" w:eastAsia="隶书" w:cs="隶书"/>
          <w:b/>
          <w:bCs/>
          <w:color w:val="auto"/>
          <w:sz w:val="56"/>
          <w:szCs w:val="56"/>
          <w:highlight w:val="none"/>
          <w:lang w:eastAsia="zh-CN"/>
        </w:rPr>
        <w:t>绍兴艺术学校</w:t>
      </w:r>
    </w:p>
    <w:p>
      <w:pPr>
        <w:keepNext w:val="0"/>
        <w:keepLines w:val="0"/>
        <w:pageBreakBefore w:val="0"/>
        <w:widowControl w:val="0"/>
        <w:kinsoku/>
        <w:wordWrap w:val="0"/>
        <w:overflowPunct/>
        <w:topLinePunct w:val="0"/>
        <w:autoSpaceDE/>
        <w:autoSpaceDN/>
        <w:bidi w:val="0"/>
        <w:adjustRightInd/>
        <w:snapToGrid/>
        <w:spacing w:line="800" w:lineRule="exact"/>
        <w:jc w:val="center"/>
        <w:textAlignment w:val="auto"/>
        <w:rPr>
          <w:rFonts w:hint="eastAsia" w:ascii="隶书" w:hAnsi="隶书" w:eastAsia="隶书" w:cs="隶书"/>
          <w:b/>
          <w:bCs/>
          <w:color w:val="auto"/>
          <w:sz w:val="56"/>
          <w:szCs w:val="56"/>
          <w:highlight w:val="none"/>
          <w:lang w:eastAsia="zh-CN"/>
        </w:rPr>
      </w:pPr>
      <w:r>
        <w:rPr>
          <w:rFonts w:hint="eastAsia" w:ascii="隶书" w:hAnsi="隶书" w:eastAsia="隶书" w:cs="隶书"/>
          <w:b/>
          <w:bCs/>
          <w:color w:val="auto"/>
          <w:sz w:val="56"/>
          <w:szCs w:val="56"/>
          <w:highlight w:val="none"/>
          <w:lang w:eastAsia="zh-CN"/>
        </w:rPr>
        <w:t xml:space="preserve">2025物业管理项目 </w:t>
      </w:r>
    </w:p>
    <w:p>
      <w:pPr>
        <w:kinsoku/>
        <w:wordWrap w:val="0"/>
        <w:overflowPunct/>
        <w:topLinePunct w:val="0"/>
        <w:bidi w:val="0"/>
        <w:jc w:val="center"/>
        <w:outlineLvl w:val="0"/>
        <w:rPr>
          <w:rFonts w:hint="eastAsia" w:ascii="隶书" w:hAnsi="隶书" w:eastAsia="隶书" w:cs="隶书"/>
          <w:b/>
          <w:color w:val="auto"/>
          <w:sz w:val="72"/>
          <w:szCs w:val="72"/>
          <w:highlight w:val="none"/>
        </w:rPr>
      </w:pP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公</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开</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招</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标</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文</w:t>
      </w:r>
    </w:p>
    <w:p>
      <w:pPr>
        <w:kinsoku/>
        <w:wordWrap w:val="0"/>
        <w:overflowPunct/>
        <w:topLinePunct w:val="0"/>
        <w:bidi w:val="0"/>
        <w:jc w:val="center"/>
        <w:outlineLvl w:val="0"/>
        <w:rPr>
          <w:rFonts w:hint="eastAsia" w:ascii="隶书" w:hAnsi="隶书" w:eastAsia="隶书" w:cs="隶书"/>
          <w:color w:val="auto"/>
          <w:sz w:val="44"/>
          <w:highlight w:val="none"/>
        </w:rPr>
      </w:pPr>
      <w:r>
        <w:rPr>
          <w:rFonts w:hint="eastAsia" w:ascii="隶书" w:hAnsi="隶书" w:eastAsia="隶书" w:cs="隶书"/>
          <w:b/>
          <w:color w:val="auto"/>
          <w:sz w:val="72"/>
          <w:szCs w:val="72"/>
          <w:highlight w:val="none"/>
        </w:rPr>
        <w:t>件</w:t>
      </w:r>
    </w:p>
    <w:p>
      <w:pPr>
        <w:kinsoku/>
        <w:wordWrap w:val="0"/>
        <w:overflowPunct/>
        <w:topLinePunct w:val="0"/>
        <w:bidi w:val="0"/>
        <w:adjustRightInd/>
        <w:spacing w:line="360" w:lineRule="auto"/>
        <w:jc w:val="center"/>
        <w:rPr>
          <w:rFonts w:hint="eastAsia" w:ascii="隶书" w:hAnsi="隶书" w:eastAsia="隶书" w:cs="隶书"/>
          <w:b/>
          <w:color w:val="auto"/>
          <w:sz w:val="44"/>
          <w:szCs w:val="44"/>
          <w:highlight w:val="none"/>
        </w:rPr>
      </w:pPr>
      <w:r>
        <w:rPr>
          <w:rFonts w:hint="eastAsia" w:ascii="隶书" w:hAnsi="隶书" w:eastAsia="隶书" w:cs="隶书"/>
          <w:b/>
          <w:color w:val="auto"/>
          <w:sz w:val="44"/>
          <w:szCs w:val="44"/>
          <w:highlight w:val="none"/>
        </w:rPr>
        <w:t>（电子招投标）</w:t>
      </w:r>
    </w:p>
    <w:p>
      <w:pPr>
        <w:pStyle w:val="5"/>
        <w:kinsoku/>
        <w:wordWrap w:val="0"/>
        <w:overflowPunct/>
        <w:topLinePunct w:val="0"/>
        <w:bidi w:val="0"/>
        <w:rPr>
          <w:rFonts w:hint="eastAsia" w:ascii="隶书" w:hAnsi="隶书" w:eastAsia="隶书" w:cs="隶书"/>
          <w:b/>
          <w:color w:val="auto"/>
          <w:sz w:val="44"/>
          <w:szCs w:val="44"/>
          <w:highlight w:val="none"/>
        </w:rPr>
      </w:pPr>
    </w:p>
    <w:p>
      <w:pPr>
        <w:kinsoku/>
        <w:wordWrap w:val="0"/>
        <w:overflowPunct/>
        <w:topLinePunct w:val="0"/>
        <w:bidi w:val="0"/>
        <w:rPr>
          <w:rFonts w:hint="eastAsia"/>
          <w:color w:val="auto"/>
          <w:highlight w:val="none"/>
        </w:rPr>
      </w:pPr>
    </w:p>
    <w:p>
      <w:pPr>
        <w:kinsoku/>
        <w:wordWrap w:val="0"/>
        <w:overflowPunct/>
        <w:topLinePunct w:val="0"/>
        <w:bidi w:val="0"/>
        <w:jc w:val="center"/>
        <w:rPr>
          <w:rFonts w:hint="eastAsia" w:ascii="隶书" w:hAnsi="隶书" w:eastAsia="隶书" w:cs="隶书"/>
          <w:b w:val="0"/>
          <w:bCs/>
          <w:color w:val="auto"/>
          <w:sz w:val="28"/>
          <w:szCs w:val="28"/>
          <w:highlight w:val="none"/>
          <w:lang w:eastAsia="zh-CN"/>
        </w:rPr>
      </w:pPr>
      <w:r>
        <w:rPr>
          <w:rFonts w:hint="eastAsia" w:ascii="隶书" w:hAnsi="隶书" w:eastAsia="隶书" w:cs="隶书"/>
          <w:b w:val="0"/>
          <w:bCs/>
          <w:color w:val="auto"/>
          <w:sz w:val="28"/>
          <w:szCs w:val="28"/>
          <w:highlight w:val="none"/>
          <w:lang w:eastAsia="zh-CN"/>
        </w:rPr>
        <w:t>招标编号:</w:t>
      </w:r>
      <w:r>
        <w:rPr>
          <w:rFonts w:hint="eastAsia" w:ascii="隶书" w:hAnsi="隶书" w:eastAsia="隶书" w:cs="隶书"/>
          <w:b/>
          <w:bCs w:val="0"/>
          <w:color w:val="auto"/>
          <w:sz w:val="28"/>
          <w:szCs w:val="28"/>
          <w:highlight w:val="none"/>
          <w:lang w:eastAsia="zh-CN"/>
        </w:rPr>
        <w:t>2025-01-0010</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rPr>
              <w:t>采购单</w:t>
            </w:r>
            <w:r>
              <w:rPr>
                <w:rFonts w:hint="eastAsia" w:ascii="隶书" w:hAnsi="隶书" w:eastAsia="隶书" w:cs="隶书"/>
                <w:color w:val="auto"/>
                <w:spacing w:val="1"/>
                <w:kern w:val="0"/>
                <w:sz w:val="28"/>
                <w:szCs w:val="28"/>
                <w:highlight w:val="none"/>
              </w:rPr>
              <w:t>位</w:t>
            </w:r>
            <w:r>
              <w:rPr>
                <w:rFonts w:hint="eastAsia" w:ascii="隶书" w:hAnsi="隶书" w:eastAsia="隶书" w:cs="隶书"/>
                <w:color w:val="auto"/>
                <w:sz w:val="28"/>
                <w:szCs w:val="28"/>
                <w:highlight w:val="none"/>
              </w:rPr>
              <w:t>：</w:t>
            </w:r>
          </w:p>
        </w:tc>
        <w:tc>
          <w:tcPr>
            <w:tcW w:w="5445" w:type="dxa"/>
            <w:vAlign w:val="center"/>
          </w:tcPr>
          <w:p>
            <w:pPr>
              <w:kinsoku/>
              <w:wordWrap w:val="0"/>
              <w:overflowPunct/>
              <w:topLinePunct w:val="0"/>
              <w:bidi w:val="0"/>
              <w:spacing w:line="320" w:lineRule="exact"/>
              <w:outlineLvl w:val="0"/>
              <w:rPr>
                <w:rFonts w:hint="eastAsia" w:ascii="隶书" w:hAnsi="隶书" w:eastAsia="隶书" w:cs="隶书"/>
                <w:color w:val="auto"/>
                <w:sz w:val="28"/>
                <w:szCs w:val="28"/>
                <w:highlight w:val="none"/>
                <w:lang w:eastAsia="zh-CN"/>
              </w:rPr>
            </w:pPr>
            <w:r>
              <w:rPr>
                <w:rFonts w:hint="eastAsia" w:ascii="隶书" w:hAnsi="隶书" w:eastAsia="隶书" w:cs="隶书"/>
                <w:color w:val="auto"/>
                <w:sz w:val="28"/>
                <w:szCs w:val="28"/>
                <w:highlight w:val="none"/>
                <w:lang w:eastAsia="zh-CN"/>
              </w:rPr>
              <w:t>绍兴艺术学校</w:t>
            </w:r>
          </w:p>
        </w:tc>
      </w:tr>
      <w:tr>
        <w:tblPrEx>
          <w:tblCellMar>
            <w:top w:w="0" w:type="dxa"/>
            <w:left w:w="108" w:type="dxa"/>
            <w:bottom w:w="0" w:type="dxa"/>
            <w:right w:w="108" w:type="dxa"/>
          </w:tblCellMar>
        </w:tblPrEx>
        <w:trPr>
          <w:trHeight w:val="494"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0"/>
                <w:w w:val="100"/>
                <w:kern w:val="0"/>
                <w:sz w:val="28"/>
                <w:szCs w:val="28"/>
                <w:highlight w:val="none"/>
                <w:fitText w:val="1680" w:id="1811156363"/>
              </w:rPr>
              <w:t>采购代理机构</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fitText w:val="1680" w:id="652623389"/>
              </w:rPr>
              <w:t>监督单</w:t>
            </w:r>
            <w:r>
              <w:rPr>
                <w:rFonts w:hint="eastAsia" w:ascii="隶书" w:hAnsi="隶书" w:eastAsia="隶书" w:cs="隶书"/>
                <w:color w:val="auto"/>
                <w:spacing w:val="1"/>
                <w:kern w:val="0"/>
                <w:sz w:val="28"/>
                <w:szCs w:val="28"/>
                <w:highlight w:val="none"/>
                <w:fitText w:val="1680" w:id="652623389"/>
              </w:rPr>
              <w:t>位</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kinsoku/>
              <w:wordWrap w:val="0"/>
              <w:overflowPunct/>
              <w:topLinePunct w:val="0"/>
              <w:bidi w:val="0"/>
              <w:spacing w:after="100" w:afterAutospacing="1" w:line="440" w:lineRule="exact"/>
              <w:rPr>
                <w:rFonts w:hint="eastAsia" w:ascii="隶书" w:hAnsi="隶书" w:eastAsia="隶书" w:cs="隶书"/>
                <w:color w:val="auto"/>
                <w:spacing w:val="1400"/>
                <w:kern w:val="0"/>
                <w:sz w:val="28"/>
                <w:szCs w:val="28"/>
                <w:highlight w:val="none"/>
                <w:fitText w:val="1680" w:id="1"/>
              </w:rPr>
            </w:pP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kinsoku/>
              <w:wordWrap w:val="0"/>
              <w:overflowPunct/>
              <w:topLinePunct w:val="0"/>
              <w:bidi w:val="0"/>
              <w:spacing w:after="100" w:afterAutospacing="1" w:line="440" w:lineRule="exact"/>
              <w:jc w:val="center"/>
              <w:rPr>
                <w:rFonts w:hint="eastAsia" w:ascii="隶书" w:hAnsi="隶书" w:eastAsia="隶书" w:cs="隶书"/>
                <w:color w:val="auto"/>
                <w:sz w:val="28"/>
                <w:szCs w:val="28"/>
                <w:highlight w:val="none"/>
              </w:rPr>
            </w:pPr>
            <w:r>
              <w:rPr>
                <w:rFonts w:hint="eastAsia" w:ascii="隶书" w:hAnsi="隶书" w:eastAsia="隶书" w:cs="隶书"/>
                <w:color w:val="auto"/>
                <w:sz w:val="28"/>
                <w:szCs w:val="28"/>
                <w:highlight w:val="none"/>
              </w:rPr>
              <w:t>二○二</w:t>
            </w:r>
            <w:r>
              <w:rPr>
                <w:rFonts w:hint="eastAsia" w:ascii="隶书" w:hAnsi="隶书" w:eastAsia="隶书" w:cs="隶书"/>
                <w:color w:val="auto"/>
                <w:sz w:val="28"/>
                <w:szCs w:val="28"/>
                <w:highlight w:val="none"/>
                <w:lang w:val="en-US" w:eastAsia="zh-CN"/>
              </w:rPr>
              <w:t>五</w:t>
            </w:r>
            <w:r>
              <w:rPr>
                <w:rFonts w:hint="eastAsia" w:ascii="隶书" w:hAnsi="隶书" w:eastAsia="隶书" w:cs="隶书"/>
                <w:color w:val="auto"/>
                <w:sz w:val="28"/>
                <w:szCs w:val="28"/>
                <w:highlight w:val="none"/>
              </w:rPr>
              <w:t>年</w:t>
            </w:r>
            <w:r>
              <w:rPr>
                <w:rFonts w:hint="eastAsia" w:ascii="隶书" w:hAnsi="隶书" w:eastAsia="隶书" w:cs="隶书"/>
                <w:color w:val="auto"/>
                <w:sz w:val="28"/>
                <w:szCs w:val="28"/>
                <w:highlight w:val="none"/>
                <w:lang w:val="en-US" w:eastAsia="zh-CN"/>
              </w:rPr>
              <w:t>一</w:t>
            </w:r>
            <w:r>
              <w:rPr>
                <w:rFonts w:hint="eastAsia" w:ascii="隶书" w:hAnsi="隶书" w:eastAsia="隶书" w:cs="隶书"/>
                <w:color w:val="auto"/>
                <w:sz w:val="28"/>
                <w:szCs w:val="28"/>
                <w:highlight w:val="none"/>
              </w:rPr>
              <w:t>月</w:t>
            </w:r>
          </w:p>
        </w:tc>
      </w:tr>
    </w:tbl>
    <w:p>
      <w:pPr>
        <w:pStyle w:val="635"/>
        <w:kinsoku/>
        <w:wordWrap w:val="0"/>
        <w:overflowPunct/>
        <w:topLinePunct w:val="0"/>
        <w:bidi w:val="0"/>
        <w:rPr>
          <w:rFonts w:hint="eastAsia" w:ascii="仿宋" w:hAnsi="仿宋" w:eastAsia="仿宋" w:cs="仿宋"/>
          <w:color w:val="auto"/>
          <w:highlight w:val="none"/>
        </w:rPr>
        <w:sectPr>
          <w:headerReference r:id="rId4" w:type="first"/>
          <w:headerReference r:id="rId3" w:type="default"/>
          <w:footerReference r:id="rId5" w:type="default"/>
          <w:footerReference r:id="rId6" w:type="even"/>
          <w:pgSz w:w="11906" w:h="16838"/>
          <w:pgMar w:top="1474" w:right="1814" w:bottom="1474" w:left="1814" w:header="851" w:footer="992" w:gutter="0"/>
          <w:pgNumType w:fmt="decimal" w:start="1"/>
          <w:cols w:space="720" w:num="1"/>
          <w:titlePg/>
          <w:docGrid w:linePitch="312" w:charSpace="0"/>
        </w:sectPr>
      </w:pPr>
    </w:p>
    <w:p>
      <w:pPr>
        <w:pStyle w:val="635"/>
        <w:pageBreakBefore w:val="0"/>
        <w:widowControl w:val="0"/>
        <w:kinsoku/>
        <w:wordWrap w:val="0"/>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bookmarkStart w:id="0" w:name="_Hlt91233176"/>
      <w:bookmarkEnd w:id="0"/>
      <w:bookmarkStart w:id="1" w:name="_Toc91899869"/>
      <w:r>
        <w:rPr>
          <w:rFonts w:hint="eastAsia" w:ascii="仿宋_GB2312" w:hAnsi="仿宋_GB2312" w:eastAsia="仿宋_GB2312" w:cs="仿宋_GB2312"/>
          <w:b/>
          <w:color w:val="auto"/>
          <w:sz w:val="44"/>
          <w:szCs w:val="44"/>
          <w:highlight w:val="none"/>
        </w:rPr>
        <w:t>目录</w:t>
      </w: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color w:val="auto"/>
          <w:highlight w:val="none"/>
        </w:rPr>
      </w:pP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第一部分    招标公告</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 xml:space="preserve">第二部分   </w:t>
      </w:r>
      <w:r>
        <w:rPr>
          <w:rFonts w:hint="eastAsia" w:ascii="仿宋_GB2312" w:hAnsi="仿宋_GB2312" w:eastAsia="仿宋_GB2312" w:cs="仿宋_GB2312"/>
          <w:b/>
          <w:color w:val="auto"/>
          <w:sz w:val="36"/>
          <w:szCs w:val="36"/>
          <w:highlight w:val="none"/>
          <w:lang w:val="en-US" w:eastAsia="zh-CN"/>
        </w:rPr>
        <w:t xml:space="preserve"> </w:t>
      </w:r>
      <w:r>
        <w:rPr>
          <w:rFonts w:hint="eastAsia" w:ascii="仿宋_GB2312" w:hAnsi="仿宋_GB2312" w:eastAsia="仿宋_GB2312" w:cs="仿宋_GB2312"/>
          <w:b/>
          <w:color w:val="auto"/>
          <w:sz w:val="36"/>
          <w:szCs w:val="36"/>
          <w:highlight w:val="none"/>
        </w:rPr>
        <w:t>投标须知</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合同的主要条款</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第六部分    投标文件及其附件格式</w:t>
      </w: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bookmarkEnd w:id="1"/>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sectPr>
          <w:headerReference r:id="rId8" w:type="first"/>
          <w:footerReference r:id="rId10" w:type="first"/>
          <w:headerReference r:id="rId7" w:type="default"/>
          <w:footerReference r:id="rId9" w:type="default"/>
          <w:pgSz w:w="11906" w:h="16838"/>
          <w:pgMar w:top="1474" w:right="1814" w:bottom="1474" w:left="1814" w:header="851" w:footer="992" w:gutter="0"/>
          <w:pgNumType w:fmt="decimal"/>
          <w:cols w:space="720" w:num="1"/>
          <w:titlePg/>
          <w:docGrid w:linePitch="312" w:charSpace="0"/>
        </w:sectPr>
      </w:pP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绍兴艺术学校2025物业管理项目 </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6"/>
          <w:rFonts w:hint="eastAsia" w:ascii="仿宋_GB2312" w:hAnsi="仿宋_GB2312" w:eastAsia="仿宋_GB2312" w:cs="仿宋_GB2312"/>
          <w:snapToGrid/>
          <w:color w:val="auto"/>
          <w:kern w:val="2"/>
          <w:sz w:val="24"/>
          <w:szCs w:val="24"/>
          <w:highlight w:val="none"/>
        </w:rPr>
        <w:t>https://www.zcygov.cn/）获取（下载）招标文件，并于202 年 月 日 点 分</w:t>
      </w:r>
      <w:r>
        <w:rPr>
          <w:rStyle w:val="76"/>
          <w:rFonts w:hint="eastAsia" w:ascii="仿宋_GB2312" w:hAnsi="仿宋_GB2312" w:eastAsia="仿宋_GB2312" w:cs="仿宋_GB2312"/>
          <w:bCs/>
          <w:snapToGrid/>
          <w:color w:val="auto"/>
          <w:kern w:val="2"/>
          <w:sz w:val="24"/>
          <w:szCs w:val="24"/>
          <w:highlight w:val="none"/>
        </w:rPr>
        <w:t>00秒</w:t>
      </w:r>
      <w:r>
        <w:rPr>
          <w:rStyle w:val="76"/>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pPr>
        <w:keepNext w:val="0"/>
        <w:keepLines w:val="0"/>
        <w:pageBreakBefore w:val="0"/>
        <w:widowControl w:val="0"/>
        <w:kinsoku/>
        <w:wordWrap w:val="0"/>
        <w:overflowPunct/>
        <w:topLinePunct w:val="0"/>
        <w:autoSpaceDE/>
        <w:autoSpaceDN/>
        <w:bidi w:val="0"/>
        <w:adjustRightInd w:val="0"/>
        <w:snapToGrid/>
        <w:spacing w:line="440" w:lineRule="exact"/>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2025-01-0010</w:t>
      </w:r>
    </w:p>
    <w:p>
      <w:pPr>
        <w:keepNext w:val="0"/>
        <w:keepLines w:val="0"/>
        <w:pageBreakBefore w:val="0"/>
        <w:widowControl w:val="0"/>
        <w:kinsoku/>
        <w:wordWrap w:val="0"/>
        <w:overflowPunct/>
        <w:topLinePunct w:val="0"/>
        <w:autoSpaceDE/>
        <w:autoSpaceDN/>
        <w:bidi w:val="0"/>
        <w:adjustRightInd w:val="0"/>
        <w:snapToGrid/>
        <w:spacing w:line="440" w:lineRule="exact"/>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Cs/>
          <w:color w:val="auto"/>
          <w:sz w:val="24"/>
          <w:highlight w:val="none"/>
          <w:lang w:eastAsia="zh-CN"/>
        </w:rPr>
        <w:t xml:space="preserve">绍兴艺术学校2025物业管理项目 </w:t>
      </w:r>
      <w:r>
        <w:rPr>
          <w:rFonts w:hint="eastAsia" w:ascii="仿宋_GB2312" w:hAnsi="仿宋_GB2312" w:eastAsia="仿宋_GB2312" w:cs="仿宋_GB2312"/>
          <w:color w:val="auto"/>
          <w:sz w:val="24"/>
          <w:highlight w:val="none"/>
          <w:lang w:val="en-US" w:eastAsia="zh-CN"/>
        </w:rPr>
        <w:t xml:space="preserve"> </w:t>
      </w:r>
    </w:p>
    <w:p>
      <w:pPr>
        <w:keepNext w:val="0"/>
        <w:keepLines w:val="0"/>
        <w:pageBreakBefore w:val="0"/>
        <w:widowControl w:val="0"/>
        <w:kinsoku/>
        <w:wordWrap w:val="0"/>
        <w:overflowPunct/>
        <w:topLinePunct w:val="0"/>
        <w:autoSpaceDE/>
        <w:autoSpaceDN/>
        <w:bidi w:val="0"/>
        <w:adjustRightInd w:val="0"/>
        <w:snapToGrid/>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预算金额（元）：</w:t>
      </w:r>
      <w:r>
        <w:rPr>
          <w:rFonts w:hint="eastAsia" w:ascii="仿宋_GB2312" w:hAnsi="仿宋_GB2312" w:eastAsia="仿宋_GB2312" w:cs="仿宋_GB2312"/>
          <w:b/>
          <w:color w:val="auto"/>
          <w:sz w:val="24"/>
          <w:highlight w:val="none"/>
          <w:lang w:eastAsia="zh-CN"/>
        </w:rPr>
        <w:t>2820300</w:t>
      </w:r>
      <w:r>
        <w:rPr>
          <w:rFonts w:hint="eastAsia" w:ascii="仿宋_GB2312" w:hAnsi="仿宋_GB2312" w:eastAsia="仿宋_GB2312" w:cs="仿宋_GB2312"/>
          <w:b/>
          <w:color w:val="auto"/>
          <w:sz w:val="24"/>
          <w:highlight w:val="none"/>
        </w:rPr>
        <w:t xml:space="preserve"> </w:t>
      </w:r>
    </w:p>
    <w:p>
      <w:pPr>
        <w:keepNext w:val="0"/>
        <w:keepLines w:val="0"/>
        <w:pageBreakBefore w:val="0"/>
        <w:widowControl w:val="0"/>
        <w:kinsoku/>
        <w:wordWrap w:val="0"/>
        <w:overflowPunct/>
        <w:topLinePunct w:val="0"/>
        <w:autoSpaceDE/>
        <w:autoSpaceDN/>
        <w:bidi w:val="0"/>
        <w:adjustRightInd w:val="0"/>
        <w:snapToGrid/>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最高限价（元）：</w:t>
      </w:r>
      <w:r>
        <w:rPr>
          <w:rFonts w:hint="eastAsia" w:ascii="仿宋_GB2312" w:hAnsi="仿宋_GB2312" w:eastAsia="仿宋_GB2312" w:cs="仿宋_GB2312"/>
          <w:b/>
          <w:color w:val="auto"/>
          <w:sz w:val="24"/>
          <w:highlight w:val="none"/>
          <w:lang w:eastAsia="zh-CN"/>
        </w:rPr>
        <w:t>2820300</w:t>
      </w:r>
      <w:r>
        <w:rPr>
          <w:rFonts w:hint="eastAsia" w:ascii="仿宋_GB2312" w:hAnsi="仿宋_GB2312" w:eastAsia="仿宋_GB2312" w:cs="仿宋_GB2312"/>
          <w:b/>
          <w:color w:val="auto"/>
          <w:sz w:val="24"/>
          <w:highlight w:val="none"/>
        </w:rPr>
        <w:t xml:space="preserve"> </w:t>
      </w:r>
    </w:p>
    <w:p>
      <w:pPr>
        <w:keepNext w:val="0"/>
        <w:keepLines w:val="0"/>
        <w:pageBreakBefore w:val="0"/>
        <w:widowControl w:val="0"/>
        <w:kinsoku/>
        <w:wordWrap w:val="0"/>
        <w:overflowPunct/>
        <w:topLinePunct w:val="0"/>
        <w:autoSpaceDE/>
        <w:autoSpaceDN/>
        <w:bidi w:val="0"/>
        <w:adjustRightInd w:val="0"/>
        <w:snapToGrid/>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w:t>
      </w:r>
      <w:r>
        <w:rPr>
          <w:rFonts w:hint="eastAsia" w:ascii="仿宋_GB2312" w:hAnsi="仿宋_GB2312" w:eastAsia="仿宋_GB2312" w:cs="仿宋_GB2312"/>
          <w:bCs/>
          <w:color w:val="auto"/>
          <w:sz w:val="24"/>
          <w:highlight w:val="none"/>
          <w:lang w:eastAsia="zh-CN"/>
        </w:rPr>
        <w:t xml:space="preserve">2025物业管理项目 </w:t>
      </w:r>
    </w:p>
    <w:p>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bCs/>
          <w:color w:val="auto"/>
          <w:sz w:val="24"/>
          <w:highlight w:val="none"/>
          <w:lang w:eastAsia="zh-CN"/>
        </w:rPr>
      </w:pPr>
      <w:r>
        <w:rPr>
          <w:rFonts w:hint="eastAsia" w:ascii="仿宋_GB2312" w:hAnsi="仿宋_GB2312" w:eastAsia="仿宋_GB2312" w:cs="仿宋_GB2312"/>
          <w:bCs/>
          <w:color w:val="auto"/>
          <w:sz w:val="24"/>
          <w:highlight w:val="none"/>
          <w:lang w:val="en-US" w:eastAsia="zh-CN"/>
        </w:rPr>
        <w:t>预算金额：2820300</w:t>
      </w:r>
    </w:p>
    <w:p>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主要内容： 简要规格描述或项目基本概况介绍、用途，详见采购文件</w:t>
      </w:r>
      <w:r>
        <w:rPr>
          <w:rFonts w:hint="eastAsia" w:ascii="仿宋_GB2312" w:hAnsi="仿宋_GB2312" w:eastAsia="仿宋_GB2312" w:cs="仿宋_GB2312"/>
          <w:b w:val="0"/>
          <w:bCs/>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line="440" w:lineRule="exact"/>
        <w:ind w:left="0" w:firstLine="482"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pPr>
        <w:keepNext w:val="0"/>
        <w:keepLines w:val="0"/>
        <w:pageBreakBefore w:val="0"/>
        <w:widowControl w:val="0"/>
        <w:kinsoku/>
        <w:wordWrap w:val="0"/>
        <w:overflowPunct/>
        <w:topLinePunct w:val="0"/>
        <w:autoSpaceDE/>
        <w:autoSpaceDN/>
        <w:bidi w:val="0"/>
        <w:adjustRightInd w:val="0"/>
        <w:snapToGrid/>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sdt>
        <w:sdtPr>
          <w:rPr>
            <w:rFonts w:hint="eastAsia" w:ascii="仿宋_GB2312" w:hAnsi="仿宋_GB2312" w:eastAsia="仿宋_GB2312" w:cs="仿宋_GB2312"/>
            <w:highlight w:val="none"/>
          </w:rPr>
          <w:id w:val="337506595"/>
        </w:sdtPr>
        <w:sdtEndPr>
          <w:rPr>
            <w:rFonts w:hint="eastAsia" w:ascii="仿宋_GB2312" w:hAnsi="仿宋_GB2312" w:eastAsia="仿宋_GB2312" w:cs="仿宋_GB2312"/>
            <w:highlight w:val="none"/>
          </w:rPr>
        </w:sdtEndPr>
        <w:sdtContent>
          <w:r>
            <w:rPr>
              <w:rFonts w:hint="eastAsia" w:ascii="仿宋_GB2312" w:hAnsi="仿宋_GB2312" w:eastAsia="仿宋_GB2312" w:cs="仿宋_GB2312"/>
              <w:highlight w:val="none"/>
            </w:rPr>
            <w:sym w:font="Wingdings" w:char="F0FE"/>
          </w:r>
        </w:sdtContent>
      </w:sdt>
      <w:r>
        <w:rPr>
          <w:rFonts w:hint="eastAsia" w:ascii="仿宋_GB2312" w:hAnsi="仿宋_GB2312" w:eastAsia="仿宋_GB2312" w:cs="仿宋_GB2312"/>
          <w:b/>
          <w:color w:val="auto"/>
          <w:sz w:val="24"/>
          <w:highlight w:val="none"/>
        </w:rPr>
        <w:t>是，</w:t>
      </w:r>
      <w:r>
        <w:rPr>
          <w:rFonts w:hint="eastAsia" w:ascii="仿宋_GB2312" w:hAnsi="仿宋_GB2312" w:eastAsia="仿宋_GB2312" w:cs="仿宋_GB2312"/>
          <w:szCs w:val="24"/>
          <w:highlight w:val="none"/>
        </w:rPr>
        <w:t>☐</w:t>
      </w:r>
      <w:r>
        <w:rPr>
          <w:rFonts w:hint="eastAsia" w:ascii="仿宋_GB2312" w:hAnsi="仿宋_GB2312" w:eastAsia="仿宋_GB2312" w:cs="仿宋_GB2312"/>
          <w:b/>
          <w:color w:val="auto"/>
          <w:sz w:val="24"/>
          <w:highlight w:val="none"/>
        </w:rPr>
        <w:t>否。</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A8"/>
          </w:r>
        </w:sdtContent>
      </w:sdt>
      <w:r>
        <w:rPr>
          <w:rFonts w:hint="eastAsia" w:ascii="仿宋_GB2312" w:hAnsi="仿宋_GB2312" w:eastAsia="仿宋_GB2312" w:cs="仿宋_GB2312"/>
          <w:color w:val="auto"/>
          <w:sz w:val="24"/>
          <w:highlight w:val="none"/>
        </w:rPr>
        <w:t>无；</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pPr>
        <w:keepNext w:val="0"/>
        <w:keepLines w:val="0"/>
        <w:pageBreakBefore w:val="0"/>
        <w:widowControl w:val="0"/>
        <w:kinsoku/>
        <w:wordWrap w:val="0"/>
        <w:overflowPunct/>
        <w:topLinePunct w:val="0"/>
        <w:autoSpaceDE/>
        <w:autoSpaceDN/>
        <w:bidi w:val="0"/>
        <w:adjustRightInd w:val="0"/>
        <w:snapToGrid/>
        <w:spacing w:line="440" w:lineRule="exact"/>
        <w:ind w:left="0" w:firstLine="960" w:firstLineChars="4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sz w:val="24"/>
          <w:highlight w:val="none"/>
        </w:rPr>
        <w:t>服务全部由符合政策要求的中小企业承接，提供中小企业声明函；</w:t>
      </w:r>
    </w:p>
    <w:p>
      <w:pPr>
        <w:keepNext w:val="0"/>
        <w:keepLines w:val="0"/>
        <w:pageBreakBefore w:val="0"/>
        <w:widowControl w:val="0"/>
        <w:kinsoku/>
        <w:wordWrap w:val="0"/>
        <w:overflowPunct/>
        <w:topLinePunct w:val="0"/>
        <w:autoSpaceDE/>
        <w:autoSpaceDN/>
        <w:bidi w:val="0"/>
        <w:adjustRightInd w:val="0"/>
        <w:snapToGrid/>
        <w:spacing w:line="440" w:lineRule="exact"/>
        <w:ind w:left="0" w:firstLine="960" w:firstLineChars="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服务全部由符合政策要求的小微企业承接，提供中小企业声明函；</w:t>
      </w:r>
    </w:p>
    <w:p>
      <w:pPr>
        <w:keepNext w:val="0"/>
        <w:keepLines w:val="0"/>
        <w:pageBreakBefore w:val="0"/>
        <w:widowControl w:val="0"/>
        <w:kinsoku/>
        <w:wordWrap w:val="0"/>
        <w:overflowPunct/>
        <w:topLinePunct w:val="0"/>
        <w:autoSpaceDE/>
        <w:autoSpaceDN/>
        <w:bidi w:val="0"/>
        <w:adjustRightInd w:val="0"/>
        <w:snapToGrid/>
        <w:spacing w:line="440" w:lineRule="exact"/>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line="440" w:lineRule="exact"/>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color w:val="auto"/>
          <w:sz w:val="24"/>
          <w:highlight w:val="none"/>
          <w:lang w:val="en-US" w:eastAsia="zh-CN"/>
        </w:rPr>
        <w:t>无</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napToGrid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 年 月 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 年 月 日 点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 年 月 日 点 分00秒</w:t>
      </w:r>
      <w:r>
        <w:rPr>
          <w:rFonts w:hint="eastAsia" w:ascii="仿宋_GB2312" w:hAnsi="仿宋_GB2312" w:eastAsia="仿宋_GB2312" w:cs="仿宋_GB2312"/>
          <w:bCs/>
          <w:color w:val="auto"/>
          <w:sz w:val="24"/>
          <w:highlight w:val="none"/>
          <w:u w:val="single"/>
        </w:rPr>
        <w:t xml:space="preserve">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pPr>
        <w:pStyle w:val="5"/>
        <w:pageBreakBefore w:val="0"/>
        <w:widowControl w:val="0"/>
        <w:numPr>
          <w:ilvl w:val="0"/>
          <w:numId w:val="0"/>
        </w:numPr>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szCs w:val="24"/>
          <w:highlight w:val="none"/>
        </w:rPr>
      </w:pPr>
      <w:bookmarkStart w:id="5" w:name="_Toc28359096"/>
      <w:bookmarkStart w:id="6" w:name="_Toc35393637"/>
      <w:bookmarkStart w:id="7" w:name="_Toc35393806"/>
      <w:bookmarkStart w:id="8" w:name="_Toc28359019"/>
      <w:r>
        <w:rPr>
          <w:rFonts w:hint="eastAsia" w:ascii="仿宋_GB2312" w:hAnsi="仿宋_GB2312" w:eastAsia="仿宋_GB2312" w:cs="仿宋_GB2312"/>
          <w:color w:val="auto"/>
          <w:sz w:val="24"/>
          <w:szCs w:val="24"/>
          <w:highlight w:val="none"/>
        </w:rPr>
        <w:t>1.采购人信息</w:t>
      </w:r>
      <w:bookmarkEnd w:id="5"/>
      <w:bookmarkEnd w:id="6"/>
      <w:bookmarkEnd w:id="7"/>
      <w:bookmarkEnd w:id="8"/>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名    称：</w:t>
      </w:r>
      <w:r>
        <w:rPr>
          <w:rFonts w:hint="eastAsia" w:ascii="仿宋_GB2312" w:hAnsi="仿宋_GB2312" w:eastAsia="仿宋_GB2312" w:cs="仿宋_GB2312"/>
          <w:color w:val="auto"/>
          <w:sz w:val="24"/>
          <w:highlight w:val="none"/>
          <w:lang w:eastAsia="zh-CN"/>
        </w:rPr>
        <w:t>绍兴艺术学校</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    址：绍兴市越城区二环西路500号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    真：0575-88337062</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项目联系人（询问）：吕江英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项目联系方式（询问）：0575-88337062</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 徐建军</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质疑联系方式：0575-88337052</w:t>
      </w:r>
    </w:p>
    <w:p>
      <w:pPr>
        <w:pStyle w:val="5"/>
        <w:pageBreakBefore w:val="0"/>
        <w:widowControl w:val="0"/>
        <w:numPr>
          <w:ilvl w:val="0"/>
          <w:numId w:val="0"/>
        </w:numPr>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bookmarkStart w:id="9" w:name="_Toc28359020"/>
      <w:bookmarkStart w:id="10" w:name="_Toc35393638"/>
      <w:bookmarkStart w:id="11" w:name="_Toc35393807"/>
      <w:bookmarkStart w:id="12" w:name="_Toc28359097"/>
      <w:r>
        <w:rPr>
          <w:rFonts w:hint="eastAsia" w:ascii="仿宋_GB2312" w:hAnsi="仿宋_GB2312" w:eastAsia="仿宋_GB2312" w:cs="仿宋_GB2312"/>
          <w:color w:val="auto"/>
          <w:sz w:val="24"/>
          <w:szCs w:val="24"/>
          <w:highlight w:val="none"/>
        </w:rPr>
        <w:t>2.采购代理机构信息</w:t>
      </w:r>
      <w:bookmarkEnd w:id="9"/>
      <w:bookmarkEnd w:id="10"/>
      <w:bookmarkEnd w:id="11"/>
      <w:bookmarkEnd w:id="12"/>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bookmarkStart w:id="13" w:name="_Toc35393639"/>
      <w:bookmarkStart w:id="14" w:name="_Toc35393808"/>
      <w:bookmarkStart w:id="15" w:name="_Toc28359021"/>
      <w:bookmarkStart w:id="16" w:name="_Toc28359098"/>
      <w:r>
        <w:rPr>
          <w:rFonts w:hint="eastAsia" w:ascii="仿宋_GB2312" w:hAnsi="仿宋_GB2312" w:eastAsia="仿宋_GB2312" w:cs="仿宋_GB2312"/>
          <w:color w:val="auto"/>
          <w:sz w:val="24"/>
          <w:highlight w:val="none"/>
        </w:rPr>
        <w:t>名    称：绍兴市公共资源交易中心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址：绍兴市越城区迪荡新城鼎盛时代大厦431室</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    真：0575-88307029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项目联系人（询问）：黄世杰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项目联系方式（询问）：0575-88307028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质疑联系人：顾梁杰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color w:val="auto"/>
          <w:sz w:val="24"/>
          <w:highlight w:val="none"/>
        </w:rPr>
        <w:t>质疑联系方式：0575-88307026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kern w:val="2"/>
          <w:sz w:val="24"/>
          <w:szCs w:val="24"/>
          <w:highlight w:val="none"/>
          <w:lang w:val="zh-CN" w:eastAsia="zh-CN" w:bidi="ar-SA"/>
        </w:rPr>
        <w:t xml:space="preserve">3. 同级政府采购监督管理部门： </w:t>
      </w:r>
      <w:r>
        <w:rPr>
          <w:rFonts w:hint="eastAsia" w:ascii="仿宋_GB2312" w:hAnsi="仿宋_GB2312" w:eastAsia="仿宋_GB2312" w:cs="仿宋_GB2312"/>
          <w:color w:val="auto"/>
          <w:sz w:val="24"/>
          <w:highlight w:val="none"/>
        </w:rPr>
        <w:t xml:space="preserve">           </w:t>
      </w:r>
    </w:p>
    <w:bookmarkEnd w:id="13"/>
    <w:bookmarkEnd w:id="14"/>
    <w:bookmarkEnd w:id="15"/>
    <w:bookmarkEnd w:id="16"/>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称：绍兴市财政局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址：绍兴市越城区凤林西路151号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真：0575-85209697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 系 人 ：张婷婷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pPr>
        <w:widowControl/>
        <w:kinsoku/>
        <w:wordWrap w:val="0"/>
        <w:overflowPunct/>
        <w:topLinePunct w:val="0"/>
        <w:bidi w:val="0"/>
        <w:adjustRightInd/>
        <w:jc w:val="left"/>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br w:type="page"/>
      </w: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第二部分</w:t>
      </w:r>
      <w:bookmarkEnd w:id="2"/>
      <w:r>
        <w:rPr>
          <w:rFonts w:hint="eastAsia" w:ascii="仿宋_GB2312" w:hAnsi="仿宋_GB2312" w:eastAsia="仿宋_GB2312" w:cs="仿宋_GB2312"/>
          <w:b/>
          <w:color w:val="auto"/>
          <w:sz w:val="36"/>
          <w:szCs w:val="20"/>
          <w:highlight w:val="none"/>
        </w:rPr>
        <w:t xml:space="preserve"> 投标须知</w:t>
      </w:r>
      <w:bookmarkEnd w:id="3"/>
    </w:p>
    <w:p>
      <w:pPr>
        <w:kinsoku/>
        <w:wordWrap w:val="0"/>
        <w:overflowPunct/>
        <w:topLinePunct w:val="0"/>
        <w:bidi w:val="0"/>
        <w:adjustRightInd/>
        <w:spacing w:line="360" w:lineRule="auto"/>
        <w:ind w:firstLine="3845" w:firstLineChars="1197"/>
        <w:outlineLvl w:val="0"/>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370"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370" w:type="dxa"/>
            <w:gridSpan w:val="2"/>
            <w:vAlign w:val="center"/>
          </w:tcPr>
          <w:p>
            <w:pPr>
              <w:spacing w:line="440" w:lineRule="exact"/>
              <w:rPr>
                <w:rFonts w:hint="eastAsia" w:ascii="仿宋_GB2312" w:hAnsi="仿宋_GB2312" w:eastAsia="仿宋_GB2312" w:cs="仿宋_GB2312"/>
                <w:sz w:val="24"/>
                <w:highlight w:val="none"/>
              </w:rPr>
            </w:pPr>
            <w:r>
              <w:rPr>
                <w:rFonts w:hint="eastAsia" w:ascii="仿宋_GB2312" w:hAnsi="仿宋_GB2312" w:eastAsia="仿宋_GB2312" w:cs="仿宋_GB2312"/>
                <w:b/>
                <w:sz w:val="24"/>
                <w:highlight w:val="none"/>
              </w:rPr>
              <w:t>分包：</w:t>
            </w:r>
            <w:r>
              <w:rPr>
                <w:rFonts w:hint="eastAsia" w:ascii="仿宋_GB2312" w:hAnsi="仿宋_GB2312" w:eastAsia="仿宋_GB2312" w:cs="仿宋_GB2312"/>
                <w:kern w:val="0"/>
                <w:sz w:val="24"/>
                <w:highlight w:val="none"/>
              </w:rPr>
              <w:t>☐A</w:t>
            </w:r>
            <w:r>
              <w:rPr>
                <w:rFonts w:hint="eastAsia" w:ascii="仿宋_GB2312" w:hAnsi="仿宋_GB2312" w:eastAsia="仿宋_GB2312" w:cs="仿宋_GB2312"/>
                <w:sz w:val="24"/>
                <w:highlight w:val="none"/>
              </w:rPr>
              <w:t>同意将非主体、非关键性的</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工作分包。</w:t>
            </w:r>
          </w:p>
          <w:p>
            <w:pPr>
              <w:keepNext w:val="0"/>
              <w:keepLines w:val="0"/>
              <w:pageBreakBefore w:val="0"/>
              <w:widowControl w:val="0"/>
              <w:kinsoku/>
              <w:wordWrap w:val="0"/>
              <w:overflowPunct/>
              <w:topLinePunct w:val="0"/>
              <w:bidi w:val="0"/>
              <w:adjustRightInd w:val="0"/>
              <w:spacing w:line="440" w:lineRule="exact"/>
              <w:ind w:left="0" w:leftChars="0" w:right="0" w:rightChars="0"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kern w:val="0"/>
                <w:sz w:val="24"/>
                <w:highlight w:val="none"/>
              </w:rPr>
              <w:sym w:font="Wingdings" w:char="F0FE"/>
            </w:r>
            <w:r>
              <w:rPr>
                <w:rFonts w:hint="eastAsia" w:ascii="仿宋_GB2312" w:hAnsi="仿宋_GB2312" w:eastAsia="仿宋_GB2312" w:cs="仿宋_GB2312"/>
                <w:kern w:val="0"/>
                <w:sz w:val="24"/>
                <w:highlight w:val="none"/>
              </w:rPr>
              <w:t>B</w:t>
            </w:r>
            <w:r>
              <w:rPr>
                <w:rFonts w:hint="eastAsia" w:ascii="仿宋_GB2312" w:hAnsi="仿宋_GB2312" w:eastAsia="仿宋_GB2312" w:cs="仿宋_GB2312"/>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370"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开标前答疑会或现场考察：</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109"/>
                <w:showingPlcHdr/>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不组织。</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kern w:val="0"/>
                  <w:sz w:val="24"/>
                  <w:highlight w:val="none"/>
                </w:rPr>
                <w:id w:val="109"/>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t>☐</w:t>
                </w:r>
              </w:sdtContent>
            </w:sdt>
            <w:r>
              <w:rPr>
                <w:rFonts w:hint="eastAsia" w:ascii="仿宋_GB2312" w:hAnsi="仿宋_GB2312" w:eastAsia="仿宋_GB2312" w:cs="仿宋_GB2312"/>
                <w:color w:val="auto"/>
                <w:kern w:val="0"/>
                <w:sz w:val="24"/>
                <w:highlight w:val="none"/>
              </w:rPr>
              <w:t>B组织，</w:t>
            </w:r>
            <w:r>
              <w:rPr>
                <w:rFonts w:hint="eastAsia" w:ascii="仿宋_GB2312" w:hAnsi="仿宋_GB2312" w:eastAsia="仿宋_GB2312" w:cs="仿宋_GB2312"/>
                <w:color w:val="auto"/>
                <w:sz w:val="24"/>
                <w:highlight w:val="none"/>
              </w:rPr>
              <w:t>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，联系方式：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109"/>
                <w:showingPlcHdr/>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B要求提供，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rPr>
              <w:t>（</w:t>
            </w:r>
            <w:r>
              <w:rPr>
                <w:rFonts w:hint="eastAsia" w:ascii="仿宋_GB2312" w:hAnsi="仿宋_GB2312" w:eastAsia="仿宋_GB2312" w:cs="仿宋_GB2312"/>
                <w:b w:val="0"/>
                <w:bCs w:val="0"/>
                <w:color w:val="auto"/>
                <w:sz w:val="24"/>
                <w:highlight w:val="none"/>
                <w:lang w:val="en-US"/>
              </w:rPr>
              <w:t>8</w:t>
            </w:r>
            <w:r>
              <w:rPr>
                <w:rFonts w:hint="eastAsia" w:ascii="仿宋_GB2312" w:hAnsi="仿宋_GB2312" w:eastAsia="仿宋_GB2312" w:cs="仿宋_GB2312"/>
                <w:b w:val="0"/>
                <w:bCs w:val="0"/>
                <w:color w:val="auto"/>
                <w:sz w:val="24"/>
                <w:highlight w:val="none"/>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370" w:type="dxa"/>
            <w:gridSpan w:val="2"/>
            <w:vAlign w:val="center"/>
          </w:tcPr>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pPr>
              <w:spacing w:line="440" w:lineRule="exact"/>
              <w:rPr>
                <w:rFonts w:hint="eastAsia" w:ascii="仿宋_GB2312" w:hAnsi="仿宋_GB2312" w:eastAsia="仿宋_GB2312" w:cs="仿宋_GB2312"/>
                <w:sz w:val="24"/>
                <w:highlight w:val="none"/>
              </w:rPr>
            </w:pPr>
            <w:sdt>
              <w:sdtPr>
                <w:rPr>
                  <w:rFonts w:hint="eastAsia" w:ascii="仿宋_GB2312" w:hAnsi="仿宋_GB2312" w:eastAsia="仿宋_GB2312" w:cs="仿宋_GB2312"/>
                  <w:kern w:val="0"/>
                  <w:sz w:val="24"/>
                  <w:highlight w:val="none"/>
                </w:rPr>
                <w:id w:val="801731539"/>
              </w:sdtPr>
              <w:sdtEndPr>
                <w:rPr>
                  <w:rFonts w:hint="eastAsia" w:ascii="仿宋_GB2312" w:hAnsi="仿宋_GB2312" w:eastAsia="仿宋_GB2312" w:cs="仿宋_GB2312"/>
                  <w:kern w:val="0"/>
                  <w:sz w:val="24"/>
                  <w:highlight w:val="none"/>
                </w:rPr>
              </w:sdtEndPr>
              <w:sdtContent>
                <w:sdt>
                  <w:sdtPr>
                    <w:rPr>
                      <w:rFonts w:hint="eastAsia" w:ascii="仿宋_GB2312" w:hAnsi="仿宋_GB2312" w:eastAsia="仿宋_GB2312" w:cs="仿宋_GB2312"/>
                      <w:kern w:val="0"/>
                      <w:sz w:val="24"/>
                      <w:highlight w:val="none"/>
                    </w:rPr>
                    <w:id w:val="118"/>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sdtContent>
            </w:sdt>
            <w:r>
              <w:rPr>
                <w:rFonts w:hint="eastAsia" w:ascii="仿宋_GB2312" w:hAnsi="仿宋_GB2312" w:eastAsia="仿宋_GB2312" w:cs="仿宋_GB2312"/>
                <w:kern w:val="0"/>
                <w:sz w:val="24"/>
                <w:highlight w:val="none"/>
              </w:rPr>
              <w:t>A</w:t>
            </w:r>
            <w:r>
              <w:rPr>
                <w:rFonts w:hint="eastAsia" w:ascii="仿宋_GB2312" w:hAnsi="仿宋_GB2312" w:eastAsia="仿宋_GB2312" w:cs="仿宋_GB2312"/>
                <w:sz w:val="24"/>
                <w:highlight w:val="none"/>
              </w:rPr>
              <w:t>无方案讲解演示。</w:t>
            </w:r>
          </w:p>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□B有方案讲解演示：</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 xml:space="preserve">20 </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zh-CN"/>
              </w:rPr>
              <w:t xml:space="preserve">     </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keepNext w:val="0"/>
              <w:keepLines w:val="0"/>
              <w:pageBreakBefore w:val="0"/>
              <w:widowControl w:val="0"/>
              <w:kinsoku/>
              <w:overflowPunct/>
              <w:topLinePunct w:val="0"/>
              <w:autoSpaceDE/>
              <w:autoSpaceDN/>
              <w:bidi w:val="0"/>
              <w:adjustRightInd w:val="0"/>
              <w:spacing w:line="440" w:lineRule="exact"/>
              <w:textAlignment w:val="auto"/>
              <w:rPr>
                <w:rFonts w:hint="eastAsia" w:ascii="仿宋_GB2312" w:hAnsi="仿宋_GB2312" w:eastAsia="仿宋_GB2312" w:cs="仿宋_GB2312"/>
                <w:kern w:val="0"/>
                <w:sz w:val="24"/>
                <w:highlight w:val="none"/>
              </w:rPr>
            </w:pPr>
            <w:sdt>
              <w:sdtPr>
                <w:rPr>
                  <w:rFonts w:hint="eastAsia" w:ascii="仿宋_GB2312" w:hAnsi="仿宋_GB2312" w:eastAsia="仿宋_GB2312" w:cs="仿宋_GB2312"/>
                  <w:kern w:val="0"/>
                  <w:sz w:val="24"/>
                  <w:highlight w:val="none"/>
                </w:rPr>
                <w:id w:val="12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kern w:val="0"/>
                    <w:sz w:val="24"/>
                    <w:highlight w:val="none"/>
                  </w:rPr>
                  <w:sym w:font="Wingdings" w:char="F0FE"/>
                </w:r>
              </w:sdtContent>
            </w:sdt>
            <w:r>
              <w:rPr>
                <w:rFonts w:hint="eastAsia" w:ascii="仿宋_GB2312" w:hAnsi="仿宋_GB2312" w:eastAsia="仿宋_GB2312" w:cs="仿宋_GB2312"/>
                <w:color w:val="auto"/>
                <w:kern w:val="0"/>
                <w:sz w:val="24"/>
                <w:highlight w:val="none"/>
              </w:rPr>
              <w:t>本项目不允许采购进口产品。</w:t>
            </w:r>
          </w:p>
          <w:p>
            <w:pPr>
              <w:keepNext w:val="0"/>
              <w:keepLines w:val="0"/>
              <w:pageBreakBefore w:val="0"/>
              <w:widowControl w:val="0"/>
              <w:kinsoku/>
              <w:wordWrap w:val="0"/>
              <w:overflowPunct/>
              <w:topLinePunct w:val="0"/>
              <w:autoSpaceDE/>
              <w:autoSpaceDN/>
              <w:bidi w:val="0"/>
              <w:adjustRightInd w:val="0"/>
              <w:snapToGrid w:val="0"/>
              <w:spacing w:line="440" w:lineRule="exact"/>
              <w:ind w:left="0" w:leftChars="0" w:right="0" w:rightChars="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☐A货物类，单一产品或核心产品为：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12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kern w:val="0"/>
                    <w:sz w:val="24"/>
                    <w:highlight w:val="none"/>
                  </w:rPr>
                  <w:sym w:font="Wingdings" w:char="F0FE"/>
                </w:r>
              </w:sdtContent>
            </w:sdt>
            <w:r>
              <w:rPr>
                <w:rFonts w:hint="eastAsia" w:ascii="仿宋_GB2312" w:hAnsi="仿宋_GB2312" w:eastAsia="仿宋_GB2312" w:cs="仿宋_GB2312"/>
                <w:color w:val="auto"/>
                <w:sz w:val="24"/>
                <w:highlight w:val="none"/>
              </w:rPr>
              <w:t>B服务类。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highlight w:val="none"/>
              </w:rPr>
            </w:pPr>
            <w:r>
              <w:rPr>
                <w:rFonts w:hint="eastAsia" w:ascii="仿宋_GB2312" w:hAnsi="仿宋_GB2312" w:eastAsia="仿宋_GB2312" w:cs="仿宋_GB2312"/>
                <w:kern w:val="0"/>
                <w:sz w:val="24"/>
                <w:highlight w:val="none"/>
              </w:rPr>
              <w:t>（1）标的：</w:t>
            </w:r>
            <w:r>
              <w:rPr>
                <w:rFonts w:hint="eastAsia" w:ascii="仿宋_GB2312" w:hAnsi="仿宋_GB2312" w:eastAsia="仿宋_GB2312" w:cs="仿宋_GB2312"/>
                <w:kern w:val="0"/>
                <w:sz w:val="24"/>
                <w:highlight w:val="none"/>
                <w:u w:val="single"/>
              </w:rPr>
              <w:t xml:space="preserve"> 01标 </w:t>
            </w:r>
            <w:r>
              <w:rPr>
                <w:rFonts w:hint="eastAsia" w:ascii="仿宋_GB2312" w:hAnsi="仿宋_GB2312" w:eastAsia="仿宋_GB2312" w:cs="仿宋_GB2312"/>
                <w:kern w:val="0"/>
                <w:sz w:val="24"/>
                <w:highlight w:val="none"/>
              </w:rPr>
              <w:t>，属于</w:t>
            </w:r>
            <w:r>
              <w:rPr>
                <w:rFonts w:hint="eastAsia" w:ascii="仿宋_GB2312" w:hAnsi="仿宋_GB2312" w:eastAsia="仿宋_GB2312" w:cs="仿宋_GB2312"/>
                <w:kern w:val="0"/>
                <w:sz w:val="24"/>
                <w:highlight w:val="none"/>
                <w:u w:val="single"/>
              </w:rPr>
              <w:t xml:space="preserve">  物业管理</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kern w:val="0"/>
                <w:sz w:val="24"/>
                <w:highlight w:val="none"/>
                <w:u w:val="single"/>
              </w:rPr>
              <w:t xml:space="preserve">  </w:t>
            </w:r>
            <w:r>
              <w:rPr>
                <w:rFonts w:hint="eastAsia" w:ascii="仿宋_GB2312" w:hAnsi="仿宋_GB2312" w:eastAsia="仿宋_GB2312" w:cs="仿宋_GB2312"/>
                <w:kern w:val="0"/>
                <w:sz w:val="24"/>
                <w:highlight w:val="none"/>
              </w:rPr>
              <w:t>行业；</w:t>
            </w:r>
            <w:r>
              <w:rPr>
                <w:rFonts w:hint="eastAsia" w:ascii="仿宋_GB2312" w:hAnsi="仿宋_GB2312" w:eastAsia="仿宋_GB2312" w:cs="仿宋_GB2312"/>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4</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5</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7</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370" w:type="dxa"/>
            <w:gridSpan w:val="2"/>
            <w:vAlign w:val="center"/>
          </w:tcPr>
          <w:p>
            <w:pPr>
              <w:adjustRightInd w:val="0"/>
              <w:spacing w:line="440" w:lineRule="exact"/>
              <w:rPr>
                <w:rFonts w:hint="eastAsia" w:ascii="仿宋_GB2312" w:hAnsi="仿宋_GB2312" w:eastAsia="仿宋_GB2312" w:cs="仿宋_GB2312"/>
                <w:snapToGrid w:val="0"/>
                <w:kern w:val="28"/>
                <w:sz w:val="24"/>
                <w:highlight w:val="none"/>
              </w:rPr>
            </w:pPr>
            <w:sdt>
              <w:sdtPr>
                <w:rPr>
                  <w:rFonts w:hint="eastAsia" w:ascii="仿宋_GB2312" w:hAnsi="仿宋_GB2312" w:eastAsia="仿宋_GB2312" w:cs="仿宋_GB2312"/>
                  <w:kern w:val="0"/>
                  <w:sz w:val="24"/>
                  <w:szCs w:val="21"/>
                  <w:highlight w:val="none"/>
                </w:rPr>
                <w:id w:val="124"/>
              </w:sdtPr>
              <w:sdtEndPr>
                <w:rPr>
                  <w:rFonts w:hint="eastAsia" w:ascii="仿宋_GB2312" w:hAnsi="仿宋_GB2312" w:eastAsia="仿宋_GB2312" w:cs="仿宋_GB2312"/>
                  <w:kern w:val="0"/>
                  <w:sz w:val="24"/>
                  <w:szCs w:val="21"/>
                  <w:highlight w:val="none"/>
                </w:rPr>
              </w:sdtEndPr>
              <w:sdtContent>
                <w:r>
                  <w:rPr>
                    <w:rFonts w:hint="eastAsia" w:ascii="仿宋_GB2312" w:hAnsi="仿宋_GB2312" w:eastAsia="仿宋_GB2312" w:cs="仿宋_GB2312"/>
                    <w:kern w:val="0"/>
                    <w:sz w:val="24"/>
                    <w:highlight w:val="none"/>
                  </w:rPr>
                  <w:sym w:font="Wingdings" w:char="F0FE"/>
                </w:r>
              </w:sdtContent>
            </w:sdt>
            <w:r>
              <w:rPr>
                <w:rFonts w:hint="eastAsia" w:ascii="仿宋_GB2312" w:hAnsi="仿宋_GB2312" w:eastAsia="仿宋_GB2312" w:cs="仿宋_GB2312"/>
                <w:snapToGrid w:val="0"/>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kern w:val="0"/>
                  <w:sz w:val="24"/>
                  <w:szCs w:val="21"/>
                  <w:highlight w:val="none"/>
                </w:rPr>
                <w:id w:val="125"/>
              </w:sdtPr>
              <w:sdtEndPr>
                <w:rPr>
                  <w:rFonts w:hint="eastAsia" w:ascii="仿宋_GB2312" w:hAnsi="仿宋_GB2312" w:eastAsia="仿宋_GB2312" w:cs="仿宋_GB2312"/>
                  <w:kern w:val="0"/>
                  <w:sz w:val="24"/>
                  <w:szCs w:val="21"/>
                  <w:highlight w:val="none"/>
                </w:rPr>
              </w:sdtEndPr>
              <w:sdtContent>
                <w:r>
                  <w:rPr>
                    <w:rFonts w:hint="eastAsia" w:ascii="仿宋_GB2312" w:hAnsi="仿宋_GB2312" w:eastAsia="仿宋_GB2312" w:cs="仿宋_GB2312"/>
                    <w:kern w:val="0"/>
                    <w:sz w:val="24"/>
                    <w:highlight w:val="none"/>
                  </w:rPr>
                  <w:t>☐</w:t>
                </w:r>
              </w:sdtContent>
            </w:sdt>
            <w:r>
              <w:rPr>
                <w:rFonts w:hint="eastAsia" w:ascii="仿宋_GB2312" w:hAnsi="仿宋_GB2312" w:eastAsia="仿宋_GB2312" w:cs="仿宋_GB2312"/>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insoku/>
              <w:wordWrap w:val="0"/>
              <w:overflowPunct/>
              <w:topLinePunct w:val="0"/>
              <w:bidi w:val="0"/>
              <w:snapToGrid w:val="0"/>
              <w:spacing w:line="336" w:lineRule="auto"/>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val="en-US" w:eastAsia="zh-CN"/>
              </w:rPr>
              <w:t>18</w:t>
            </w:r>
          </w:p>
        </w:tc>
        <w:tc>
          <w:tcPr>
            <w:tcW w:w="8370" w:type="dxa"/>
            <w:gridSpan w:val="2"/>
            <w:vAlign w:val="center"/>
          </w:tcPr>
          <w:p>
            <w:pPr>
              <w:kinsoku/>
              <w:wordWrap w:val="0"/>
              <w:overflowPunct/>
              <w:topLinePunct w:val="0"/>
              <w:bidi w:val="0"/>
              <w:spacing w:line="336" w:lineRule="auto"/>
              <w:rPr>
                <w:rFonts w:hint="eastAsia" w:ascii="仿宋_GB2312" w:hAnsi="仿宋_GB2312" w:eastAsia="仿宋_GB2312" w:cs="仿宋_GB2312"/>
                <w:color w:val="auto"/>
                <w:kern w:val="2"/>
                <w:sz w:val="21"/>
                <w:szCs w:val="24"/>
                <w:highlight w:val="none"/>
                <w:lang w:val="en-US" w:eastAsia="zh-CN" w:bidi="ar-SA"/>
              </w:rPr>
            </w:pPr>
            <w:r>
              <w:rPr>
                <w:rFonts w:hint="eastAsia" w:ascii="仿宋_GB2312" w:hAnsi="仿宋_GB2312" w:eastAsia="仿宋_GB2312" w:cs="仿宋_GB2312"/>
                <w:b/>
                <w:color w:val="auto"/>
                <w:sz w:val="24"/>
                <w:highlight w:val="none"/>
              </w:rPr>
              <w:t>采购代理服务费：</w:t>
            </w:r>
            <w:r>
              <w:rPr>
                <w:rFonts w:hint="eastAsia" w:ascii="仿宋_GB2312" w:hAnsi="仿宋_GB2312" w:eastAsia="仿宋_GB2312" w:cs="仿宋_GB2312"/>
                <w:b/>
                <w:color w:val="auto"/>
                <w:sz w:val="24"/>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val="0"/>
        <w:overflowPunct/>
        <w:topLinePunct w:val="0"/>
        <w:autoSpaceDE/>
        <w:autoSpaceDN/>
        <w:bidi w:val="0"/>
        <w:adjustRightInd/>
        <w:snapToGrid/>
        <w:spacing w:line="360" w:lineRule="auto"/>
        <w:ind w:left="0"/>
        <w:jc w:val="center"/>
        <w:textAlignment w:val="auto"/>
        <w:outlineLvl w:val="0"/>
        <w:rPr>
          <w:rFonts w:hint="eastAsia" w:ascii="仿宋_GB2312" w:hAnsi="仿宋_GB2312" w:eastAsia="仿宋_GB2312" w:cs="仿宋_GB2312"/>
          <w:b/>
          <w:color w:val="auto"/>
          <w:sz w:val="32"/>
          <w:szCs w:val="32"/>
          <w:highlight w:val="none"/>
        </w:rPr>
      </w:pPr>
      <w:bookmarkStart w:id="17" w:name="第三部分"/>
      <w:bookmarkStart w:id="18" w:name="_Toc164416483"/>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一、总则</w:t>
      </w:r>
    </w:p>
    <w:p>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”系指适用本项目的要求，“☐”系指不适用本项目的要求。</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w:t>
      </w:r>
      <w:r>
        <w:rPr>
          <w:rFonts w:hint="eastAsia" w:ascii="仿宋_GB2312" w:hAnsi="仿宋_GB2312" w:eastAsia="仿宋_GB2312" w:cs="仿宋_GB2312"/>
          <w:bCs/>
          <w:color w:val="auto"/>
          <w:sz w:val="24"/>
          <w:highlight w:val="none"/>
        </w:rPr>
        <w:t>支持科技创新发展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pPr>
        <w:pStyle w:val="26"/>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3.投标费用</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pPr>
        <w:pStyle w:val="34"/>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“资格文件”、“商务技术文件资料”、</w:t>
      </w:r>
      <w:r>
        <w:rPr>
          <w:rFonts w:hint="eastAsia" w:ascii="仿宋_GB2312" w:hAnsi="仿宋_GB2312" w:eastAsia="仿宋_GB2312" w:cs="仿宋_GB2312"/>
          <w:color w:val="auto"/>
          <w:sz w:val="24"/>
          <w:highlight w:val="none"/>
        </w:rPr>
        <w:t>“报价文件资料”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eastAsia="zh-CN"/>
        </w:rPr>
      </w:pPr>
      <w:r>
        <w:rPr>
          <w:rFonts w:hint="eastAsia" w:ascii="仿宋_GB2312" w:hAnsi="仿宋_GB2312" w:eastAsia="仿宋_GB2312" w:cs="仿宋_GB2312"/>
          <w:b/>
          <w:color w:val="auto"/>
          <w:sz w:val="24"/>
          <w:highlight w:val="none"/>
          <w:lang w:val="zh-CN" w:eastAsia="zh-CN"/>
        </w:rPr>
        <w:t>2.</w:t>
      </w:r>
      <w:r>
        <w:rPr>
          <w:rFonts w:hint="eastAsia" w:ascii="仿宋_GB2312" w:hAnsi="仿宋_GB2312" w:eastAsia="仿宋_GB2312" w:cs="仿宋_GB2312"/>
          <w:b/>
          <w:color w:val="auto"/>
          <w:sz w:val="24"/>
          <w:highlight w:val="none"/>
          <w:lang w:val="en-US" w:eastAsia="zh-CN"/>
        </w:rPr>
        <w:t>2商务技术</w:t>
      </w:r>
      <w:r>
        <w:rPr>
          <w:rFonts w:hint="eastAsia" w:ascii="仿宋_GB2312" w:hAnsi="仿宋_GB2312" w:eastAsia="仿宋_GB2312" w:cs="仿宋_GB2312"/>
          <w:b/>
          <w:color w:val="auto"/>
          <w:sz w:val="24"/>
          <w:highlight w:val="none"/>
          <w:lang w:val="zh-CN" w:eastAsia="zh-CN"/>
        </w:rPr>
        <w:t>文件：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2.2.1投标函；</w:t>
      </w:r>
      <w:r>
        <w:rPr>
          <w:rFonts w:hint="eastAsia" w:ascii="仿宋_GB2312" w:hAnsi="仿宋_GB2312" w:eastAsia="仿宋_GB2312" w:cs="仿宋_GB2312"/>
          <w:color w:val="auto"/>
          <w:sz w:val="24"/>
          <w:highlight w:val="none"/>
          <w:lang w:val="zh-CN" w:eastAsia="zh-CN"/>
        </w:rPr>
        <w:t xml:space="preserve"> </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2.2.2法定代表人授权委托书；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2.2.3法定代表人及其授权代表身份证复印件；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2.2.4授权代表社保证明；</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2.2.5法定代表人身份证明书；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2.3.1开标一览表（报价表）；</w:t>
      </w:r>
    </w:p>
    <w:p>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2.3.2中小企业声明函（如有）；</w:t>
      </w:r>
    </w:p>
    <w:p>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2.3.3 残疾人福利性单位声明函（如有）。</w:t>
      </w:r>
    </w:p>
    <w:p>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2" w:firstLineChars="200"/>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rPr>
        <w:t>3.</w:t>
      </w:r>
      <w:r>
        <w:rPr>
          <w:rFonts w:hint="eastAsia" w:ascii="仿宋_GB2312" w:hAnsi="仿宋_GB2312" w:eastAsia="仿宋_GB2312" w:cs="仿宋_GB2312"/>
          <w:b/>
          <w:bCs/>
          <w:color w:val="auto"/>
          <w:sz w:val="24"/>
          <w:highlight w:val="none"/>
          <w:lang w:val="en-US" w:eastAsia="zh-CN"/>
        </w:rPr>
        <w:t>投标报价</w:t>
      </w:r>
    </w:p>
    <w:p>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3.1供应商应按招标文件中《开标一览表》等附表要求填写。</w:t>
      </w:r>
    </w:p>
    <w:p>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3.2报价为采购人可以合格使用产品的价格，包括货款、包装、运输、保险、货到就位以及安装、调试、培训、保修及产品知识产权等一切费用。</w:t>
      </w:r>
    </w:p>
    <w:p>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3.3招标文件未列明，而供应商认为必需的费用也需列入报价。</w:t>
      </w:r>
    </w:p>
    <w:p>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bCs/>
          <w:color w:val="auto"/>
          <w:sz w:val="24"/>
          <w:highlight w:val="none"/>
          <w:lang w:val="en-US" w:eastAsia="zh-CN"/>
        </w:rPr>
        <w:t>3.4投标报价只允许有一个报价，有选择的报价将不予接受（除指定外）</w:t>
      </w:r>
      <w:r>
        <w:rPr>
          <w:rFonts w:hint="eastAsia" w:ascii="仿宋_GB2312" w:hAnsi="仿宋_GB2312" w:eastAsia="仿宋_GB2312" w:cs="仿宋_GB2312"/>
          <w:b/>
          <w:bCs/>
          <w:color w:val="auto"/>
          <w:sz w:val="24"/>
          <w:highlight w:val="none"/>
          <w:lang w:val="en-US"/>
        </w:rPr>
        <w:t>。</w:t>
      </w: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pPr>
        <w:pStyle w:val="130"/>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auto"/>
          <w:sz w:val="32"/>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19" w:name="_Toc91899903"/>
      <w:r>
        <w:rPr>
          <w:rFonts w:hint="eastAsia" w:ascii="仿宋_GB2312" w:hAnsi="仿宋_GB2312" w:eastAsia="仿宋_GB2312" w:cs="仿宋_GB2312"/>
          <w:b/>
          <w:color w:val="auto"/>
          <w:sz w:val="32"/>
          <w:szCs w:val="32"/>
          <w:highlight w:val="none"/>
        </w:rPr>
        <w:t>四、开标和评标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8.24投标文件出现不是唯一的、有选择性投标报价的；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lang w:val="en-US" w:eastAsia="zh-CN"/>
        </w:rPr>
        <w:t>8.25 未按招标文件要求提供样品或提供样品不满足采购需求实质性条件的；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rPr>
      </w:pPr>
      <w:r>
        <w:rPr>
          <w:rFonts w:hint="eastAsia" w:ascii="仿宋_GB2312" w:hAnsi="仿宋_GB2312" w:eastAsia="仿宋_GB2312" w:cs="仿宋_GB2312"/>
          <w:b/>
          <w:bCs/>
          <w:color w:val="auto"/>
          <w:sz w:val="24"/>
          <w:highlight w:val="none"/>
        </w:rPr>
        <w:t>8.2</w:t>
      </w:r>
      <w:r>
        <w:rPr>
          <w:rFonts w:hint="eastAsia" w:ascii="仿宋_GB2312" w:hAnsi="仿宋_GB2312" w:eastAsia="仿宋_GB2312" w:cs="仿宋_GB2312"/>
          <w:b/>
          <w:bCs/>
          <w:color w:val="auto"/>
          <w:sz w:val="24"/>
          <w:highlight w:val="none"/>
          <w:lang w:val="en-US"/>
        </w:rPr>
        <w:t>6参与同一个采购包(标段)的供应商存在下列情形之一的其投标(响应)文件无效: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8.26.1</w:t>
      </w:r>
      <w:r>
        <w:rPr>
          <w:rFonts w:hint="eastAsia" w:ascii="仿宋_GB2312" w:hAnsi="仿宋_GB2312" w:eastAsia="仿宋_GB2312" w:cs="仿宋_GB2312"/>
          <w:b w:val="0"/>
          <w:bCs w:val="0"/>
          <w:color w:val="auto"/>
          <w:sz w:val="24"/>
          <w:highlight w:val="none"/>
          <w:lang w:val="en-US"/>
        </w:rPr>
        <w:t>不同供应商的电子投标(响应)文件上传计算机的网卡MAC地址、CPU序列号和硬盘序列号等硬件信息相同的;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8.26.2</w:t>
      </w:r>
      <w:r>
        <w:rPr>
          <w:rFonts w:hint="eastAsia" w:ascii="仿宋_GB2312" w:hAnsi="仿宋_GB2312" w:eastAsia="仿宋_GB2312" w:cs="仿宋_GB2312"/>
          <w:b w:val="0"/>
          <w:bCs w:val="0"/>
          <w:color w:val="auto"/>
          <w:sz w:val="24"/>
          <w:highlight w:val="none"/>
          <w:lang w:val="en-US"/>
        </w:rPr>
        <w:t>上传的电子投标(响应)文件若出现使用本项目其他投标(响应)供应商的数字证书加密的，或者加盖本项目其他投标(响应)供应商的电子印章的;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8.26.3</w:t>
      </w:r>
      <w:r>
        <w:rPr>
          <w:rFonts w:hint="eastAsia" w:ascii="仿宋_GB2312" w:hAnsi="仿宋_GB2312" w:eastAsia="仿宋_GB2312" w:cs="仿宋_GB2312"/>
          <w:b w:val="0"/>
          <w:bCs w:val="0"/>
          <w:color w:val="auto"/>
          <w:sz w:val="24"/>
          <w:highlight w:val="none"/>
          <w:lang w:val="en-US"/>
        </w:rPr>
        <w:t>不同供应商的投标(响应)文件的内容存在三处(含)以上错误一致，且无法合理解释的;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8.26.4</w:t>
      </w:r>
      <w:r>
        <w:rPr>
          <w:rFonts w:hint="eastAsia" w:ascii="仿宋_GB2312" w:hAnsi="仿宋_GB2312" w:eastAsia="仿宋_GB2312" w:cs="仿宋_GB2312"/>
          <w:b w:val="0"/>
          <w:bCs w:val="0"/>
          <w:color w:val="auto"/>
          <w:sz w:val="24"/>
          <w:highlight w:val="none"/>
          <w:lang w:val="en-US"/>
        </w:rPr>
        <w:t>不同供应商联系人为同一人或不同联系人的联系电话一致，且无法合理解释的。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rPr>
        <w:t>7</w:t>
      </w:r>
      <w:r>
        <w:rPr>
          <w:rFonts w:hint="eastAsia" w:ascii="仿宋_GB2312" w:hAnsi="仿宋_GB2312" w:eastAsia="仿宋_GB2312" w:cs="仿宋_GB2312"/>
          <w:b/>
          <w:color w:val="auto"/>
          <w:sz w:val="24"/>
          <w:highlight w:val="none"/>
        </w:rPr>
        <w:t>其他违反法律、法规的情形。</w:t>
      </w:r>
    </w:p>
    <w:p>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9.评标过程保密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19"/>
    <w:p>
      <w:pPr>
        <w:pStyle w:val="34"/>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20" w:name="_Hlt68072998"/>
      <w:bookmarkEnd w:id="20"/>
      <w:bookmarkStart w:id="21" w:name="_Hlt75236290"/>
      <w:bookmarkEnd w:id="21"/>
      <w:bookmarkStart w:id="22" w:name="_Hlt75236101"/>
      <w:bookmarkEnd w:id="22"/>
      <w:bookmarkStart w:id="23" w:name="_Hlt74714665"/>
      <w:bookmarkEnd w:id="23"/>
      <w:bookmarkStart w:id="24" w:name="_Hlt74707468"/>
      <w:bookmarkEnd w:id="24"/>
      <w:bookmarkStart w:id="25" w:name="_Hlt68403820"/>
      <w:bookmarkEnd w:id="25"/>
      <w:bookmarkStart w:id="26" w:name="_Hlt68057669"/>
      <w:bookmarkEnd w:id="26"/>
      <w:bookmarkStart w:id="27" w:name="_Hlt74729768"/>
      <w:bookmarkEnd w:id="27"/>
      <w:bookmarkStart w:id="28" w:name="_Hlt68072990"/>
      <w:bookmarkEnd w:id="28"/>
      <w:bookmarkStart w:id="29" w:name="_Hlt75236011"/>
      <w:bookmarkEnd w:id="29"/>
      <w:bookmarkStart w:id="30" w:name="_Hlt68073093"/>
      <w:bookmarkEnd w:id="30"/>
      <w:bookmarkStart w:id="31" w:name="_Hlt74730295"/>
      <w:bookmarkEnd w:id="31"/>
      <w:bookmarkStart w:id="32" w:name="_Toc81372953"/>
      <w:bookmarkStart w:id="33" w:name="_Toc84325929"/>
      <w:bookmarkStart w:id="34" w:name="_Toc81372776"/>
      <w:r>
        <w:rPr>
          <w:rFonts w:hint="eastAsia" w:ascii="仿宋_GB2312" w:hAnsi="仿宋_GB2312" w:eastAsia="仿宋_GB2312" w:cs="仿宋_GB2312"/>
          <w:b/>
          <w:color w:val="auto"/>
          <w:sz w:val="32"/>
          <w:szCs w:val="32"/>
          <w:highlight w:val="none"/>
        </w:rPr>
        <w:t>五、授予合同</w:t>
      </w:r>
    </w:p>
    <w:bookmarkEnd w:id="32"/>
    <w:bookmarkEnd w:id="33"/>
    <w:bookmarkEnd w:id="34"/>
    <w:p>
      <w:pPr>
        <w:pStyle w:val="15"/>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 供应商询问</w:t>
      </w:r>
    </w:p>
    <w:p>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b w:val="0"/>
          <w:bCs w:val="0"/>
          <w:i w:val="0"/>
          <w:iCs w:val="0"/>
          <w:color w:val="auto"/>
          <w:kern w:val="0"/>
          <w:sz w:val="24"/>
          <w:szCs w:val="24"/>
          <w:highlight w:val="none"/>
          <w:vertAlign w:val="baseline"/>
          <w:lang w:val="en-US" w:eastAsia="zh-CN" w:bidi="ar-SA"/>
        </w:rPr>
        <w:t xml:space="preserve"> </w:t>
      </w: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的，采购代理机构应当告知供应商向采购人提出。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 供应商质疑</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highlight w:val="none"/>
        </w:rPr>
        <w:sectPr>
          <w:footerReference r:id="rId11" w:type="default"/>
          <w:pgSz w:w="11906" w:h="16838"/>
          <w:pgMar w:top="1474" w:right="1814" w:bottom="1474" w:left="1814" w:header="851" w:footer="992" w:gutter="0"/>
          <w:pgNumType w:fmt="decimal"/>
          <w:cols w:space="720" w:num="1"/>
          <w:docGrid w:linePitch="312" w:charSpace="0"/>
        </w:sectPr>
      </w:pPr>
    </w:p>
    <w:bookmarkEnd w:id="17"/>
    <w:bookmarkEnd w:id="18"/>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bookmarkStart w:id="35" w:name="第四部分"/>
      <w:r>
        <w:rPr>
          <w:rFonts w:hint="eastAsia" w:ascii="仿宋_GB2312" w:hAnsi="仿宋_GB2312" w:eastAsia="仿宋_GB2312" w:cs="仿宋_GB2312"/>
          <w:b/>
          <w:color w:val="auto"/>
          <w:sz w:val="36"/>
          <w:szCs w:val="36"/>
          <w:highlight w:val="none"/>
        </w:rPr>
        <w:t>第三部分   招标项目范围及要求</w:t>
      </w:r>
    </w:p>
    <w:bookmarkEnd w:id="35"/>
    <w:p>
      <w:pPr>
        <w:keepNext w:val="0"/>
        <w:keepLines w:val="0"/>
        <w:pageBreakBefore w:val="0"/>
        <w:widowControl w:val="0"/>
        <w:kinsoku/>
        <w:wordWrap/>
        <w:overflowPunct/>
        <w:topLinePunct w:val="0"/>
        <w:autoSpaceDE/>
        <w:autoSpaceDN/>
        <w:bidi w:val="0"/>
        <w:adjustRightInd w:val="0"/>
        <w:snapToGrid/>
        <w:spacing w:line="440" w:lineRule="exact"/>
        <w:ind w:left="0" w:leftChars="0" w:firstLine="0" w:firstLineChars="0"/>
        <w:jc w:val="left"/>
        <w:textAlignment w:val="auto"/>
        <w:outlineLvl w:val="0"/>
        <w:rPr>
          <w:rFonts w:hint="eastAsia" w:ascii="仿宋_GB2312" w:hAnsi="仿宋_GB2312" w:eastAsia="仿宋_GB2312" w:cs="仿宋_GB2312"/>
          <w:b/>
          <w:color w:val="auto"/>
          <w:sz w:val="36"/>
          <w:szCs w:val="36"/>
          <w:highlight w:val="none"/>
          <w:lang w:eastAsia="zh-CN"/>
        </w:rPr>
      </w:pPr>
      <w:bookmarkStart w:id="36" w:name="第五部分"/>
      <w:bookmarkStart w:id="37" w:name="_Toc86217003"/>
      <w:r>
        <w:rPr>
          <w:rFonts w:hint="eastAsia" w:ascii="仿宋_GB2312" w:hAnsi="仿宋_GB2312" w:eastAsia="仿宋_GB2312" w:cs="仿宋_GB2312"/>
          <w:b/>
          <w:bCs/>
          <w:sz w:val="24"/>
          <w:bdr w:val="single" w:color="auto" w:sz="4" w:space="0"/>
        </w:rPr>
        <w:t>01标</w:t>
      </w:r>
      <w:r>
        <w:rPr>
          <w:rFonts w:hint="eastAsia" w:ascii="仿宋_GB2312" w:hAnsi="仿宋_GB2312" w:eastAsia="仿宋_GB2312" w:cs="仿宋_GB2312"/>
          <w:b/>
          <w:bCs/>
          <w:sz w:val="24"/>
          <w:lang w:eastAsia="zh-CN"/>
        </w:rPr>
        <w:t xml:space="preserve">2025物业管理项目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2" w:firstLineChars="200"/>
        <w:textAlignment w:val="auto"/>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lang w:val="en-US" w:eastAsia="zh-CN"/>
          <w14:textFill>
            <w14:solidFill>
              <w14:schemeClr w14:val="tx1"/>
            </w14:solidFill>
          </w14:textFill>
        </w:rPr>
        <w:t>一、</w:t>
      </w:r>
      <w:r>
        <w:rPr>
          <w:rFonts w:hint="eastAsia" w:ascii="仿宋_GB2312" w:hAnsi="仿宋_GB2312" w:eastAsia="仿宋_GB2312" w:cs="仿宋_GB2312"/>
          <w:b/>
          <w:color w:val="000000" w:themeColor="text1"/>
          <w:sz w:val="24"/>
          <w:szCs w:val="24"/>
          <w:highlight w:val="none"/>
          <w14:textFill>
            <w14:solidFill>
              <w14:schemeClr w14:val="tx1"/>
            </w14:solidFill>
          </w14:textFill>
        </w:rPr>
        <w:t>学校概况</w:t>
      </w:r>
    </w:p>
    <w:p>
      <w:pPr>
        <w:keepNext w:val="0"/>
        <w:keepLines w:val="0"/>
        <w:pageBreakBefore w:val="0"/>
        <w:kinsoku/>
        <w:wordWrap/>
        <w:overflowPunct/>
        <w:topLinePunct w:val="0"/>
        <w:autoSpaceDE/>
        <w:autoSpaceDN/>
        <w:bidi w:val="0"/>
        <w:adjustRightInd/>
        <w:snapToGrid/>
        <w:spacing w:line="440" w:lineRule="exact"/>
        <w:ind w:left="0" w:firstLine="480" w:firstLineChars="200"/>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sz w:val="24"/>
          <w:szCs w:val="24"/>
        </w:rPr>
        <w:t>绍兴艺术学校设计</w:t>
      </w:r>
      <w:r>
        <w:rPr>
          <w:rFonts w:hint="eastAsia" w:ascii="仿宋_GB2312" w:hAnsi="仿宋_GB2312" w:eastAsia="仿宋_GB2312" w:cs="仿宋_GB2312"/>
          <w:sz w:val="24"/>
          <w:szCs w:val="24"/>
          <w:shd w:val="clear" w:color="auto" w:fill="FFFFFF"/>
        </w:rPr>
        <w:t>总建筑面积57227.47㎡，包括行政楼、舞蹈楼、文化楼、ABCD宿舍楼、体育馆、戏曲美术楼、音乐楼、剧场、食堂、高配房等；绿地面积</w:t>
      </w:r>
      <w:r>
        <w:rPr>
          <w:rFonts w:hint="eastAsia" w:ascii="仿宋_GB2312" w:hAnsi="仿宋_GB2312" w:eastAsia="仿宋_GB2312" w:cs="仿宋_GB2312"/>
          <w:sz w:val="24"/>
          <w:szCs w:val="24"/>
          <w:shd w:val="clear" w:color="auto" w:fill="FFFFFF"/>
          <w:lang w:val="en-US" w:eastAsia="zh-CN"/>
        </w:rPr>
        <w:t>36236</w:t>
      </w:r>
      <w:r>
        <w:rPr>
          <w:rFonts w:hint="eastAsia" w:ascii="仿宋_GB2312" w:hAnsi="仿宋_GB2312" w:eastAsia="仿宋_GB2312" w:cs="仿宋_GB2312"/>
          <w:sz w:val="24"/>
          <w:szCs w:val="24"/>
          <w:shd w:val="clear" w:color="auto" w:fill="FFFFFF"/>
        </w:rPr>
        <w:t>㎡</w:t>
      </w:r>
      <w:r>
        <w:rPr>
          <w:rFonts w:hint="eastAsia" w:ascii="仿宋_GB2312" w:hAnsi="仿宋_GB2312" w:eastAsia="仿宋_GB2312" w:cs="仿宋_GB2312"/>
          <w:sz w:val="24"/>
          <w:szCs w:val="24"/>
          <w:shd w:val="clear" w:color="auto" w:fill="FFFFFF"/>
          <w:lang w:eastAsia="zh-CN"/>
        </w:rPr>
        <w:t>，</w:t>
      </w:r>
      <w:r>
        <w:rPr>
          <w:rFonts w:hint="eastAsia" w:ascii="仿宋_GB2312" w:hAnsi="仿宋_GB2312" w:eastAsia="仿宋_GB2312" w:cs="仿宋_GB2312"/>
          <w:sz w:val="24"/>
          <w:szCs w:val="24"/>
          <w:shd w:val="clear" w:color="auto" w:fill="FFFFFF"/>
          <w:lang w:val="en-US" w:eastAsia="zh-CN"/>
        </w:rPr>
        <w:t>室内绿化摆放面积15000</w:t>
      </w:r>
      <w:r>
        <w:rPr>
          <w:rFonts w:hint="eastAsia" w:ascii="仿宋_GB2312" w:hAnsi="仿宋_GB2312" w:eastAsia="仿宋_GB2312" w:cs="仿宋_GB2312"/>
          <w:sz w:val="24"/>
          <w:szCs w:val="24"/>
          <w:shd w:val="clear" w:color="auto" w:fill="FFFFFF"/>
        </w:rPr>
        <w:t>㎡。</w:t>
      </w:r>
    </w:p>
    <w:p>
      <w:pPr>
        <w:keepNext w:val="0"/>
        <w:keepLines w:val="0"/>
        <w:pageBreakBefore w:val="0"/>
        <w:numPr>
          <w:ilvl w:val="0"/>
          <w:numId w:val="0"/>
        </w:numPr>
        <w:kinsoku/>
        <w:wordWrap/>
        <w:overflowPunct/>
        <w:topLinePunct w:val="0"/>
        <w:autoSpaceDE/>
        <w:autoSpaceDN/>
        <w:bidi w:val="0"/>
        <w:adjustRightInd/>
        <w:snapToGrid/>
        <w:spacing w:line="440" w:lineRule="exact"/>
        <w:ind w:left="0" w:leftChars="0" w:firstLine="482" w:firstLineChars="200"/>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lang w:val="en-US" w:eastAsia="zh-CN"/>
          <w14:textFill>
            <w14:solidFill>
              <w14:schemeClr w14:val="tx1"/>
            </w14:solidFill>
          </w14:textFill>
        </w:rPr>
        <w:t>二、服务</w:t>
      </w:r>
      <w:r>
        <w:rPr>
          <w:rFonts w:hint="eastAsia" w:ascii="仿宋_GB2312" w:hAnsi="仿宋_GB2312" w:eastAsia="仿宋_GB2312" w:cs="仿宋_GB2312"/>
          <w:b/>
          <w:color w:val="000000" w:themeColor="text1"/>
          <w:sz w:val="24"/>
          <w:szCs w:val="24"/>
          <w:highlight w:val="none"/>
          <w14:textFill>
            <w14:solidFill>
              <w14:schemeClr w14:val="tx1"/>
            </w14:solidFill>
          </w14:textFill>
        </w:rPr>
        <w:t>内容及要求</w:t>
      </w:r>
    </w:p>
    <w:p>
      <w:pPr>
        <w:pStyle w:val="34"/>
        <w:keepNext w:val="0"/>
        <w:keepLines w:val="0"/>
        <w:pageBreakBefore w:val="0"/>
        <w:kinsoku/>
        <w:wordWrap/>
        <w:overflowPunct/>
        <w:topLinePunct w:val="0"/>
        <w:autoSpaceDE/>
        <w:autoSpaceDN/>
        <w:bidi w:val="0"/>
        <w:adjustRightInd/>
        <w:snapToGrid/>
        <w:spacing w:line="440" w:lineRule="exact"/>
        <w:ind w:left="0" w:firstLine="482" w:firstLineChars="200"/>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1、管理人员数量及服务要求：项目负责人1人。</w:t>
      </w:r>
      <w:r>
        <w:rPr>
          <w:rFonts w:hint="eastAsia" w:ascii="仿宋_GB2312" w:hAnsi="仿宋_GB2312" w:eastAsia="仿宋_GB2312" w:cs="仿宋_GB2312"/>
          <w:b w:val="0"/>
          <w:bCs w:val="0"/>
          <w:color w:val="auto"/>
          <w:sz w:val="24"/>
          <w:szCs w:val="24"/>
          <w:highlight w:val="none"/>
          <w:shd w:val="clear"/>
          <w:lang w:val="en-US" w:eastAsia="zh-CN"/>
        </w:rPr>
        <w:t>项目负责人需具备本科及以上学历，持有</w:t>
      </w:r>
      <w:r>
        <w:rPr>
          <w:rFonts w:hint="eastAsia" w:ascii="仿宋_GB2312" w:hAnsi="仿宋_GB2312" w:eastAsia="仿宋_GB2312" w:cs="仿宋_GB2312"/>
          <w:color w:val="auto"/>
          <w:sz w:val="24"/>
          <w:szCs w:val="24"/>
          <w:highlight w:val="none"/>
        </w:rPr>
        <w:t>人社部门颁发的</w:t>
      </w:r>
      <w:r>
        <w:rPr>
          <w:rFonts w:hint="eastAsia" w:ascii="仿宋_GB2312" w:hAnsi="仿宋_GB2312" w:eastAsia="仿宋_GB2312" w:cs="仿宋_GB2312"/>
          <w:color w:val="auto"/>
          <w:sz w:val="24"/>
          <w:szCs w:val="24"/>
          <w:highlight w:val="none"/>
          <w:lang w:val="en-US" w:eastAsia="zh-CN"/>
        </w:rPr>
        <w:t>高级及以上</w:t>
      </w:r>
      <w:r>
        <w:rPr>
          <w:rFonts w:hint="eastAsia" w:ascii="仿宋_GB2312" w:hAnsi="仿宋_GB2312" w:eastAsia="仿宋_GB2312" w:cs="仿宋_GB2312"/>
          <w:color w:val="auto"/>
          <w:sz w:val="24"/>
          <w:szCs w:val="24"/>
          <w:highlight w:val="none"/>
        </w:rPr>
        <w:t>职称证书</w:t>
      </w:r>
      <w:r>
        <w:rPr>
          <w:rFonts w:hint="eastAsia" w:ascii="仿宋_GB2312" w:hAnsi="仿宋_GB2312" w:eastAsia="仿宋_GB2312" w:cs="仿宋_GB2312"/>
          <w:b w:val="0"/>
          <w:bCs w:val="0"/>
          <w:color w:val="auto"/>
          <w:sz w:val="24"/>
          <w:szCs w:val="24"/>
          <w:highlight w:val="none"/>
          <w:shd w:val="clear"/>
          <w:lang w:val="en-US" w:eastAsia="zh-CN"/>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项目负责人负责配合学校对物业工作进行统筹安排，</w:t>
      </w:r>
      <w:r>
        <w:rPr>
          <w:rFonts w:hint="eastAsia" w:ascii="仿宋_GB2312" w:hAnsi="仿宋_GB2312" w:eastAsia="仿宋_GB2312" w:cs="仿宋_GB2312"/>
          <w:color w:val="auto"/>
          <w:sz w:val="24"/>
          <w:szCs w:val="24"/>
          <w:highlight w:val="none"/>
          <w:lang w:val="en-US" w:eastAsia="zh-CN"/>
        </w:rPr>
        <w:t>做好各类学校活动的物业配合工作。</w:t>
      </w:r>
      <w:r>
        <w:rPr>
          <w:rFonts w:hint="eastAsia" w:ascii="仿宋_GB2312" w:hAnsi="仿宋_GB2312" w:eastAsia="仿宋_GB2312" w:cs="仿宋_GB2312"/>
          <w:b/>
          <w:bCs/>
          <w:color w:val="auto"/>
          <w:sz w:val="24"/>
          <w:szCs w:val="24"/>
          <w:highlight w:val="none"/>
          <w:lang w:val="en-US" w:eastAsia="zh-CN"/>
        </w:rPr>
        <w:t>项目助理1人</w:t>
      </w:r>
      <w:r>
        <w:rPr>
          <w:rFonts w:hint="eastAsia" w:ascii="仿宋_GB2312" w:hAnsi="仿宋_GB2312" w:eastAsia="仿宋_GB2312" w:cs="仿宋_GB2312"/>
          <w:color w:val="auto"/>
          <w:sz w:val="24"/>
          <w:szCs w:val="24"/>
          <w:highlight w:val="none"/>
          <w:lang w:val="en-US" w:eastAsia="zh-CN"/>
        </w:rPr>
        <w:t>（兼任保安队长）。项目助理需具备本科</w:t>
      </w:r>
      <w:r>
        <w:rPr>
          <w:rFonts w:hint="eastAsia" w:ascii="仿宋_GB2312" w:hAnsi="仿宋_GB2312" w:eastAsia="仿宋_GB2312" w:cs="仿宋_GB2312"/>
          <w:color w:val="auto"/>
          <w:sz w:val="24"/>
          <w:szCs w:val="24"/>
          <w:highlight w:val="none"/>
        </w:rPr>
        <w:t>及以上学历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持有人社部门颁发的中级及以上职称证书</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000000"/>
          <w:sz w:val="24"/>
          <w:szCs w:val="24"/>
          <w:lang w:val="en-US" w:eastAsia="zh-CN"/>
        </w:rPr>
        <w:t>人社部门颁发的</w:t>
      </w:r>
      <w:r>
        <w:rPr>
          <w:rFonts w:hint="eastAsia" w:ascii="仿宋_GB2312" w:hAnsi="仿宋_GB2312" w:eastAsia="仿宋_GB2312" w:cs="仿宋_GB2312"/>
          <w:color w:val="auto"/>
          <w:sz w:val="24"/>
          <w:szCs w:val="24"/>
          <w:highlight w:val="none"/>
          <w:lang w:val="en-US" w:eastAsia="zh-CN"/>
        </w:rPr>
        <w:t>应急救援员职业技能初级（五级）及以上证书，配合项目负责人做好物业服务管理工作。</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firstLine="482" w:firstLineChars="200"/>
        <w:textAlignment w:val="auto"/>
        <w:rPr>
          <w:rFonts w:hint="eastAsia" w:ascii="仿宋_GB2312" w:hAnsi="仿宋_GB2312" w:eastAsia="仿宋_GB2312" w:cs="仿宋_GB2312"/>
          <w:b/>
          <w:bCs/>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2、</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安保</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人员数量及</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服务</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要求</w:t>
      </w:r>
      <w:r>
        <w:rPr>
          <w:rFonts w:hint="eastAsia" w:ascii="仿宋_GB2312" w:hAnsi="仿宋_GB2312" w:eastAsia="仿宋_GB2312" w:cs="仿宋_GB2312"/>
          <w:b/>
          <w:bCs/>
          <w:color w:val="000000" w:themeColor="text1"/>
          <w:sz w:val="24"/>
          <w:szCs w:val="24"/>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bCs w:val="0"/>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安保人员合计7人。工作内容具体见岗位表</w:t>
      </w:r>
      <w:r>
        <w:rPr>
          <w:rFonts w:hint="eastAsia" w:ascii="仿宋_GB2312" w:hAnsi="仿宋_GB2312" w:eastAsia="仿宋_GB2312" w:cs="仿宋_GB2312"/>
          <w:sz w:val="24"/>
          <w:szCs w:val="24"/>
        </w:rPr>
        <w:t>。</w:t>
      </w:r>
    </w:p>
    <w:p>
      <w:pPr>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color w:val="auto"/>
          <w:sz w:val="24"/>
          <w:szCs w:val="24"/>
          <w:highlight w:val="none"/>
          <w:lang w:val="en-US" w:eastAsia="zh-CN"/>
        </w:rPr>
        <w:t>24小时制，负责校区门岗值勤、南北校区巡逻、宿舍管理等</w:t>
      </w:r>
      <w:r>
        <w:rPr>
          <w:rFonts w:hint="eastAsia" w:ascii="仿宋_GB2312" w:hAnsi="仿宋_GB2312" w:eastAsia="仿宋_GB2312" w:cs="仿宋_GB2312"/>
          <w:color w:val="auto"/>
          <w:sz w:val="24"/>
          <w:szCs w:val="24"/>
          <w:highlight w:val="none"/>
        </w:rPr>
        <w:t>。</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480" w:firstLineChars="200"/>
        <w:jc w:val="left"/>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保安人员应五官端正，</w:t>
      </w:r>
      <w:r>
        <w:rPr>
          <w:rFonts w:hint="eastAsia" w:ascii="仿宋_GB2312" w:hAnsi="仿宋_GB2312" w:eastAsia="仿宋_GB2312" w:cs="仿宋_GB2312"/>
          <w:b w:val="0"/>
          <w:bCs w:val="0"/>
          <w:color w:val="auto"/>
          <w:sz w:val="24"/>
          <w:szCs w:val="24"/>
          <w:highlight w:val="none"/>
          <w:lang w:val="en-US" w:eastAsia="zh-CN"/>
        </w:rPr>
        <w:t>年龄55周岁以下，</w:t>
      </w:r>
      <w:r>
        <w:rPr>
          <w:rFonts w:hint="eastAsia" w:ascii="仿宋_GB2312" w:hAnsi="仿宋_GB2312" w:eastAsia="仿宋_GB2312" w:cs="仿宋_GB2312"/>
          <w:color w:val="auto"/>
          <w:sz w:val="24"/>
          <w:szCs w:val="24"/>
          <w:highlight w:val="none"/>
        </w:rPr>
        <w:t>身高1.</w:t>
      </w:r>
      <w:r>
        <w:rPr>
          <w:rFonts w:hint="eastAsia" w:ascii="仿宋_GB2312" w:hAnsi="仿宋_GB2312" w:eastAsia="仿宋_GB2312" w:cs="仿宋_GB2312"/>
          <w:color w:val="auto"/>
          <w:sz w:val="24"/>
          <w:szCs w:val="24"/>
          <w:highlight w:val="none"/>
          <w:lang w:val="en-US" w:eastAsia="zh-CN"/>
        </w:rPr>
        <w:t>65</w:t>
      </w:r>
      <w:r>
        <w:rPr>
          <w:rFonts w:hint="eastAsia" w:ascii="仿宋_GB2312" w:hAnsi="仿宋_GB2312" w:eastAsia="仿宋_GB2312" w:cs="仿宋_GB2312"/>
          <w:color w:val="auto"/>
          <w:sz w:val="24"/>
          <w:szCs w:val="24"/>
          <w:highlight w:val="none"/>
        </w:rPr>
        <w:t>米以上，身体健康，统一着装，佩带胸牌。责任心强，能适应夜间工作及倒班，初中以上文化，会基本的电脑操作。无不良社会记录和违法犯罪记录</w:t>
      </w:r>
      <w:r>
        <w:rPr>
          <w:rFonts w:hint="eastAsia" w:ascii="仿宋_GB2312" w:hAnsi="仿宋_GB2312" w:eastAsia="仿宋_GB2312" w:cs="仿宋_GB2312"/>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主要服务内容：门岗及来客来车登记</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按规定线路及重点部位24小时内不定时巡逻检查</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维护车辆行驶、停泊秩序</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报刊、信件收发。</w:t>
      </w:r>
      <w:r>
        <w:rPr>
          <w:rFonts w:hint="eastAsia" w:ascii="仿宋_GB2312" w:hAnsi="仿宋_GB2312" w:eastAsia="仿宋_GB2312" w:cs="仿宋_GB2312"/>
          <w:color w:val="auto"/>
          <w:sz w:val="24"/>
          <w:szCs w:val="24"/>
          <w:highlight w:val="none"/>
          <w:lang w:val="en-US" w:eastAsia="zh-CN"/>
        </w:rPr>
        <w:t>岗位表如下：</w:t>
      </w:r>
    </w:p>
    <w:tbl>
      <w:tblPr>
        <w:tblStyle w:val="6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149"/>
        <w:gridCol w:w="5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Align w:val="top"/>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b/>
                <w:bCs/>
                <w:color w:val="auto"/>
                <w:kern w:val="0"/>
                <w:sz w:val="24"/>
                <w:szCs w:val="24"/>
                <w:highlight w:val="none"/>
                <w:lang w:bidi="ar"/>
              </w:rPr>
              <w:t>岗位性质</w:t>
            </w:r>
          </w:p>
        </w:tc>
        <w:tc>
          <w:tcPr>
            <w:tcW w:w="1149" w:type="dxa"/>
            <w:vAlign w:val="top"/>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b/>
                <w:bCs/>
                <w:color w:val="auto"/>
                <w:kern w:val="0"/>
                <w:sz w:val="24"/>
                <w:szCs w:val="24"/>
                <w:highlight w:val="none"/>
                <w:lang w:val="en-US" w:eastAsia="zh-CN" w:bidi="ar"/>
              </w:rPr>
              <w:t>人数</w:t>
            </w:r>
          </w:p>
        </w:tc>
        <w:tc>
          <w:tcPr>
            <w:tcW w:w="5822" w:type="dxa"/>
            <w:vAlign w:val="top"/>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b/>
                <w:bCs/>
                <w:color w:val="auto"/>
                <w:kern w:val="0"/>
                <w:sz w:val="24"/>
                <w:szCs w:val="24"/>
                <w:highlight w:val="none"/>
                <w:lang w:bidi="ar"/>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保安队长</w:t>
            </w:r>
          </w:p>
        </w:tc>
        <w:tc>
          <w:tcPr>
            <w:tcW w:w="1149"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由项目助理兼任</w:t>
            </w:r>
          </w:p>
        </w:tc>
        <w:tc>
          <w:tcPr>
            <w:tcW w:w="5822" w:type="dxa"/>
            <w:vAlign w:val="top"/>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left"/>
              <w:textAlignment w:val="top"/>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1.熟悉学校整体全面布局、设施设备及环境情况；</w:t>
            </w:r>
          </w:p>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left"/>
              <w:textAlignment w:val="top"/>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2.做好岗位检查、全校巡逻监督工作；</w:t>
            </w:r>
          </w:p>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left"/>
              <w:textAlignment w:val="top"/>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3.熟知各项安全管理规定和制度，预防各类事故发生；</w:t>
            </w:r>
          </w:p>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left"/>
              <w:textAlignment w:val="top"/>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4.协助组织安全教育，主持义务消防队组建；</w:t>
            </w:r>
          </w:p>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left"/>
              <w:textAlignment w:val="top"/>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5.负责落实安保人员岗前岗中技能要求，制定全年培训计划；</w:t>
            </w:r>
          </w:p>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left"/>
              <w:textAlignment w:val="top"/>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6.做好安保各类内外文件等资料的管理归档；</w:t>
            </w:r>
          </w:p>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left"/>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sz w:val="24"/>
                <w:szCs w:val="24"/>
                <w:highlight w:val="none"/>
              </w:rPr>
              <w:t>7.制定、落实、检查安保各类表格的登记和实施</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西大门</w:t>
            </w:r>
          </w:p>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双人岗</w:t>
            </w:r>
          </w:p>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24小时</w:t>
            </w:r>
          </w:p>
        </w:tc>
        <w:tc>
          <w:tcPr>
            <w:tcW w:w="1149"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
              </w:rPr>
              <w:t>3</w:t>
            </w:r>
          </w:p>
        </w:tc>
        <w:tc>
          <w:tcPr>
            <w:tcW w:w="5822"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1.严管人员进出登记；</w:t>
            </w:r>
          </w:p>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2.维护门岗秩序，对进入校区来访车辆进行有效指挥；</w:t>
            </w:r>
          </w:p>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left"/>
              <w:textAlignment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kern w:val="0"/>
                <w:sz w:val="24"/>
                <w:szCs w:val="24"/>
                <w:highlight w:val="none"/>
              </w:rPr>
              <w:t>熟悉和爱护校内配套的公共设施、机电设备、消防器材，并熟练掌握各种器材的使用方法。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巡逻岗</w:t>
            </w:r>
          </w:p>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24小时</w:t>
            </w:r>
          </w:p>
        </w:tc>
        <w:tc>
          <w:tcPr>
            <w:tcW w:w="1149"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4</w:t>
            </w:r>
          </w:p>
        </w:tc>
        <w:tc>
          <w:tcPr>
            <w:tcW w:w="5822"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left"/>
              <w:textAlignment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bidi="ar"/>
              </w:rPr>
              <w:t>熟悉布局、设施及环境情况及检查，处理突发事件，劝阻、制止违规违章及可疑情况，维持秩序、对</w:t>
            </w:r>
            <w:r>
              <w:rPr>
                <w:rFonts w:hint="eastAsia" w:ascii="仿宋_GB2312" w:hAnsi="仿宋_GB2312" w:eastAsia="仿宋_GB2312" w:cs="仿宋_GB2312"/>
                <w:color w:val="auto"/>
                <w:kern w:val="0"/>
                <w:sz w:val="24"/>
                <w:szCs w:val="24"/>
                <w:highlight w:val="none"/>
                <w:lang w:val="en-US" w:eastAsia="zh-CN" w:bidi="ar"/>
              </w:rPr>
              <w:t>校内</w:t>
            </w:r>
            <w:r>
              <w:rPr>
                <w:rFonts w:hint="eastAsia" w:ascii="仿宋_GB2312" w:hAnsi="仿宋_GB2312" w:eastAsia="仿宋_GB2312" w:cs="仿宋_GB2312"/>
                <w:color w:val="auto"/>
                <w:kern w:val="0"/>
                <w:sz w:val="24"/>
                <w:szCs w:val="24"/>
                <w:highlight w:val="none"/>
                <w:lang w:bidi="ar"/>
              </w:rPr>
              <w:t>车辆进行指引和管理、完成临时任务等</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3、</w:t>
      </w:r>
      <w:r>
        <w:rPr>
          <w:rFonts w:hint="eastAsia" w:ascii="仿宋_GB2312" w:hAnsi="仿宋_GB2312" w:eastAsia="仿宋_GB2312" w:cs="仿宋_GB2312"/>
          <w:b/>
          <w:bCs/>
          <w:color w:val="auto"/>
          <w:sz w:val="24"/>
          <w:szCs w:val="24"/>
          <w:highlight w:val="none"/>
        </w:rPr>
        <w:t>消（监）控管理</w:t>
      </w:r>
      <w:r>
        <w:rPr>
          <w:rFonts w:hint="eastAsia" w:ascii="仿宋_GB2312" w:hAnsi="仿宋_GB2312" w:eastAsia="仿宋_GB2312" w:cs="仿宋_GB2312"/>
          <w:b/>
          <w:bCs/>
          <w:color w:val="auto"/>
          <w:sz w:val="24"/>
          <w:szCs w:val="24"/>
          <w:highlight w:val="none"/>
          <w:lang w:val="en-US" w:eastAsia="zh-CN"/>
        </w:rPr>
        <w:t>人员数量及服务要求</w:t>
      </w:r>
      <w:r>
        <w:rPr>
          <w:rFonts w:hint="eastAsia" w:ascii="仿宋_GB2312" w:hAnsi="仿宋_GB2312" w:eastAsia="仿宋_GB2312" w:cs="仿宋_GB2312"/>
          <w:b/>
          <w:bCs/>
          <w:color w:val="auto"/>
          <w:sz w:val="24"/>
          <w:szCs w:val="24"/>
          <w:highlight w:val="none"/>
        </w:rPr>
        <w:t>（要求：消防设施完好率为100%，火灾发生率为0）</w:t>
      </w:r>
      <w:r>
        <w:rPr>
          <w:rFonts w:hint="eastAsia" w:ascii="仿宋_GB2312" w:hAnsi="仿宋_GB2312" w:eastAsia="仿宋_GB2312" w:cs="仿宋_GB2312"/>
          <w:b/>
          <w:bCs/>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firstLine="482"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bCs/>
          <w:color w:val="auto"/>
          <w:sz w:val="24"/>
          <w:szCs w:val="24"/>
          <w:highlight w:val="none"/>
          <w:lang w:val="en-US" w:eastAsia="zh-CN"/>
        </w:rPr>
        <w:t>（1）</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消控人员3人，年龄50周岁以下。</w:t>
      </w:r>
      <w:r>
        <w:rPr>
          <w:rFonts w:hint="eastAsia" w:ascii="仿宋_GB2312" w:hAnsi="仿宋_GB2312" w:eastAsia="仿宋_GB2312" w:cs="仿宋_GB2312"/>
          <w:color w:val="auto"/>
          <w:sz w:val="24"/>
          <w:szCs w:val="24"/>
          <w:highlight w:val="none"/>
        </w:rPr>
        <w:t>接受过相应培训；身体健康；统一着装，佩带胸牌，仪容仪表整洁端庄</w:t>
      </w:r>
      <w:r>
        <w:rPr>
          <w:rFonts w:hint="eastAsia" w:ascii="仿宋_GB2312" w:hAnsi="仿宋_GB2312" w:eastAsia="仿宋_GB2312" w:cs="仿宋_GB2312"/>
          <w:color w:val="auto"/>
          <w:sz w:val="24"/>
          <w:szCs w:val="24"/>
          <w:highlight w:val="none"/>
          <w:lang w:val="en-US" w:eastAsia="zh-CN"/>
        </w:rPr>
        <w:t>。消控人员按要求持证上岗，熟悉</w:t>
      </w:r>
      <w:r>
        <w:rPr>
          <w:rFonts w:hint="eastAsia" w:ascii="仿宋_GB2312" w:hAnsi="仿宋_GB2312" w:eastAsia="仿宋_GB2312" w:cs="仿宋_GB2312"/>
          <w:color w:val="auto"/>
          <w:sz w:val="24"/>
          <w:szCs w:val="24"/>
          <w:highlight w:val="none"/>
        </w:rPr>
        <w:t>消防系统</w:t>
      </w:r>
      <w:r>
        <w:rPr>
          <w:rFonts w:hint="eastAsia" w:ascii="仿宋_GB2312" w:hAnsi="仿宋_GB2312" w:eastAsia="仿宋_GB2312" w:cs="仿宋_GB2312"/>
          <w:b w:val="0"/>
          <w:bCs w:val="0"/>
          <w:color w:val="auto"/>
          <w:kern w:val="2"/>
          <w:sz w:val="24"/>
          <w:szCs w:val="24"/>
          <w:highlight w:val="none"/>
          <w:lang w:val="en-US" w:eastAsia="zh-CN" w:bidi="ar-SA"/>
        </w:rPr>
        <w:t>，做好年度消防设备维保工作，并且每年进行一次消防设施设备年检和一次消防安全评估。</w:t>
      </w:r>
    </w:p>
    <w:p>
      <w:pPr>
        <w:keepNext w:val="0"/>
        <w:keepLines w:val="0"/>
        <w:pageBreakBefore w:val="0"/>
        <w:kinsoku/>
        <w:overflowPunct/>
        <w:topLinePunct w:val="0"/>
        <w:autoSpaceDE/>
        <w:autoSpaceDN/>
        <w:bidi w:val="0"/>
        <w:spacing w:line="440" w:lineRule="exact"/>
        <w:ind w:lef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消防系统一般主要有：</w:t>
      </w:r>
    </w:p>
    <w:p>
      <w:pPr>
        <w:keepNext w:val="0"/>
        <w:keepLines w:val="0"/>
        <w:pageBreakBefore w:val="0"/>
        <w:kinsoku/>
        <w:overflowPunct/>
        <w:topLinePunct w:val="0"/>
        <w:autoSpaceDE/>
        <w:autoSpaceDN/>
        <w:bidi w:val="0"/>
        <w:spacing w:line="440" w:lineRule="exact"/>
        <w:ind w:lef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①湿式消防系统：自动喷淋系统，消防栓系统(消防泵)。</w:t>
      </w:r>
    </w:p>
    <w:p>
      <w:pPr>
        <w:keepNext w:val="0"/>
        <w:keepLines w:val="0"/>
        <w:pageBreakBefore w:val="0"/>
        <w:kinsoku/>
        <w:overflowPunct/>
        <w:topLinePunct w:val="0"/>
        <w:autoSpaceDE/>
        <w:autoSpaceDN/>
        <w:bidi w:val="0"/>
        <w:spacing w:line="440" w:lineRule="exact"/>
        <w:ind w:lef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②消防联动机构：消防送风和排烟风机的功能和联动试验；空气系统新风机和排气机的功能和联动试验；消防电梯的功能试验。</w:t>
      </w:r>
    </w:p>
    <w:p>
      <w:pPr>
        <w:keepNext w:val="0"/>
        <w:keepLines w:val="0"/>
        <w:pageBreakBefore w:val="0"/>
        <w:kinsoku/>
        <w:overflowPunct/>
        <w:topLinePunct w:val="0"/>
        <w:autoSpaceDE/>
        <w:autoSpaceDN/>
        <w:bidi w:val="0"/>
        <w:spacing w:line="440" w:lineRule="exact"/>
        <w:ind w:lef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③火灾报警系统：自动报警系统（包括感温式火灾报警、感烟式火灾报警、感光式火灾报警），手动报警系统（包括电铃报警、破碎玻璃报警、紧急电话报警）。消防系统外，(公共)灭火器、手推灭火器由</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配备、更换，日常巡检。</w:t>
      </w:r>
    </w:p>
    <w:p>
      <w:pPr>
        <w:keepNext w:val="0"/>
        <w:keepLines w:val="0"/>
        <w:pageBreakBefore w:val="0"/>
        <w:kinsoku/>
        <w:overflowPunct/>
        <w:topLinePunct w:val="0"/>
        <w:autoSpaceDE/>
        <w:autoSpaceDN/>
        <w:bidi w:val="0"/>
        <w:spacing w:line="440" w:lineRule="exact"/>
        <w:ind w:lef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消防工作</w:t>
      </w:r>
      <w:r>
        <w:rPr>
          <w:rFonts w:hint="eastAsia" w:ascii="仿宋_GB2312" w:hAnsi="仿宋_GB2312" w:eastAsia="仿宋_GB2312" w:cs="仿宋_GB2312"/>
          <w:color w:val="auto"/>
          <w:sz w:val="24"/>
          <w:szCs w:val="24"/>
          <w:highlight w:val="none"/>
          <w:lang w:val="en-US" w:eastAsia="zh-CN"/>
        </w:rPr>
        <w:t>服务内容</w:t>
      </w:r>
      <w:r>
        <w:rPr>
          <w:rFonts w:hint="eastAsia" w:ascii="仿宋_GB2312" w:hAnsi="仿宋_GB2312" w:eastAsia="仿宋_GB2312" w:cs="仿宋_GB2312"/>
          <w:color w:val="auto"/>
          <w:sz w:val="24"/>
          <w:szCs w:val="24"/>
          <w:highlight w:val="none"/>
        </w:rPr>
        <w:t>：</w:t>
      </w:r>
    </w:p>
    <w:p>
      <w:pPr>
        <w:keepNext w:val="0"/>
        <w:keepLines w:val="0"/>
        <w:pageBreakBefore w:val="0"/>
        <w:kinsoku/>
        <w:overflowPunct/>
        <w:topLinePunct w:val="0"/>
        <w:autoSpaceDE/>
        <w:autoSpaceDN/>
        <w:bidi w:val="0"/>
        <w:spacing w:line="440" w:lineRule="exact"/>
        <w:ind w:lef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①进行消防宣传。宣传的形式有：消防轮训，利用标语或牌示进行宣传，发放消防须知(防火手册)。宣传的内容有：消防工作的原则，消防法规，消防须知。</w:t>
      </w:r>
    </w:p>
    <w:p>
      <w:pPr>
        <w:keepNext w:val="0"/>
        <w:keepLines w:val="0"/>
        <w:pageBreakBefore w:val="0"/>
        <w:kinsoku/>
        <w:overflowPunct/>
        <w:topLinePunct w:val="0"/>
        <w:autoSpaceDE/>
        <w:autoSpaceDN/>
        <w:bidi w:val="0"/>
        <w:spacing w:line="440" w:lineRule="exact"/>
        <w:ind w:lef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②建立三级防火组织，并确立相应的防火责任人：</w:t>
      </w:r>
      <w:r>
        <w:rPr>
          <w:rFonts w:hint="eastAsia" w:ascii="仿宋_GB2312" w:hAnsi="宋体" w:eastAsia="仿宋_GB2312" w:cs="仿宋_GB2312"/>
          <w:color w:val="auto"/>
          <w:sz w:val="24"/>
          <w:szCs w:val="24"/>
          <w:highlight w:val="none"/>
        </w:rPr>
        <w:t>项目负责人、班组长、具体负责人</w:t>
      </w:r>
      <w:r>
        <w:rPr>
          <w:rFonts w:hint="eastAsia" w:ascii="仿宋_GB2312" w:hAnsi="仿宋_GB2312" w:eastAsia="仿宋_GB2312" w:cs="仿宋_GB2312"/>
          <w:color w:val="auto"/>
          <w:sz w:val="24"/>
          <w:szCs w:val="24"/>
          <w:highlight w:val="none"/>
        </w:rPr>
        <w:t>。</w:t>
      </w:r>
    </w:p>
    <w:p>
      <w:pPr>
        <w:keepNext w:val="0"/>
        <w:keepLines w:val="0"/>
        <w:pageBreakBefore w:val="0"/>
        <w:kinsoku/>
        <w:overflowPunct/>
        <w:topLinePunct w:val="0"/>
        <w:autoSpaceDE/>
        <w:autoSpaceDN/>
        <w:bidi w:val="0"/>
        <w:spacing w:line="440" w:lineRule="exact"/>
        <w:ind w:lef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③明确防火责任人的职责，根据《中华人民共和国消防条例》的规定，制定防火制度。</w:t>
      </w:r>
    </w:p>
    <w:p>
      <w:pPr>
        <w:keepNext w:val="0"/>
        <w:keepLines w:val="0"/>
        <w:pageBreakBefore w:val="0"/>
        <w:kinsoku/>
        <w:overflowPunct/>
        <w:topLinePunct w:val="0"/>
        <w:autoSpaceDE/>
        <w:autoSpaceDN/>
        <w:bidi w:val="0"/>
        <w:spacing w:line="440" w:lineRule="exact"/>
        <w:ind w:lef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④定期组织及安排消防检查，根据查出的火险隐患发出消防整改通知书，限期整改。</w:t>
      </w:r>
    </w:p>
    <w:p>
      <w:pPr>
        <w:keepNext w:val="0"/>
        <w:keepLines w:val="0"/>
        <w:pageBreakBefore w:val="0"/>
        <w:kinsoku/>
        <w:overflowPunct/>
        <w:topLinePunct w:val="0"/>
        <w:autoSpaceDE/>
        <w:autoSpaceDN/>
        <w:bidi w:val="0"/>
        <w:spacing w:line="440" w:lineRule="exact"/>
        <w:ind w:lef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⑤制定防火工作措施，从制度（根据</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要求完善消防安全管理制度）上预防火灾事故的发生。</w:t>
      </w:r>
    </w:p>
    <w:p>
      <w:pPr>
        <w:keepNext w:val="0"/>
        <w:keepLines w:val="0"/>
        <w:pageBreakBefore w:val="0"/>
        <w:kinsoku/>
        <w:overflowPunct/>
        <w:topLinePunct w:val="0"/>
        <w:autoSpaceDE/>
        <w:autoSpaceDN/>
        <w:bidi w:val="0"/>
        <w:spacing w:line="440" w:lineRule="exact"/>
        <w:ind w:lef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⑥发动大家，及时消除火灾苗头和隐患。</w:t>
      </w:r>
    </w:p>
    <w:p>
      <w:pPr>
        <w:keepNext w:val="0"/>
        <w:keepLines w:val="0"/>
        <w:pageBreakBefore w:val="0"/>
        <w:kinsoku/>
        <w:overflowPunct/>
        <w:topLinePunct w:val="0"/>
        <w:autoSpaceDE/>
        <w:autoSpaceDN/>
        <w:bidi w:val="0"/>
        <w:spacing w:line="440" w:lineRule="exact"/>
        <w:ind w:lef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⑦建立自防、自救组织。包括：建立义务消防队；建立专职消防队；抓好消防训练，每年组织一次消防演习。</w:t>
      </w:r>
    </w:p>
    <w:p>
      <w:pPr>
        <w:keepNext w:val="0"/>
        <w:keepLines w:val="0"/>
        <w:pageBreakBefore w:val="0"/>
        <w:kinsoku/>
        <w:overflowPunct/>
        <w:topLinePunct w:val="0"/>
        <w:autoSpaceDE/>
        <w:autoSpaceDN/>
        <w:bidi w:val="0"/>
        <w:spacing w:line="440" w:lineRule="exact"/>
        <w:ind w:lef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⑧明确火灾紧急疏散程序。做好疏散的准备工作，人员疏散为主为先，转移危险品、抢救贵重财产在后。</w:t>
      </w:r>
    </w:p>
    <w:p>
      <w:pPr>
        <w:keepNext w:val="0"/>
        <w:keepLines w:val="0"/>
        <w:pageBreakBefore w:val="0"/>
        <w:kinsoku/>
        <w:overflowPunct/>
        <w:topLinePunct w:val="0"/>
        <w:autoSpaceDE/>
        <w:autoSpaceDN/>
        <w:bidi w:val="0"/>
        <w:spacing w:line="440" w:lineRule="exact"/>
        <w:ind w:lef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⑨建立消防档案。</w:t>
      </w:r>
    </w:p>
    <w:p>
      <w:pPr>
        <w:keepNext w:val="0"/>
        <w:keepLines w:val="0"/>
        <w:pageBreakBefore w:val="0"/>
        <w:kinsoku/>
        <w:overflowPunct/>
        <w:topLinePunct w:val="0"/>
        <w:autoSpaceDE/>
        <w:autoSpaceDN/>
        <w:bidi w:val="0"/>
        <w:spacing w:line="440" w:lineRule="exact"/>
        <w:ind w:lef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⑩制订灭火方案及重点部位保卫方案。</w:t>
      </w:r>
    </w:p>
    <w:p>
      <w:pPr>
        <w:keepNext w:val="0"/>
        <w:keepLines w:val="0"/>
        <w:pageBreakBefore w:val="0"/>
        <w:kinsoku/>
        <w:overflowPunct/>
        <w:topLinePunct w:val="0"/>
        <w:autoSpaceDE/>
        <w:autoSpaceDN/>
        <w:bidi w:val="0"/>
        <w:spacing w:line="440" w:lineRule="exact"/>
        <w:ind w:lef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机房监控</w:t>
      </w:r>
      <w:r>
        <w:rPr>
          <w:rFonts w:hint="eastAsia" w:ascii="仿宋_GB2312" w:hAnsi="仿宋_GB2312" w:eastAsia="仿宋_GB2312" w:cs="仿宋_GB2312"/>
          <w:color w:val="auto"/>
          <w:sz w:val="24"/>
          <w:szCs w:val="24"/>
          <w:highlight w:val="none"/>
          <w:lang w:val="en-US" w:eastAsia="zh-CN"/>
        </w:rPr>
        <w:t>服务内容</w:t>
      </w:r>
      <w:r>
        <w:rPr>
          <w:rFonts w:hint="eastAsia" w:ascii="仿宋_GB2312" w:hAnsi="仿宋_GB2312" w:eastAsia="仿宋_GB2312" w:cs="仿宋_GB2312"/>
          <w:color w:val="auto"/>
          <w:sz w:val="24"/>
          <w:szCs w:val="24"/>
          <w:highlight w:val="none"/>
        </w:rPr>
        <w:t>:</w:t>
      </w:r>
    </w:p>
    <w:p>
      <w:pPr>
        <w:keepNext w:val="0"/>
        <w:keepLines w:val="0"/>
        <w:pageBreakBefore w:val="0"/>
        <w:kinsoku/>
        <w:overflowPunct/>
        <w:topLinePunct w:val="0"/>
        <w:autoSpaceDE/>
        <w:autoSpaceDN/>
        <w:bidi w:val="0"/>
        <w:spacing w:line="440" w:lineRule="exact"/>
        <w:ind w:lef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①负责监控值班工作，到岗后查看上一班值班记录及应交接注意事项。</w:t>
      </w:r>
    </w:p>
    <w:p>
      <w:pPr>
        <w:keepNext w:val="0"/>
        <w:keepLines w:val="0"/>
        <w:pageBreakBefore w:val="0"/>
        <w:kinsoku/>
        <w:overflowPunct/>
        <w:topLinePunct w:val="0"/>
        <w:autoSpaceDE/>
        <w:autoSpaceDN/>
        <w:bidi w:val="0"/>
        <w:spacing w:line="440" w:lineRule="exact"/>
        <w:ind w:lef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②打开监控屏，查验监控设施设备是否运行正常，调整监控探头定格至有效监控范围。</w:t>
      </w:r>
    </w:p>
    <w:p>
      <w:pPr>
        <w:keepNext w:val="0"/>
        <w:keepLines w:val="0"/>
        <w:pageBreakBefore w:val="0"/>
        <w:kinsoku/>
        <w:overflowPunct/>
        <w:topLinePunct w:val="0"/>
        <w:autoSpaceDE/>
        <w:autoSpaceDN/>
        <w:bidi w:val="0"/>
        <w:spacing w:line="440" w:lineRule="exact"/>
        <w:ind w:lef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③爱护机房设备，禁止非工作人员进入机房随意拨动、操作设备。</w:t>
      </w:r>
    </w:p>
    <w:p>
      <w:pPr>
        <w:keepNext w:val="0"/>
        <w:keepLines w:val="0"/>
        <w:pageBreakBefore w:val="0"/>
        <w:kinsoku/>
        <w:overflowPunct/>
        <w:topLinePunct w:val="0"/>
        <w:autoSpaceDE/>
        <w:autoSpaceDN/>
        <w:bidi w:val="0"/>
        <w:spacing w:line="440" w:lineRule="exact"/>
        <w:ind w:lef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④认真填写值班记录，按规定时间保存录像，详细登记技防设施工作情况，严禁睡觉或打瞌睡。</w:t>
      </w:r>
    </w:p>
    <w:p>
      <w:pPr>
        <w:keepNext w:val="0"/>
        <w:keepLines w:val="0"/>
        <w:pageBreakBefore w:val="0"/>
        <w:kinsoku/>
        <w:overflowPunct/>
        <w:topLinePunct w:val="0"/>
        <w:autoSpaceDE/>
        <w:autoSpaceDN/>
        <w:bidi w:val="0"/>
        <w:spacing w:line="440" w:lineRule="exact"/>
        <w:ind w:left="0"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⑤下班前做好机房的卫生保洁工作。</w:t>
      </w:r>
    </w:p>
    <w:p>
      <w:pPr>
        <w:keepNext w:val="0"/>
        <w:keepLines w:val="0"/>
        <w:pageBreakBefore w:val="0"/>
        <w:kinsoku/>
        <w:overflowPunct/>
        <w:topLinePunct w:val="0"/>
        <w:autoSpaceDE/>
        <w:autoSpaceDN/>
        <w:bidi w:val="0"/>
        <w:spacing w:line="440" w:lineRule="exact"/>
        <w:ind w:left="0" w:firstLine="482" w:firstLineChars="200"/>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4、</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保洁</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人员数量及</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服务</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要求</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p>
    <w:p>
      <w:pPr>
        <w:keepNext w:val="0"/>
        <w:keepLines w:val="0"/>
        <w:pageBreakBefore w:val="0"/>
        <w:kinsoku/>
        <w:overflowPunct/>
        <w:topLinePunct w:val="0"/>
        <w:autoSpaceDE/>
        <w:autoSpaceDN/>
        <w:bidi w:val="0"/>
        <w:spacing w:line="440" w:lineRule="exact"/>
        <w:ind w:left="0" w:firstLine="480" w:firstLineChars="200"/>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保洁人员合计15人，（含保洁主管1人，要求年龄55周岁以下）。公共区域保洁12人，保洁</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技术工1人，生活垃圾清运工1人。具体保洁服务岗位表如下表。</w:t>
      </w:r>
    </w:p>
    <w:tbl>
      <w:tblPr>
        <w:tblStyle w:val="6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067"/>
        <w:gridCol w:w="5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b/>
                <w:bCs/>
                <w:color w:val="auto"/>
                <w:kern w:val="0"/>
                <w:sz w:val="24"/>
                <w:szCs w:val="24"/>
                <w:highlight w:val="none"/>
                <w:lang w:bidi="ar"/>
              </w:rPr>
              <w:t>岗位性质</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b/>
                <w:bCs/>
                <w:color w:val="auto"/>
                <w:kern w:val="0"/>
                <w:sz w:val="24"/>
                <w:szCs w:val="24"/>
                <w:highlight w:val="none"/>
                <w:lang w:val="en-US" w:eastAsia="zh-CN" w:bidi="ar"/>
              </w:rPr>
              <w:t>人数</w:t>
            </w:r>
          </w:p>
        </w:tc>
        <w:tc>
          <w:tcPr>
            <w:tcW w:w="5471"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b/>
                <w:bCs/>
                <w:color w:val="auto"/>
                <w:kern w:val="0"/>
                <w:sz w:val="24"/>
                <w:szCs w:val="24"/>
                <w:highlight w:val="none"/>
                <w:lang w:bidi="ar"/>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保洁主管</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w:t>
            </w:r>
          </w:p>
        </w:tc>
        <w:tc>
          <w:tcPr>
            <w:tcW w:w="5471"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left"/>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1.全力配合项目主任工作，</w:t>
            </w:r>
            <w:r>
              <w:rPr>
                <w:rFonts w:hint="eastAsia" w:ascii="仿宋_GB2312" w:hAnsi="仿宋_GB2312" w:eastAsia="仿宋_GB2312" w:cs="仿宋_GB2312"/>
                <w:color w:val="auto"/>
                <w:sz w:val="24"/>
                <w:szCs w:val="24"/>
                <w:highlight w:val="none"/>
                <w:lang w:eastAsia="zh-CN"/>
              </w:rPr>
              <w:t>负责统筹协调</w:t>
            </w:r>
            <w:r>
              <w:rPr>
                <w:rFonts w:hint="eastAsia" w:ascii="仿宋_GB2312" w:hAnsi="仿宋_GB2312" w:eastAsia="仿宋_GB2312" w:cs="仿宋_GB2312"/>
                <w:color w:val="auto"/>
                <w:sz w:val="24"/>
                <w:szCs w:val="24"/>
                <w:highlight w:val="none"/>
                <w:lang w:val="en-US" w:eastAsia="zh-CN"/>
              </w:rPr>
              <w:t>保洁</w:t>
            </w:r>
            <w:r>
              <w:rPr>
                <w:rFonts w:hint="eastAsia" w:ascii="仿宋_GB2312" w:hAnsi="仿宋_GB2312" w:eastAsia="仿宋_GB2312" w:cs="仿宋_GB2312"/>
                <w:color w:val="auto"/>
                <w:sz w:val="24"/>
                <w:szCs w:val="24"/>
                <w:highlight w:val="none"/>
                <w:lang w:eastAsia="zh-CN"/>
              </w:rPr>
              <w:t>工作</w:t>
            </w:r>
            <w:r>
              <w:rPr>
                <w:rFonts w:hint="eastAsia" w:ascii="仿宋_GB2312" w:hAnsi="仿宋_GB2312" w:eastAsia="仿宋_GB2312" w:cs="仿宋_GB2312"/>
                <w:color w:val="auto"/>
                <w:sz w:val="24"/>
                <w:szCs w:val="24"/>
                <w:highlight w:val="none"/>
                <w:lang w:val="en-US" w:eastAsia="zh-CN"/>
              </w:rPr>
              <w:t>；</w:t>
            </w:r>
          </w:p>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left"/>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2.熟悉所有区域并划分工作区域及配备保洁人员、合理安排工作时间，配置保洁设备及清洁工具的数量，确保保洁服务质量；</w:t>
            </w:r>
          </w:p>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left"/>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3.定期做好巡视工作，及时发现问题、解决问题，严格按照考核标准，对保洁人员进行检查和考核；</w:t>
            </w:r>
          </w:p>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left"/>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4.做好仓库管理工作，合理进行采购；</w:t>
            </w:r>
          </w:p>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left"/>
              <w:textAlignment w:val="top"/>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sz w:val="24"/>
                <w:szCs w:val="24"/>
                <w:highlight w:val="none"/>
                <w:lang w:val="en-US" w:eastAsia="zh-CN"/>
              </w:rPr>
              <w:t>5.完成上级安排的临时性任务。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auto"/>
                <w:kern w:val="0"/>
                <w:sz w:val="24"/>
                <w:szCs w:val="24"/>
                <w:highlight w:val="none"/>
                <w:lang w:val="en-US" w:eastAsia="zh-CN" w:bidi="ar"/>
              </w:rPr>
              <w:t>行政楼</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2</w:t>
            </w:r>
          </w:p>
        </w:tc>
        <w:tc>
          <w:tcPr>
            <w:tcW w:w="5471"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left"/>
              <w:textAlignment w:val="top"/>
              <w:rPr>
                <w:rFonts w:hint="eastAsia" w:ascii="仿宋_GB2312" w:hAnsi="仿宋_GB2312" w:eastAsia="仿宋_GB2312" w:cs="仿宋_GB2312"/>
                <w:color w:val="auto"/>
                <w:kern w:val="0"/>
                <w:sz w:val="24"/>
                <w:szCs w:val="24"/>
                <w:highlight w:val="none"/>
                <w:lang w:val="en-US" w:bidi="ar"/>
              </w:rPr>
            </w:pPr>
            <w:r>
              <w:rPr>
                <w:rFonts w:hint="eastAsia" w:ascii="仿宋_GB2312" w:hAnsi="仿宋_GB2312" w:eastAsia="仿宋_GB2312" w:cs="仿宋_GB2312"/>
                <w:color w:val="auto"/>
                <w:kern w:val="0"/>
                <w:sz w:val="24"/>
                <w:szCs w:val="24"/>
                <w:highlight w:val="none"/>
                <w:lang w:val="en-US" w:eastAsia="zh-CN" w:bidi="ar"/>
              </w:rPr>
              <w:t>1-5层公共区域走廊、过道、卫生间、茶水间、设备间、安全通道、会议室、办公室、长廊、装饰品、装饰画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文化楼</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2</w:t>
            </w:r>
          </w:p>
        </w:tc>
        <w:tc>
          <w:tcPr>
            <w:tcW w:w="5471" w:type="dxa"/>
            <w:vAlign w:val="center"/>
          </w:tcPr>
          <w:p>
            <w:pPr>
              <w:pStyle w:val="5"/>
              <w:keepNext w:val="0"/>
              <w:keepLines w:val="0"/>
              <w:pageBreakBefore w:val="0"/>
              <w:kinsoku/>
              <w:wordWrap/>
              <w:overflowPunct/>
              <w:topLinePunct w:val="0"/>
              <w:autoSpaceDE/>
              <w:autoSpaceDN/>
              <w:bidi w:val="0"/>
              <w:spacing w:line="440" w:lineRule="exact"/>
              <w:ind w:left="0" w:leftChars="0" w:firstLine="0" w:firstLineChars="0"/>
              <w:jc w:val="left"/>
              <w:rPr>
                <w:rFonts w:hint="eastAsia" w:ascii="仿宋_GB2312" w:hAnsi="仿宋_GB2312" w:eastAsia="仿宋_GB2312" w:cs="仿宋_GB2312"/>
                <w:sz w:val="24"/>
                <w:szCs w:val="24"/>
                <w:lang w:val="en-US"/>
              </w:rPr>
            </w:pPr>
            <w:r>
              <w:rPr>
                <w:rFonts w:hint="eastAsia" w:ascii="仿宋_GB2312" w:hAnsi="仿宋_GB2312" w:eastAsia="仿宋_GB2312" w:cs="仿宋_GB2312"/>
                <w:b w:val="0"/>
                <w:bCs w:val="0"/>
                <w:color w:val="auto"/>
                <w:kern w:val="0"/>
                <w:sz w:val="24"/>
                <w:szCs w:val="24"/>
                <w:highlight w:val="none"/>
                <w:lang w:val="en-US" w:eastAsia="zh-CN" w:bidi="ar"/>
              </w:rPr>
              <w:t>1-5层公共区域走廊、过道、卫生间、茶水间、设备间、安全通道、会议室、办公室、长廊、装饰品、装饰画、平台、教室、剧院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舞蹈楼</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w:t>
            </w:r>
          </w:p>
        </w:tc>
        <w:tc>
          <w:tcPr>
            <w:tcW w:w="5471"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left"/>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2-4层</w:t>
            </w:r>
            <w:r>
              <w:rPr>
                <w:rFonts w:hint="eastAsia" w:ascii="仿宋_GB2312" w:hAnsi="仿宋_GB2312" w:eastAsia="仿宋_GB2312" w:cs="仿宋_GB2312"/>
                <w:b w:val="0"/>
                <w:bCs w:val="0"/>
                <w:color w:val="auto"/>
                <w:kern w:val="0"/>
                <w:sz w:val="24"/>
                <w:szCs w:val="24"/>
                <w:highlight w:val="none"/>
                <w:lang w:val="en-US" w:eastAsia="zh-CN" w:bidi="ar"/>
              </w:rPr>
              <w:t>公共区域走廊、过道、卫生间、茶水间、设备间、安全通道、会议室、办公室、长廊、装饰品、装饰画、平台、教室、剧院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984"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体育馆</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w:t>
            </w:r>
          </w:p>
        </w:tc>
        <w:tc>
          <w:tcPr>
            <w:tcW w:w="5471"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left"/>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舞蹈楼1楼、体育馆地面、设备间、镜面、卫生间、室外看台、田径场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戏曲楼</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2</w:t>
            </w:r>
          </w:p>
        </w:tc>
        <w:tc>
          <w:tcPr>
            <w:tcW w:w="5471"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left"/>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1-5层</w:t>
            </w:r>
            <w:r>
              <w:rPr>
                <w:rFonts w:hint="eastAsia" w:ascii="仿宋_GB2312" w:hAnsi="仿宋_GB2312" w:eastAsia="仿宋_GB2312" w:cs="仿宋_GB2312"/>
                <w:b w:val="0"/>
                <w:bCs w:val="0"/>
                <w:color w:val="auto"/>
                <w:kern w:val="0"/>
                <w:sz w:val="24"/>
                <w:szCs w:val="24"/>
                <w:highlight w:val="none"/>
                <w:lang w:val="en-US" w:eastAsia="zh-CN" w:bidi="ar"/>
              </w:rPr>
              <w:t>公共区域走廊、过道、卫生间、安全通道、会议室、办公室、长廊、室外平台、教室、剧院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音乐楼</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2</w:t>
            </w:r>
          </w:p>
        </w:tc>
        <w:tc>
          <w:tcPr>
            <w:tcW w:w="5471"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left"/>
              <w:textAlignment w:val="top"/>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1-3层</w:t>
            </w:r>
            <w:r>
              <w:rPr>
                <w:rFonts w:hint="eastAsia" w:ascii="仿宋_GB2312" w:hAnsi="仿宋_GB2312" w:eastAsia="仿宋_GB2312" w:cs="仿宋_GB2312"/>
                <w:b w:val="0"/>
                <w:bCs w:val="0"/>
                <w:color w:val="auto"/>
                <w:kern w:val="0"/>
                <w:sz w:val="24"/>
                <w:szCs w:val="24"/>
                <w:highlight w:val="none"/>
                <w:lang w:val="en-US" w:eastAsia="zh-CN" w:bidi="ar"/>
              </w:rPr>
              <w:t>公共区域走廊、过道、连廊、卫生间、茶水间、设备间、安全通道、室外平台、教室</w:t>
            </w:r>
          </w:p>
          <w:p>
            <w:pPr>
              <w:pStyle w:val="5"/>
              <w:keepNext w:val="0"/>
              <w:keepLines w:val="0"/>
              <w:pageBreakBefore w:val="0"/>
              <w:kinsoku/>
              <w:wordWrap/>
              <w:overflowPunct/>
              <w:topLinePunct w:val="0"/>
              <w:autoSpaceDE/>
              <w:autoSpaceDN/>
              <w:bidi w:val="0"/>
              <w:spacing w:line="440" w:lineRule="exact"/>
              <w:ind w:left="0" w:leftChars="0" w:firstLine="0" w:firstLineChars="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val="0"/>
                <w:sz w:val="24"/>
                <w:szCs w:val="24"/>
                <w:lang w:val="en-US" w:eastAsia="zh-CN"/>
              </w:rPr>
              <w:t>舞蹈楼4-5楼长廊、安全通道、卫生间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南校区外围及地下室</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w:t>
            </w:r>
          </w:p>
        </w:tc>
        <w:tc>
          <w:tcPr>
            <w:tcW w:w="5471"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left"/>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sz w:val="24"/>
                <w:szCs w:val="24"/>
                <w:highlight w:val="none"/>
              </w:rPr>
              <w:t>负责环境路面</w:t>
            </w:r>
            <w:r>
              <w:rPr>
                <w:rFonts w:hint="eastAsia" w:ascii="仿宋_GB2312" w:hAnsi="仿宋_GB2312" w:eastAsia="仿宋_GB2312" w:cs="仿宋_GB2312"/>
                <w:color w:val="auto"/>
                <w:sz w:val="24"/>
                <w:szCs w:val="24"/>
                <w:highlight w:val="none"/>
                <w:lang w:val="en-US" w:eastAsia="zh-CN"/>
              </w:rPr>
              <w:t>清洁工作</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包括</w:t>
            </w:r>
            <w:r>
              <w:rPr>
                <w:rFonts w:hint="eastAsia" w:ascii="仿宋_GB2312" w:hAnsi="仿宋_GB2312" w:eastAsia="仿宋_GB2312" w:cs="仿宋_GB2312"/>
                <w:color w:val="auto"/>
                <w:sz w:val="24"/>
                <w:szCs w:val="24"/>
                <w:highlight w:val="none"/>
              </w:rPr>
              <w:t>室外道路、绿化带、停车场、垃圾桶清洁</w:t>
            </w:r>
            <w:r>
              <w:rPr>
                <w:rFonts w:hint="eastAsia" w:ascii="仿宋_GB2312" w:hAnsi="仿宋_GB2312" w:eastAsia="仿宋_GB2312" w:cs="仿宋_GB2312"/>
                <w:color w:val="auto"/>
                <w:sz w:val="24"/>
                <w:szCs w:val="24"/>
                <w:highlight w:val="none"/>
                <w:lang w:val="en-US" w:eastAsia="zh-CN"/>
              </w:rPr>
              <w:t>等</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及</w:t>
            </w:r>
            <w:r>
              <w:rPr>
                <w:rFonts w:hint="eastAsia" w:ascii="仿宋_GB2312" w:hAnsi="仿宋_GB2312" w:eastAsia="仿宋_GB2312" w:cs="仿宋_GB2312"/>
                <w:color w:val="auto"/>
                <w:kern w:val="0"/>
                <w:sz w:val="24"/>
                <w:szCs w:val="24"/>
                <w:highlight w:val="none"/>
                <w:lang w:bidi="ar"/>
              </w:rPr>
              <w:t>地下室</w:t>
            </w:r>
            <w:r>
              <w:rPr>
                <w:rFonts w:hint="eastAsia" w:ascii="仿宋_GB2312" w:hAnsi="仿宋_GB2312" w:eastAsia="仿宋_GB2312" w:cs="仿宋_GB2312"/>
                <w:color w:val="auto"/>
                <w:kern w:val="0"/>
                <w:sz w:val="24"/>
                <w:szCs w:val="24"/>
                <w:highlight w:val="none"/>
                <w:lang w:val="en-US" w:eastAsia="zh-CN" w:bidi="ar"/>
              </w:rPr>
              <w:t>停车场地面、标识、设备间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北校区外围操场</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w:t>
            </w:r>
          </w:p>
        </w:tc>
        <w:tc>
          <w:tcPr>
            <w:tcW w:w="5471"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left"/>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sz w:val="24"/>
                <w:szCs w:val="24"/>
                <w:highlight w:val="none"/>
              </w:rPr>
              <w:t>负责环境路面</w:t>
            </w:r>
            <w:r>
              <w:rPr>
                <w:rFonts w:hint="eastAsia" w:ascii="仿宋_GB2312" w:hAnsi="仿宋_GB2312" w:eastAsia="仿宋_GB2312" w:cs="仿宋_GB2312"/>
                <w:color w:val="auto"/>
                <w:sz w:val="24"/>
                <w:szCs w:val="24"/>
                <w:highlight w:val="none"/>
                <w:lang w:val="en-US" w:eastAsia="zh-CN"/>
              </w:rPr>
              <w:t>清洁工作</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包括</w:t>
            </w:r>
            <w:r>
              <w:rPr>
                <w:rFonts w:hint="eastAsia" w:ascii="仿宋_GB2312" w:hAnsi="仿宋_GB2312" w:eastAsia="仿宋_GB2312" w:cs="仿宋_GB2312"/>
                <w:color w:val="auto"/>
                <w:sz w:val="24"/>
                <w:szCs w:val="24"/>
                <w:highlight w:val="none"/>
              </w:rPr>
              <w:t>室外道路、绿化带、停车场、垃圾桶清洁</w:t>
            </w:r>
            <w:r>
              <w:rPr>
                <w:rFonts w:hint="eastAsia" w:ascii="仿宋_GB2312" w:hAnsi="仿宋_GB2312" w:eastAsia="仿宋_GB2312" w:cs="仿宋_GB2312"/>
                <w:color w:val="auto"/>
                <w:sz w:val="24"/>
                <w:szCs w:val="24"/>
                <w:highlight w:val="none"/>
                <w:lang w:val="en-US" w:eastAsia="zh-CN"/>
              </w:rPr>
              <w:t>等</w:t>
            </w:r>
            <w:r>
              <w:rPr>
                <w:rFonts w:hint="eastAsia" w:ascii="仿宋_GB2312" w:hAnsi="仿宋_GB2312" w:eastAsia="仿宋_GB2312" w:cs="仿宋_GB2312"/>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保洁</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技术工</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w:t>
            </w:r>
          </w:p>
        </w:tc>
        <w:tc>
          <w:tcPr>
            <w:tcW w:w="5471"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left"/>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玻璃镜面清洁保养；</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花岗岩大理石地面镜面处理</w:t>
            </w:r>
            <w:r>
              <w:rPr>
                <w:rFonts w:hint="eastAsia" w:ascii="仿宋_GB2312" w:hAnsi="仿宋_GB2312" w:eastAsia="仿宋_GB2312" w:cs="仿宋_GB2312"/>
                <w:color w:val="auto"/>
                <w:sz w:val="24"/>
                <w:szCs w:val="24"/>
                <w:highlight w:val="none"/>
                <w:lang w:val="en-US" w:eastAsia="zh-CN"/>
              </w:rPr>
              <w:t>3.电梯、护栏等</w:t>
            </w:r>
            <w:r>
              <w:rPr>
                <w:rFonts w:hint="eastAsia" w:ascii="仿宋_GB2312" w:hAnsi="仿宋_GB2312" w:eastAsia="仿宋_GB2312" w:cs="仿宋_GB2312"/>
                <w:color w:val="auto"/>
                <w:sz w:val="24"/>
                <w:szCs w:val="24"/>
                <w:highlight w:val="none"/>
              </w:rPr>
              <w:t>不锈钢上油保养</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4.配合做好</w:t>
            </w:r>
            <w:r>
              <w:rPr>
                <w:rFonts w:hint="eastAsia" w:ascii="仿宋_GB2312" w:hAnsi="仿宋_GB2312" w:eastAsia="仿宋_GB2312" w:cs="仿宋_GB2312"/>
                <w:color w:val="auto"/>
                <w:sz w:val="24"/>
                <w:szCs w:val="24"/>
                <w:highlight w:val="none"/>
              </w:rPr>
              <w:t>应急情况处理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 xml:space="preserve"> 垃圾清运工</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center"/>
              <w:textAlignment w:val="top"/>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w:t>
            </w:r>
          </w:p>
        </w:tc>
        <w:tc>
          <w:tcPr>
            <w:tcW w:w="5471" w:type="dxa"/>
            <w:vAlign w:val="center"/>
          </w:tcPr>
          <w:p>
            <w:pPr>
              <w:keepNext w:val="0"/>
              <w:keepLines w:val="0"/>
              <w:pageBreakBefore w:val="0"/>
              <w:widowControl/>
              <w:kinsoku/>
              <w:wordWrap/>
              <w:overflowPunct/>
              <w:topLinePunct w:val="0"/>
              <w:autoSpaceDE/>
              <w:autoSpaceDN/>
              <w:bidi w:val="0"/>
              <w:adjustRightInd/>
              <w:snapToGrid/>
              <w:spacing w:line="440" w:lineRule="exact"/>
              <w:ind w:left="0" w:firstLine="0" w:firstLineChars="0"/>
              <w:jc w:val="left"/>
              <w:textAlignment w:val="top"/>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对校内生活垃圾进行清运，每天2次。周边卫生清扫冲洗</w:t>
            </w:r>
          </w:p>
        </w:tc>
      </w:tr>
    </w:tbl>
    <w:p>
      <w:pPr>
        <w:keepNext w:val="0"/>
        <w:keepLines w:val="0"/>
        <w:pageBreakBefore w:val="0"/>
        <w:widowControl w:val="0"/>
        <w:kinsoku/>
        <w:wordWrap/>
        <w:overflowPunct/>
        <w:topLinePunct w:val="0"/>
        <w:autoSpaceDE/>
        <w:autoSpaceDN/>
        <w:bidi w:val="0"/>
        <w:adjustRightInd/>
        <w:snapToGrid/>
        <w:spacing w:line="440" w:lineRule="exact"/>
        <w:ind w:left="0" w:firstLine="480" w:firstLineChars="20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b w:val="0"/>
          <w:bCs w:val="0"/>
          <w:color w:val="auto"/>
          <w:sz w:val="24"/>
          <w:szCs w:val="24"/>
          <w:highlight w:val="none"/>
        </w:rPr>
        <w:t>人员要求：应挂牌上岗，具有敬业爱岗、文明礼貌、身体健康、细心认真、服务态度良好等素质。</w:t>
      </w:r>
    </w:p>
    <w:p>
      <w:pPr>
        <w:keepNext w:val="0"/>
        <w:keepLines w:val="0"/>
        <w:pageBreakBefore w:val="0"/>
        <w:widowControl w:val="0"/>
        <w:kinsoku/>
        <w:wordWrap/>
        <w:overflowPunct/>
        <w:topLinePunct w:val="0"/>
        <w:autoSpaceDE/>
        <w:autoSpaceDN/>
        <w:bidi w:val="0"/>
        <w:adjustRightInd/>
        <w:snapToGrid/>
        <w:spacing w:line="440" w:lineRule="exact"/>
        <w:ind w:left="0"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保洁耗材、工具及垃圾袋由中标人按需配备，擦手纸、卫生纸等日用品耗材由采购人提供，中标人负责摆放到位。</w:t>
      </w:r>
    </w:p>
    <w:p>
      <w:pPr>
        <w:pStyle w:val="5"/>
        <w:keepNext w:val="0"/>
        <w:keepLines w:val="0"/>
        <w:pageBreakBefore w:val="0"/>
        <w:kinsoku/>
        <w:overflowPunct/>
        <w:topLinePunct w:val="0"/>
        <w:autoSpaceDE/>
        <w:autoSpaceDN/>
        <w:bidi w:val="0"/>
        <w:spacing w:line="440" w:lineRule="exact"/>
        <w:ind w:left="0" w:firstLine="480" w:firstLineChars="200"/>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color w:val="auto"/>
          <w:sz w:val="24"/>
          <w:szCs w:val="24"/>
          <w:highlight w:val="none"/>
          <w:lang w:val="en-US" w:eastAsia="zh-CN"/>
        </w:rPr>
        <w:t>（4）</w:t>
      </w:r>
      <w:r>
        <w:rPr>
          <w:rFonts w:hint="eastAsia" w:ascii="仿宋_GB2312" w:hAnsi="仿宋_GB2312" w:eastAsia="仿宋_GB2312" w:cs="仿宋_GB2312"/>
          <w:b w:val="0"/>
          <w:bCs w:val="0"/>
          <w:sz w:val="24"/>
          <w:szCs w:val="24"/>
          <w:lang w:val="en-US" w:eastAsia="zh-CN"/>
        </w:rPr>
        <w:t>化粪池一年一次清理。</w:t>
      </w:r>
    </w:p>
    <w:p>
      <w:pPr>
        <w:keepNext w:val="0"/>
        <w:keepLines w:val="0"/>
        <w:pageBreakBefore w:val="0"/>
        <w:widowControl w:val="0"/>
        <w:kinsoku/>
        <w:wordWrap/>
        <w:overflowPunct/>
        <w:topLinePunct w:val="0"/>
        <w:autoSpaceDE/>
        <w:autoSpaceDN/>
        <w:bidi w:val="0"/>
        <w:adjustRightInd/>
        <w:snapToGrid/>
        <w:spacing w:line="440" w:lineRule="exact"/>
        <w:ind w:left="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（5）负责校园生活垃圾分类和清运工作（不含建筑及装修垃圾）。</w:t>
      </w:r>
      <w:r>
        <w:rPr>
          <w:rFonts w:hint="eastAsia" w:ascii="仿宋_GB2312" w:hAnsi="仿宋_GB2312" w:eastAsia="仿宋_GB2312" w:cs="仿宋_GB2312"/>
          <w:color w:val="auto"/>
          <w:sz w:val="24"/>
          <w:szCs w:val="24"/>
          <w:highlight w:val="none"/>
          <w:lang w:val="en-US" w:eastAsia="zh-CN"/>
        </w:rPr>
        <w:t>其他部位的</w:t>
      </w:r>
      <w:r>
        <w:rPr>
          <w:rFonts w:hint="eastAsia" w:ascii="仿宋_GB2312" w:hAnsi="仿宋_GB2312" w:eastAsia="仿宋_GB2312" w:cs="仿宋_GB2312"/>
          <w:color w:val="auto"/>
          <w:sz w:val="24"/>
          <w:szCs w:val="24"/>
          <w:highlight w:val="none"/>
        </w:rPr>
        <w:t>质量标准和工作要求</w:t>
      </w:r>
      <w:r>
        <w:rPr>
          <w:rFonts w:hint="eastAsia" w:ascii="仿宋_GB2312" w:hAnsi="仿宋_GB2312" w:eastAsia="仿宋_GB2312" w:cs="仿宋_GB2312"/>
          <w:color w:val="auto"/>
          <w:sz w:val="24"/>
          <w:szCs w:val="24"/>
          <w:highlight w:val="none"/>
          <w:lang w:val="en-US" w:eastAsia="zh-CN"/>
        </w:rPr>
        <w:t>如下表</w:t>
      </w:r>
      <w:r>
        <w:rPr>
          <w:rFonts w:hint="eastAsia" w:ascii="仿宋_GB2312" w:hAnsi="仿宋_GB2312" w:eastAsia="仿宋_GB2312" w:cs="仿宋_GB2312"/>
          <w:color w:val="auto"/>
          <w:sz w:val="24"/>
          <w:szCs w:val="24"/>
          <w:highlight w:val="none"/>
          <w:lang w:eastAsia="zh-CN"/>
        </w:rPr>
        <w:t>：</w:t>
      </w:r>
    </w:p>
    <w:tbl>
      <w:tblPr>
        <w:tblStyle w:val="62"/>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748"/>
        <w:gridCol w:w="852"/>
        <w:gridCol w:w="6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7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内容</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时间</w:t>
            </w:r>
          </w:p>
        </w:tc>
        <w:tc>
          <w:tcPr>
            <w:tcW w:w="6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质量标准、工作要求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7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7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洗</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手</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间</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w:t>
            </w:r>
          </w:p>
        </w:tc>
        <w:tc>
          <w:tcPr>
            <w:tcW w:w="6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1．洗手间内洗手池盆、拖把应保持干净，洗手盆台面无积水、无污迹；水龙头、镜面使用正常</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2．每日清洗抽水马桶、小便池，保持无污垢、无锈迹、无异味</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3．室内空气要保持新鲜，无异味</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4．保持所有卫生设施正常使用，不得随便关闭厕所。需要修理的龙头、管道等应及时报告</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5．地面、墙面、天花板、门、窗、隔断板等保持干净，地面无积水、所有表面保持干净。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trPr>
        <w:tc>
          <w:tcPr>
            <w:tcW w:w="7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p>
        </w:tc>
        <w:tc>
          <w:tcPr>
            <w:tcW w:w="7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楼</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梯</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间</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通</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道</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w:t>
            </w:r>
          </w:p>
        </w:tc>
        <w:tc>
          <w:tcPr>
            <w:tcW w:w="6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1．保持楼梯间清洁无积尘，禁止摆放各种物品、堆积物，保证畅通整洁</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2．经常清理垃圾及堆积物，保持清洁无堆积物、门窗无积尘、无蛛网、烟筒随脏随清，保证通道整洁畅通</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3．废弃纸，废纸板及时清理送规定地点，集中处理。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7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c>
          <w:tcPr>
            <w:tcW w:w="7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公</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共</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放</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区</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w:t>
            </w:r>
          </w:p>
        </w:tc>
        <w:tc>
          <w:tcPr>
            <w:tcW w:w="6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1.每天进行清扫，对地面进行循环尘推，其它部位，如门窗、框、玻璃、柱面、墙面、开关、柜台等要经常清洁，保持光亮、明净、整洁、完好无损</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玻璃大门无手印及无灰尘，保持光亮，完好无损</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室内垃圾筒外围保持光亮、清洁，无痰迹、无烟蒂</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保持大厅地面干净，无痰迹、无烟蒂、纸屑和垃圾灰尘。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4</w:t>
            </w:r>
          </w:p>
        </w:tc>
        <w:tc>
          <w:tcPr>
            <w:tcW w:w="7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办</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公</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室</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及</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会</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议</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室</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w:t>
            </w:r>
          </w:p>
          <w:p>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w:t>
            </w:r>
          </w:p>
        </w:tc>
        <w:tc>
          <w:tcPr>
            <w:tcW w:w="6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办公室四周无灰尘、无蜘蛛网、天花板光洁明亮、墙面整洁、墙饰干净，室内空气新鲜无虫害</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numPr>
                <w:ilvl w:val="-1"/>
                <w:numId w:val="0"/>
              </w:numPr>
              <w:kinsoku/>
              <w:wordWrap/>
              <w:overflowPunct/>
              <w:topLinePunct w:val="0"/>
              <w:autoSpaceDE/>
              <w:autoSpaceDN/>
              <w:bidi w:val="0"/>
              <w:adjustRightInd/>
              <w:snapToGrid/>
              <w:spacing w:line="440" w:lineRule="exact"/>
              <w:ind w:left="0" w:firstLine="0" w:firstLineChars="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地面：表面应洁净，无杂物、灰尘、印迹、污垢、污渍等现象</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numPr>
                <w:ilvl w:val="-1"/>
                <w:numId w:val="0"/>
              </w:numPr>
              <w:kinsoku/>
              <w:wordWrap/>
              <w:overflowPunct/>
              <w:topLinePunct w:val="0"/>
              <w:autoSpaceDE/>
              <w:autoSpaceDN/>
              <w:bidi w:val="0"/>
              <w:adjustRightInd/>
              <w:snapToGrid/>
              <w:spacing w:line="440" w:lineRule="exact"/>
              <w:ind w:left="0" w:firstLine="0" w:firstLineChars="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墙面：表面、接缝、顶角、边线等处应洁净，无灰尘、印迹、污垢、污渍、划痕等现象</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numPr>
                <w:ilvl w:val="-1"/>
                <w:numId w:val="0"/>
              </w:numPr>
              <w:kinsoku/>
              <w:wordWrap/>
              <w:overflowPunct/>
              <w:topLinePunct w:val="0"/>
              <w:autoSpaceDE/>
              <w:autoSpaceDN/>
              <w:bidi w:val="0"/>
              <w:adjustRightInd/>
              <w:snapToGrid/>
              <w:spacing w:line="440" w:lineRule="exact"/>
              <w:ind w:left="0" w:firstLine="0" w:firstLineChars="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窗台、门框、窗框、玻璃与门框四角的结合处等部位，应无灰尘、印迹、污垢等。门框底部应无积污</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numPr>
                <w:ilvl w:val="-1"/>
                <w:numId w:val="0"/>
              </w:numPr>
              <w:kinsoku/>
              <w:wordWrap/>
              <w:overflowPunct/>
              <w:topLinePunct w:val="0"/>
              <w:autoSpaceDE/>
              <w:autoSpaceDN/>
              <w:bidi w:val="0"/>
              <w:adjustRightInd/>
              <w:snapToGrid/>
              <w:spacing w:line="440" w:lineRule="exact"/>
              <w:ind w:left="0" w:firstLine="0" w:firstLineChars="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5.会议室内保持干净</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numPr>
                <w:ilvl w:val="-1"/>
                <w:numId w:val="0"/>
              </w:numPr>
              <w:kinsoku/>
              <w:wordWrap/>
              <w:overflowPunct/>
              <w:topLinePunct w:val="0"/>
              <w:autoSpaceDE/>
              <w:autoSpaceDN/>
              <w:bidi w:val="0"/>
              <w:adjustRightInd/>
              <w:snapToGrid/>
              <w:spacing w:line="440" w:lineRule="exact"/>
              <w:ind w:left="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6.每次会后都要清理卫生一次，如一次性杯、纸屑、杂物全部清除，保持地面、墙面、桌面干净，门窗干净、光亮。</w:t>
            </w:r>
          </w:p>
        </w:tc>
      </w:tr>
    </w:tbl>
    <w:p>
      <w:pPr>
        <w:keepNext w:val="0"/>
        <w:keepLines w:val="0"/>
        <w:pageBreakBefore w:val="0"/>
        <w:kinsoku/>
        <w:overflowPunct/>
        <w:topLinePunct w:val="0"/>
        <w:autoSpaceDE/>
        <w:autoSpaceDN/>
        <w:bidi w:val="0"/>
        <w:spacing w:line="440" w:lineRule="exact"/>
        <w:ind w:left="0" w:firstLine="482"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5、其他</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人员数量及</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服务</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要求</w:t>
      </w:r>
      <w:r>
        <w:rPr>
          <w:rFonts w:hint="eastAsia" w:ascii="仿宋_GB2312" w:hAnsi="仿宋_GB2312" w:eastAsia="仿宋_GB2312" w:cs="仿宋_GB2312"/>
          <w:sz w:val="24"/>
          <w:szCs w:val="24"/>
          <w:lang w:val="en-US" w:eastAsia="zh-CN"/>
        </w:rPr>
        <w:t>：</w:t>
      </w:r>
    </w:p>
    <w:p>
      <w:pPr>
        <w:keepNext w:val="0"/>
        <w:keepLines w:val="0"/>
        <w:pageBreakBefore w:val="0"/>
        <w:kinsoku/>
        <w:overflowPunct/>
        <w:topLinePunct w:val="0"/>
        <w:autoSpaceDE/>
        <w:autoSpaceDN/>
        <w:bidi w:val="0"/>
        <w:spacing w:line="440" w:lineRule="exact"/>
        <w:ind w:left="0"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琴房</w:t>
      </w:r>
      <w:r>
        <w:rPr>
          <w:rFonts w:hint="eastAsia" w:ascii="仿宋_GB2312" w:hAnsi="仿宋_GB2312" w:eastAsia="仿宋_GB2312" w:cs="仿宋_GB2312"/>
          <w:sz w:val="24"/>
          <w:szCs w:val="24"/>
          <w:lang w:val="en-US" w:eastAsia="zh-CN"/>
        </w:rPr>
        <w:t>管理、宿舍管理、剧务管理员合计13人，可优先录用当前在职员工，该类人员录用需征得校方同意后，方可启用</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产生的费用包含在投标报价内。</w:t>
      </w:r>
    </w:p>
    <w:p>
      <w:pPr>
        <w:keepNext w:val="0"/>
        <w:keepLines w:val="0"/>
        <w:pageBreakBefore w:val="0"/>
        <w:kinsoku/>
        <w:overflowPunct/>
        <w:topLinePunct w:val="0"/>
        <w:autoSpaceDE/>
        <w:autoSpaceDN/>
        <w:bidi w:val="0"/>
        <w:spacing w:line="440" w:lineRule="exact"/>
        <w:ind w:left="0" w:firstLine="480" w:firstLineChars="200"/>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人员要求：应挂牌上岗，具有敬业爱岗、文明礼貌、身体健康、细心认真、服务态度良好等素质。</w:t>
      </w:r>
    </w:p>
    <w:p>
      <w:pPr>
        <w:keepNext w:val="0"/>
        <w:keepLines w:val="0"/>
        <w:pageBreakBefore w:val="0"/>
        <w:numPr>
          <w:ilvl w:val="0"/>
          <w:numId w:val="0"/>
        </w:numPr>
        <w:kinsoku/>
        <w:overflowPunct/>
        <w:topLinePunct w:val="0"/>
        <w:autoSpaceDE/>
        <w:autoSpaceDN/>
        <w:bidi w:val="0"/>
        <w:spacing w:line="440" w:lineRule="exact"/>
        <w:ind w:left="0" w:firstLine="482" w:firstLineChars="200"/>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6、</w:t>
      </w:r>
      <w:r>
        <w:rPr>
          <w:rFonts w:hint="eastAsia" w:ascii="仿宋_GB2312" w:hAnsi="仿宋_GB2312" w:eastAsia="仿宋_GB2312" w:cs="仿宋_GB2312"/>
          <w:b/>
          <w:bCs/>
          <w:color w:val="auto"/>
          <w:sz w:val="24"/>
          <w:szCs w:val="24"/>
          <w:highlight w:val="none"/>
          <w:lang w:val="en-US" w:eastAsia="zh-CN"/>
        </w:rPr>
        <w:t>设备维保人员人数及服务要求：</w:t>
      </w:r>
    </w:p>
    <w:p>
      <w:pPr>
        <w:keepNext w:val="0"/>
        <w:keepLines w:val="0"/>
        <w:pageBreakBefore w:val="0"/>
        <w:widowControl w:val="0"/>
        <w:numPr>
          <w:numId w:val="0"/>
        </w:numPr>
        <w:kinsoku/>
        <w:wordWrap/>
        <w:overflowPunct/>
        <w:topLinePunct w:val="0"/>
        <w:autoSpaceDE/>
        <w:autoSpaceDN/>
        <w:bidi w:val="0"/>
        <w:adjustRightInd w:val="0"/>
        <w:snapToGrid/>
        <w:spacing w:line="440" w:lineRule="exact"/>
        <w:ind w:leftChars="0"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bCs w:val="0"/>
          <w:color w:val="auto"/>
          <w:sz w:val="24"/>
          <w:szCs w:val="24"/>
          <w:highlight w:val="none"/>
          <w:lang w:val="en-US" w:eastAsia="zh-CN"/>
        </w:rPr>
        <w:t>（1）设备维保人员2人，其中1人为维修主管。男性年龄在60周岁以下，女性年龄在50周岁以下。</w:t>
      </w: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身体健康；统一着装，佩带胸牌、仪容仪表整洁端庄。负责水电小修及日常检查、抄表等工作。保证设施设备运行正常，设备房环境整洁。</w:t>
      </w:r>
      <w:r>
        <w:rPr>
          <w:rFonts w:hint="eastAsia" w:ascii="仿宋_GB2312" w:hAnsi="仿宋_GB2312" w:eastAsia="仿宋_GB2312" w:cs="仿宋_GB2312"/>
          <w:b w:val="0"/>
          <w:bCs w:val="0"/>
          <w:color w:val="auto"/>
          <w:sz w:val="24"/>
          <w:szCs w:val="24"/>
          <w:highlight w:val="none"/>
          <w:lang w:val="en-US" w:eastAsia="zh-CN"/>
        </w:rPr>
        <w:t>维修主管需具有</w:t>
      </w:r>
      <w:r>
        <w:rPr>
          <w:rFonts w:hint="eastAsia" w:ascii="仿宋_GB2312" w:hAnsi="仿宋_GB2312" w:eastAsia="仿宋_GB2312" w:cs="仿宋_GB2312"/>
          <w:color w:val="auto"/>
          <w:sz w:val="24"/>
          <w:szCs w:val="24"/>
          <w:highlight w:val="none"/>
          <w:lang w:val="en-US" w:eastAsia="zh-CN"/>
        </w:rPr>
        <w:t>本科及以上学历，</w:t>
      </w:r>
      <w:r>
        <w:rPr>
          <w:rFonts w:hint="eastAsia" w:ascii="仿宋_GB2312" w:hAnsi="仿宋_GB2312" w:eastAsia="仿宋_GB2312" w:cs="仿宋_GB2312"/>
          <w:color w:val="auto"/>
          <w:sz w:val="24"/>
          <w:szCs w:val="24"/>
          <w:highlight w:val="none"/>
          <w:shd w:val="clear" w:color="auto" w:fill="auto"/>
        </w:rPr>
        <w:t>持有应急管理部门颁发或监制的特种作业操作证（</w:t>
      </w:r>
      <w:r>
        <w:rPr>
          <w:rFonts w:hint="eastAsia" w:ascii="仿宋_GB2312" w:hAnsi="仿宋_GB2312" w:eastAsia="仿宋_GB2312" w:cs="仿宋_GB2312"/>
          <w:color w:val="auto"/>
          <w:sz w:val="24"/>
          <w:szCs w:val="24"/>
          <w:highlight w:val="none"/>
          <w:shd w:val="clear" w:color="auto" w:fill="auto"/>
          <w:lang w:val="en-US" w:eastAsia="zh-CN"/>
        </w:rPr>
        <w:t>高</w:t>
      </w:r>
      <w:r>
        <w:rPr>
          <w:rFonts w:hint="eastAsia" w:ascii="仿宋_GB2312" w:hAnsi="仿宋_GB2312" w:eastAsia="仿宋_GB2312" w:cs="仿宋_GB2312"/>
          <w:color w:val="auto"/>
          <w:sz w:val="24"/>
          <w:szCs w:val="24"/>
          <w:highlight w:val="none"/>
          <w:shd w:val="clear" w:color="auto" w:fill="auto"/>
        </w:rPr>
        <w:t>压电工作业）</w:t>
      </w:r>
      <w:r>
        <w:rPr>
          <w:rFonts w:hint="eastAsia" w:ascii="仿宋_GB2312" w:hAnsi="仿宋_GB2312" w:eastAsia="仿宋_GB2312" w:cs="仿宋_GB2312"/>
          <w:b w:val="0"/>
          <w:bCs w:val="0"/>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en-US" w:eastAsia="zh-CN"/>
        </w:rPr>
        <w:t>人社部门颁发或认可的电工三级（高级工）及以上的职业资格证书、</w:t>
      </w:r>
      <w:r>
        <w:rPr>
          <w:rFonts w:hint="eastAsia" w:ascii="仿宋_GB2312" w:hAnsi="仿宋_GB2312" w:eastAsia="仿宋_GB2312" w:cs="仿宋_GB2312"/>
          <w:color w:val="auto"/>
          <w:sz w:val="24"/>
          <w:szCs w:val="24"/>
          <w:highlight w:val="none"/>
        </w:rPr>
        <w:t>人社部门颁发的中级及以上职称证书</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设备维保</w:t>
      </w:r>
      <w:r>
        <w:rPr>
          <w:rFonts w:hint="eastAsia" w:ascii="仿宋_GB2312" w:hAnsi="仿宋_GB2312" w:eastAsia="仿宋_GB2312" w:cs="仿宋_GB2312"/>
          <w:color w:val="auto"/>
          <w:sz w:val="24"/>
          <w:szCs w:val="24"/>
          <w:highlight w:val="none"/>
          <w:lang w:val="en-US" w:eastAsia="zh-CN"/>
        </w:rPr>
        <w:t>人员需具有本科及以上学历，</w:t>
      </w:r>
      <w:r>
        <w:rPr>
          <w:rFonts w:hint="eastAsia" w:ascii="仿宋_GB2312" w:hAnsi="仿宋_GB2312" w:eastAsia="仿宋_GB2312" w:cs="仿宋_GB2312"/>
          <w:b w:val="0"/>
          <w:bCs w:val="0"/>
          <w:color w:val="auto"/>
          <w:sz w:val="24"/>
          <w:szCs w:val="24"/>
          <w:highlight w:val="none"/>
          <w:lang w:val="en-US" w:eastAsia="zh-CN"/>
        </w:rPr>
        <w:t>持有应急管理部门颁发或监制的特种作业操作证（低压电工作业）。</w:t>
      </w:r>
    </w:p>
    <w:p>
      <w:pPr>
        <w:keepNext w:val="0"/>
        <w:keepLines w:val="0"/>
        <w:pageBreakBefore w:val="0"/>
        <w:widowControl w:val="0"/>
        <w:numPr>
          <w:numId w:val="0"/>
        </w:numPr>
        <w:kinsoku/>
        <w:wordWrap/>
        <w:overflowPunct/>
        <w:topLinePunct w:val="0"/>
        <w:autoSpaceDE/>
        <w:autoSpaceDN/>
        <w:bidi w:val="0"/>
        <w:adjustRightInd w:val="0"/>
        <w:snapToGrid/>
        <w:spacing w:line="440" w:lineRule="exact"/>
        <w:ind w:leftChars="0"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（2）电梯维保：</w:t>
      </w:r>
      <w:r>
        <w:rPr>
          <w:rFonts w:hint="eastAsia" w:ascii="仿宋_GB2312" w:hAnsi="仿宋_GB2312" w:eastAsia="仿宋_GB2312" w:cs="仿宋_GB2312"/>
          <w:b/>
          <w:bCs/>
          <w:color w:val="auto"/>
          <w:sz w:val="24"/>
          <w:szCs w:val="24"/>
          <w:highlight w:val="none"/>
          <w:lang w:val="en-US" w:eastAsia="zh-CN"/>
        </w:rPr>
        <w:t>电梯管理人员</w:t>
      </w:r>
      <w:r>
        <w:rPr>
          <w:rFonts w:hint="eastAsia" w:ascii="仿宋_GB2312" w:hAnsi="仿宋_GB2312" w:eastAsia="仿宋_GB2312" w:cs="仿宋_GB2312"/>
          <w:b w:val="0"/>
          <w:bCs w:val="0"/>
          <w:color w:val="auto"/>
          <w:sz w:val="24"/>
          <w:szCs w:val="24"/>
          <w:highlight w:val="none"/>
          <w:lang w:val="en-US" w:eastAsia="zh-CN"/>
        </w:rPr>
        <w:t>1人（本岗位由智能化维护员兼任），负责日常电梯管理工作，</w:t>
      </w:r>
      <w:r>
        <w:rPr>
          <w:rFonts w:hint="eastAsia" w:ascii="仿宋_GB2312" w:hAnsi="仿宋_GB2312" w:eastAsia="仿宋_GB2312" w:cs="仿宋_GB2312"/>
          <w:color w:val="auto"/>
          <w:sz w:val="24"/>
          <w:szCs w:val="24"/>
          <w:highlight w:val="none"/>
        </w:rPr>
        <w:t>对接市场监管等部门的日常检查。</w:t>
      </w:r>
      <w:r>
        <w:rPr>
          <w:rFonts w:hint="eastAsia" w:ascii="仿宋_GB2312" w:hAnsi="仿宋_GB2312" w:eastAsia="仿宋_GB2312" w:cs="仿宋_GB2312"/>
          <w:b w:val="0"/>
          <w:bCs w:val="0"/>
          <w:color w:val="auto"/>
          <w:sz w:val="24"/>
          <w:szCs w:val="24"/>
          <w:highlight w:val="none"/>
          <w:lang w:val="en-US" w:eastAsia="zh-CN"/>
        </w:rPr>
        <w:t>具有本科及以上学历，</w:t>
      </w:r>
      <w:r>
        <w:rPr>
          <w:rFonts w:hint="eastAsia" w:ascii="仿宋_GB2312" w:hAnsi="仿宋_GB2312" w:eastAsia="仿宋_GB2312" w:cs="仿宋_GB2312"/>
          <w:sz w:val="24"/>
          <w:szCs w:val="24"/>
          <w:highlight w:val="none"/>
        </w:rPr>
        <w:t>持有市场监督管理部门颁发的安全管理和作业人员证（特种设备安全管理）</w:t>
      </w:r>
      <w:r>
        <w:rPr>
          <w:rFonts w:hint="eastAsia" w:ascii="仿宋_GB2312" w:hAnsi="仿宋_GB2312" w:eastAsia="仿宋_GB2312" w:cs="仿宋_GB2312"/>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leftChars="0"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color w:val="auto"/>
          <w:sz w:val="24"/>
          <w:szCs w:val="24"/>
          <w:highlight w:val="none"/>
        </w:rPr>
        <w:t>①</w:t>
      </w:r>
      <w:r>
        <w:rPr>
          <w:rFonts w:hint="eastAsia" w:ascii="仿宋_GB2312" w:hAnsi="仿宋_GB2312" w:eastAsia="仿宋_GB2312" w:cs="仿宋_GB2312"/>
          <w:color w:val="auto"/>
          <w:sz w:val="24"/>
          <w:szCs w:val="24"/>
          <w:highlight w:val="none"/>
          <w:lang w:val="en-US" w:eastAsia="zh-CN"/>
        </w:rPr>
        <w:t>电梯维保服务内容：</w:t>
      </w:r>
      <w:r>
        <w:rPr>
          <w:rFonts w:hint="eastAsia" w:ascii="仿宋_GB2312" w:hAnsi="仿宋_GB2312" w:eastAsia="仿宋_GB2312" w:cs="仿宋_GB2312"/>
          <w:b w:val="0"/>
          <w:bCs w:val="0"/>
          <w:color w:val="auto"/>
          <w:sz w:val="24"/>
          <w:szCs w:val="24"/>
          <w:highlight w:val="none"/>
          <w:lang w:val="en-US" w:eastAsia="zh-CN"/>
        </w:rPr>
        <w:t>电梯数量4台。要求</w:t>
      </w:r>
      <w:r>
        <w:rPr>
          <w:rFonts w:hint="eastAsia" w:ascii="仿宋_GB2312" w:hAnsi="仿宋_GB2312" w:eastAsia="仿宋_GB2312" w:cs="仿宋_GB2312"/>
          <w:color w:val="auto"/>
          <w:sz w:val="24"/>
          <w:szCs w:val="24"/>
          <w:highlight w:val="none"/>
        </w:rPr>
        <w:t>按规定每月</w:t>
      </w:r>
      <w:r>
        <w:rPr>
          <w:rFonts w:hint="eastAsia" w:ascii="仿宋_GB2312" w:hAnsi="仿宋_GB2312" w:eastAsia="仿宋_GB2312" w:cs="仿宋_GB2312"/>
          <w:color w:val="auto"/>
          <w:sz w:val="24"/>
          <w:szCs w:val="24"/>
          <w:highlight w:val="none"/>
          <w:lang w:val="en-US" w:eastAsia="zh-CN"/>
        </w:rPr>
        <w:t>两</w:t>
      </w:r>
      <w:r>
        <w:rPr>
          <w:rFonts w:hint="eastAsia" w:ascii="仿宋_GB2312" w:hAnsi="仿宋_GB2312" w:eastAsia="仿宋_GB2312" w:cs="仿宋_GB2312"/>
          <w:color w:val="auto"/>
          <w:sz w:val="24"/>
          <w:szCs w:val="24"/>
          <w:highlight w:val="none"/>
        </w:rPr>
        <w:t>次</w:t>
      </w:r>
      <w:r>
        <w:rPr>
          <w:rFonts w:hint="eastAsia" w:ascii="仿宋_GB2312" w:hAnsi="仿宋_GB2312" w:eastAsia="仿宋_GB2312" w:cs="仿宋_GB2312"/>
          <w:color w:val="auto"/>
          <w:sz w:val="24"/>
          <w:szCs w:val="24"/>
          <w:highlight w:val="none"/>
          <w:lang w:val="en-US" w:eastAsia="zh-CN"/>
        </w:rPr>
        <w:t>对</w:t>
      </w:r>
      <w:r>
        <w:rPr>
          <w:rFonts w:hint="eastAsia" w:ascii="仿宋_GB2312" w:hAnsi="仿宋_GB2312" w:eastAsia="仿宋_GB2312" w:cs="仿宋_GB2312"/>
          <w:color w:val="auto"/>
          <w:sz w:val="24"/>
          <w:szCs w:val="24"/>
          <w:highlight w:val="none"/>
        </w:rPr>
        <w:t>服务区域内的所有电梯进行专业的检查和养护，认真如实填写检查报告。若因检查工作不到位导致的电梯事故，造成的损失和全部责任，由</w:t>
      </w:r>
      <w:r>
        <w:rPr>
          <w:rFonts w:hint="eastAsia" w:ascii="仿宋_GB2312" w:hAnsi="仿宋_GB2312" w:eastAsia="仿宋_GB2312" w:cs="仿宋_GB2312"/>
          <w:color w:val="auto"/>
          <w:sz w:val="24"/>
          <w:szCs w:val="24"/>
          <w:highlight w:val="none"/>
          <w:lang w:val="en-US" w:eastAsia="zh-CN"/>
        </w:rPr>
        <w:t>中</w:t>
      </w:r>
      <w:r>
        <w:rPr>
          <w:rFonts w:hint="eastAsia" w:ascii="仿宋_GB2312" w:hAnsi="仿宋_GB2312" w:eastAsia="仿宋_GB2312" w:cs="仿宋_GB2312"/>
          <w:color w:val="auto"/>
          <w:sz w:val="24"/>
          <w:szCs w:val="24"/>
          <w:highlight w:val="none"/>
        </w:rPr>
        <w:t>标人承担。由</w:t>
      </w:r>
      <w:r>
        <w:rPr>
          <w:rFonts w:hint="eastAsia" w:ascii="仿宋_GB2312" w:hAnsi="仿宋_GB2312" w:eastAsia="仿宋_GB2312" w:cs="仿宋_GB2312"/>
          <w:color w:val="auto"/>
          <w:sz w:val="24"/>
          <w:szCs w:val="24"/>
          <w:highlight w:val="none"/>
          <w:lang w:val="en-US" w:eastAsia="zh-CN"/>
        </w:rPr>
        <w:t>中</w:t>
      </w:r>
      <w:r>
        <w:rPr>
          <w:rFonts w:hint="eastAsia" w:ascii="仿宋_GB2312" w:hAnsi="仿宋_GB2312" w:eastAsia="仿宋_GB2312" w:cs="仿宋_GB2312"/>
          <w:color w:val="auto"/>
          <w:sz w:val="24"/>
          <w:szCs w:val="24"/>
          <w:highlight w:val="none"/>
        </w:rPr>
        <w:t>标人代理办理电梯的年检报告等必要的特种设备使用手续，</w:t>
      </w:r>
      <w:r>
        <w:rPr>
          <w:rFonts w:hint="eastAsia" w:ascii="仿宋_GB2312" w:hAnsi="仿宋_GB2312" w:eastAsia="仿宋_GB2312" w:cs="仿宋_GB2312"/>
          <w:color w:val="auto"/>
          <w:sz w:val="24"/>
          <w:szCs w:val="24"/>
          <w:highlight w:val="none"/>
          <w:lang w:val="en-US" w:eastAsia="zh-CN"/>
        </w:rPr>
        <w:t>所产生的</w:t>
      </w:r>
      <w:r>
        <w:rPr>
          <w:rFonts w:hint="eastAsia" w:ascii="仿宋_GB2312" w:hAnsi="仿宋_GB2312" w:eastAsia="仿宋_GB2312" w:cs="仿宋_GB2312"/>
          <w:color w:val="auto"/>
          <w:sz w:val="24"/>
          <w:szCs w:val="24"/>
          <w:highlight w:val="none"/>
        </w:rPr>
        <w:t>费用</w:t>
      </w:r>
      <w:r>
        <w:rPr>
          <w:rFonts w:hint="eastAsia" w:ascii="仿宋_GB2312" w:hAnsi="仿宋_GB2312" w:eastAsia="仿宋_GB2312" w:cs="仿宋_GB2312"/>
          <w:color w:val="auto"/>
          <w:sz w:val="24"/>
          <w:szCs w:val="24"/>
          <w:highlight w:val="none"/>
          <w:lang w:val="en-US" w:eastAsia="zh-CN"/>
        </w:rPr>
        <w:t>包含在投标报价内</w:t>
      </w:r>
      <w:r>
        <w:rPr>
          <w:rFonts w:hint="eastAsia" w:ascii="仿宋_GB2312" w:hAnsi="仿宋_GB2312" w:eastAsia="仿宋_GB2312" w:cs="仿宋_GB2312"/>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 w:val="0"/>
          <w:bCs w:val="0"/>
          <w:color w:val="000000" w:themeColor="text1"/>
          <w:kern w:val="2"/>
          <w:sz w:val="24"/>
          <w:szCs w:val="24"/>
          <w:highlight w:val="none"/>
          <w:lang w:val="en-US" w:eastAsia="zh-CN" w:bidi="ar-SA"/>
          <w14:textFill>
            <w14:solidFill>
              <w14:schemeClr w14:val="tx1"/>
            </w14:solidFill>
          </w14:textFill>
        </w:rPr>
        <w:t>3）</w:t>
      </w: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智能化维护员</w:t>
      </w:r>
      <w:r>
        <w:rPr>
          <w:rFonts w:hint="eastAsia" w:ascii="仿宋_GB2312" w:hAnsi="仿宋_GB2312" w:eastAsia="仿宋_GB2312" w:cs="仿宋_GB2312"/>
          <w:b w:val="0"/>
          <w:bCs w:val="0"/>
          <w:color w:val="000000" w:themeColor="text1"/>
          <w:kern w:val="2"/>
          <w:sz w:val="24"/>
          <w:szCs w:val="24"/>
          <w:highlight w:val="none"/>
          <w:lang w:val="en-US" w:eastAsia="zh-CN" w:bidi="ar-SA"/>
          <w14:textFill>
            <w14:solidFill>
              <w14:schemeClr w14:val="tx1"/>
            </w14:solidFill>
          </w14:textFill>
        </w:rPr>
        <w:t>1人（兼电梯管理人员），年龄在45周岁以下，负责学校门禁系统、交换机组、监控设备、音控系统、计算机软件安装和维护、道闸系统等维护工作。</w:t>
      </w:r>
      <w:r>
        <w:rPr>
          <w:rFonts w:hint="eastAsia" w:ascii="仿宋_GB2312" w:hAnsi="仿宋_GB2312" w:eastAsia="仿宋_GB2312" w:cs="仿宋_GB2312"/>
          <w:b w:val="0"/>
          <w:bCs w:val="0"/>
          <w:color w:val="auto"/>
          <w:sz w:val="24"/>
          <w:szCs w:val="24"/>
          <w:highlight w:val="none"/>
          <w:lang w:val="en-US" w:eastAsia="zh-CN"/>
        </w:rPr>
        <w:t>人员素质及要求：</w:t>
      </w:r>
      <w:r>
        <w:rPr>
          <w:rFonts w:hint="eastAsia" w:ascii="仿宋_GB2312" w:hAnsi="仿宋_GB2312" w:eastAsia="仿宋_GB2312" w:cs="仿宋_GB2312"/>
          <w:b w:val="0"/>
          <w:bCs w:val="0"/>
          <w:color w:val="000000" w:themeColor="text1"/>
          <w:kern w:val="2"/>
          <w:sz w:val="24"/>
          <w:szCs w:val="24"/>
          <w:highlight w:val="none"/>
          <w:lang w:val="en-US" w:eastAsia="zh-CN" w:bidi="ar-SA"/>
          <w14:textFill>
            <w14:solidFill>
              <w14:schemeClr w14:val="tx1"/>
            </w14:solidFill>
          </w14:textFill>
        </w:rPr>
        <w:t>身体健康，统一着装，佩带胸牌、仪容仪表整洁端庄。</w:t>
      </w:r>
    </w:p>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4）工程设备维护保养。负责办公教学楼等建筑公用部位、公共设施的日常养护和管理，对暖通机房、配电房等专业设备进行巡检，遇故障及时维修，确保使用功能和运行良好，并做好日常巡检、维修记录。按要求有计划地做好设施的维修、改造和更新。高配年度维护一年一次</w:t>
      </w:r>
      <w:r>
        <w:rPr>
          <w:rFonts w:hint="eastAsia" w:ascii="仿宋_GB2312" w:hAnsi="仿宋_GB2312" w:eastAsia="仿宋_GB2312" w:cs="仿宋_GB2312"/>
          <w:b w:val="0"/>
          <w:bCs w:val="0"/>
          <w:color w:val="auto"/>
          <w:sz w:val="24"/>
          <w:szCs w:val="24"/>
          <w:highlight w:val="none"/>
          <w:lang w:val="en-US" w:eastAsia="zh-CN"/>
        </w:rPr>
        <w:t>（所产生的费用包含在投标报价内）</w:t>
      </w:r>
      <w:r>
        <w:rPr>
          <w:rFonts w:hint="eastAsia" w:ascii="仿宋_GB2312" w:hAnsi="仿宋_GB2312" w:eastAsia="仿宋_GB2312" w:cs="仿宋_GB2312"/>
          <w:b/>
          <w:bCs/>
          <w:sz w:val="24"/>
          <w:szCs w:val="24"/>
          <w:lang w:eastAsia="zh-CN"/>
        </w:rPr>
        <w:t>。</w:t>
      </w:r>
    </w:p>
    <w:p>
      <w:pPr>
        <w:keepNext w:val="0"/>
        <w:keepLines w:val="0"/>
        <w:pageBreakBefore w:val="0"/>
        <w:numPr>
          <w:ilvl w:val="-1"/>
          <w:numId w:val="0"/>
        </w:numPr>
        <w:kinsoku/>
        <w:overflowPunct/>
        <w:topLinePunct w:val="0"/>
        <w:autoSpaceDE/>
        <w:autoSpaceDN/>
        <w:bidi w:val="0"/>
        <w:spacing w:line="440" w:lineRule="exact"/>
        <w:ind w:left="0" w:leftChars="0" w:firstLine="482" w:firstLineChars="200"/>
        <w:outlineLvl w:val="0"/>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7、绿化养护服务要求：</w:t>
      </w:r>
    </w:p>
    <w:p>
      <w:pPr>
        <w:keepNext w:val="0"/>
        <w:keepLines w:val="0"/>
        <w:pageBreakBefore w:val="0"/>
        <w:numPr>
          <w:ilvl w:val="-1"/>
          <w:numId w:val="0"/>
        </w:numPr>
        <w:kinsoku/>
        <w:overflowPunct/>
        <w:topLinePunct w:val="0"/>
        <w:autoSpaceDE/>
        <w:autoSpaceDN/>
        <w:bidi w:val="0"/>
        <w:spacing w:line="440" w:lineRule="exact"/>
        <w:ind w:left="0" w:leftChars="0" w:firstLine="480" w:firstLineChars="200"/>
        <w:outlineLvl w:val="0"/>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（1）根据本项目的绿化规划特点，落实专业人员实施盆花摆设（盆花由中标人提供）、绿化养护等管理，对植被、花卉进行修剪、养护，定期清除绿地杂草、杂物，预防花草、树木病虫害。</w:t>
      </w:r>
    </w:p>
    <w:p>
      <w:pPr>
        <w:keepNext w:val="0"/>
        <w:keepLines w:val="0"/>
        <w:pageBreakBefore w:val="0"/>
        <w:numPr>
          <w:ilvl w:val="-1"/>
          <w:numId w:val="0"/>
        </w:numPr>
        <w:kinsoku/>
        <w:overflowPunct/>
        <w:topLinePunct w:val="0"/>
        <w:autoSpaceDE/>
        <w:autoSpaceDN/>
        <w:bidi w:val="0"/>
        <w:spacing w:line="440" w:lineRule="exact"/>
        <w:ind w:left="0" w:leftChars="0" w:firstLine="480" w:firstLineChars="200"/>
        <w:outlineLvl w:val="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val="0"/>
          <w:bCs w:val="0"/>
          <w:color w:val="auto"/>
          <w:kern w:val="2"/>
          <w:sz w:val="24"/>
          <w:szCs w:val="24"/>
          <w:highlight w:val="none"/>
          <w:lang w:val="en-US" w:eastAsia="zh-CN" w:bidi="ar-SA"/>
        </w:rPr>
        <w:t>（2）</w:t>
      </w:r>
      <w:r>
        <w:rPr>
          <w:rFonts w:hint="eastAsia" w:ascii="仿宋_GB2312" w:hAnsi="仿宋_GB2312" w:eastAsia="仿宋_GB2312" w:cs="仿宋_GB2312"/>
          <w:b/>
          <w:bCs/>
          <w:color w:val="auto"/>
          <w:sz w:val="24"/>
          <w:szCs w:val="24"/>
          <w:highlight w:val="none"/>
        </w:rPr>
        <w:t>养护范围及要求：</w:t>
      </w:r>
    </w:p>
    <w:p>
      <w:pPr>
        <w:keepNext w:val="0"/>
        <w:keepLines w:val="0"/>
        <w:pageBreakBefore w:val="0"/>
        <w:numPr>
          <w:ilvl w:val="-1"/>
          <w:numId w:val="0"/>
        </w:numPr>
        <w:kinsoku/>
        <w:overflowPunct/>
        <w:topLinePunct w:val="0"/>
        <w:autoSpaceDE/>
        <w:autoSpaceDN/>
        <w:bidi w:val="0"/>
        <w:spacing w:line="440" w:lineRule="exact"/>
        <w:ind w:left="0" w:leftChars="0" w:firstLine="480" w:firstLineChars="200"/>
        <w:outlineLvl w:val="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①养护到位，植株健康，修剪及时，树形优美，无明显徒长、倾斜、倒伏、枯萎、病虫害等异常现象；责任区域的花坛、花箱内应按规定密度种植当季草花，并根据采购人要求做好台账记录。</w:t>
      </w:r>
    </w:p>
    <w:p>
      <w:pPr>
        <w:keepNext w:val="0"/>
        <w:keepLines w:val="0"/>
        <w:pageBreakBefore w:val="0"/>
        <w:numPr>
          <w:ilvl w:val="-1"/>
          <w:numId w:val="0"/>
        </w:numPr>
        <w:kinsoku/>
        <w:overflowPunct/>
        <w:topLinePunct w:val="0"/>
        <w:autoSpaceDE/>
        <w:autoSpaceDN/>
        <w:bidi w:val="0"/>
        <w:spacing w:line="440" w:lineRule="exact"/>
        <w:ind w:left="0" w:leftChars="0" w:firstLine="480" w:firstLineChars="200"/>
        <w:outlineLvl w:val="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w:t>
      </w:r>
      <w:r>
        <w:rPr>
          <w:rFonts w:hint="eastAsia" w:ascii="仿宋_GB2312" w:hAnsi="仿宋_GB2312" w:eastAsia="仿宋_GB2312" w:cs="仿宋_GB2312"/>
          <w:color w:val="auto"/>
          <w:sz w:val="24"/>
          <w:szCs w:val="24"/>
          <w:highlight w:val="none"/>
          <w:lang w:val="en-US" w:eastAsia="zh-CN"/>
        </w:rPr>
        <w:t>日常和节日</w:t>
      </w:r>
      <w:r>
        <w:rPr>
          <w:rFonts w:hint="eastAsia" w:ascii="仿宋_GB2312" w:hAnsi="仿宋_GB2312" w:eastAsia="仿宋_GB2312" w:cs="仿宋_GB2312"/>
          <w:color w:val="auto"/>
          <w:sz w:val="24"/>
          <w:szCs w:val="24"/>
          <w:highlight w:val="none"/>
        </w:rPr>
        <w:t>花卉租摆以观叶盆栽植物为主，观花盆栽为辅，需符合</w:t>
      </w:r>
      <w:r>
        <w:rPr>
          <w:rFonts w:hint="eastAsia" w:ascii="仿宋_GB2312" w:hAnsi="仿宋_GB2312" w:eastAsia="仿宋_GB2312" w:cs="仿宋_GB2312"/>
          <w:color w:val="auto"/>
          <w:sz w:val="24"/>
          <w:szCs w:val="24"/>
          <w:highlight w:val="none"/>
          <w:lang w:val="en-US" w:eastAsia="zh-CN"/>
        </w:rPr>
        <w:t>项目</w:t>
      </w:r>
      <w:r>
        <w:rPr>
          <w:rFonts w:hint="eastAsia" w:ascii="仿宋_GB2312" w:hAnsi="仿宋_GB2312" w:eastAsia="仿宋_GB2312" w:cs="仿宋_GB2312"/>
          <w:color w:val="auto"/>
          <w:sz w:val="24"/>
          <w:szCs w:val="24"/>
          <w:highlight w:val="none"/>
        </w:rPr>
        <w:t>特定的文化内涵。遇枯萎、坏死等迹象应及时更换。</w:t>
      </w:r>
    </w:p>
    <w:p>
      <w:pPr>
        <w:keepNext w:val="0"/>
        <w:keepLines w:val="0"/>
        <w:pageBreakBefore w:val="0"/>
        <w:numPr>
          <w:ilvl w:val="-1"/>
          <w:numId w:val="0"/>
        </w:numPr>
        <w:kinsoku/>
        <w:overflowPunct/>
        <w:topLinePunct w:val="0"/>
        <w:autoSpaceDE/>
        <w:autoSpaceDN/>
        <w:bidi w:val="0"/>
        <w:spacing w:line="440" w:lineRule="exact"/>
        <w:ind w:left="0" w:leftChars="0" w:firstLine="480" w:firstLineChars="200"/>
        <w:outlineLvl w:val="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③</w:t>
      </w:r>
      <w:r>
        <w:rPr>
          <w:rFonts w:hint="eastAsia" w:ascii="仿宋_GB2312" w:hAnsi="仿宋_GB2312" w:eastAsia="仿宋_GB2312" w:cs="仿宋_GB2312"/>
          <w:color w:val="auto"/>
          <w:sz w:val="24"/>
          <w:szCs w:val="24"/>
          <w:highlight w:val="none"/>
          <w:lang w:val="en-US" w:eastAsia="zh-CN"/>
        </w:rPr>
        <w:t>绿化养护及盆花租摆费用包含在投标报价内。</w:t>
      </w:r>
    </w:p>
    <w:p>
      <w:pPr>
        <w:keepNext w:val="0"/>
        <w:keepLines w:val="0"/>
        <w:pageBreakBefore w:val="0"/>
        <w:kinsoku/>
        <w:wordWrap/>
        <w:overflowPunct/>
        <w:topLinePunct w:val="0"/>
        <w:autoSpaceDE/>
        <w:autoSpaceDN/>
        <w:bidi w:val="0"/>
        <w:adjustRightInd/>
        <w:snapToGrid/>
        <w:spacing w:line="440" w:lineRule="exact"/>
        <w:ind w:left="0" w:firstLine="482" w:firstLineChars="200"/>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三、</w:t>
      </w:r>
      <w:r>
        <w:rPr>
          <w:rFonts w:hint="eastAsia" w:ascii="仿宋_GB2312" w:hAnsi="仿宋_GB2312" w:eastAsia="仿宋_GB2312" w:cs="仿宋_GB2312"/>
          <w:b/>
          <w:color w:val="000000" w:themeColor="text1"/>
          <w:sz w:val="24"/>
          <w:szCs w:val="24"/>
          <w:highlight w:val="none"/>
          <w:lang w:val="en-US" w:eastAsia="zh-CN"/>
          <w14:textFill>
            <w14:solidFill>
              <w14:schemeClr w14:val="tx1"/>
            </w14:solidFill>
          </w14:textFill>
        </w:rPr>
        <w:t>服务</w:t>
      </w:r>
      <w:r>
        <w:rPr>
          <w:rFonts w:hint="eastAsia" w:ascii="仿宋_GB2312" w:hAnsi="仿宋_GB2312" w:eastAsia="仿宋_GB2312" w:cs="仿宋_GB2312"/>
          <w:b/>
          <w:color w:val="000000" w:themeColor="text1"/>
          <w:sz w:val="24"/>
          <w:szCs w:val="24"/>
          <w:highlight w:val="none"/>
          <w14:textFill>
            <w14:solidFill>
              <w14:schemeClr w14:val="tx1"/>
            </w14:solidFill>
          </w14:textFill>
        </w:rPr>
        <w:t>期限</w:t>
      </w:r>
    </w:p>
    <w:p>
      <w:pPr>
        <w:keepNext w:val="0"/>
        <w:keepLines w:val="0"/>
        <w:pageBreakBefore w:val="0"/>
        <w:kinsoku/>
        <w:wordWrap/>
        <w:overflowPunct/>
        <w:topLinePunct w:val="0"/>
        <w:autoSpaceDE/>
        <w:autoSpaceDN/>
        <w:bidi w:val="0"/>
        <w:adjustRightInd/>
        <w:spacing w:line="440" w:lineRule="exact"/>
        <w:ind w:lef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2025年1月1日至2025年12月31日。考虑到本项目招标及服务交接与原项目截止时间存在时间差，在服务交接完成前仍由原服务单位提供服务，费用由中标人以本次中标金额按实际服务天数与原服务单位进行结算，费用按天计算，包含在投标报价中。</w:t>
      </w:r>
    </w:p>
    <w:p>
      <w:pPr>
        <w:keepNext w:val="0"/>
        <w:keepLines w:val="0"/>
        <w:pageBreakBefore w:val="0"/>
        <w:kinsoku/>
        <w:wordWrap/>
        <w:overflowPunct/>
        <w:topLinePunct w:val="0"/>
        <w:autoSpaceDE/>
        <w:autoSpaceDN/>
        <w:bidi w:val="0"/>
        <w:adjustRightInd/>
        <w:snapToGrid/>
        <w:spacing w:line="440" w:lineRule="exact"/>
        <w:ind w:left="0" w:firstLine="482" w:firstLineChars="200"/>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四、付款方式</w:t>
      </w:r>
    </w:p>
    <w:p>
      <w:pPr>
        <w:pStyle w:val="23"/>
        <w:keepNext w:val="0"/>
        <w:keepLines w:val="0"/>
        <w:pageBreakBefore w:val="0"/>
        <w:kinsoku/>
        <w:overflowPunct/>
        <w:topLinePunct w:val="0"/>
        <w:autoSpaceDE/>
        <w:autoSpaceDN/>
        <w:bidi w:val="0"/>
        <w:snapToGrid w:val="0"/>
        <w:spacing w:line="440" w:lineRule="exact"/>
        <w:ind w:lef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中标人需要与上一年服务单位做好衔接工作，并在一周内交接完毕，不得无故拖延。</w:t>
      </w:r>
    </w:p>
    <w:p>
      <w:pPr>
        <w:pStyle w:val="23"/>
        <w:keepNext w:val="0"/>
        <w:keepLines w:val="0"/>
        <w:pageBreakBefore w:val="0"/>
        <w:kinsoku/>
        <w:overflowPunct/>
        <w:topLinePunct w:val="0"/>
        <w:autoSpaceDE/>
        <w:autoSpaceDN/>
        <w:bidi w:val="0"/>
        <w:spacing w:line="440" w:lineRule="exact"/>
        <w:ind w:left="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付款方式：按《浙江省财政厅关于进一步发挥政府采购政策 功能全力推动经济稳进提质的通知》（浙财采监〔2022〕3号）等文件要求执行，具体付款方式由双方协商后在合同中明确。</w:t>
      </w:r>
    </w:p>
    <w:p>
      <w:pPr>
        <w:pStyle w:val="256"/>
        <w:keepNext w:val="0"/>
        <w:keepLines w:val="0"/>
        <w:pageBreakBefore w:val="0"/>
        <w:tabs>
          <w:tab w:val="left" w:pos="587"/>
        </w:tabs>
        <w:kinsoku/>
        <w:wordWrap/>
        <w:overflowPunct/>
        <w:topLinePunct w:val="0"/>
        <w:autoSpaceDE/>
        <w:autoSpaceDN/>
        <w:bidi w:val="0"/>
        <w:spacing w:after="0" w:line="440" w:lineRule="exact"/>
        <w:ind w:left="0" w:leftChars="0" w:firstLine="482" w:firstLineChars="200"/>
        <w:textAlignment w:val="auto"/>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五、验收</w:t>
      </w:r>
    </w:p>
    <w:p>
      <w:pPr>
        <w:pStyle w:val="256"/>
        <w:keepNext w:val="0"/>
        <w:keepLines w:val="0"/>
        <w:pageBreakBefore w:val="0"/>
        <w:tabs>
          <w:tab w:val="left" w:pos="587"/>
        </w:tabs>
        <w:kinsoku/>
        <w:wordWrap/>
        <w:overflowPunct/>
        <w:topLinePunct w:val="0"/>
        <w:autoSpaceDE/>
        <w:autoSpaceDN/>
        <w:bidi w:val="0"/>
        <w:spacing w:after="0" w:line="440" w:lineRule="exact"/>
        <w:ind w:left="0" w:lef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val="en-US"/>
        </w:rPr>
        <w:t>中标</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lang w:val="en-US"/>
        </w:rPr>
        <w:t>提供的服务人员考勤进行记录并保存，作为最终项目</w:t>
      </w:r>
      <w:r>
        <w:rPr>
          <w:rFonts w:hint="eastAsia" w:ascii="仿宋_GB2312" w:hAnsi="仿宋_GB2312" w:eastAsia="仿宋_GB2312" w:cs="仿宋_GB2312"/>
          <w:color w:val="auto"/>
          <w:sz w:val="24"/>
          <w:szCs w:val="24"/>
          <w:highlight w:val="none"/>
          <w:lang w:val="en-US" w:eastAsia="zh-CN"/>
        </w:rPr>
        <w:t>考核或</w:t>
      </w:r>
      <w:r>
        <w:rPr>
          <w:rFonts w:hint="eastAsia" w:ascii="仿宋_GB2312" w:hAnsi="仿宋_GB2312" w:eastAsia="仿宋_GB2312" w:cs="仿宋_GB2312"/>
          <w:color w:val="auto"/>
          <w:sz w:val="24"/>
          <w:szCs w:val="24"/>
          <w:highlight w:val="none"/>
          <w:lang w:val="en-US"/>
        </w:rPr>
        <w:t>验收资料组成部分。</w:t>
      </w:r>
    </w:p>
    <w:p>
      <w:pPr>
        <w:pStyle w:val="256"/>
        <w:keepNext w:val="0"/>
        <w:keepLines w:val="0"/>
        <w:pageBreakBefore w:val="0"/>
        <w:tabs>
          <w:tab w:val="left" w:pos="587"/>
        </w:tabs>
        <w:kinsoku/>
        <w:wordWrap/>
        <w:overflowPunct/>
        <w:topLinePunct w:val="0"/>
        <w:autoSpaceDE/>
        <w:autoSpaceDN/>
        <w:bidi w:val="0"/>
        <w:spacing w:after="0" w:line="440" w:lineRule="exact"/>
        <w:ind w:left="0" w:lef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val="en-US"/>
        </w:rPr>
        <w:t>中标</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lang w:val="en-US"/>
        </w:rPr>
        <w:t>服务过程中须留存服务记录，并提交</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en-US"/>
        </w:rPr>
        <w:t>确认。服务记录内容包括但不限于：服务地点、服务开始时间、服务结束时间、服务人员姓名、服务人数、服务内容、服务结果等。</w:t>
      </w:r>
    </w:p>
    <w:p>
      <w:pPr>
        <w:pStyle w:val="256"/>
        <w:keepNext w:val="0"/>
        <w:keepLines w:val="0"/>
        <w:pageBreakBefore w:val="0"/>
        <w:tabs>
          <w:tab w:val="left" w:pos="587"/>
        </w:tabs>
        <w:kinsoku/>
        <w:wordWrap/>
        <w:overflowPunct/>
        <w:topLinePunct w:val="0"/>
        <w:autoSpaceDE/>
        <w:autoSpaceDN/>
        <w:bidi w:val="0"/>
        <w:spacing w:after="0" w:line="440" w:lineRule="exact"/>
        <w:ind w:left="0" w:lef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3、采购人根据</w:t>
      </w:r>
      <w:r>
        <w:rPr>
          <w:rFonts w:hint="eastAsia" w:ascii="仿宋_GB2312" w:hAnsi="仿宋_GB2312" w:eastAsia="仿宋_GB2312" w:cs="仿宋_GB2312"/>
          <w:color w:val="auto"/>
          <w:sz w:val="24"/>
          <w:szCs w:val="24"/>
          <w:highlight w:val="none"/>
          <w:lang w:val="en-US"/>
        </w:rPr>
        <w:t>考核标准</w:t>
      </w:r>
      <w:r>
        <w:rPr>
          <w:rFonts w:hint="eastAsia" w:ascii="仿宋_GB2312" w:hAnsi="仿宋_GB2312" w:eastAsia="仿宋_GB2312" w:cs="仿宋_GB2312"/>
          <w:color w:val="auto"/>
          <w:sz w:val="24"/>
          <w:szCs w:val="24"/>
          <w:highlight w:val="none"/>
          <w:lang w:val="en-US" w:eastAsia="zh-CN"/>
        </w:rPr>
        <w:t>对中标人进行项目验收，验收按国家有关规范标准（国家无验收规范标准的按双方合同规定的要求）进行，采购人保留邀请第三方机构或相关技术专家参与验收的权利。参与验收的第三方机构的意见作为验收书的参考资料一并存档。</w:t>
      </w:r>
    </w:p>
    <w:p>
      <w:pPr>
        <w:pStyle w:val="256"/>
        <w:keepNext w:val="0"/>
        <w:keepLines w:val="0"/>
        <w:pageBreakBefore w:val="0"/>
        <w:tabs>
          <w:tab w:val="left" w:pos="587"/>
        </w:tabs>
        <w:kinsoku/>
        <w:wordWrap/>
        <w:overflowPunct/>
        <w:topLinePunct w:val="0"/>
        <w:autoSpaceDE/>
        <w:autoSpaceDN/>
        <w:bidi w:val="0"/>
        <w:spacing w:after="0" w:line="440" w:lineRule="exact"/>
        <w:ind w:left="0" w:leftChars="0"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4、采购人将定期或不定期对人员在岗情况进行检查，检查发现人员未按要求的到位率到位，或按到位率到位的、但物业人员存在缺岗、离岗、不正确履行职责等现象的，罚300元/人/次。检查中，如发现着装不统一，记录不完整，以100元/次扣款；如发现保洁未履行保洁义务或工作时间做工作无关的事，以100元/次扣款；如发现保安未履行保安义务或工作时间做工作无关的事，以100元/次扣款；如发现管理人员未履行管理人员职责或工作时间做工作无关的事，以200元/次扣款；如发生不文明工作行为及产生社会不良影响，以300元/次扣款，以上处罚金额从服务费中扣除。</w:t>
      </w:r>
    </w:p>
    <w:p>
      <w:pPr>
        <w:pStyle w:val="256"/>
        <w:keepNext w:val="0"/>
        <w:keepLines w:val="0"/>
        <w:pageBreakBefore w:val="0"/>
        <w:tabs>
          <w:tab w:val="left" w:pos="587"/>
        </w:tabs>
        <w:kinsoku/>
        <w:wordWrap/>
        <w:overflowPunct/>
        <w:topLinePunct w:val="0"/>
        <w:autoSpaceDE/>
        <w:autoSpaceDN/>
        <w:bidi w:val="0"/>
        <w:spacing w:after="0" w:line="440" w:lineRule="exact"/>
        <w:ind w:left="0" w:leftChars="0" w:firstLine="482" w:firstLineChars="200"/>
        <w:textAlignment w:val="auto"/>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六、</w:t>
      </w:r>
      <w:r>
        <w:rPr>
          <w:rFonts w:hint="eastAsia" w:ascii="仿宋_GB2312" w:hAnsi="仿宋_GB2312" w:eastAsia="仿宋_GB2312" w:cs="仿宋_GB2312"/>
          <w:b/>
          <w:bCs/>
          <w:color w:val="000000" w:themeColor="text1"/>
          <w:sz w:val="24"/>
          <w:szCs w:val="24"/>
          <w:highlight w:val="none"/>
          <w:lang w:val="en-US"/>
          <w14:textFill>
            <w14:solidFill>
              <w14:schemeClr w14:val="tx1"/>
            </w14:solidFill>
          </w14:textFill>
        </w:rPr>
        <w:t>物业管理考核办法</w:t>
      </w:r>
    </w:p>
    <w:p>
      <w:pPr>
        <w:pStyle w:val="256"/>
        <w:keepNext w:val="0"/>
        <w:keepLines w:val="0"/>
        <w:pageBreakBefore w:val="0"/>
        <w:tabs>
          <w:tab w:val="left" w:pos="587"/>
        </w:tabs>
        <w:kinsoku/>
        <w:wordWrap/>
        <w:overflowPunct/>
        <w:topLinePunct w:val="0"/>
        <w:autoSpaceDE/>
        <w:autoSpaceDN/>
        <w:bidi w:val="0"/>
        <w:spacing w:after="0" w:line="440" w:lineRule="exact"/>
        <w:ind w:left="0" w:leftChars="0" w:firstLine="480" w:firstLineChars="200"/>
        <w:textAlignment w:val="auto"/>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t>（一）考核方式</w:t>
      </w:r>
    </w:p>
    <w:p>
      <w:pPr>
        <w:pStyle w:val="256"/>
        <w:keepNext w:val="0"/>
        <w:keepLines w:val="0"/>
        <w:pageBreakBefore w:val="0"/>
        <w:tabs>
          <w:tab w:val="left" w:pos="587"/>
        </w:tabs>
        <w:kinsoku/>
        <w:wordWrap/>
        <w:overflowPunct/>
        <w:topLinePunct w:val="0"/>
        <w:autoSpaceDE/>
        <w:autoSpaceDN/>
        <w:bidi w:val="0"/>
        <w:spacing w:after="0" w:line="440" w:lineRule="exact"/>
        <w:ind w:left="0" w:leftChars="0" w:firstLine="480" w:firstLineChars="200"/>
        <w:textAlignment w:val="auto"/>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t>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t>绍兴</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艺术</w:t>
      </w:r>
      <w:r>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t>学校办公区、区域内环境保洁、保安服务及工程管理考核工作,由绍兴</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艺术</w:t>
      </w:r>
      <w:r>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t>学校实施。</w:t>
      </w:r>
    </w:p>
    <w:p>
      <w:pPr>
        <w:pStyle w:val="256"/>
        <w:keepNext w:val="0"/>
        <w:keepLines w:val="0"/>
        <w:pageBreakBefore w:val="0"/>
        <w:tabs>
          <w:tab w:val="left" w:pos="587"/>
        </w:tabs>
        <w:kinsoku/>
        <w:wordWrap/>
        <w:overflowPunct/>
        <w:topLinePunct w:val="0"/>
        <w:autoSpaceDE/>
        <w:autoSpaceDN/>
        <w:bidi w:val="0"/>
        <w:spacing w:after="0" w:line="440" w:lineRule="exact"/>
        <w:ind w:left="0" w:leftChars="0" w:firstLine="480" w:firstLineChars="200"/>
        <w:textAlignment w:val="auto"/>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t>2</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t>绍兴</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艺术</w:t>
      </w:r>
      <w:r>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t>学校对受托单位的保安、保洁和工程管理等工作,每月实施1-2次的不定期抽查,月度考核分由抽查结果综合平均值及其他相关记录得出。考核根据制度《</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绍兴艺术学校</w:t>
      </w:r>
      <w:r>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t>物业管理服务考核标准》执行,总分100分。</w:t>
      </w:r>
    </w:p>
    <w:p>
      <w:pPr>
        <w:pStyle w:val="256"/>
        <w:keepNext w:val="0"/>
        <w:keepLines w:val="0"/>
        <w:pageBreakBefore w:val="0"/>
        <w:tabs>
          <w:tab w:val="left" w:pos="587"/>
        </w:tabs>
        <w:kinsoku/>
        <w:wordWrap/>
        <w:overflowPunct/>
        <w:topLinePunct w:val="0"/>
        <w:autoSpaceDE/>
        <w:autoSpaceDN/>
        <w:bidi w:val="0"/>
        <w:spacing w:after="0" w:line="440" w:lineRule="exact"/>
        <w:ind w:left="0" w:leftChars="0" w:firstLine="480" w:firstLineChars="200"/>
        <w:textAlignment w:val="auto"/>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t>3</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t>对于可直接可打分的栏目,如现场保安、保洁、道路清扫、工程管理等,每发现一次直接扣分。</w:t>
      </w:r>
    </w:p>
    <w:p>
      <w:pPr>
        <w:pStyle w:val="256"/>
        <w:keepNext w:val="0"/>
        <w:keepLines w:val="0"/>
        <w:pageBreakBefore w:val="0"/>
        <w:tabs>
          <w:tab w:val="left" w:pos="587"/>
        </w:tabs>
        <w:kinsoku/>
        <w:wordWrap/>
        <w:overflowPunct/>
        <w:topLinePunct w:val="0"/>
        <w:autoSpaceDE/>
        <w:autoSpaceDN/>
        <w:bidi w:val="0"/>
        <w:spacing w:after="0" w:line="440" w:lineRule="exact"/>
        <w:ind w:left="0" w:leftChars="0" w:firstLine="480" w:firstLineChars="200"/>
        <w:textAlignment w:val="auto"/>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t>4</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t>对于发现并及时报告相关事项的打分栏目,可先电话告知。</w:t>
      </w:r>
    </w:p>
    <w:p>
      <w:pPr>
        <w:pStyle w:val="256"/>
        <w:keepNext w:val="0"/>
        <w:keepLines w:val="0"/>
        <w:pageBreakBefore w:val="0"/>
        <w:tabs>
          <w:tab w:val="left" w:pos="587"/>
        </w:tabs>
        <w:kinsoku/>
        <w:wordWrap/>
        <w:overflowPunct/>
        <w:topLinePunct w:val="0"/>
        <w:autoSpaceDE/>
        <w:autoSpaceDN/>
        <w:bidi w:val="0"/>
        <w:spacing w:after="0" w:line="440" w:lineRule="exact"/>
        <w:ind w:left="0" w:leftChars="0" w:firstLine="480" w:firstLineChars="200"/>
        <w:textAlignment w:val="auto"/>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t>5</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t>对绍兴</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艺术</w:t>
      </w:r>
      <w:r>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t>学校交办的其他任务完成情况,以</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采购人</w:t>
      </w:r>
      <w:r>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t>相关领导评价为依据。</w:t>
      </w:r>
    </w:p>
    <w:p>
      <w:pPr>
        <w:pStyle w:val="256"/>
        <w:keepNext w:val="0"/>
        <w:keepLines w:val="0"/>
        <w:pageBreakBefore w:val="0"/>
        <w:tabs>
          <w:tab w:val="left" w:pos="587"/>
        </w:tabs>
        <w:kinsoku/>
        <w:wordWrap/>
        <w:overflowPunct/>
        <w:topLinePunct w:val="0"/>
        <w:autoSpaceDE/>
        <w:autoSpaceDN/>
        <w:bidi w:val="0"/>
        <w:spacing w:after="0" w:line="440" w:lineRule="exact"/>
        <w:ind w:left="0" w:leftChars="0" w:firstLine="480" w:firstLineChars="200"/>
        <w:textAlignment w:val="auto"/>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t>（二）考核的分值设定</w:t>
      </w:r>
    </w:p>
    <w:p>
      <w:pPr>
        <w:pStyle w:val="256"/>
        <w:keepNext w:val="0"/>
        <w:keepLines w:val="0"/>
        <w:pageBreakBefore w:val="0"/>
        <w:tabs>
          <w:tab w:val="left" w:pos="587"/>
        </w:tabs>
        <w:kinsoku/>
        <w:wordWrap/>
        <w:overflowPunct/>
        <w:topLinePunct w:val="0"/>
        <w:autoSpaceDE/>
        <w:autoSpaceDN/>
        <w:bidi w:val="0"/>
        <w:spacing w:after="0" w:line="440" w:lineRule="exact"/>
        <w:ind w:left="0" w:leftChars="0" w:firstLine="480" w:firstLineChars="200"/>
        <w:textAlignment w:val="auto"/>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t>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t>考核标准,考核月基本分为100分,85分以上为合格,85分(含)以下为不合格;年终考核按月考核为准。</w:t>
      </w:r>
    </w:p>
    <w:p>
      <w:pPr>
        <w:pStyle w:val="256"/>
        <w:keepNext w:val="0"/>
        <w:keepLines w:val="0"/>
        <w:pageBreakBefore w:val="0"/>
        <w:tabs>
          <w:tab w:val="left" w:pos="587"/>
        </w:tabs>
        <w:kinsoku/>
        <w:wordWrap/>
        <w:overflowPunct/>
        <w:topLinePunct w:val="0"/>
        <w:autoSpaceDE/>
        <w:autoSpaceDN/>
        <w:bidi w:val="0"/>
        <w:spacing w:after="0" w:line="440" w:lineRule="exact"/>
        <w:ind w:left="0" w:leftChars="0" w:firstLine="480" w:firstLineChars="200"/>
        <w:textAlignment w:val="auto"/>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t>2</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t>考核办法:根据考核结果,当月考核在85分(含)以下的,每低1分扣50元,依此类推。年终考核按月考核为准，每有一个月考核不合格，扣1000元。(扣除物管费金额最高不超过总物管费的</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t>%)。</w:t>
      </w:r>
    </w:p>
    <w:p>
      <w:pPr>
        <w:keepNext w:val="0"/>
        <w:keepLines w:val="0"/>
        <w:pageBreakBefore w:val="0"/>
        <w:kinsoku/>
        <w:wordWrap/>
        <w:overflowPunct/>
        <w:topLinePunct w:val="0"/>
        <w:autoSpaceDE/>
        <w:autoSpaceDN/>
        <w:bidi w:val="0"/>
        <w:snapToGrid/>
        <w:spacing w:line="440" w:lineRule="exact"/>
        <w:ind w:left="0" w:firstLine="482" w:firstLineChars="200"/>
        <w:jc w:val="cente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lang w:val="en-US" w:eastAsia="zh-CN"/>
          <w14:textFill>
            <w14:solidFill>
              <w14:schemeClr w14:val="tx1"/>
            </w14:solidFill>
          </w14:textFill>
        </w:rPr>
        <w:t>绍兴</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艺术</w:t>
      </w:r>
      <w:r>
        <w:rPr>
          <w:rFonts w:hint="eastAsia" w:ascii="仿宋_GB2312" w:hAnsi="仿宋_GB2312" w:eastAsia="仿宋_GB2312" w:cs="仿宋_GB2312"/>
          <w:b/>
          <w:bCs/>
          <w:color w:val="000000" w:themeColor="text1"/>
          <w:kern w:val="0"/>
          <w:sz w:val="24"/>
          <w:szCs w:val="24"/>
          <w:highlight w:val="none"/>
          <w:lang w:val="en-US" w:eastAsia="zh-CN"/>
          <w14:textFill>
            <w14:solidFill>
              <w14:schemeClr w14:val="tx1"/>
            </w14:solidFill>
          </w14:textFill>
        </w:rPr>
        <w:t>学校</w:t>
      </w: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物业管理服务考核标准</w:t>
      </w:r>
    </w:p>
    <w:tbl>
      <w:tblPr>
        <w:tblStyle w:val="62"/>
        <w:tblW w:w="92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2891"/>
        <w:gridCol w:w="4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5"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center"/>
              <w:textAlignment w:val="auto"/>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项目</w:t>
            </w:r>
          </w:p>
        </w:tc>
        <w:tc>
          <w:tcPr>
            <w:tcW w:w="2891"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center"/>
              <w:textAlignment w:val="auto"/>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内容</w:t>
            </w:r>
          </w:p>
        </w:tc>
        <w:tc>
          <w:tcPr>
            <w:tcW w:w="4865"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center"/>
              <w:textAlignment w:val="auto"/>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lang w:val="en-US" w:eastAsia="zh-CN"/>
                <w14:textFill>
                  <w14:solidFill>
                    <w14:schemeClr w14:val="tx1"/>
                  </w14:solidFill>
                </w14:textFill>
              </w:rPr>
              <w:t>扣</w:t>
            </w:r>
            <w:r>
              <w:rPr>
                <w:rFonts w:hint="eastAsia" w:ascii="仿宋_GB2312" w:hAnsi="仿宋_GB2312" w:eastAsia="仿宋_GB2312" w:cs="仿宋_GB2312"/>
                <w:b/>
                <w:color w:val="000000" w:themeColor="text1"/>
                <w:sz w:val="24"/>
                <w:szCs w:val="24"/>
                <w:highlight w:val="none"/>
                <w14:textFill>
                  <w14:solidFill>
                    <w14:schemeClr w14:val="tx1"/>
                  </w14:solidFill>
                </w14:textFill>
              </w:rPr>
              <w:t>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center"/>
              <w:textAlignment w:val="auto"/>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队伍管理</w:t>
            </w:r>
          </w:p>
        </w:tc>
        <w:tc>
          <w:tcPr>
            <w:tcW w:w="2891" w:type="dxa"/>
            <w:noWrap w:val="0"/>
            <w:vAlign w:val="top"/>
          </w:tcPr>
          <w:p>
            <w:pPr>
              <w:keepNext w:val="0"/>
              <w:keepLines w:val="0"/>
              <w:pageBreakBefore w:val="0"/>
              <w:widowControl w:val="0"/>
              <w:kinsoku/>
              <w:wordWrap/>
              <w:overflowPunct/>
              <w:topLinePunct w:val="0"/>
              <w:autoSpaceDE/>
              <w:autoSpaceDN/>
              <w:bidi w:val="0"/>
              <w:adjustRightInd/>
              <w:snapToGrid/>
              <w:spacing w:afterAutospacing="0" w:line="440" w:lineRule="exact"/>
              <w:ind w:left="0" w:firstLine="0" w:firstLineChars="0"/>
              <w:jc w:val="both"/>
              <w:textAlignment w:val="auto"/>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vertAlign w:val="baseline"/>
                <w:lang w:val="en-US" w:eastAsia="zh-CN"/>
                <w14:textFill>
                  <w14:solidFill>
                    <w14:schemeClr w14:val="tx1"/>
                  </w14:solidFill>
                </w14:textFill>
              </w:rPr>
              <w:t>服务人员迟到、早退、擅自离岗（超1小时外按旷工、缺勤考核）</w:t>
            </w:r>
          </w:p>
        </w:tc>
        <w:tc>
          <w:tcPr>
            <w:tcW w:w="48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textAlignment w:val="auto"/>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每发现1次扣</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0.5</w:t>
            </w:r>
            <w:r>
              <w:rPr>
                <w:rFonts w:hint="eastAsia" w:ascii="仿宋_GB2312" w:hAnsi="仿宋_GB2312" w:eastAsia="仿宋_GB2312" w:cs="仿宋_GB2312"/>
                <w:color w:val="000000" w:themeColor="text1"/>
                <w:sz w:val="24"/>
                <w:szCs w:val="24"/>
                <w:highlight w:val="none"/>
                <w14:textFill>
                  <w14:solidFill>
                    <w14:schemeClr w14:val="tx1"/>
                  </w14:solidFill>
                </w14:textFill>
              </w:rPr>
              <w:t>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5" w:type="dxa"/>
            <w:vMerge w:val="continue"/>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center"/>
              <w:textAlignment w:val="auto"/>
              <w:rPr>
                <w:rFonts w:hint="eastAsia" w:ascii="仿宋_GB2312" w:hAnsi="仿宋_GB2312" w:eastAsia="仿宋_GB2312" w:cs="仿宋_GB2312"/>
                <w:b/>
                <w:color w:val="000000" w:themeColor="text1"/>
                <w:sz w:val="24"/>
                <w:szCs w:val="24"/>
                <w:highlight w:val="none"/>
                <w14:textFill>
                  <w14:solidFill>
                    <w14:schemeClr w14:val="tx1"/>
                  </w14:solidFill>
                </w14:textFill>
              </w:rPr>
            </w:pPr>
          </w:p>
        </w:tc>
        <w:tc>
          <w:tcPr>
            <w:tcW w:w="2891" w:type="dxa"/>
            <w:noWrap w:val="0"/>
            <w:vAlign w:val="top"/>
          </w:tcPr>
          <w:p>
            <w:pPr>
              <w:keepNext w:val="0"/>
              <w:keepLines w:val="0"/>
              <w:pageBreakBefore w:val="0"/>
              <w:widowControl w:val="0"/>
              <w:kinsoku/>
              <w:wordWrap/>
              <w:overflowPunct/>
              <w:topLinePunct w:val="0"/>
              <w:autoSpaceDE/>
              <w:autoSpaceDN/>
              <w:bidi w:val="0"/>
              <w:adjustRightInd/>
              <w:snapToGrid/>
              <w:spacing w:afterAutospacing="0" w:line="440" w:lineRule="exact"/>
              <w:ind w:left="0" w:firstLine="0" w:firstLineChars="0"/>
              <w:jc w:val="both"/>
              <w:textAlignment w:val="auto"/>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vertAlign w:val="baseline"/>
                <w:lang w:val="en-US" w:eastAsia="zh-CN"/>
                <w14:textFill>
                  <w14:solidFill>
                    <w14:schemeClr w14:val="tx1"/>
                  </w14:solidFill>
                </w14:textFill>
              </w:rPr>
              <w:t>服务人员旷工、缺勤</w:t>
            </w:r>
          </w:p>
        </w:tc>
        <w:tc>
          <w:tcPr>
            <w:tcW w:w="48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textAlignment w:val="auto"/>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每发现1次扣</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24"/>
                <w:szCs w:val="24"/>
                <w:highlight w:val="none"/>
                <w14:textFill>
                  <w14:solidFill>
                    <w14:schemeClr w14:val="tx1"/>
                  </w14:solidFill>
                </w14:textFill>
              </w:rPr>
              <w:t>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5" w:type="dxa"/>
            <w:vMerge w:val="restart"/>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室内部位保洁</w:t>
            </w:r>
          </w:p>
        </w:tc>
        <w:tc>
          <w:tcPr>
            <w:tcW w:w="2891"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（1）全天候保洁</w:t>
            </w:r>
          </w:p>
        </w:tc>
        <w:tc>
          <w:tcPr>
            <w:tcW w:w="4865"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每发现一处卫生不洁，地上有杂物等扣1分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5" w:type="dxa"/>
            <w:vMerge w:val="continue"/>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891"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（2）及时完成保洁</w:t>
            </w:r>
          </w:p>
        </w:tc>
        <w:tc>
          <w:tcPr>
            <w:tcW w:w="4865"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在上班前未按时完成保洁工程的，每次扣2分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5" w:type="dxa"/>
            <w:vMerge w:val="continue"/>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891"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（3）遵守办公室规定</w:t>
            </w:r>
          </w:p>
        </w:tc>
        <w:tc>
          <w:tcPr>
            <w:tcW w:w="4865"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无故进入办公室，影响工作人员办公的，每次扣2分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5" w:type="dxa"/>
            <w:vMerge w:val="restart"/>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室外保洁</w:t>
            </w:r>
          </w:p>
        </w:tc>
        <w:tc>
          <w:tcPr>
            <w:tcW w:w="2891"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（1）及时清理垃圾</w:t>
            </w:r>
          </w:p>
        </w:tc>
        <w:tc>
          <w:tcPr>
            <w:tcW w:w="4865"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未及时清理，造成周围环境污染的，每次扣2分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5" w:type="dxa"/>
            <w:vMerge w:val="continue"/>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891"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（2）主要道路每天保洁一次</w:t>
            </w:r>
          </w:p>
        </w:tc>
        <w:tc>
          <w:tcPr>
            <w:tcW w:w="4865"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未及时保洁，且较脏，没发现一次扣1分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5" w:type="dxa"/>
            <w:vMerge w:val="continue"/>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891"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（3）保持各类消防设施各类标示牌整洁</w:t>
            </w:r>
          </w:p>
        </w:tc>
        <w:tc>
          <w:tcPr>
            <w:tcW w:w="4865"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每发现一处不整洁扣0.5分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5" w:type="dxa"/>
            <w:vMerge w:val="restart"/>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保安服务</w:t>
            </w:r>
          </w:p>
        </w:tc>
        <w:tc>
          <w:tcPr>
            <w:tcW w:w="2891"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（1）着装严整、仪态端正、举止文明</w:t>
            </w:r>
          </w:p>
        </w:tc>
        <w:tc>
          <w:tcPr>
            <w:tcW w:w="4865"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不按规定着装，举止不端庄每发现一次扣1分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5" w:type="dxa"/>
            <w:vMerge w:val="continue"/>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891"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（2）坚持岗位、不擅自脱岗、认真履行查问、巡查、外来车辆管理职责</w:t>
            </w:r>
          </w:p>
        </w:tc>
        <w:tc>
          <w:tcPr>
            <w:tcW w:w="4865"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上班时间睡觉一次扣</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4"/>
                <w:szCs w:val="24"/>
                <w:highlight w:val="none"/>
                <w14:textFill>
                  <w14:solidFill>
                    <w14:schemeClr w14:val="tx1"/>
                  </w14:solidFill>
                </w14:textFill>
              </w:rPr>
              <w:t>0分，夜间不按规定巡查一次扣5分，外来车辆乱停放一次扣</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0.</w:t>
            </w:r>
            <w:r>
              <w:rPr>
                <w:rFonts w:hint="eastAsia" w:ascii="仿宋_GB2312" w:hAnsi="仿宋_GB2312" w:eastAsia="仿宋_GB2312" w:cs="仿宋_GB2312"/>
                <w:color w:val="000000" w:themeColor="text1"/>
                <w:sz w:val="24"/>
                <w:szCs w:val="24"/>
                <w:highlight w:val="none"/>
                <w14:textFill>
                  <w14:solidFill>
                    <w14:schemeClr w14:val="tx1"/>
                  </w14:solidFill>
                </w14:textFill>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5" w:type="dxa"/>
            <w:vMerge w:val="continue"/>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891"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（3）发现异常情况，及时报告，做好值班记录</w:t>
            </w:r>
          </w:p>
        </w:tc>
        <w:tc>
          <w:tcPr>
            <w:tcW w:w="4865"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不报告或不记录每次扣5分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5" w:type="dxa"/>
            <w:vMerge w:val="continue"/>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891"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（4）外来人员认真登记、查问</w:t>
            </w:r>
          </w:p>
        </w:tc>
        <w:tc>
          <w:tcPr>
            <w:tcW w:w="4865"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对外来人员不查问每发现一次扣1分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5" w:type="dxa"/>
            <w:vMerge w:val="continue"/>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891"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（5）因自身原因发生重大安全案、事件</w:t>
            </w:r>
          </w:p>
        </w:tc>
        <w:tc>
          <w:tcPr>
            <w:tcW w:w="4865"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发生一般盗窃案一次扣</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10分</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5" w:type="dxa"/>
            <w:vMerge w:val="restart"/>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工程管理</w:t>
            </w:r>
          </w:p>
        </w:tc>
        <w:tc>
          <w:tcPr>
            <w:tcW w:w="2891"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（1）按规定着装上岗</w:t>
            </w:r>
          </w:p>
        </w:tc>
        <w:tc>
          <w:tcPr>
            <w:tcW w:w="4865"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未按规定着装上岗，每次扣3分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5" w:type="dxa"/>
            <w:vMerge w:val="continue"/>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891"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（2）电力设施的维修养护</w:t>
            </w:r>
          </w:p>
        </w:tc>
        <w:tc>
          <w:tcPr>
            <w:tcW w:w="4865"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4"/>
                <w:szCs w:val="24"/>
                <w:highlight w:val="none"/>
                <w14:textFill>
                  <w14:solidFill>
                    <w14:schemeClr w14:val="tx1"/>
                  </w14:solidFill>
                </w14:textFill>
              </w:rPr>
              <w:t>未能保障高配电力设施正常运行，每次扣10分</w:t>
            </w:r>
          </w:p>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24"/>
                <w:szCs w:val="24"/>
                <w:highlight w:val="none"/>
                <w14:textFill>
                  <w14:solidFill>
                    <w14:schemeClr w14:val="tx1"/>
                  </w14:solidFill>
                </w14:textFill>
              </w:rPr>
              <w:t>发生电力设施故障，未能及时修理的，每次扣2.5分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5" w:type="dxa"/>
            <w:vMerge w:val="continue"/>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891"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（3）消防设施</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巡检</w:t>
            </w:r>
          </w:p>
        </w:tc>
        <w:tc>
          <w:tcPr>
            <w:tcW w:w="4865"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未能按时</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巡检</w:t>
            </w:r>
            <w:r>
              <w:rPr>
                <w:rFonts w:hint="eastAsia" w:ascii="仿宋_GB2312" w:hAnsi="仿宋_GB2312" w:eastAsia="仿宋_GB2312" w:cs="仿宋_GB2312"/>
                <w:color w:val="000000" w:themeColor="text1"/>
                <w:sz w:val="24"/>
                <w:szCs w:val="24"/>
                <w:highlight w:val="none"/>
                <w14:textFill>
                  <w14:solidFill>
                    <w14:schemeClr w14:val="tx1"/>
                  </w14:solidFill>
                </w14:textFill>
              </w:rPr>
              <w:t>，每次扣2分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5" w:type="dxa"/>
            <w:vMerge w:val="continue"/>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891"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（4）特种岗位的值守</w:t>
            </w:r>
          </w:p>
        </w:tc>
        <w:tc>
          <w:tcPr>
            <w:tcW w:w="4865"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维修</w:t>
            </w:r>
            <w:r>
              <w:rPr>
                <w:rFonts w:hint="eastAsia" w:ascii="仿宋_GB2312" w:hAnsi="仿宋_GB2312" w:eastAsia="仿宋_GB2312" w:cs="仿宋_GB2312"/>
                <w:color w:val="000000" w:themeColor="text1"/>
                <w:sz w:val="24"/>
                <w:szCs w:val="24"/>
                <w:highlight w:val="none"/>
                <w14:textFill>
                  <w14:solidFill>
                    <w14:schemeClr w14:val="tx1"/>
                  </w14:solidFill>
                </w14:textFill>
              </w:rPr>
              <w:t>高配、消控必须持有效证件上岗，工作时间严禁串岗、缺岗、漏岗，每次扣3分。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5" w:type="dxa"/>
            <w:vMerge w:val="restart"/>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其他</w:t>
            </w:r>
          </w:p>
        </w:tc>
        <w:tc>
          <w:tcPr>
            <w:tcW w:w="2891"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（1）安全生产</w:t>
            </w:r>
          </w:p>
        </w:tc>
        <w:tc>
          <w:tcPr>
            <w:tcW w:w="4865"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4"/>
                <w:szCs w:val="24"/>
                <w:highlight w:val="none"/>
                <w14:textFill>
                  <w14:solidFill>
                    <w14:schemeClr w14:val="tx1"/>
                  </w14:solidFill>
                </w14:textFill>
              </w:rPr>
              <w:t>每发生一起轻伤以上事故，扣1分</w:t>
            </w:r>
          </w:p>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24"/>
                <w:szCs w:val="24"/>
                <w:highlight w:val="none"/>
                <w14:textFill>
                  <w14:solidFill>
                    <w14:schemeClr w14:val="tx1"/>
                  </w14:solidFill>
                </w14:textFill>
              </w:rPr>
              <w:t>未将纸质垃圾按规定销毁而私自带走，造成泄密等后果的，每次扣5分</w:t>
            </w:r>
          </w:p>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4"/>
                <w:szCs w:val="24"/>
                <w:highlight w:val="none"/>
                <w14:textFill>
                  <w14:solidFill>
                    <w14:schemeClr w14:val="tx1"/>
                  </w14:solidFill>
                </w14:textFill>
              </w:rPr>
              <w:t>未按规定值班造成后果的，每次扣5分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5" w:type="dxa"/>
            <w:vMerge w:val="continue"/>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891"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（2）及时发现并报告相关事项</w:t>
            </w:r>
          </w:p>
        </w:tc>
        <w:tc>
          <w:tcPr>
            <w:tcW w:w="4865"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4"/>
                <w:szCs w:val="24"/>
                <w:highlight w:val="none"/>
                <w14:textFill>
                  <w14:solidFill>
                    <w14:schemeClr w14:val="tx1"/>
                  </w14:solidFill>
                </w14:textFill>
              </w:rPr>
              <w:t>发现毁绿现象每起扣1分</w:t>
            </w:r>
          </w:p>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24"/>
                <w:szCs w:val="24"/>
                <w:highlight w:val="none"/>
                <w14:textFill>
                  <w14:solidFill>
                    <w14:schemeClr w14:val="tx1"/>
                  </w14:solidFill>
                </w14:textFill>
              </w:rPr>
              <w:t>发现因工作出现损坏财务的，每次扣2分</w:t>
            </w:r>
          </w:p>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4"/>
                <w:szCs w:val="24"/>
                <w:highlight w:val="none"/>
                <w14:textFill>
                  <w14:solidFill>
                    <w14:schemeClr w14:val="tx1"/>
                  </w14:solidFill>
                </w14:textFill>
              </w:rPr>
              <w:t>将无关人员带入</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学校</w:t>
            </w:r>
            <w:r>
              <w:rPr>
                <w:rFonts w:hint="eastAsia" w:ascii="仿宋_GB2312" w:hAnsi="仿宋_GB2312" w:eastAsia="仿宋_GB2312" w:cs="仿宋_GB2312"/>
                <w:color w:val="000000" w:themeColor="text1"/>
                <w:sz w:val="24"/>
                <w:szCs w:val="24"/>
                <w:highlight w:val="none"/>
                <w14:textFill>
                  <w14:solidFill>
                    <w14:schemeClr w14:val="tx1"/>
                  </w14:solidFill>
                </w14:textFill>
              </w:rPr>
              <w:t>，每发现一次扣2分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5" w:type="dxa"/>
            <w:vMerge w:val="continue"/>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891"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配合完成校方交办的</w:t>
            </w:r>
            <w:r>
              <w:rPr>
                <w:rFonts w:hint="eastAsia" w:ascii="仿宋_GB2312" w:hAnsi="仿宋_GB2312" w:eastAsia="仿宋_GB2312" w:cs="仿宋_GB2312"/>
                <w:color w:val="000000" w:themeColor="text1"/>
                <w:sz w:val="24"/>
                <w:szCs w:val="24"/>
                <w:highlight w:val="none"/>
                <w14:textFill>
                  <w14:solidFill>
                    <w14:schemeClr w14:val="tx1"/>
                  </w14:solidFill>
                </w14:textFill>
              </w:rPr>
              <w:t>其他任务</w:t>
            </w:r>
          </w:p>
        </w:tc>
        <w:tc>
          <w:tcPr>
            <w:tcW w:w="4865" w:type="dxa"/>
            <w:noWrap w:val="0"/>
            <w:vAlign w:val="center"/>
          </w:tcPr>
          <w:p>
            <w:pPr>
              <w:keepNext w:val="0"/>
              <w:keepLines w:val="0"/>
              <w:pageBreakBefore w:val="0"/>
              <w:widowControl w:val="0"/>
              <w:kinsoku/>
              <w:wordWrap/>
              <w:overflowPunct/>
              <w:topLinePunct w:val="0"/>
              <w:autoSpaceDE/>
              <w:autoSpaceDN/>
              <w:bidi w:val="0"/>
              <w:snapToGrid/>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未能按期按质完成视情况轻重扣1-10分</w:t>
            </w:r>
          </w:p>
        </w:tc>
      </w:tr>
    </w:tbl>
    <w:p>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center"/>
        <w:textAlignment w:val="auto"/>
        <w:rPr>
          <w:rFonts w:hint="eastAsia" w:ascii="仿宋_GB2312" w:hAnsi="仿宋_GB2312" w:eastAsia="仿宋_GB2312" w:cs="仿宋_GB2312"/>
          <w:b/>
          <w:sz w:val="24"/>
          <w:szCs w:val="24"/>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w:t>
      </w:r>
      <w:r>
        <w:rPr>
          <w:rFonts w:hint="eastAsia" w:ascii="仿宋_GB2312" w:hAnsi="仿宋_GB2312" w:eastAsia="仿宋_GB2312" w:cs="仿宋_GB2312"/>
          <w:b/>
          <w:color w:val="auto"/>
          <w:sz w:val="36"/>
          <w:szCs w:val="36"/>
          <w:highlight w:val="none"/>
          <w:lang w:eastAsia="zh-CN"/>
        </w:rPr>
        <w:t>四</w:t>
      </w:r>
      <w:r>
        <w:rPr>
          <w:rFonts w:hint="eastAsia" w:ascii="仿宋_GB2312" w:hAnsi="仿宋_GB2312" w:eastAsia="仿宋_GB2312" w:cs="仿宋_GB2312"/>
          <w:b/>
          <w:color w:val="auto"/>
          <w:sz w:val="36"/>
          <w:szCs w:val="36"/>
          <w:highlight w:val="none"/>
        </w:rPr>
        <w:t>部分 拟签订的合同文本</w:t>
      </w:r>
    </w:p>
    <w:p>
      <w:pPr>
        <w:kinsoku/>
        <w:wordWrap w:val="0"/>
        <w:overflowPunct/>
        <w:topLinePunct w:val="0"/>
        <w:bidi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合同编号：</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80" w:lineRule="auto"/>
        <w:jc w:val="center"/>
        <w:rPr>
          <w:rFonts w:hint="eastAsia" w:ascii="仿宋_GB2312" w:hAnsi="仿宋_GB2312" w:eastAsia="仿宋_GB2312" w:cs="仿宋_GB2312"/>
          <w:b/>
          <w:color w:val="auto"/>
          <w:sz w:val="28"/>
          <w:szCs w:val="28"/>
          <w:highlight w:val="none"/>
        </w:rPr>
      </w:pPr>
    </w:p>
    <w:p>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政府采购合同参考范本</w:t>
      </w:r>
    </w:p>
    <w:p>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（服务类）</w:t>
      </w:r>
    </w:p>
    <w:p>
      <w:pPr>
        <w:pStyle w:val="700"/>
        <w:kinsoku/>
        <w:wordWrap w:val="0"/>
        <w:overflowPunct/>
        <w:topLinePunct w:val="0"/>
        <w:bidi w:val="0"/>
        <w:ind w:firstLine="2843" w:firstLineChars="118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第一部分 合同书</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pStyle w:val="5"/>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r>
        <w:rPr>
          <w:rFonts w:hint="eastAsia" w:ascii="仿宋_GB2312" w:hAnsi="仿宋_GB2312" w:eastAsia="仿宋_GB2312" w:cs="仿宋_GB2312"/>
          <w:color w:val="auto"/>
          <w:sz w:val="24"/>
          <w:highlight w:val="none"/>
          <w:u w:val="single"/>
        </w:rPr>
        <w:t xml:space="preserve">                                   </w:t>
      </w:r>
    </w:p>
    <w:p>
      <w:pPr>
        <w:pStyle w:val="597"/>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pPr>
        <w:pStyle w:val="597"/>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pPr>
        <w:kinsoku/>
        <w:wordWrap w:val="0"/>
        <w:overflowPunct/>
        <w:topLinePunct w:val="0"/>
        <w:bidi w:val="0"/>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甲方：</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乙方：</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签订地：</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签订日期：</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日</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sectPr>
          <w:pgSz w:w="11907" w:h="16840"/>
          <w:pgMar w:top="1474" w:right="1814" w:bottom="1474" w:left="1814" w:header="851" w:footer="851" w:gutter="0"/>
          <w:pgNumType w:fmt="decimal"/>
          <w:cols w:space="720" w:num="1"/>
        </w:sectPr>
      </w:pPr>
    </w:p>
    <w:p>
      <w:pPr>
        <w:kinsoku/>
        <w:wordWrap w:val="0"/>
        <w:overflowPunct/>
        <w:topLinePunct w:val="0"/>
        <w:bidi w:val="0"/>
        <w:rPr>
          <w:rFonts w:hint="eastAsia" w:ascii="仿宋_GB2312" w:hAnsi="仿宋_GB2312" w:eastAsia="仿宋_GB2312" w:cs="仿宋_GB2312"/>
          <w:b/>
          <w:color w:val="auto"/>
          <w:sz w:val="24"/>
          <w:highlight w:val="none"/>
        </w:rPr>
      </w:pP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年</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月</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日</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绍兴艺术学校</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以</w:t>
      </w:r>
      <w:r>
        <w:rPr>
          <w:rFonts w:hint="eastAsia" w:ascii="仿宋_GB2312" w:hAnsi="仿宋_GB2312" w:eastAsia="仿宋_GB2312" w:cs="仿宋_GB2312"/>
          <w:color w:val="auto"/>
          <w:sz w:val="24"/>
          <w:highlight w:val="none"/>
          <w:u w:val="single"/>
        </w:rPr>
        <w:t xml:space="preserve">   （政府采购方式）  </w:t>
      </w:r>
      <w:r>
        <w:rPr>
          <w:rFonts w:hint="eastAsia" w:ascii="仿宋_GB2312" w:hAnsi="仿宋_GB2312" w:eastAsia="仿宋_GB2312" w:cs="仿宋_GB2312"/>
          <w:color w:val="auto"/>
          <w:sz w:val="24"/>
          <w:highlight w:val="none"/>
        </w:rPr>
        <w:t>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 xml:space="preserve">绍兴艺术学校2025物业管理项目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项目进行了采购。经</w:t>
      </w:r>
      <w:r>
        <w:rPr>
          <w:rFonts w:hint="eastAsia" w:ascii="仿宋_GB2312" w:hAnsi="仿宋_GB2312" w:eastAsia="仿宋_GB2312" w:cs="仿宋_GB2312"/>
          <w:color w:val="auto"/>
          <w:sz w:val="24"/>
          <w:highlight w:val="none"/>
          <w:u w:val="single"/>
        </w:rPr>
        <w:t xml:space="preserve">   （相关评定主体名称）   </w:t>
      </w:r>
      <w:r>
        <w:rPr>
          <w:rFonts w:hint="eastAsia" w:ascii="仿宋_GB2312" w:hAnsi="仿宋_GB2312" w:eastAsia="仿宋_GB2312" w:cs="仿宋_GB2312"/>
          <w:color w:val="auto"/>
          <w:sz w:val="24"/>
          <w:highlight w:val="none"/>
        </w:rPr>
        <w:t>评定，</w:t>
      </w:r>
      <w:r>
        <w:rPr>
          <w:rFonts w:hint="eastAsia" w:ascii="仿宋_GB2312" w:hAnsi="仿宋_GB2312" w:eastAsia="仿宋_GB2312" w:cs="仿宋_GB2312"/>
          <w:color w:val="auto"/>
          <w:sz w:val="24"/>
          <w:highlight w:val="none"/>
          <w:u w:val="single"/>
        </w:rPr>
        <w:t xml:space="preserve">   （中标或者成交供应商名称） </w:t>
      </w:r>
      <w:r>
        <w:rPr>
          <w:rFonts w:hint="eastAsia" w:ascii="仿宋_GB2312" w:hAnsi="仿宋_GB2312" w:eastAsia="仿宋_GB2312" w:cs="仿宋_GB2312"/>
          <w:color w:val="auto"/>
          <w:sz w:val="24"/>
          <w:highlight w:val="none"/>
        </w:rPr>
        <w:t>为该项目中标或者成交供应商。现于中标或者成交通知书发出之日起</w:t>
      </w:r>
      <w:r>
        <w:rPr>
          <w:rFonts w:hint="eastAsia" w:ascii="仿宋_GB2312" w:hAnsi="仿宋_GB2312" w:eastAsia="仿宋_GB2312" w:cs="仿宋_GB2312"/>
          <w:color w:val="auto"/>
          <w:sz w:val="24"/>
          <w:highlight w:val="none"/>
          <w:lang w:val="en-US" w:eastAsia="zh-CN"/>
        </w:rPr>
        <w:t>30</w:t>
      </w:r>
      <w:r>
        <w:rPr>
          <w:rFonts w:hint="eastAsia" w:ascii="仿宋_GB2312" w:hAnsi="仿宋_GB2312" w:eastAsia="仿宋_GB2312" w:cs="仿宋_GB2312"/>
          <w:color w:val="auto"/>
          <w:sz w:val="24"/>
          <w:highlight w:val="none"/>
        </w:rPr>
        <w:t>日内，按照采购文件确定的事项签订本合同。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绍兴艺术学校</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lang w:val="zh-CN"/>
        </w:rPr>
        <w:t>(以下简称：甲方)和</w:t>
      </w:r>
      <w:r>
        <w:rPr>
          <w:rFonts w:hint="eastAsia" w:ascii="仿宋_GB2312" w:hAnsi="仿宋_GB2312" w:eastAsia="仿宋_GB2312" w:cs="仿宋_GB2312"/>
          <w:color w:val="auto"/>
          <w:sz w:val="24"/>
          <w:highlight w:val="none"/>
          <w:u w:val="single"/>
        </w:rPr>
        <w:t xml:space="preserve">   （中或者成交标供应商名称）   </w:t>
      </w:r>
      <w:r>
        <w:rPr>
          <w:rFonts w:hint="eastAsia" w:ascii="仿宋_GB2312" w:hAnsi="仿宋_GB2312" w:eastAsia="仿宋_GB2312" w:cs="仿宋_GB2312"/>
          <w:color w:val="auto"/>
          <w:sz w:val="24"/>
          <w:highlight w:val="none"/>
          <w:lang w:val="zh-CN"/>
        </w:rPr>
        <w:t>(以下简称：乙方)协商一致，约定以下合同</w:t>
      </w:r>
      <w:r>
        <w:rPr>
          <w:rFonts w:hint="eastAsia" w:ascii="仿宋_GB2312" w:hAnsi="仿宋_GB2312" w:eastAsia="仿宋_GB2312" w:cs="仿宋_GB2312"/>
          <w:color w:val="auto"/>
          <w:sz w:val="24"/>
          <w:highlight w:val="none"/>
        </w:rPr>
        <w:t>条款，以兹共同遵守、全面履行。</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rPr>
      </w:pPr>
      <w:bookmarkStart w:id="38" w:name="_Toc22967"/>
      <w:bookmarkStart w:id="39" w:name="_Toc19273"/>
      <w:bookmarkStart w:id="40" w:name="_Toc20421"/>
      <w:bookmarkStart w:id="41" w:name="_Toc15367"/>
      <w:bookmarkStart w:id="42" w:name="_Toc28855"/>
      <w:r>
        <w:rPr>
          <w:rFonts w:hint="eastAsia" w:ascii="仿宋_GB2312" w:hAnsi="仿宋_GB2312" w:eastAsia="仿宋_GB2312" w:cs="仿宋_GB2312"/>
          <w:b/>
          <w:color w:val="auto"/>
          <w:sz w:val="24"/>
          <w:highlight w:val="none"/>
        </w:rPr>
        <w:t>1.1 合同组成部分</w:t>
      </w:r>
      <w:bookmarkEnd w:id="38"/>
      <w:bookmarkEnd w:id="39"/>
      <w:bookmarkEnd w:id="40"/>
      <w:bookmarkEnd w:id="41"/>
      <w:bookmarkEnd w:id="42"/>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1.1.1 本合同及其补充合同、变更协议；</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1.1.2 中标或者成交通知书；</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1.1.3 投标或者响应文件（含澄清或者说明文件）；</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1.1.4 采购文件（含澄清或者修改文件）；</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1.1.5 其他相关采购文件。</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43" w:name="_Toc6773"/>
      <w:bookmarkStart w:id="44" w:name="_Toc18585"/>
      <w:bookmarkStart w:id="45" w:name="_Toc22185"/>
      <w:bookmarkStart w:id="46" w:name="_Toc6311"/>
      <w:bookmarkStart w:id="47" w:name="_Toc2918"/>
      <w:r>
        <w:rPr>
          <w:rFonts w:hint="eastAsia" w:ascii="仿宋_GB2312" w:hAnsi="仿宋_GB2312" w:eastAsia="仿宋_GB2312" w:cs="仿宋_GB2312"/>
          <w:b/>
          <w:color w:val="auto"/>
          <w:sz w:val="24"/>
          <w:highlight w:val="none"/>
        </w:rPr>
        <w:t>1.2 标的</w:t>
      </w:r>
      <w:bookmarkEnd w:id="43"/>
      <w:bookmarkEnd w:id="44"/>
      <w:bookmarkEnd w:id="45"/>
      <w:bookmarkEnd w:id="46"/>
      <w:bookmarkEnd w:id="47"/>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1.2.1 服务内容：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1.2.2 服务标准：</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1.2.3 技术保障：</w:t>
      </w:r>
      <w:r>
        <w:rPr>
          <w:rFonts w:hint="eastAsia" w:ascii="仿宋_GB2312" w:hAnsi="仿宋_GB2312" w:eastAsia="仿宋_GB2312" w:cs="仿宋_GB2312"/>
          <w:color w:val="auto"/>
          <w:sz w:val="24"/>
          <w:highlight w:val="none"/>
          <w:u w:val="single"/>
        </w:rPr>
        <w:t>　　　　　　　　　                      　      ；</w:t>
      </w:r>
    </w:p>
    <w:p>
      <w:pPr>
        <w:pageBreakBefore w:val="0"/>
        <w:kinsoku/>
        <w:wordWrap w:val="0"/>
        <w:overflowPunct/>
        <w:topLinePunct w:val="0"/>
        <w:autoSpaceDE/>
        <w:autoSpaceDN/>
        <w:bidi w:val="0"/>
        <w:snapToGrid/>
        <w:spacing w:line="440" w:lineRule="exact"/>
        <w:ind w:left="0" w:leftChars="0" w:right="0" w:rightChars="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1.2.4 服务人员组成：</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1.2.5合同</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（是/否）涉及货物。若涉及货物的，则：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bookmarkStart w:id="48" w:name="_Toc5635"/>
      <w:bookmarkStart w:id="49" w:name="_Toc13918"/>
      <w:bookmarkStart w:id="50" w:name="_Toc1386"/>
      <w:bookmarkStart w:id="51" w:name="_Toc4929"/>
      <w:bookmarkStart w:id="52" w:name="_Toc21124"/>
      <w:r>
        <w:rPr>
          <w:rFonts w:hint="eastAsia" w:ascii="仿宋_GB2312" w:hAnsi="仿宋_GB2312" w:eastAsia="仿宋_GB2312" w:cs="仿宋_GB2312"/>
          <w:color w:val="auto"/>
          <w:sz w:val="24"/>
          <w:highlight w:val="none"/>
        </w:rPr>
        <w:t>1.2.5.1 货物名称、品牌、规格型号、花色：</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1.2.5.2 货物数量：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1.2.5.3 货物质量：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1.3 价款</w:t>
      </w:r>
      <w:bookmarkEnd w:id="48"/>
      <w:bookmarkEnd w:id="49"/>
      <w:bookmarkEnd w:id="50"/>
      <w:bookmarkEnd w:id="51"/>
      <w:bookmarkEnd w:id="52"/>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本项目采用以下第</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条款规定的计价方式计价。</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1.3.1总价合同，本合同总价（含税）为：￥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分项名称</w:t>
            </w: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总价</w:t>
            </w: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bl>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53" w:name="_Toc3654"/>
      <w:bookmarkStart w:id="54" w:name="_Toc30506"/>
      <w:bookmarkStart w:id="55" w:name="_Toc30158"/>
      <w:bookmarkStart w:id="56" w:name="_Toc14993"/>
      <w:bookmarkStart w:id="57" w:name="_Toc26916"/>
      <w:r>
        <w:rPr>
          <w:rFonts w:hint="eastAsia" w:ascii="仿宋_GB2312" w:hAnsi="仿宋_GB2312" w:eastAsia="仿宋_GB2312" w:cs="仿宋_GB2312"/>
          <w:bCs/>
          <w:color w:val="auto"/>
          <w:sz w:val="24"/>
          <w:highlight w:val="none"/>
        </w:rPr>
        <w:t>1.3.2单价合同，本合同单价（含税）标准为：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。服务工作量的计量方式为：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。单价合同，在合同履行期间内，根据实际完成的工作量据实结算，但结算总价上限不得超过预算金额或者双方确定的金额￥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pPr>
        <w:pStyle w:val="5"/>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lang w:val="en-US"/>
        </w:rPr>
        <w:t>1.3.3其他计价方式：</w:t>
      </w:r>
      <w:r>
        <w:rPr>
          <w:rFonts w:hint="eastAsia" w:ascii="仿宋_GB2312" w:hAnsi="仿宋_GB2312" w:eastAsia="仿宋_GB2312" w:cs="仿宋_GB2312"/>
          <w:b w:val="0"/>
          <w:bCs w:val="0"/>
          <w:color w:val="auto"/>
          <w:sz w:val="24"/>
          <w:highlight w:val="none"/>
          <w:u w:val="single"/>
          <w:lang w:val="en-US"/>
        </w:rPr>
        <w:t xml:space="preserve">                   </w:t>
      </w:r>
      <w:r>
        <w:rPr>
          <w:rFonts w:hint="eastAsia" w:ascii="仿宋_GB2312" w:hAnsi="仿宋_GB2312" w:eastAsia="仿宋_GB2312" w:cs="仿宋_GB2312"/>
          <w:b w:val="0"/>
          <w:bCs w:val="0"/>
          <w:color w:val="auto"/>
          <w:sz w:val="24"/>
          <w:highlight w:val="none"/>
        </w:rPr>
        <w:t>。</w:t>
      </w:r>
    </w:p>
    <w:bookmarkEnd w:id="53"/>
    <w:bookmarkEnd w:id="54"/>
    <w:bookmarkEnd w:id="55"/>
    <w:bookmarkEnd w:id="56"/>
    <w:bookmarkEnd w:id="57"/>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color w:val="auto"/>
          <w:highlight w:val="none"/>
        </w:rPr>
      </w:pPr>
      <w:bookmarkStart w:id="58" w:name="_Toc10340"/>
      <w:bookmarkStart w:id="59" w:name="_Toc1814"/>
      <w:bookmarkStart w:id="60" w:name="_Toc22618"/>
      <w:bookmarkStart w:id="61" w:name="_Toc11108"/>
      <w:bookmarkStart w:id="62" w:name="_Toc8772"/>
      <w:bookmarkStart w:id="63" w:name="_Toc4760"/>
      <w:bookmarkStart w:id="64" w:name="_Toc3625"/>
      <w:bookmarkStart w:id="65" w:name="_Toc31421"/>
      <w:r>
        <w:rPr>
          <w:rFonts w:hint="eastAsia" w:ascii="仿宋_GB2312" w:hAnsi="仿宋_GB2312" w:eastAsia="仿宋_GB2312" w:cs="仿宋_GB2312"/>
          <w:b/>
          <w:color w:val="auto"/>
          <w:highlight w:val="none"/>
        </w:rPr>
        <w:t>1.4履约保证金</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乙方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（是/否）需要支付履约保证金。若需要支付履约保证金的，则：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1.4.1履约保证金的比例为合同金额的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1.4.2履约保证金支付方式详见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pPr>
        <w:pStyle w:val="5"/>
        <w:pageBreakBefore w:val="0"/>
        <w:tabs>
          <w:tab w:val="left" w:pos="0"/>
        </w:tabs>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1.4.4甲方在项目验收结束后及时退还履约保证金。甲方在项目通过验收之日起</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%计算，最高限额为本合同履约保证金的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 xml:space="preserve"> %。</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w:t>
      </w:r>
      <w:bookmarkEnd w:id="58"/>
      <w:bookmarkEnd w:id="59"/>
      <w:bookmarkEnd w:id="60"/>
      <w:r>
        <w:rPr>
          <w:rFonts w:hint="eastAsia" w:ascii="仿宋_GB2312" w:hAnsi="仿宋_GB2312" w:eastAsia="仿宋_GB2312" w:cs="仿宋_GB2312"/>
          <w:b/>
          <w:color w:val="auto"/>
          <w:sz w:val="24"/>
          <w:highlight w:val="none"/>
        </w:rPr>
        <w:t>预付款</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甲方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（是/否）需要支付预付款。若需要支付预付款的，则：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1.5.1预付款比例、支付方式、时间详见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1.5.2预付款的扣回方式详见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rPr>
        <w:t>1.5.3预付款的担保措施详见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1.6资金支付</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1.6.1甲方应严格履行合同，及时组织验收，验收合格后及时将合同款支付完毕。对于满足合同约定支付条件的，甲方自收到发票后</w:t>
      </w:r>
      <w:r>
        <w:rPr>
          <w:rFonts w:hint="eastAsia" w:ascii="仿宋_GB2312" w:hAnsi="仿宋_GB2312" w:eastAsia="仿宋_GB2312" w:cs="仿宋_GB2312"/>
          <w:color w:val="auto"/>
          <w:highlight w:val="none"/>
          <w:lang w:val="en-US" w:eastAsia="zh-CN"/>
        </w:rPr>
        <w:t>7</w:t>
      </w:r>
      <w:r>
        <w:rPr>
          <w:rFonts w:hint="eastAsia" w:ascii="仿宋_GB2312" w:hAnsi="仿宋_GB2312" w:eastAsia="仿宋_GB2312" w:cs="仿宋_GB2312"/>
          <w:color w:val="auto"/>
          <w:highlight w:val="none"/>
        </w:rPr>
        <w:t>个工作日内将资金支付到合同约定的乙方账户，有条件的甲方可以即时支付。甲方不得以机构变动、人员更替、政策调整、单位放假等为由延迟付款。</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1.6.2资金支付的方式、时间和条件详见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1.7 履行期限、地点和方式</w:t>
      </w:r>
      <w:bookmarkEnd w:id="61"/>
      <w:bookmarkEnd w:id="62"/>
      <w:bookmarkEnd w:id="63"/>
      <w:bookmarkEnd w:id="64"/>
      <w:bookmarkEnd w:id="65"/>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1.7.1 服务交付（实施）的时间（期限）：</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 服务交付（实施）的地点（地域范围）：</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 服务交付（实施）的方式：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bCs/>
          <w:color w:val="auto"/>
          <w:sz w:val="24"/>
          <w:highlight w:val="none"/>
        </w:rPr>
      </w:pPr>
      <w:bookmarkStart w:id="66" w:name="_Toc8586"/>
      <w:bookmarkStart w:id="67" w:name="_Toc2375"/>
      <w:bookmarkStart w:id="68" w:name="_Toc5698"/>
      <w:bookmarkStart w:id="69" w:name="_Toc24662"/>
      <w:bookmarkStart w:id="70" w:name="_Toc3079"/>
      <w:r>
        <w:rPr>
          <w:rFonts w:hint="eastAsia" w:ascii="仿宋_GB2312" w:hAnsi="仿宋_GB2312" w:eastAsia="仿宋_GB2312" w:cs="仿宋_GB2312"/>
          <w:bCs/>
          <w:color w:val="auto"/>
          <w:sz w:val="24"/>
          <w:highlight w:val="none"/>
        </w:rPr>
        <w:t>1.7.4若服务涉及货物的，则货物的：</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1.7.4.1 交付期限：详见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 交付地点：</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 交付方式：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1.8违约责任</w:t>
      </w:r>
      <w:bookmarkEnd w:id="66"/>
      <w:bookmarkEnd w:id="67"/>
      <w:bookmarkEnd w:id="68"/>
      <w:bookmarkEnd w:id="69"/>
      <w:bookmarkEnd w:id="70"/>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%；迟延履行的违约金计算数额达到前述最高限额之日起，甲方有权在要求乙方支付违约金的同时，书面通知乙方解除本合同；</w:t>
      </w:r>
    </w:p>
    <w:p>
      <w:pPr>
        <w:pStyle w:val="5"/>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b w:val="0"/>
          <w:bCs w:val="0"/>
          <w:color w:val="auto"/>
          <w:sz w:val="24"/>
          <w:szCs w:val="24"/>
          <w:highlight w:val="none"/>
          <w:lang w:val="en-US"/>
        </w:rPr>
      </w:pPr>
      <w:r>
        <w:rPr>
          <w:rFonts w:hint="eastAsia" w:ascii="仿宋_GB2312" w:hAnsi="仿宋_GB2312" w:eastAsia="仿宋_GB2312" w:cs="仿宋_GB2312"/>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%计算，最高限额为本合同总价的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%；迟延付款的违约金计算数额达到前述最高限额之日起，乙方有权在要求甲方支付违约金的同时，书面通知甲方解除本合同；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71" w:name="_Toc9497"/>
      <w:bookmarkStart w:id="72" w:name="_Toc18683"/>
      <w:bookmarkStart w:id="73" w:name="_Toc30329"/>
      <w:bookmarkStart w:id="74" w:name="_Toc32454"/>
      <w:bookmarkStart w:id="75" w:name="_Toc26807"/>
      <w:r>
        <w:rPr>
          <w:rFonts w:hint="eastAsia" w:ascii="仿宋_GB2312" w:hAnsi="仿宋_GB2312" w:eastAsia="仿宋_GB2312" w:cs="仿宋_GB2312"/>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1.8.7违约责任</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另有约定的，从其约定。</w:t>
      </w:r>
    </w:p>
    <w:bookmarkEnd w:id="71"/>
    <w:bookmarkEnd w:id="72"/>
    <w:bookmarkEnd w:id="73"/>
    <w:bookmarkEnd w:id="74"/>
    <w:bookmarkEnd w:id="75"/>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76" w:name="_Toc16021"/>
      <w:bookmarkStart w:id="77" w:name="_Toc28375"/>
      <w:bookmarkStart w:id="78" w:name="_Toc15583"/>
      <w:r>
        <w:rPr>
          <w:rFonts w:hint="eastAsia" w:ascii="仿宋_GB2312" w:hAnsi="仿宋_GB2312" w:eastAsia="仿宋_GB2312" w:cs="仿宋_GB2312"/>
          <w:b/>
          <w:color w:val="auto"/>
          <w:sz w:val="24"/>
          <w:highlight w:val="none"/>
        </w:rPr>
        <w:t>1.9合同争议的解决</w:t>
      </w:r>
      <w:bookmarkEnd w:id="76"/>
      <w:bookmarkEnd w:id="77"/>
      <w:bookmarkEnd w:id="78"/>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本合同履行过程中发生的任何争议，双方当事人均可通过和解或者调解解决；不愿和解、调解或者和解、调解不成的，将争议提交绍兴仲裁委员会仲裁。</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79" w:name="_Toc15322"/>
      <w:bookmarkStart w:id="80" w:name="_Toc11173"/>
      <w:bookmarkStart w:id="81" w:name="_Toc7245"/>
      <w:r>
        <w:rPr>
          <w:rFonts w:hint="eastAsia" w:ascii="仿宋_GB2312" w:hAnsi="仿宋_GB2312" w:eastAsia="仿宋_GB2312" w:cs="仿宋_GB2312"/>
          <w:b/>
          <w:color w:val="auto"/>
          <w:sz w:val="24"/>
          <w:highlight w:val="none"/>
        </w:rPr>
        <w:t>2.0 合同生效</w:t>
      </w:r>
      <w:bookmarkEnd w:id="79"/>
      <w:bookmarkEnd w:id="80"/>
      <w:bookmarkEnd w:id="81"/>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本合同自双方当事人盖章签字时生效。</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b/>
          <w:color w:val="auto"/>
          <w:sz w:val="24"/>
          <w:highlight w:val="none"/>
          <w:lang w:val="zh-CN"/>
        </w:rPr>
        <w:t>甲方</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b/>
          <w:color w:val="auto"/>
          <w:sz w:val="24"/>
          <w:highlight w:val="none"/>
          <w:lang w:val="zh-CN"/>
        </w:rPr>
        <w:t xml:space="preserve">      乙方</w:t>
      </w:r>
      <w:r>
        <w:rPr>
          <w:rFonts w:hint="eastAsia" w:ascii="仿宋_GB2312" w:hAnsi="仿宋_GB2312" w:eastAsia="仿宋_GB2312" w:cs="仿宋_GB2312"/>
          <w:color w:val="auto"/>
          <w:sz w:val="24"/>
          <w:highlight w:val="none"/>
          <w:lang w:val="zh-CN"/>
        </w:rPr>
        <w:t>：</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统一社会信用代码：                       统一社会信用代码或身份证号码：</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住所：                                   住所：</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法定代表人或                             法定代表人或</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授权代表（签字）：                       授权代表（签字）: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联系人：                                 联系人：</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约定送达地址：                           约定送达地址：</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邮政编码：                               邮政编码：</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电话:                                    电话: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传真:                                    传真:</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电子邮箱：                               电子邮箱：</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开户银行：                               开户银行：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开户名称：                               开户名称：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开户账号：</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color w:val="auto"/>
          <w:sz w:val="24"/>
          <w:highlight w:val="none"/>
        </w:rPr>
        <w:t>开户账号：</w:t>
      </w:r>
    </w:p>
    <w:p>
      <w:pPr>
        <w:widowControl/>
        <w:kinsoku/>
        <w:wordWrap w:val="0"/>
        <w:overflowPunct/>
        <w:topLinePunct w:val="0"/>
        <w:bidi w:val="0"/>
        <w:adjustRightInd/>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highlight w:val="none"/>
        </w:rPr>
        <w:br w:type="page"/>
      </w:r>
    </w:p>
    <w:p>
      <w:pPr>
        <w:pStyle w:val="700"/>
        <w:kinsoku/>
        <w:wordWrap w:val="0"/>
        <w:overflowPunct/>
        <w:topLinePunct w:val="0"/>
        <w:bidi w:val="0"/>
        <w:spacing w:line="560" w:lineRule="exact"/>
        <w:ind w:firstLine="482"/>
        <w:jc w:val="center"/>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第二部分 合同一般条款</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82" w:name="_Toc5228"/>
      <w:bookmarkStart w:id="83" w:name="_Toc25079"/>
      <w:bookmarkStart w:id="84" w:name="_Toc19680"/>
      <w:bookmarkStart w:id="85" w:name="_Toc31297"/>
      <w:bookmarkStart w:id="86" w:name="_Toc14021"/>
      <w:r>
        <w:rPr>
          <w:rFonts w:hint="eastAsia" w:ascii="仿宋_GB2312" w:hAnsi="仿宋_GB2312" w:eastAsia="仿宋_GB2312" w:cs="仿宋_GB2312"/>
          <w:b/>
          <w:color w:val="auto"/>
          <w:sz w:val="24"/>
          <w:highlight w:val="none"/>
        </w:rPr>
        <w:t>2.1 定义</w:t>
      </w:r>
      <w:bookmarkEnd w:id="82"/>
      <w:bookmarkEnd w:id="83"/>
      <w:bookmarkEnd w:id="84"/>
      <w:bookmarkEnd w:id="85"/>
      <w:bookmarkEnd w:id="86"/>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本合同中的下列词语应按以下内容进行解释：</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 “合同”系指采购人和中标或成交供应商签订的载明双方当事人所达成的协议，并包括所有的附件、附录和构成合同的其他文件。</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2.1.2 “合同价”系指根据合同约定，中标或成交供应商在完全履行合同义务后，采购人应支付给中标或成交供应商的价格。</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 “甲方”系指与中标或成交供应商签署合同的采购人；采购人委托采购代理机构代表其与乙方签订合同的，采购人的授权委托书作为合同附件。</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2.1.6 “现场”系指合同约定提供服务的地点。</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87" w:name="_Toc16752"/>
      <w:bookmarkStart w:id="88" w:name="_Toc19539"/>
      <w:bookmarkStart w:id="89" w:name="_Toc23289"/>
      <w:bookmarkStart w:id="90" w:name="_Toc31402"/>
      <w:bookmarkStart w:id="91" w:name="_Toc3769"/>
      <w:r>
        <w:rPr>
          <w:rFonts w:hint="eastAsia" w:ascii="仿宋_GB2312" w:hAnsi="仿宋_GB2312" w:eastAsia="仿宋_GB2312" w:cs="仿宋_GB2312"/>
          <w:b/>
          <w:color w:val="auto"/>
          <w:sz w:val="24"/>
          <w:highlight w:val="none"/>
        </w:rPr>
        <w:t>2.2 技术规范</w:t>
      </w:r>
      <w:bookmarkEnd w:id="87"/>
      <w:bookmarkEnd w:id="88"/>
      <w:bookmarkEnd w:id="89"/>
      <w:bookmarkEnd w:id="90"/>
      <w:bookmarkEnd w:id="91"/>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2" w:name="_Toc27945"/>
      <w:bookmarkStart w:id="93" w:name="_Toc9161"/>
      <w:bookmarkStart w:id="94" w:name="_Toc12412"/>
      <w:bookmarkStart w:id="95" w:name="_Toc13673"/>
      <w:bookmarkStart w:id="96" w:name="_Toc4133"/>
      <w:r>
        <w:rPr>
          <w:rFonts w:hint="eastAsia" w:ascii="仿宋_GB2312" w:hAnsi="仿宋_GB2312" w:eastAsia="仿宋_GB2312" w:cs="仿宋_GB2312"/>
          <w:b/>
          <w:color w:val="auto"/>
          <w:sz w:val="24"/>
          <w:highlight w:val="none"/>
        </w:rPr>
        <w:t>2.3 知识产权</w:t>
      </w:r>
      <w:bookmarkEnd w:id="92"/>
      <w:bookmarkEnd w:id="93"/>
      <w:bookmarkEnd w:id="94"/>
      <w:bookmarkEnd w:id="95"/>
      <w:bookmarkEnd w:id="96"/>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 合同涉及技术成果的归属和收益的分成办法的，详见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2.4 履约检查和问题反馈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2.4.2 合同履行期间，甲方有权将履行过程中出现的问题反馈给乙方，双方当事人应以书面形式约定需要完善和改进的内容。</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7" w:name="_Toc31233"/>
      <w:bookmarkStart w:id="98" w:name="_Toc22011"/>
      <w:bookmarkStart w:id="99" w:name="_Toc15447"/>
      <w:bookmarkStart w:id="100" w:name="_Toc26555"/>
      <w:bookmarkStart w:id="101" w:name="_Toc32670"/>
      <w:r>
        <w:rPr>
          <w:rFonts w:hint="eastAsia" w:ascii="仿宋_GB2312" w:hAnsi="仿宋_GB2312" w:eastAsia="仿宋_GB2312" w:cs="仿宋_GB2312"/>
          <w:b/>
          <w:color w:val="auto"/>
          <w:sz w:val="24"/>
          <w:highlight w:val="none"/>
        </w:rPr>
        <w:t>2.5 结算方式和付款条件</w:t>
      </w:r>
      <w:bookmarkEnd w:id="97"/>
      <w:bookmarkEnd w:id="98"/>
      <w:bookmarkEnd w:id="99"/>
      <w:bookmarkEnd w:id="100"/>
      <w:bookmarkEnd w:id="101"/>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2" w:name="_Toc16163"/>
      <w:bookmarkStart w:id="103" w:name="_Toc18990"/>
      <w:bookmarkStart w:id="104" w:name="_Toc30507"/>
      <w:bookmarkStart w:id="105" w:name="_Toc13154"/>
      <w:bookmarkStart w:id="106" w:name="_Toc13467"/>
      <w:r>
        <w:rPr>
          <w:rFonts w:hint="eastAsia" w:ascii="仿宋_GB2312" w:hAnsi="仿宋_GB2312" w:eastAsia="仿宋_GB2312" w:cs="仿宋_GB2312"/>
          <w:b/>
          <w:color w:val="auto"/>
          <w:sz w:val="24"/>
          <w:highlight w:val="none"/>
        </w:rPr>
        <w:t>2.6 技术资料和保密义务</w:t>
      </w:r>
      <w:bookmarkEnd w:id="102"/>
      <w:bookmarkEnd w:id="103"/>
      <w:bookmarkEnd w:id="104"/>
      <w:bookmarkEnd w:id="105"/>
      <w:bookmarkEnd w:id="106"/>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2.6.1 乙方有权依据合同约定和项目需要，向甲方了解有关情况，调阅有关资料等，甲方应予积极配合；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2.6.2 乙方有义务妥善保管和保护由甲方提供的前款信息和资料等；</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7" w:name="_Toc19069"/>
      <w:r>
        <w:rPr>
          <w:rFonts w:hint="eastAsia" w:ascii="仿宋_GB2312" w:hAnsi="仿宋_GB2312" w:eastAsia="仿宋_GB2312" w:cs="仿宋_GB2312"/>
          <w:b/>
          <w:color w:val="auto"/>
          <w:sz w:val="24"/>
          <w:highlight w:val="none"/>
        </w:rPr>
        <w:t>2.7 质量保证</w:t>
      </w:r>
      <w:bookmarkEnd w:id="107"/>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2.7.1 乙方应建立和完善履行合同的内部质量保证体系，并提供相关内部规章制度给甲方，以便甲方进行监督检查；</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2.7.2 乙方应保证履行合同的人员数量和素质、软件和硬件设备的配置、场地、环境和设施等满足全面履行合同的要求，并应接受甲方的监督检查。</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8" w:name="_Toc22267"/>
      <w:r>
        <w:rPr>
          <w:rFonts w:hint="eastAsia" w:ascii="仿宋_GB2312" w:hAnsi="仿宋_GB2312" w:eastAsia="仿宋_GB2312" w:cs="仿宋_GB2312"/>
          <w:b/>
          <w:color w:val="auto"/>
          <w:sz w:val="24"/>
          <w:highlight w:val="none"/>
        </w:rPr>
        <w:t>2.8 延迟履行</w:t>
      </w:r>
      <w:bookmarkEnd w:id="108"/>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9" w:name="_Toc10611"/>
      <w:r>
        <w:rPr>
          <w:rFonts w:hint="eastAsia" w:ascii="仿宋_GB2312" w:hAnsi="仿宋_GB2312" w:eastAsia="仿宋_GB2312" w:cs="仿宋_GB2312"/>
          <w:b/>
          <w:color w:val="auto"/>
          <w:sz w:val="24"/>
          <w:highlight w:val="none"/>
        </w:rPr>
        <w:t>2.9 合同变更</w:t>
      </w:r>
      <w:bookmarkEnd w:id="109"/>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0" w:name="_Toc42"/>
      <w:bookmarkStart w:id="111" w:name="_Toc26689"/>
      <w:bookmarkStart w:id="112" w:name="_Toc23368"/>
      <w:bookmarkStart w:id="113" w:name="_Toc21830"/>
      <w:bookmarkStart w:id="114" w:name="_Toc10663"/>
      <w:r>
        <w:rPr>
          <w:rFonts w:hint="eastAsia" w:ascii="仿宋_GB2312" w:hAnsi="仿宋_GB2312" w:eastAsia="仿宋_GB2312" w:cs="仿宋_GB2312"/>
          <w:b/>
          <w:color w:val="auto"/>
          <w:sz w:val="24"/>
          <w:highlight w:val="none"/>
        </w:rPr>
        <w:t>2.10 合同转让和分包</w:t>
      </w:r>
      <w:bookmarkEnd w:id="110"/>
      <w:bookmarkEnd w:id="111"/>
      <w:bookmarkEnd w:id="112"/>
      <w:bookmarkEnd w:id="113"/>
      <w:bookmarkEnd w:id="114"/>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5" w:name="_Toc26633"/>
      <w:bookmarkStart w:id="116" w:name="_Toc4720"/>
      <w:bookmarkStart w:id="117" w:name="_Toc25571"/>
      <w:bookmarkStart w:id="118" w:name="_Toc14371"/>
      <w:bookmarkStart w:id="119" w:name="_Toc32494"/>
      <w:r>
        <w:rPr>
          <w:rFonts w:hint="eastAsia" w:ascii="仿宋_GB2312" w:hAnsi="仿宋_GB2312" w:eastAsia="仿宋_GB2312" w:cs="仿宋_GB2312"/>
          <w:b/>
          <w:color w:val="auto"/>
          <w:sz w:val="24"/>
          <w:highlight w:val="none"/>
        </w:rPr>
        <w:t>2.11 不可抗力</w:t>
      </w:r>
      <w:bookmarkEnd w:id="115"/>
      <w:bookmarkEnd w:id="116"/>
      <w:bookmarkEnd w:id="117"/>
      <w:bookmarkEnd w:id="118"/>
      <w:bookmarkEnd w:id="119"/>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2.11.1如果任何一方遭遇法律规定的不可抗力，致使合同履行受阻时，履行合同的期限应予延长，延长的期限应相当于不可抗力所影响的时间；</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2.11.2 因不可抗力致使不能实现合同目的的，当事人可以解除合同；</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 因不可抗力致使合同有变更必要的，双方当事人应在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约定时间内以书面形式变更合同；</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2.11.4受不可抗力影响的一方在不可抗力发生后，应在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约定时间内以书面形式通知对方当事人，并在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约定时间内，将有关部门出具的证明文件送达对方当事人。</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0" w:name="_Toc23854"/>
      <w:bookmarkStart w:id="121" w:name="_Toc24465"/>
      <w:bookmarkStart w:id="122" w:name="_Toc14115"/>
      <w:bookmarkStart w:id="123" w:name="_Toc3638"/>
      <w:bookmarkStart w:id="124" w:name="_Toc25783"/>
      <w:r>
        <w:rPr>
          <w:rFonts w:hint="eastAsia" w:ascii="仿宋_GB2312" w:hAnsi="仿宋_GB2312" w:eastAsia="仿宋_GB2312" w:cs="仿宋_GB2312"/>
          <w:b/>
          <w:color w:val="auto"/>
          <w:sz w:val="24"/>
          <w:highlight w:val="none"/>
        </w:rPr>
        <w:t>2.12 税费</w:t>
      </w:r>
      <w:bookmarkEnd w:id="120"/>
      <w:bookmarkEnd w:id="121"/>
      <w:bookmarkEnd w:id="122"/>
      <w:bookmarkEnd w:id="123"/>
      <w:bookmarkEnd w:id="124"/>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与合同有关的一切税费，均按照中华人民共和国法律的相关规定缴纳。</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5" w:name="_Toc25525"/>
      <w:bookmarkStart w:id="126" w:name="_Toc30105"/>
      <w:bookmarkStart w:id="127" w:name="_Toc7315"/>
      <w:bookmarkStart w:id="128" w:name="_Toc26883"/>
      <w:bookmarkStart w:id="129" w:name="_Toc14814"/>
      <w:r>
        <w:rPr>
          <w:rFonts w:hint="eastAsia" w:ascii="仿宋_GB2312" w:hAnsi="仿宋_GB2312" w:eastAsia="仿宋_GB2312" w:cs="仿宋_GB2312"/>
          <w:b/>
          <w:color w:val="auto"/>
          <w:sz w:val="24"/>
          <w:highlight w:val="none"/>
        </w:rPr>
        <w:t>2.13 乙方破产</w:t>
      </w:r>
      <w:bookmarkEnd w:id="125"/>
      <w:bookmarkEnd w:id="126"/>
      <w:bookmarkEnd w:id="127"/>
      <w:bookmarkEnd w:id="128"/>
      <w:bookmarkEnd w:id="129"/>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0" w:name="_Toc2016"/>
      <w:bookmarkStart w:id="131" w:name="_Toc1123"/>
      <w:bookmarkStart w:id="132" w:name="_Toc23323"/>
      <w:r>
        <w:rPr>
          <w:rFonts w:hint="eastAsia" w:ascii="仿宋_GB2312" w:hAnsi="仿宋_GB2312" w:eastAsia="仿宋_GB2312" w:cs="仿宋_GB2312"/>
          <w:b/>
          <w:color w:val="auto"/>
          <w:sz w:val="24"/>
          <w:highlight w:val="none"/>
        </w:rPr>
        <w:t>2.14 合同中止、终止</w:t>
      </w:r>
      <w:bookmarkEnd w:id="130"/>
      <w:bookmarkEnd w:id="131"/>
      <w:bookmarkEnd w:id="132"/>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2.14.1 双方当事人不得擅自中止或者终止合同；</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3" w:name="_Toc14525"/>
      <w:bookmarkStart w:id="134" w:name="_Toc1969"/>
      <w:bookmarkStart w:id="135" w:name="_Toc17363"/>
      <w:r>
        <w:rPr>
          <w:rFonts w:hint="eastAsia" w:ascii="仿宋_GB2312" w:hAnsi="仿宋_GB2312" w:eastAsia="仿宋_GB2312" w:cs="仿宋_GB2312"/>
          <w:b/>
          <w:color w:val="auto"/>
          <w:sz w:val="24"/>
          <w:highlight w:val="none"/>
        </w:rPr>
        <w:t>2.15 检验和验收</w:t>
      </w:r>
      <w:bookmarkEnd w:id="133"/>
      <w:bookmarkEnd w:id="134"/>
      <w:bookmarkEnd w:id="135"/>
    </w:p>
    <w:p>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 乙方按照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的约定，定期提交服务报告，甲方按照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的约定进行定期验收；</w:t>
      </w:r>
    </w:p>
    <w:p>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 检验和验收标准、程序等具体内容以及前述验收书的效力详见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i/>
          <w:color w:val="auto"/>
          <w:sz w:val="24"/>
          <w:highlight w:val="none"/>
        </w:rPr>
        <w:t>。</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6" w:name="_Toc2308"/>
      <w:bookmarkStart w:id="137" w:name="_Toc31892"/>
      <w:bookmarkStart w:id="138" w:name="_Toc12666"/>
      <w:bookmarkStart w:id="139" w:name="_Toc9808"/>
      <w:bookmarkStart w:id="140" w:name="_Toc25198"/>
      <w:r>
        <w:rPr>
          <w:rFonts w:hint="eastAsia" w:ascii="仿宋_GB2312" w:hAnsi="仿宋_GB2312" w:eastAsia="仿宋_GB2312" w:cs="仿宋_GB2312"/>
          <w:b/>
          <w:color w:val="auto"/>
          <w:sz w:val="24"/>
          <w:highlight w:val="none"/>
        </w:rPr>
        <w:t>2.16 通知和送达</w:t>
      </w:r>
      <w:bookmarkEnd w:id="136"/>
      <w:bookmarkEnd w:id="137"/>
      <w:bookmarkEnd w:id="138"/>
      <w:bookmarkEnd w:id="139"/>
      <w:bookmarkEnd w:id="140"/>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bookmarkStart w:id="141" w:name="_Toc18401"/>
      <w:bookmarkStart w:id="142" w:name="_Toc27674"/>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 xml:space="preserve">.1任何一方因履行合同而以合同第一部分尾部所列明的传真或电子邮件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发出的所有通知、文件、材料，均视为已向对方当事人送达；任何一方变更上述送达方式或者地址的，应于</w:t>
      </w:r>
      <w:r>
        <w:rPr>
          <w:rFonts w:hint="eastAsia" w:ascii="仿宋_GB2312" w:hAnsi="仿宋_GB2312" w:eastAsia="仿宋_GB2312" w:cs="仿宋_GB2312"/>
          <w:color w:val="auto"/>
          <w:sz w:val="24"/>
          <w:highlight w:val="none"/>
          <w:u w:val="single"/>
        </w:rPr>
        <w:t>3</w:t>
      </w:r>
      <w:r>
        <w:rPr>
          <w:rFonts w:hint="eastAsia" w:ascii="仿宋_GB2312" w:hAnsi="仿宋_GB2312" w:eastAsia="仿宋_GB2312" w:cs="仿宋_GB2312"/>
          <w:color w:val="auto"/>
          <w:sz w:val="24"/>
          <w:highlight w:val="none"/>
        </w:rPr>
        <w:t>个工作日内书面通知对方当事人，在对方当事人收到有关变更通知之前，变更前的约定送达方式或者地址仍视为有效。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43" w:name="_Toc20808"/>
      <w:bookmarkStart w:id="144" w:name="_Toc28906"/>
      <w:bookmarkStart w:id="145" w:name="_Toc5063"/>
      <w:bookmarkStart w:id="146" w:name="_Toc27644"/>
      <w:bookmarkStart w:id="147" w:name="_Toc12254"/>
      <w:r>
        <w:rPr>
          <w:rFonts w:hint="eastAsia" w:ascii="仿宋_GB2312" w:hAnsi="仿宋_GB2312" w:eastAsia="仿宋_GB2312" w:cs="仿宋_GB2312"/>
          <w:b/>
          <w:color w:val="auto"/>
          <w:sz w:val="24"/>
          <w:highlight w:val="none"/>
        </w:rPr>
        <w:t>2.17 合同使用的文字和适用的法律</w:t>
      </w:r>
      <w:bookmarkEnd w:id="143"/>
      <w:bookmarkEnd w:id="144"/>
      <w:bookmarkEnd w:id="145"/>
      <w:bookmarkEnd w:id="146"/>
      <w:bookmarkEnd w:id="147"/>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2.17.1 合同使用汉语书就、变更和解释；</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2.17.2 合同适用中华人民共和国法律。</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48" w:name="_Toc30599"/>
      <w:bookmarkStart w:id="149" w:name="_Toc4355"/>
      <w:bookmarkStart w:id="150" w:name="_Toc18540"/>
      <w:r>
        <w:rPr>
          <w:rFonts w:hint="eastAsia" w:ascii="仿宋_GB2312" w:hAnsi="仿宋_GB2312" w:eastAsia="仿宋_GB2312" w:cs="仿宋_GB2312"/>
          <w:b/>
          <w:color w:val="auto"/>
          <w:sz w:val="24"/>
          <w:highlight w:val="none"/>
        </w:rPr>
        <w:t>2.18 计量单位</w:t>
      </w:r>
      <w:bookmarkEnd w:id="148"/>
      <w:bookmarkEnd w:id="149"/>
      <w:bookmarkEnd w:id="150"/>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除技术规范中另有规定外,合同的计量单位均使用国家法定计量单位。</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51" w:name="_Toc259093692"/>
      <w:bookmarkStart w:id="152" w:name="_Toc18567"/>
      <w:bookmarkStart w:id="153" w:name="_Toc487900373"/>
      <w:bookmarkStart w:id="154" w:name="_Toc12773"/>
      <w:bookmarkStart w:id="155" w:name="_Toc10330"/>
      <w:bookmarkStart w:id="156" w:name="_Toc279701263"/>
      <w:r>
        <w:rPr>
          <w:rFonts w:hint="eastAsia" w:ascii="仿宋_GB2312" w:hAnsi="仿宋_GB2312" w:eastAsia="仿宋_GB2312" w:cs="仿宋_GB2312"/>
          <w:b/>
          <w:color w:val="auto"/>
          <w:sz w:val="24"/>
          <w:highlight w:val="none"/>
        </w:rPr>
        <w:t>2.19 合同使用的文字和适用的法律</w:t>
      </w:r>
      <w:bookmarkEnd w:id="151"/>
      <w:bookmarkEnd w:id="152"/>
      <w:bookmarkEnd w:id="153"/>
      <w:bookmarkEnd w:id="154"/>
      <w:bookmarkEnd w:id="155"/>
      <w:bookmarkEnd w:id="156"/>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2.19.1 合同使用汉语书就、变更和解释；</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2.19.2 合同适用中华人民共和国法律。</w:t>
      </w:r>
    </w:p>
    <w:p>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lang w:val="en-US" w:eastAsia="zh-CN"/>
        </w:rPr>
        <w:t>20</w:t>
      </w:r>
      <w:r>
        <w:rPr>
          <w:rFonts w:hint="eastAsia" w:ascii="仿宋_GB2312" w:hAnsi="仿宋_GB2312" w:eastAsia="仿宋_GB2312" w:cs="仿宋_GB2312"/>
          <w:b/>
          <w:color w:val="auto"/>
          <w:sz w:val="24"/>
          <w:highlight w:val="none"/>
        </w:rPr>
        <w:t>合同份数</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合同份数按</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规定，每份均具有同等法律效力。</w:t>
      </w:r>
    </w:p>
    <w:p>
      <w:pPr>
        <w:keepNext w:val="0"/>
        <w:keepLines w:val="0"/>
        <w:pageBreakBefore w:val="0"/>
        <w:widowControl w:val="0"/>
        <w:kinsoku/>
        <w:wordWrap w:val="0"/>
        <w:overflowPunct/>
        <w:topLinePunct w:val="0"/>
        <w:autoSpaceDE/>
        <w:autoSpaceDN/>
        <w:bidi w:val="0"/>
        <w:adjustRightInd w:val="0"/>
        <w:snapToGrid/>
        <w:spacing w:line="440" w:lineRule="atLeast"/>
        <w:ind w:firstLine="420" w:firstLineChars="200"/>
        <w:jc w:val="center"/>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highlight w:val="none"/>
        </w:rPr>
        <w:br w:type="page"/>
      </w:r>
      <w:bookmarkStart w:id="157" w:name="_Toc331685784"/>
      <w:r>
        <w:rPr>
          <w:rFonts w:hint="eastAsia" w:ascii="仿宋_GB2312" w:hAnsi="仿宋_GB2312" w:eastAsia="仿宋_GB2312" w:cs="仿宋_GB2312"/>
          <w:b/>
          <w:color w:val="auto"/>
          <w:sz w:val="24"/>
          <w:highlight w:val="none"/>
        </w:rPr>
        <w:t xml:space="preserve"> </w:t>
      </w:r>
      <w:bookmarkEnd w:id="157"/>
      <w:r>
        <w:rPr>
          <w:rFonts w:hint="eastAsia" w:ascii="仿宋_GB2312" w:hAnsi="仿宋_GB2312" w:eastAsia="仿宋_GB2312" w:cs="仿宋_GB2312"/>
          <w:b/>
          <w:color w:val="auto"/>
          <w:kern w:val="2"/>
          <w:sz w:val="24"/>
          <w:szCs w:val="24"/>
          <w:highlight w:val="none"/>
          <w:lang w:val="en-US" w:eastAsia="zh-CN" w:bidi="ar-SA"/>
        </w:rPr>
        <w:t>第三部分  合同专用条款</w:t>
      </w:r>
    </w:p>
    <w:p>
      <w:pPr>
        <w:keepNext w:val="0"/>
        <w:keepLines w:val="0"/>
        <w:pageBreakBefore w:val="0"/>
        <w:widowControl w:val="0"/>
        <w:kinsoku/>
        <w:wordWrap w:val="0"/>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条款号</w:t>
            </w:r>
          </w:p>
        </w:tc>
        <w:tc>
          <w:tcPr>
            <w:tcW w:w="8149"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1.5.1 </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1.5.3 </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1.7.1</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1.7.4.1</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1.8.7</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w:t>
            </w:r>
          </w:p>
        </w:tc>
        <w:tc>
          <w:tcPr>
            <w:tcW w:w="8149" w:type="dxa"/>
            <w:vAlign w:val="center"/>
          </w:tcPr>
          <w:p>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w:t>
            </w:r>
          </w:p>
        </w:tc>
        <w:tc>
          <w:tcPr>
            <w:tcW w:w="8149" w:type="dxa"/>
            <w:vAlign w:val="center"/>
          </w:tcPr>
          <w:p>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2.11.4 </w:t>
            </w:r>
          </w:p>
        </w:tc>
        <w:tc>
          <w:tcPr>
            <w:tcW w:w="8149"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wordWrap w:val="0"/>
              <w:overflowPunct/>
              <w:topLinePunct w:val="0"/>
              <w:bidi w:val="0"/>
              <w:spacing w:line="360" w:lineRule="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20</w:t>
            </w:r>
          </w:p>
        </w:tc>
        <w:tc>
          <w:tcPr>
            <w:tcW w:w="8149"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left="-420" w:leftChars="-200" w:right="-420" w:rightChars="-200" w:firstLine="480" w:firstLineChars="200"/>
        <w:jc w:val="center"/>
        <w:outlineLvl w:val="0"/>
        <w:rPr>
          <w:rFonts w:hint="eastAsia" w:ascii="仿宋_GB2312" w:hAnsi="仿宋_GB2312" w:eastAsia="仿宋_GB2312" w:cs="仿宋_GB2312"/>
          <w:color w:val="auto"/>
          <w:sz w:val="24"/>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pPr>
        <w:pStyle w:val="23"/>
        <w:rPr>
          <w:rFonts w:hint="eastAsia"/>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1、评标方法：</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2.评分标准：</w:t>
      </w:r>
      <w:r>
        <w:rPr>
          <w:rFonts w:hint="eastAsia" w:ascii="仿宋_GB2312" w:hAnsi="仿宋_GB2312" w:eastAsia="仿宋_GB2312" w:cs="仿宋_GB2312"/>
          <w:color w:val="auto"/>
          <w:sz w:val="24"/>
          <w:highlight w:val="none"/>
        </w:rPr>
        <w:t>共100分，其中商务技术分</w:t>
      </w:r>
      <w:r>
        <w:rPr>
          <w:rFonts w:hint="eastAsia" w:ascii="仿宋_GB2312" w:hAnsi="仿宋_GB2312" w:eastAsia="仿宋_GB2312" w:cs="仿宋_GB2312"/>
          <w:color w:val="auto"/>
          <w:sz w:val="24"/>
          <w:highlight w:val="none"/>
          <w:u w:val="single"/>
          <w:lang w:val="en-US" w:eastAsia="zh-CN"/>
        </w:rPr>
        <w:t xml:space="preserve"> 80</w:t>
      </w:r>
      <w:r>
        <w:rPr>
          <w:rFonts w:hint="eastAsia" w:ascii="仿宋_GB2312" w:hAnsi="仿宋_GB2312" w:eastAsia="仿宋_GB2312" w:cs="仿宋_GB2312"/>
          <w:color w:val="auto"/>
          <w:sz w:val="24"/>
          <w:highlight w:val="none"/>
        </w:rPr>
        <w:t>分，价格分</w:t>
      </w:r>
      <w:r>
        <w:rPr>
          <w:rFonts w:hint="eastAsia" w:ascii="仿宋_GB2312" w:hAnsi="仿宋_GB2312" w:eastAsia="仿宋_GB2312" w:cs="仿宋_GB2312"/>
          <w:color w:val="auto"/>
          <w:sz w:val="24"/>
          <w:highlight w:val="none"/>
          <w:u w:val="single"/>
          <w:lang w:val="en-US" w:eastAsia="zh-CN"/>
        </w:rPr>
        <w:t xml:space="preserve"> 20 </w:t>
      </w:r>
      <w:r>
        <w:rPr>
          <w:rFonts w:hint="eastAsia" w:ascii="仿宋_GB2312" w:hAnsi="仿宋_GB2312" w:eastAsia="仿宋_GB2312" w:cs="仿宋_GB2312"/>
          <w:color w:val="auto"/>
          <w:sz w:val="24"/>
          <w:highlight w:val="none"/>
        </w:rPr>
        <w:t>分。评分依下述所列为评标打分依据，分值如下（计算分值时，按其算术平均值保留小数2位）。</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bCs/>
          <w:iCs/>
          <w:color w:val="auto"/>
          <w:sz w:val="24"/>
          <w:highlight w:val="none"/>
        </w:rPr>
        <w:t>2.1商务技术分（</w:t>
      </w:r>
      <w:r>
        <w:rPr>
          <w:rFonts w:hint="eastAsia" w:ascii="仿宋_GB2312" w:hAnsi="仿宋_GB2312" w:eastAsia="仿宋_GB2312" w:cs="仿宋_GB2312"/>
          <w:b/>
          <w:bCs/>
          <w:iCs/>
          <w:color w:val="auto"/>
          <w:sz w:val="24"/>
          <w:highlight w:val="none"/>
          <w:u w:val="single"/>
          <w:lang w:val="en-US" w:eastAsia="zh-CN"/>
        </w:rPr>
        <w:t xml:space="preserve"> 80 </w:t>
      </w:r>
      <w:r>
        <w:rPr>
          <w:rFonts w:hint="eastAsia" w:ascii="仿宋_GB2312" w:hAnsi="仿宋_GB2312" w:eastAsia="仿宋_GB2312" w:cs="仿宋_GB2312"/>
          <w:b/>
          <w:bCs/>
          <w:iCs/>
          <w:color w:val="auto"/>
          <w:sz w:val="24"/>
          <w:highlight w:val="none"/>
        </w:rPr>
        <w:t>分）</w:t>
      </w:r>
    </w:p>
    <w:tbl>
      <w:tblPr>
        <w:tblStyle w:val="62"/>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413"/>
        <w:gridCol w:w="6416"/>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11" w:type="dxa"/>
            <w:vAlign w:val="center"/>
          </w:tcPr>
          <w:p>
            <w:pPr>
              <w:keepNext w:val="0"/>
              <w:keepLines w:val="0"/>
              <w:pageBreakBefore w:val="0"/>
              <w:widowControl/>
              <w:kinsoku/>
              <w:overflowPunct/>
              <w:topLinePunct w:val="0"/>
              <w:autoSpaceDE/>
              <w:autoSpaceDN/>
              <w:bidi w:val="0"/>
              <w:adjustRightInd w:val="0"/>
              <w:snapToGrid w:val="0"/>
              <w:spacing w:line="440" w:lineRule="exact"/>
              <w:ind w:left="0" w:firstLine="0" w:firstLineChars="0"/>
              <w:jc w:val="center"/>
              <w:textAlignment w:val="auto"/>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序号</w:t>
            </w:r>
          </w:p>
        </w:tc>
        <w:tc>
          <w:tcPr>
            <w:tcW w:w="1413" w:type="dxa"/>
            <w:vAlign w:val="center"/>
          </w:tcPr>
          <w:p>
            <w:pPr>
              <w:keepNext w:val="0"/>
              <w:keepLines w:val="0"/>
              <w:pageBreakBefore w:val="0"/>
              <w:widowControl/>
              <w:kinsoku/>
              <w:overflowPunct/>
              <w:topLinePunct w:val="0"/>
              <w:autoSpaceDE/>
              <w:autoSpaceDN/>
              <w:bidi w:val="0"/>
              <w:adjustRightInd w:val="0"/>
              <w:snapToGrid w:val="0"/>
              <w:spacing w:line="440" w:lineRule="exact"/>
              <w:ind w:left="0" w:firstLine="0" w:firstLineChars="0"/>
              <w:jc w:val="center"/>
              <w:textAlignment w:val="auto"/>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评分项</w:t>
            </w:r>
          </w:p>
        </w:tc>
        <w:tc>
          <w:tcPr>
            <w:tcW w:w="6416" w:type="dxa"/>
            <w:vAlign w:val="center"/>
          </w:tcPr>
          <w:p>
            <w:pPr>
              <w:keepNext w:val="0"/>
              <w:keepLines w:val="0"/>
              <w:pageBreakBefore w:val="0"/>
              <w:widowControl/>
              <w:kinsoku/>
              <w:overflowPunct/>
              <w:topLinePunct w:val="0"/>
              <w:autoSpaceDE/>
              <w:autoSpaceDN/>
              <w:bidi w:val="0"/>
              <w:adjustRightInd w:val="0"/>
              <w:snapToGrid w:val="0"/>
              <w:spacing w:line="440" w:lineRule="exact"/>
              <w:ind w:left="0" w:firstLine="0" w:firstLineChars="0"/>
              <w:jc w:val="center"/>
              <w:textAlignment w:val="auto"/>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评审依据及标准</w:t>
            </w:r>
          </w:p>
        </w:tc>
        <w:tc>
          <w:tcPr>
            <w:tcW w:w="786" w:type="dxa"/>
            <w:vAlign w:val="center"/>
          </w:tcPr>
          <w:p>
            <w:pPr>
              <w:keepNext w:val="0"/>
              <w:keepLines w:val="0"/>
              <w:pageBreakBefore w:val="0"/>
              <w:widowControl/>
              <w:kinsoku/>
              <w:overflowPunct/>
              <w:topLinePunct w:val="0"/>
              <w:autoSpaceDE/>
              <w:autoSpaceDN/>
              <w:bidi w:val="0"/>
              <w:adjustRightInd w:val="0"/>
              <w:snapToGrid w:val="0"/>
              <w:spacing w:line="440" w:lineRule="exact"/>
              <w:ind w:left="0" w:firstLine="0" w:firstLineChars="0"/>
              <w:jc w:val="center"/>
              <w:textAlignment w:val="auto"/>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11" w:type="dxa"/>
            <w:vAlign w:val="center"/>
          </w:tcPr>
          <w:p>
            <w:pPr>
              <w:keepNext w:val="0"/>
              <w:keepLines w:val="0"/>
              <w:pageBreakBefore w:val="0"/>
              <w:widowControl/>
              <w:kinsoku/>
              <w:overflowPunct/>
              <w:topLinePunct w:val="0"/>
              <w:autoSpaceDE/>
              <w:autoSpaceDN/>
              <w:bidi w:val="0"/>
              <w:adjustRightInd w:val="0"/>
              <w:snapToGrid w:val="0"/>
              <w:spacing w:line="440" w:lineRule="exact"/>
              <w:ind w:left="0" w:firstLine="0" w:firstLineChars="0"/>
              <w:jc w:val="center"/>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w:t>
            </w:r>
          </w:p>
        </w:tc>
        <w:tc>
          <w:tcPr>
            <w:tcW w:w="1413"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管理体系</w:t>
            </w:r>
          </w:p>
          <w:p>
            <w:pPr>
              <w:keepNext w:val="0"/>
              <w:keepLines w:val="0"/>
              <w:pageBreakBefore w:val="0"/>
              <w:widowControl/>
              <w:kinsoku/>
              <w:overflowPunct/>
              <w:topLinePunct w:val="0"/>
              <w:autoSpaceDE/>
              <w:autoSpaceDN/>
              <w:bidi w:val="0"/>
              <w:adjustRightInd w:val="0"/>
              <w:snapToGrid w:val="0"/>
              <w:spacing w:line="440" w:lineRule="exact"/>
              <w:ind w:left="0" w:firstLine="0" w:firstLineChars="0"/>
              <w:jc w:val="center"/>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认证</w:t>
            </w:r>
          </w:p>
        </w:tc>
        <w:tc>
          <w:tcPr>
            <w:tcW w:w="6416"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根据投标人企业认证证书情况进行打分，提供相关证明并加盖投标人公章。(本项分值设置为3,2,1,0.5,0分)</w:t>
            </w:r>
          </w:p>
        </w:tc>
        <w:tc>
          <w:tcPr>
            <w:tcW w:w="786" w:type="dxa"/>
            <w:vAlign w:val="center"/>
          </w:tcPr>
          <w:p>
            <w:pPr>
              <w:keepNext w:val="0"/>
              <w:keepLines w:val="0"/>
              <w:pageBreakBefore w:val="0"/>
              <w:widowControl/>
              <w:kinsoku/>
              <w:overflowPunct/>
              <w:topLinePunct w:val="0"/>
              <w:autoSpaceDE/>
              <w:autoSpaceDN/>
              <w:bidi w:val="0"/>
              <w:adjustRightInd w:val="0"/>
              <w:snapToGrid w:val="0"/>
              <w:spacing w:line="440" w:lineRule="exact"/>
              <w:ind w:left="0" w:firstLine="0" w:firstLineChars="0"/>
              <w:jc w:val="center"/>
              <w:textAlignment w:val="auto"/>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811" w:type="dxa"/>
            <w:vAlign w:val="center"/>
          </w:tcPr>
          <w:p>
            <w:pPr>
              <w:keepNext w:val="0"/>
              <w:keepLines w:val="0"/>
              <w:pageBreakBefore w:val="0"/>
              <w:widowControl/>
              <w:kinsoku/>
              <w:overflowPunct/>
              <w:topLinePunct w:val="0"/>
              <w:autoSpaceDE/>
              <w:autoSpaceDN/>
              <w:bidi w:val="0"/>
              <w:adjustRightInd w:val="0"/>
              <w:snapToGrid w:val="0"/>
              <w:spacing w:line="440" w:lineRule="exact"/>
              <w:ind w:left="0" w:firstLine="0" w:firstLineChars="0"/>
              <w:jc w:val="center"/>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2</w:t>
            </w:r>
          </w:p>
        </w:tc>
        <w:tc>
          <w:tcPr>
            <w:tcW w:w="1413" w:type="dxa"/>
            <w:vAlign w:val="center"/>
          </w:tcPr>
          <w:p>
            <w:pPr>
              <w:keepNext w:val="0"/>
              <w:keepLines w:val="0"/>
              <w:pageBreakBefore w:val="0"/>
              <w:widowControl/>
              <w:kinsoku/>
              <w:overflowPunct/>
              <w:topLinePunct w:val="0"/>
              <w:autoSpaceDE/>
              <w:autoSpaceDN/>
              <w:bidi w:val="0"/>
              <w:adjustRightInd w:val="0"/>
              <w:snapToGrid w:val="0"/>
              <w:spacing w:line="440" w:lineRule="exact"/>
              <w:ind w:left="0" w:firstLine="0" w:firstLineChars="0"/>
              <w:jc w:val="center"/>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业绩案例</w:t>
            </w:r>
          </w:p>
        </w:tc>
        <w:tc>
          <w:tcPr>
            <w:tcW w:w="6416"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投标人自202</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月1日以来（以合同签订时间为准）完成的同类案例，每有</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rPr>
              <w:t>个得</w:t>
            </w:r>
            <w:r>
              <w:rPr>
                <w:rFonts w:hint="eastAsia" w:ascii="仿宋_GB2312" w:hAnsi="仿宋_GB2312" w:eastAsia="仿宋_GB2312" w:cs="仿宋_GB2312"/>
                <w:color w:val="auto"/>
                <w:sz w:val="24"/>
                <w:szCs w:val="24"/>
                <w:highlight w:val="none"/>
                <w:lang w:val="en-US" w:eastAsia="zh-CN"/>
              </w:rPr>
              <w:t>1.5</w:t>
            </w:r>
            <w:r>
              <w:rPr>
                <w:rFonts w:hint="eastAsia" w:ascii="仿宋_GB2312" w:hAnsi="仿宋_GB2312" w:eastAsia="仿宋_GB2312" w:cs="仿宋_GB2312"/>
                <w:color w:val="auto"/>
                <w:sz w:val="24"/>
                <w:szCs w:val="24"/>
                <w:highlight w:val="none"/>
              </w:rPr>
              <w:t>分，满分</w:t>
            </w:r>
            <w:r>
              <w:rPr>
                <w:rFonts w:hint="eastAsia" w:ascii="仿宋_GB2312" w:hAnsi="仿宋_GB2312" w:eastAsia="仿宋_GB2312" w:cs="仿宋_GB2312"/>
                <w:color w:val="auto"/>
                <w:sz w:val="24"/>
                <w:szCs w:val="24"/>
                <w:highlight w:val="none"/>
                <w:lang w:val="en-US" w:eastAsia="zh-CN"/>
              </w:rPr>
              <w:t>1.5</w:t>
            </w:r>
            <w:r>
              <w:rPr>
                <w:rFonts w:hint="eastAsia" w:ascii="仿宋_GB2312" w:hAnsi="仿宋_GB2312" w:eastAsia="仿宋_GB2312" w:cs="仿宋_GB2312"/>
                <w:color w:val="auto"/>
                <w:sz w:val="24"/>
                <w:szCs w:val="24"/>
                <w:highlight w:val="none"/>
              </w:rPr>
              <w:t>分。</w:t>
            </w:r>
          </w:p>
          <w:p>
            <w:pPr>
              <w:keepNext w:val="0"/>
              <w:keepLines w:val="0"/>
              <w:pageBreakBefore w:val="0"/>
              <w:kinsoku/>
              <w:overflowPunct/>
              <w:topLinePunct w:val="0"/>
              <w:autoSpaceDE/>
              <w:autoSpaceDN/>
              <w:bidi w:val="0"/>
              <w:adjustRightInd w:val="0"/>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auto"/>
                <w:sz w:val="24"/>
                <w:szCs w:val="24"/>
                <w:highlight w:val="none"/>
              </w:rPr>
              <w:t>注：每个案例提供合同复印件并加盖投标人公章。</w:t>
            </w:r>
          </w:p>
        </w:tc>
        <w:tc>
          <w:tcPr>
            <w:tcW w:w="786" w:type="dxa"/>
            <w:vAlign w:val="center"/>
          </w:tcPr>
          <w:p>
            <w:pPr>
              <w:keepNext w:val="0"/>
              <w:keepLines w:val="0"/>
              <w:pageBreakBefore w:val="0"/>
              <w:widowControl/>
              <w:kinsoku/>
              <w:overflowPunct/>
              <w:topLinePunct w:val="0"/>
              <w:autoSpaceDE/>
              <w:autoSpaceDN/>
              <w:bidi w:val="0"/>
              <w:adjustRightInd w:val="0"/>
              <w:snapToGrid w:val="0"/>
              <w:spacing w:line="440" w:lineRule="exact"/>
              <w:ind w:left="0" w:firstLine="0" w:firstLineChars="0"/>
              <w:jc w:val="center"/>
              <w:textAlignment w:val="auto"/>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811" w:type="dxa"/>
            <w:vAlign w:val="center"/>
          </w:tcPr>
          <w:p>
            <w:pPr>
              <w:keepNext w:val="0"/>
              <w:keepLines w:val="0"/>
              <w:pageBreakBefore w:val="0"/>
              <w:widowControl/>
              <w:kinsoku/>
              <w:overflowPunct/>
              <w:topLinePunct w:val="0"/>
              <w:autoSpaceDE/>
              <w:autoSpaceDN/>
              <w:bidi w:val="0"/>
              <w:adjustRightInd w:val="0"/>
              <w:snapToGrid w:val="0"/>
              <w:spacing w:line="440" w:lineRule="exact"/>
              <w:ind w:left="0" w:firstLine="0" w:firstLineChars="0"/>
              <w:jc w:val="center"/>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3</w:t>
            </w:r>
          </w:p>
        </w:tc>
        <w:tc>
          <w:tcPr>
            <w:tcW w:w="1413"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center"/>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人员</w:t>
            </w:r>
            <w:r>
              <w:rPr>
                <w:rFonts w:hint="eastAsia" w:ascii="仿宋_GB2312" w:hAnsi="仿宋_GB2312" w:eastAsia="仿宋_GB2312" w:cs="仿宋_GB2312"/>
                <w:color w:val="000000" w:themeColor="text1"/>
                <w:sz w:val="24"/>
                <w:szCs w:val="24"/>
                <w:highlight w:val="none"/>
                <w14:textFill>
                  <w14:solidFill>
                    <w14:schemeClr w14:val="tx1"/>
                  </w14:solidFill>
                </w14:textFill>
              </w:rPr>
              <w:t>组织架构</w:t>
            </w:r>
          </w:p>
        </w:tc>
        <w:tc>
          <w:tcPr>
            <w:tcW w:w="6416" w:type="dxa"/>
            <w:vAlign w:val="center"/>
          </w:tcPr>
          <w:p>
            <w:pPr>
              <w:keepNext w:val="0"/>
              <w:keepLines w:val="0"/>
              <w:pageBreakBefore w:val="0"/>
              <w:numPr>
                <w:ilvl w:val="0"/>
                <w:numId w:val="2"/>
              </w:numPr>
              <w:kinsoku/>
              <w:overflowPunct/>
              <w:topLinePunct w:val="0"/>
              <w:autoSpaceDE/>
              <w:autoSpaceDN/>
              <w:bidi w:val="0"/>
              <w:adjustRightInd w:val="0"/>
              <w:spacing w:line="440" w:lineRule="exact"/>
              <w:ind w:left="0" w:firstLine="0" w:firstLineChars="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拟派项目负责人</w:t>
            </w:r>
          </w:p>
          <w:p>
            <w:pPr>
              <w:keepNext w:val="0"/>
              <w:keepLines w:val="0"/>
              <w:pageBreakBefore w:val="0"/>
              <w:kinsoku/>
              <w:overflowPunct/>
              <w:topLinePunct w:val="0"/>
              <w:autoSpaceDE/>
              <w:autoSpaceDN/>
              <w:bidi w:val="0"/>
              <w:adjustRightInd w:val="0"/>
              <w:spacing w:line="440" w:lineRule="exact"/>
              <w:ind w:left="0" w:firstLine="0" w:firstLineChars="0"/>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1、具有本科及以上学历</w:t>
            </w:r>
            <w:r>
              <w:rPr>
                <w:rFonts w:hint="eastAsia" w:ascii="仿宋_GB2312" w:hAnsi="仿宋_GB2312" w:eastAsia="仿宋_GB2312" w:cs="仿宋_GB2312"/>
                <w:color w:val="auto"/>
                <w:sz w:val="24"/>
                <w:szCs w:val="24"/>
                <w:highlight w:val="none"/>
                <w:lang w:val="en-US" w:eastAsia="zh-CN"/>
              </w:rPr>
              <w:t>的，得1.5分</w:t>
            </w:r>
            <w:r>
              <w:rPr>
                <w:rFonts w:hint="eastAsia" w:ascii="仿宋_GB2312" w:hAnsi="仿宋_GB2312" w:eastAsia="仿宋_GB2312" w:cs="仿宋_GB2312"/>
                <w:color w:val="auto"/>
                <w:sz w:val="24"/>
                <w:szCs w:val="24"/>
                <w:highlight w:val="none"/>
                <w:lang w:eastAsia="zh-CN"/>
              </w:rPr>
              <w:t>；</w:t>
            </w:r>
          </w:p>
          <w:p>
            <w:pPr>
              <w:keepNext w:val="0"/>
              <w:keepLines w:val="0"/>
              <w:pageBreakBefore w:val="0"/>
              <w:kinsoku/>
              <w:overflowPunct/>
              <w:topLinePunct w:val="0"/>
              <w:autoSpaceDE/>
              <w:autoSpaceDN/>
              <w:bidi w:val="0"/>
              <w:adjustRightInd w:val="0"/>
              <w:spacing w:line="440" w:lineRule="exact"/>
              <w:ind w:left="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持有人社部门颁发的</w:t>
            </w:r>
            <w:r>
              <w:rPr>
                <w:rFonts w:hint="eastAsia" w:ascii="仿宋_GB2312" w:hAnsi="仿宋_GB2312" w:eastAsia="仿宋_GB2312" w:cs="仿宋_GB2312"/>
                <w:color w:val="auto"/>
                <w:sz w:val="24"/>
                <w:szCs w:val="24"/>
                <w:highlight w:val="none"/>
                <w:lang w:val="en-US" w:eastAsia="zh-CN"/>
              </w:rPr>
              <w:t>高级及以上</w:t>
            </w:r>
            <w:r>
              <w:rPr>
                <w:rFonts w:hint="eastAsia" w:ascii="仿宋_GB2312" w:hAnsi="仿宋_GB2312" w:eastAsia="仿宋_GB2312" w:cs="仿宋_GB2312"/>
                <w:color w:val="auto"/>
                <w:sz w:val="24"/>
                <w:szCs w:val="24"/>
                <w:highlight w:val="none"/>
              </w:rPr>
              <w:t>职称证书</w:t>
            </w:r>
            <w:r>
              <w:rPr>
                <w:rFonts w:hint="eastAsia" w:ascii="仿宋_GB2312" w:hAnsi="仿宋_GB2312" w:eastAsia="仿宋_GB2312" w:cs="仿宋_GB2312"/>
                <w:color w:val="auto"/>
                <w:sz w:val="24"/>
                <w:szCs w:val="24"/>
                <w:highlight w:val="none"/>
                <w:lang w:val="en-US" w:eastAsia="zh-CN"/>
              </w:rPr>
              <w:t>的，得1.5分</w:t>
            </w:r>
            <w:r>
              <w:rPr>
                <w:rFonts w:hint="eastAsia" w:ascii="仿宋_GB2312" w:hAnsi="仿宋_GB2312" w:eastAsia="仿宋_GB2312" w:cs="仿宋_GB2312"/>
                <w:color w:val="auto"/>
                <w:sz w:val="24"/>
                <w:szCs w:val="24"/>
                <w:highlight w:val="none"/>
                <w:lang w:eastAsia="zh-CN"/>
              </w:rPr>
              <w:t>；</w:t>
            </w:r>
          </w:p>
          <w:p>
            <w:pPr>
              <w:keepNext w:val="0"/>
              <w:keepLines w:val="0"/>
              <w:pageBreakBefore w:val="0"/>
              <w:kinsoku/>
              <w:overflowPunct/>
              <w:topLinePunct w:val="0"/>
              <w:autoSpaceDE/>
              <w:autoSpaceDN/>
              <w:bidi w:val="0"/>
              <w:adjustRightInd w:val="0"/>
              <w:spacing w:line="440" w:lineRule="exact"/>
              <w:ind w:left="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二、拟派项目助理（兼任保安队长）</w:t>
            </w:r>
          </w:p>
          <w:p>
            <w:pPr>
              <w:keepNext w:val="0"/>
              <w:keepLines w:val="0"/>
              <w:pageBreakBefore w:val="0"/>
              <w:kinsoku/>
              <w:overflowPunct/>
              <w:topLinePunct w:val="0"/>
              <w:autoSpaceDE/>
              <w:autoSpaceDN/>
              <w:bidi w:val="0"/>
              <w:adjustRightInd w:val="0"/>
              <w:spacing w:line="440" w:lineRule="exact"/>
              <w:ind w:left="0" w:firstLine="0" w:firstLineChars="0"/>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1、具有本科及以上学历</w:t>
            </w:r>
            <w:r>
              <w:rPr>
                <w:rFonts w:hint="eastAsia" w:ascii="仿宋_GB2312" w:hAnsi="仿宋_GB2312" w:eastAsia="仿宋_GB2312" w:cs="仿宋_GB2312"/>
                <w:color w:val="auto"/>
                <w:sz w:val="24"/>
                <w:szCs w:val="24"/>
                <w:highlight w:val="none"/>
                <w:lang w:val="en-US" w:eastAsia="zh-CN"/>
              </w:rPr>
              <w:t>的，得1.5分</w:t>
            </w:r>
            <w:r>
              <w:rPr>
                <w:rFonts w:hint="eastAsia" w:ascii="仿宋_GB2312" w:hAnsi="仿宋_GB2312" w:eastAsia="仿宋_GB2312" w:cs="仿宋_GB2312"/>
                <w:color w:val="auto"/>
                <w:sz w:val="24"/>
                <w:szCs w:val="24"/>
                <w:highlight w:val="none"/>
                <w:lang w:eastAsia="zh-CN"/>
              </w:rPr>
              <w:t>；</w:t>
            </w:r>
          </w:p>
          <w:p>
            <w:pPr>
              <w:keepNext w:val="0"/>
              <w:keepLines w:val="0"/>
              <w:pageBreakBefore w:val="0"/>
              <w:kinsoku/>
              <w:overflowPunct/>
              <w:topLinePunct w:val="0"/>
              <w:autoSpaceDE/>
              <w:autoSpaceDN/>
              <w:bidi w:val="0"/>
              <w:adjustRightInd w:val="0"/>
              <w:spacing w:line="440" w:lineRule="exact"/>
              <w:ind w:left="0" w:firstLine="0" w:firstLineChars="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持有人社部门颁发的中级及以上职称证书</w:t>
            </w:r>
            <w:r>
              <w:rPr>
                <w:rFonts w:hint="eastAsia" w:ascii="仿宋_GB2312" w:hAnsi="仿宋_GB2312" w:eastAsia="仿宋_GB2312" w:cs="仿宋_GB2312"/>
                <w:color w:val="auto"/>
                <w:sz w:val="24"/>
                <w:szCs w:val="24"/>
                <w:highlight w:val="none"/>
                <w:lang w:val="en-US" w:eastAsia="zh-CN"/>
              </w:rPr>
              <w:t>的，得1.5分</w:t>
            </w:r>
            <w:r>
              <w:rPr>
                <w:rFonts w:hint="eastAsia" w:ascii="仿宋_GB2312" w:hAnsi="仿宋_GB2312" w:eastAsia="仿宋_GB2312" w:cs="仿宋_GB2312"/>
                <w:color w:val="auto"/>
                <w:sz w:val="24"/>
                <w:szCs w:val="24"/>
                <w:highlight w:val="none"/>
              </w:rPr>
              <w:t>；</w:t>
            </w:r>
          </w:p>
          <w:p>
            <w:pPr>
              <w:keepNext w:val="0"/>
              <w:keepLines w:val="0"/>
              <w:pageBreakBefore w:val="0"/>
              <w:kinsoku/>
              <w:overflowPunct/>
              <w:topLinePunct w:val="0"/>
              <w:autoSpaceDE/>
              <w:autoSpaceDN/>
              <w:bidi w:val="0"/>
              <w:adjustRightInd w:val="0"/>
              <w:spacing w:line="440" w:lineRule="exact"/>
              <w:ind w:left="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3、持有</w:t>
            </w:r>
            <w:r>
              <w:rPr>
                <w:rFonts w:hint="eastAsia" w:ascii="仿宋_GB2312" w:hAnsi="仿宋_GB2312" w:eastAsia="仿宋_GB2312" w:cs="仿宋_GB2312"/>
                <w:color w:val="000000"/>
                <w:sz w:val="24"/>
                <w:szCs w:val="24"/>
                <w:lang w:val="en-US" w:eastAsia="zh-CN"/>
              </w:rPr>
              <w:t>人社部门颁发的应急救援员初级（五级）及以上职业资格证</w:t>
            </w:r>
            <w:r>
              <w:rPr>
                <w:rFonts w:hint="eastAsia" w:ascii="仿宋_GB2312" w:hAnsi="仿宋_GB2312" w:eastAsia="仿宋_GB2312" w:cs="仿宋_GB2312"/>
                <w:color w:val="auto"/>
                <w:sz w:val="24"/>
                <w:szCs w:val="24"/>
                <w:highlight w:val="none"/>
                <w:lang w:val="en-US" w:eastAsia="zh-CN"/>
              </w:rPr>
              <w:t>的，得1.5分；</w:t>
            </w:r>
          </w:p>
          <w:p>
            <w:pPr>
              <w:keepNext w:val="0"/>
              <w:keepLines w:val="0"/>
              <w:pageBreakBefore w:val="0"/>
              <w:kinsoku/>
              <w:overflowPunct/>
              <w:topLinePunct w:val="0"/>
              <w:autoSpaceDE/>
              <w:autoSpaceDN/>
              <w:bidi w:val="0"/>
              <w:adjustRightInd w:val="0"/>
              <w:spacing w:line="440" w:lineRule="exact"/>
              <w:ind w:left="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三、拟派</w:t>
            </w:r>
            <w:r>
              <w:rPr>
                <w:rFonts w:hint="eastAsia" w:ascii="仿宋_GB2312" w:hAnsi="仿宋_GB2312" w:eastAsia="仿宋_GB2312" w:cs="仿宋_GB2312"/>
                <w:b w:val="0"/>
                <w:bCs w:val="0"/>
                <w:color w:val="auto"/>
                <w:sz w:val="24"/>
                <w:szCs w:val="24"/>
                <w:highlight w:val="none"/>
                <w:lang w:val="en-US" w:eastAsia="zh-CN"/>
              </w:rPr>
              <w:t>维修主管</w:t>
            </w:r>
          </w:p>
          <w:p>
            <w:pPr>
              <w:keepNext w:val="0"/>
              <w:keepLines w:val="0"/>
              <w:pageBreakBefore w:val="0"/>
              <w:kinsoku/>
              <w:overflowPunct/>
              <w:topLinePunct w:val="0"/>
              <w:autoSpaceDE/>
              <w:autoSpaceDN/>
              <w:bidi w:val="0"/>
              <w:adjustRightInd w:val="0"/>
              <w:spacing w:line="440" w:lineRule="exact"/>
              <w:ind w:left="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1、具有本科及以上学历的，得1.5分；</w:t>
            </w:r>
          </w:p>
          <w:p>
            <w:pPr>
              <w:keepNext w:val="0"/>
              <w:keepLines w:val="0"/>
              <w:pageBreakBefore w:val="0"/>
              <w:kinsoku/>
              <w:overflowPunct/>
              <w:topLinePunct w:val="0"/>
              <w:autoSpaceDE/>
              <w:autoSpaceDN/>
              <w:bidi w:val="0"/>
              <w:adjustRightInd w:val="0"/>
              <w:spacing w:line="440" w:lineRule="exact"/>
              <w:ind w:left="0" w:firstLine="0" w:firstLineChars="0"/>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持有人社部门颁发的中级及以上职称证书</w:t>
            </w:r>
            <w:r>
              <w:rPr>
                <w:rFonts w:hint="eastAsia" w:ascii="仿宋_GB2312" w:hAnsi="仿宋_GB2312" w:eastAsia="仿宋_GB2312" w:cs="仿宋_GB2312"/>
                <w:color w:val="auto"/>
                <w:sz w:val="24"/>
                <w:szCs w:val="24"/>
                <w:highlight w:val="none"/>
                <w:lang w:val="en-US" w:eastAsia="zh-CN"/>
              </w:rPr>
              <w:t>的，得1.5分</w:t>
            </w:r>
            <w:r>
              <w:rPr>
                <w:rFonts w:hint="eastAsia" w:ascii="仿宋_GB2312" w:hAnsi="仿宋_GB2312" w:eastAsia="仿宋_GB2312" w:cs="仿宋_GB2312"/>
                <w:sz w:val="24"/>
                <w:szCs w:val="24"/>
                <w:highlight w:val="none"/>
                <w:lang w:eastAsia="zh-CN"/>
              </w:rPr>
              <w:t>；</w:t>
            </w:r>
          </w:p>
          <w:p>
            <w:pPr>
              <w:keepNext w:val="0"/>
              <w:keepLines w:val="0"/>
              <w:pageBreakBefore w:val="0"/>
              <w:kinsoku/>
              <w:overflowPunct/>
              <w:topLinePunct w:val="0"/>
              <w:autoSpaceDE/>
              <w:autoSpaceDN/>
              <w:bidi w:val="0"/>
              <w:adjustRightInd w:val="0"/>
              <w:spacing w:line="440" w:lineRule="exact"/>
              <w:ind w:left="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color w:val="auto"/>
                <w:sz w:val="24"/>
                <w:szCs w:val="24"/>
                <w:highlight w:val="none"/>
                <w:lang w:val="en-US" w:eastAsia="zh-CN"/>
              </w:rPr>
              <w:t>持有应急管理部门颁发或监制的特种作业操作证（高压电工作业）的，得1.5分；</w:t>
            </w:r>
          </w:p>
          <w:p>
            <w:pPr>
              <w:keepNext w:val="0"/>
              <w:keepLines w:val="0"/>
              <w:pageBreakBefore w:val="0"/>
              <w:kinsoku/>
              <w:overflowPunct/>
              <w:topLinePunct w:val="0"/>
              <w:autoSpaceDE/>
              <w:autoSpaceDN/>
              <w:bidi w:val="0"/>
              <w:adjustRightInd w:val="0"/>
              <w:spacing w:line="440" w:lineRule="exact"/>
              <w:ind w:left="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4、持有人社部门颁发的电工三级（高级工）及以上的职业资格证书的，得1.5分；</w:t>
            </w:r>
          </w:p>
          <w:p>
            <w:pPr>
              <w:keepNext w:val="0"/>
              <w:keepLines w:val="0"/>
              <w:pageBreakBefore w:val="0"/>
              <w:kinsoku/>
              <w:overflowPunct/>
              <w:topLinePunct w:val="0"/>
              <w:autoSpaceDE/>
              <w:autoSpaceDN/>
              <w:bidi w:val="0"/>
              <w:adjustRightInd w:val="0"/>
              <w:spacing w:line="440" w:lineRule="exact"/>
              <w:ind w:left="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四、拟派设备维保人员</w:t>
            </w:r>
          </w:p>
          <w:p>
            <w:pPr>
              <w:keepNext w:val="0"/>
              <w:keepLines w:val="0"/>
              <w:pageBreakBefore w:val="0"/>
              <w:kinsoku/>
              <w:overflowPunct/>
              <w:topLinePunct w:val="0"/>
              <w:autoSpaceDE/>
              <w:autoSpaceDN/>
              <w:bidi w:val="0"/>
              <w:adjustRightInd w:val="0"/>
              <w:spacing w:line="440" w:lineRule="exact"/>
              <w:ind w:left="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1、具有本科及以上学历的，得1.5分；</w:t>
            </w:r>
          </w:p>
          <w:p>
            <w:pPr>
              <w:keepNext w:val="0"/>
              <w:keepLines w:val="0"/>
              <w:pageBreakBefore w:val="0"/>
              <w:kinsoku/>
              <w:overflowPunct/>
              <w:topLinePunct w:val="0"/>
              <w:autoSpaceDE/>
              <w:autoSpaceDN/>
              <w:bidi w:val="0"/>
              <w:adjustRightInd w:val="0"/>
              <w:spacing w:line="440" w:lineRule="exact"/>
              <w:ind w:left="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2、持有应急管理部门颁发或监制的特种作业操作证（低压电工作业）的，得1.5分；</w:t>
            </w:r>
          </w:p>
          <w:p>
            <w:pPr>
              <w:keepNext w:val="0"/>
              <w:keepLines w:val="0"/>
              <w:pageBreakBefore w:val="0"/>
              <w:kinsoku/>
              <w:overflowPunct/>
              <w:topLinePunct w:val="0"/>
              <w:autoSpaceDE/>
              <w:autoSpaceDN/>
              <w:bidi w:val="0"/>
              <w:adjustRightInd w:val="0"/>
              <w:spacing w:line="440" w:lineRule="exact"/>
              <w:ind w:left="0" w:firstLine="0" w:firstLineChars="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五、拟派</w:t>
            </w:r>
            <w:r>
              <w:rPr>
                <w:rFonts w:hint="eastAsia" w:ascii="仿宋_GB2312" w:hAnsi="仿宋_GB2312" w:eastAsia="仿宋_GB2312" w:cs="仿宋_GB2312"/>
                <w:b w:val="0"/>
                <w:bCs w:val="0"/>
                <w:color w:val="auto"/>
                <w:sz w:val="24"/>
                <w:szCs w:val="24"/>
                <w:highlight w:val="none"/>
                <w:lang w:val="en-US" w:eastAsia="zh-CN"/>
              </w:rPr>
              <w:t>电梯管理人员（由智能化维护员兼任）</w:t>
            </w:r>
          </w:p>
          <w:p>
            <w:pPr>
              <w:keepNext w:val="0"/>
              <w:keepLines w:val="0"/>
              <w:pageBreakBefore w:val="0"/>
              <w:kinsoku/>
              <w:overflowPunct/>
              <w:topLinePunct w:val="0"/>
              <w:autoSpaceDE/>
              <w:autoSpaceDN/>
              <w:bidi w:val="0"/>
              <w:adjustRightInd w:val="0"/>
              <w:spacing w:line="440" w:lineRule="exact"/>
              <w:ind w:left="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1、具有本科及以上学历的，得1.5分；</w:t>
            </w:r>
          </w:p>
          <w:p>
            <w:pPr>
              <w:keepNext w:val="0"/>
              <w:keepLines w:val="0"/>
              <w:pageBreakBefore w:val="0"/>
              <w:kinsoku/>
              <w:overflowPunct/>
              <w:topLinePunct w:val="0"/>
              <w:autoSpaceDE/>
              <w:autoSpaceDN/>
              <w:bidi w:val="0"/>
              <w:adjustRightInd w:val="0"/>
              <w:spacing w:line="440" w:lineRule="exact"/>
              <w:ind w:left="0" w:firstLine="0" w:firstLineChars="0"/>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持有市场监督管理局颁发的安全管理和作业人员证（特种设备安全管理）</w:t>
            </w:r>
            <w:r>
              <w:rPr>
                <w:rFonts w:hint="eastAsia" w:ascii="仿宋_GB2312" w:hAnsi="仿宋_GB2312" w:eastAsia="仿宋_GB2312" w:cs="仿宋_GB2312"/>
                <w:color w:val="auto"/>
                <w:sz w:val="24"/>
                <w:szCs w:val="24"/>
                <w:highlight w:val="none"/>
                <w:lang w:val="en-US" w:eastAsia="zh-CN"/>
              </w:rPr>
              <w:t>的，得1.5分</w:t>
            </w:r>
            <w:r>
              <w:rPr>
                <w:rFonts w:hint="eastAsia" w:ascii="仿宋_GB2312" w:hAnsi="仿宋_GB2312" w:eastAsia="仿宋_GB2312" w:cs="仿宋_GB2312"/>
                <w:color w:val="auto"/>
                <w:sz w:val="24"/>
                <w:szCs w:val="24"/>
                <w:highlight w:val="none"/>
                <w:lang w:eastAsia="zh-CN"/>
              </w:rPr>
              <w:t>；</w:t>
            </w:r>
          </w:p>
          <w:p>
            <w:pPr>
              <w:keepNext w:val="0"/>
              <w:keepLines w:val="0"/>
              <w:pageBreakBefore w:val="0"/>
              <w:kinsoku/>
              <w:overflowPunct/>
              <w:topLinePunct w:val="0"/>
              <w:autoSpaceDE/>
              <w:autoSpaceDN/>
              <w:bidi w:val="0"/>
              <w:adjustRightInd w:val="0"/>
              <w:spacing w:line="440" w:lineRule="exact"/>
              <w:ind w:left="0" w:firstLine="0" w:firstLineChars="0"/>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auto"/>
                <w:sz w:val="24"/>
                <w:szCs w:val="24"/>
                <w:highlight w:val="none"/>
              </w:rPr>
              <w:t>注：</w:t>
            </w:r>
            <w:r>
              <w:rPr>
                <w:rFonts w:hint="eastAsia" w:ascii="仿宋_GB2312" w:hAnsi="仿宋_GB2312" w:eastAsia="仿宋_GB2312" w:cs="仿宋_GB2312"/>
                <w:b w:val="0"/>
                <w:bCs w:val="0"/>
                <w:color w:val="auto"/>
                <w:sz w:val="24"/>
                <w:szCs w:val="24"/>
                <w:highlight w:val="none"/>
                <w:lang w:val="en-US" w:eastAsia="zh-CN"/>
              </w:rPr>
              <w:t>以上人员提供</w:t>
            </w:r>
            <w:r>
              <w:rPr>
                <w:rFonts w:hint="eastAsia" w:ascii="仿宋_GB2312" w:hAnsi="仿宋_GB2312" w:eastAsia="仿宋_GB2312" w:cs="仿宋_GB2312"/>
                <w:b w:val="0"/>
                <w:bCs w:val="0"/>
                <w:color w:val="auto"/>
                <w:sz w:val="24"/>
                <w:szCs w:val="24"/>
                <w:highlight w:val="none"/>
              </w:rPr>
              <w:t>相关</w:t>
            </w:r>
            <w:r>
              <w:rPr>
                <w:rFonts w:hint="eastAsia" w:ascii="仿宋_GB2312" w:hAnsi="仿宋_GB2312" w:eastAsia="仿宋_GB2312" w:cs="仿宋_GB2312"/>
                <w:b w:val="0"/>
                <w:bCs w:val="0"/>
                <w:color w:val="auto"/>
                <w:sz w:val="24"/>
                <w:szCs w:val="24"/>
                <w:highlight w:val="none"/>
                <w:lang w:val="en-US" w:eastAsia="zh-CN"/>
              </w:rPr>
              <w:t>证书</w:t>
            </w:r>
            <w:r>
              <w:rPr>
                <w:rFonts w:hint="eastAsia" w:ascii="仿宋_GB2312" w:hAnsi="仿宋_GB2312" w:eastAsia="仿宋_GB2312" w:cs="仿宋_GB2312"/>
                <w:b w:val="0"/>
                <w:bCs w:val="0"/>
                <w:color w:val="auto"/>
                <w:sz w:val="24"/>
                <w:szCs w:val="24"/>
                <w:highlight w:val="none"/>
              </w:rPr>
              <w:t>扫描件和本单位社保缴纳证明均加盖投标人公章，否则不得分</w:t>
            </w:r>
            <w:r>
              <w:rPr>
                <w:rFonts w:hint="eastAsia" w:ascii="仿宋_GB2312" w:hAnsi="仿宋_GB2312" w:eastAsia="仿宋_GB2312" w:cs="仿宋_GB2312"/>
                <w:color w:val="auto"/>
                <w:sz w:val="24"/>
                <w:szCs w:val="24"/>
                <w:highlight w:val="none"/>
              </w:rPr>
              <w:t>。</w:t>
            </w:r>
          </w:p>
        </w:tc>
        <w:tc>
          <w:tcPr>
            <w:tcW w:w="786"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center"/>
              <w:textAlignment w:val="auto"/>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keepNext w:val="0"/>
              <w:keepLines w:val="0"/>
              <w:pageBreakBefore w:val="0"/>
              <w:widowControl/>
              <w:kinsoku/>
              <w:overflowPunct/>
              <w:topLinePunct w:val="0"/>
              <w:autoSpaceDE/>
              <w:autoSpaceDN/>
              <w:bidi w:val="0"/>
              <w:adjustRightInd w:val="0"/>
              <w:snapToGrid w:val="0"/>
              <w:spacing w:line="440" w:lineRule="exact"/>
              <w:ind w:left="0" w:firstLine="0" w:firstLineChars="0"/>
              <w:jc w:val="center"/>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pPr>
              <w:keepNext w:val="0"/>
              <w:keepLines w:val="0"/>
              <w:pageBreakBefore w:val="0"/>
              <w:widowControl/>
              <w:kinsoku/>
              <w:overflowPunct/>
              <w:topLinePunct w:val="0"/>
              <w:autoSpaceDE/>
              <w:autoSpaceDN/>
              <w:bidi w:val="0"/>
              <w:adjustRightInd w:val="0"/>
              <w:snapToGrid w:val="0"/>
              <w:spacing w:line="440" w:lineRule="exact"/>
              <w:ind w:left="0" w:firstLine="0" w:firstLineChars="0"/>
              <w:jc w:val="center"/>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4</w:t>
            </w:r>
          </w:p>
        </w:tc>
        <w:tc>
          <w:tcPr>
            <w:tcW w:w="1413"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center"/>
              <w:textAlignment w:val="auto"/>
              <w:rPr>
                <w:rFonts w:hint="eastAsia" w:ascii="仿宋_GB2312" w:hAnsi="仿宋_GB2312" w:eastAsia="仿宋_GB2312" w:cs="仿宋_GB2312"/>
                <w:bCs/>
                <w:iCs/>
                <w:color w:val="000000" w:themeColor="text1"/>
                <w:sz w:val="24"/>
                <w:szCs w:val="24"/>
                <w:highlight w:val="none"/>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项目设备保障</w:t>
            </w:r>
          </w:p>
        </w:tc>
        <w:tc>
          <w:tcPr>
            <w:tcW w:w="6416" w:type="dxa"/>
            <w:vAlign w:val="center"/>
          </w:tcPr>
          <w:p>
            <w:pPr>
              <w:keepNext w:val="0"/>
              <w:keepLines w:val="0"/>
              <w:pageBreakBefore w:val="0"/>
              <w:kinsoku/>
              <w:wordWrap w:val="0"/>
              <w:overflowPunct/>
              <w:topLinePunct w:val="0"/>
              <w:autoSpaceDE/>
              <w:autoSpaceDN/>
              <w:bidi w:val="0"/>
              <w:adjustRightInd w:val="0"/>
              <w:spacing w:line="440" w:lineRule="exact"/>
              <w:ind w:left="0" w:firstLine="0" w:firstLineChars="0"/>
              <w:jc w:val="left"/>
              <w:textAlignment w:val="auto"/>
              <w:rPr>
                <w:rFonts w:hint="eastAsia"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bCs/>
                <w:iCs/>
                <w:color w:val="auto"/>
                <w:sz w:val="24"/>
                <w:szCs w:val="24"/>
                <w:highlight w:val="none"/>
              </w:rPr>
              <w:t>结合</w:t>
            </w:r>
            <w:r>
              <w:rPr>
                <w:rFonts w:hint="eastAsia" w:ascii="仿宋_GB2312" w:hAnsi="仿宋_GB2312" w:eastAsia="仿宋_GB2312" w:cs="仿宋_GB2312"/>
                <w:bCs/>
                <w:iCs/>
                <w:color w:val="auto"/>
                <w:sz w:val="24"/>
                <w:szCs w:val="24"/>
                <w:highlight w:val="none"/>
                <w:lang w:val="en-US" w:eastAsia="zh-CN"/>
              </w:rPr>
              <w:t>本项目</w:t>
            </w:r>
            <w:r>
              <w:rPr>
                <w:rFonts w:hint="eastAsia" w:ascii="仿宋_GB2312" w:hAnsi="仿宋_GB2312" w:eastAsia="仿宋_GB2312" w:cs="仿宋_GB2312"/>
                <w:bCs/>
                <w:iCs/>
                <w:color w:val="auto"/>
                <w:sz w:val="24"/>
                <w:szCs w:val="24"/>
                <w:highlight w:val="none"/>
              </w:rPr>
              <w:t>特点</w:t>
            </w:r>
            <w:r>
              <w:rPr>
                <w:rFonts w:hint="eastAsia" w:ascii="仿宋_GB2312" w:hAnsi="仿宋_GB2312" w:eastAsia="仿宋_GB2312" w:cs="仿宋_GB2312"/>
                <w:bCs/>
                <w:iCs/>
                <w:color w:val="auto"/>
                <w:sz w:val="24"/>
                <w:szCs w:val="24"/>
                <w:highlight w:val="none"/>
                <w:lang w:val="en-US" w:eastAsia="zh-CN"/>
              </w:rPr>
              <w:t>及</w:t>
            </w:r>
            <w:r>
              <w:rPr>
                <w:rFonts w:hint="eastAsia" w:ascii="仿宋_GB2312" w:hAnsi="仿宋_GB2312" w:eastAsia="仿宋_GB2312" w:cs="仿宋_GB2312"/>
                <w:bCs/>
                <w:iCs/>
                <w:color w:val="auto"/>
                <w:sz w:val="24"/>
                <w:szCs w:val="24"/>
                <w:highlight w:val="none"/>
              </w:rPr>
              <w:t>要求，投标人提供完善的</w:t>
            </w:r>
            <w:r>
              <w:rPr>
                <w:rFonts w:hint="eastAsia" w:ascii="仿宋_GB2312" w:hAnsi="仿宋_GB2312" w:eastAsia="仿宋_GB2312" w:cs="仿宋_GB2312"/>
                <w:bCs/>
                <w:iCs/>
                <w:color w:val="auto"/>
                <w:sz w:val="24"/>
                <w:szCs w:val="24"/>
                <w:highlight w:val="none"/>
                <w:lang w:val="en-US" w:eastAsia="zh-CN"/>
              </w:rPr>
              <w:t>项目设备保障进行打分</w:t>
            </w:r>
            <w:r>
              <w:rPr>
                <w:rFonts w:hint="eastAsia" w:ascii="仿宋_GB2312" w:hAnsi="仿宋_GB2312" w:eastAsia="仿宋_GB2312" w:cs="仿宋_GB2312"/>
                <w:bCs/>
                <w:iCs/>
                <w:color w:val="auto"/>
                <w:sz w:val="24"/>
                <w:szCs w:val="24"/>
                <w:highlight w:val="none"/>
              </w:rPr>
              <w:t>，包括但不限于</w:t>
            </w:r>
            <w:r>
              <w:rPr>
                <w:rFonts w:hint="eastAsia" w:ascii="仿宋_GB2312" w:hAnsi="仿宋_GB2312" w:eastAsia="仿宋_GB2312" w:cs="仿宋_GB2312"/>
                <w:bCs/>
                <w:iCs/>
                <w:color w:val="auto"/>
                <w:sz w:val="24"/>
                <w:szCs w:val="24"/>
                <w:highlight w:val="none"/>
                <w:lang w:val="en-US" w:eastAsia="zh-CN"/>
              </w:rPr>
              <w:t>高空作业平台、高压清洗车、驾驶式洗地机、手推式扫地机等。</w:t>
            </w:r>
            <w:r>
              <w:rPr>
                <w:rFonts w:hint="eastAsia" w:ascii="仿宋_GB2312" w:hAnsi="仿宋_GB2312" w:eastAsia="仿宋_GB2312" w:cs="仿宋_GB2312"/>
                <w:color w:val="auto"/>
                <w:sz w:val="24"/>
                <w:szCs w:val="24"/>
                <w:highlight w:val="none"/>
                <w:lang w:val="en-US" w:eastAsia="zh-CN"/>
              </w:rPr>
              <w:t>（本项分值设置为4,3,2,1,0.5,0分）</w:t>
            </w:r>
            <w:r>
              <w:rPr>
                <w:rFonts w:hint="eastAsia" w:ascii="仿宋_GB2312" w:hAnsi="仿宋_GB2312" w:eastAsia="仿宋_GB2312" w:cs="仿宋_GB2312"/>
                <w:bCs/>
                <w:iCs/>
                <w:color w:val="auto"/>
                <w:sz w:val="24"/>
                <w:szCs w:val="24"/>
                <w:highlight w:val="none"/>
                <w:lang w:val="en-US" w:eastAsia="zh-CN"/>
              </w:rPr>
              <w:t>。</w:t>
            </w:r>
          </w:p>
          <w:p>
            <w:pPr>
              <w:keepNext w:val="0"/>
              <w:keepLines w:val="0"/>
              <w:pageBreakBefore w:val="0"/>
              <w:kinsoku/>
              <w:overflowPunct/>
              <w:topLinePunct w:val="0"/>
              <w:autoSpaceDE/>
              <w:autoSpaceDN/>
              <w:bidi w:val="0"/>
              <w:adjustRightInd w:val="0"/>
              <w:spacing w:line="440" w:lineRule="exact"/>
              <w:ind w:left="0" w:firstLine="0" w:firstLineChars="0"/>
              <w:textAlignment w:val="auto"/>
              <w:rPr>
                <w:rFonts w:hint="eastAsia" w:ascii="仿宋_GB2312" w:hAnsi="仿宋_GB2312" w:eastAsia="仿宋_GB2312" w:cs="仿宋_GB2312"/>
                <w:bCs/>
                <w:iCs/>
                <w:color w:val="000000" w:themeColor="text1"/>
                <w:sz w:val="24"/>
                <w:szCs w:val="24"/>
                <w:highlight w:val="none"/>
                <w14:textFill>
                  <w14:solidFill>
                    <w14:schemeClr w14:val="tx1"/>
                  </w14:solidFill>
                </w14:textFill>
              </w:rPr>
            </w:pPr>
            <w:r>
              <w:rPr>
                <w:rFonts w:hint="eastAsia" w:ascii="仿宋_GB2312" w:hAnsi="仿宋_GB2312" w:eastAsia="仿宋_GB2312" w:cs="仿宋_GB2312"/>
                <w:bCs/>
                <w:iCs/>
                <w:color w:val="auto"/>
                <w:sz w:val="24"/>
                <w:szCs w:val="24"/>
                <w:highlight w:val="none"/>
                <w:lang w:val="en-US" w:eastAsia="zh-CN"/>
              </w:rPr>
              <w:t>注：需提供设备购置发票复印件和设备照片或设备租赁合同复印件（如为租赁的，需在租赁合同中附上设备购置发票复印件和照片），提供的材料需加盖投标人公章，不提供不得分。</w:t>
            </w:r>
          </w:p>
        </w:tc>
        <w:tc>
          <w:tcPr>
            <w:tcW w:w="786"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center"/>
              <w:textAlignment w:val="auto"/>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keepNext w:val="0"/>
              <w:keepLines w:val="0"/>
              <w:pageBreakBefore w:val="0"/>
              <w:widowControl/>
              <w:kinsoku/>
              <w:overflowPunct/>
              <w:topLinePunct w:val="0"/>
              <w:autoSpaceDE/>
              <w:autoSpaceDN/>
              <w:bidi w:val="0"/>
              <w:adjustRightInd w:val="0"/>
              <w:snapToGrid w:val="0"/>
              <w:spacing w:line="440" w:lineRule="exact"/>
              <w:ind w:left="0" w:firstLine="0" w:firstLineChars="0"/>
              <w:jc w:val="center"/>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5</w:t>
            </w:r>
          </w:p>
        </w:tc>
        <w:tc>
          <w:tcPr>
            <w:tcW w:w="1413"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center"/>
              <w:textAlignment w:val="auto"/>
              <w:rPr>
                <w:rFonts w:hint="eastAsia" w:ascii="仿宋_GB2312" w:hAnsi="仿宋_GB2312" w:eastAsia="仿宋_GB2312" w:cs="仿宋_GB2312"/>
                <w:bCs/>
                <w:iCs/>
                <w:color w:val="000000" w:themeColor="text1"/>
                <w:sz w:val="24"/>
                <w:szCs w:val="24"/>
                <w:highlight w:val="none"/>
                <w:lang w:val="en-US"/>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安保管理方案</w:t>
            </w:r>
          </w:p>
        </w:tc>
        <w:tc>
          <w:tcPr>
            <w:tcW w:w="6416" w:type="dxa"/>
            <w:vAlign w:val="center"/>
          </w:tcPr>
          <w:p>
            <w:pPr>
              <w:keepNext w:val="0"/>
              <w:keepLines w:val="0"/>
              <w:pageBreakBefore w:val="0"/>
              <w:kinsoku/>
              <w:overflowPunct/>
              <w:topLinePunct w:val="0"/>
              <w:autoSpaceDE/>
              <w:autoSpaceDN/>
              <w:bidi w:val="0"/>
              <w:adjustRightInd w:val="0"/>
              <w:spacing w:line="440" w:lineRule="exact"/>
              <w:ind w:left="0" w:firstLine="0" w:firstLineChars="0"/>
              <w:textAlignment w:val="auto"/>
              <w:rPr>
                <w:rFonts w:hint="eastAsia" w:ascii="仿宋_GB2312" w:hAnsi="仿宋_GB2312" w:eastAsia="仿宋_GB2312" w:cs="仿宋_GB2312"/>
                <w:bCs/>
                <w:iCs/>
                <w:color w:val="000000" w:themeColor="text1"/>
                <w:sz w:val="24"/>
                <w:szCs w:val="24"/>
                <w:highlight w:val="none"/>
                <w:lang w:val="en-US"/>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结合</w:t>
            </w: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本项目</w:t>
            </w: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特点</w:t>
            </w: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及</w:t>
            </w: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要求，投标人提供完善的安保管理方案</w:t>
            </w: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进行打分</w:t>
            </w: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，包括但不限于门岗、巡逻、消防、监控、车辆管理、外卖管控、重大活动保障、各类突发事件处置流程等。</w:t>
            </w:r>
            <w:r>
              <w:rPr>
                <w:rFonts w:hint="eastAsia" w:ascii="仿宋_GB2312" w:hAnsi="仿宋_GB2312" w:eastAsia="仿宋_GB2312" w:cs="仿宋_GB2312"/>
                <w:bCs/>
                <w:iCs/>
                <w:color w:val="auto"/>
                <w:sz w:val="24"/>
                <w:szCs w:val="24"/>
                <w:highlight w:val="none"/>
              </w:rPr>
              <w:t>（本项分值设置为5,4,3,2,1,0.5,0</w:t>
            </w:r>
            <w:r>
              <w:rPr>
                <w:rFonts w:hint="eastAsia" w:ascii="仿宋_GB2312" w:hAnsi="仿宋_GB2312" w:eastAsia="仿宋_GB2312" w:cs="仿宋_GB2312"/>
                <w:bCs/>
                <w:iCs/>
                <w:color w:val="auto"/>
                <w:sz w:val="24"/>
                <w:szCs w:val="24"/>
                <w:highlight w:val="none"/>
                <w:lang w:val="en-US" w:eastAsia="zh-CN"/>
              </w:rPr>
              <w:t>分</w:t>
            </w:r>
            <w:r>
              <w:rPr>
                <w:rFonts w:hint="eastAsia" w:ascii="仿宋_GB2312" w:hAnsi="仿宋_GB2312" w:eastAsia="仿宋_GB2312" w:cs="仿宋_GB2312"/>
                <w:bCs/>
                <w:iCs/>
                <w:color w:val="auto"/>
                <w:sz w:val="24"/>
                <w:szCs w:val="24"/>
                <w:highlight w:val="none"/>
              </w:rPr>
              <w:t>）</w:t>
            </w:r>
          </w:p>
        </w:tc>
        <w:tc>
          <w:tcPr>
            <w:tcW w:w="786"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center"/>
              <w:textAlignment w:val="auto"/>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811" w:type="dxa"/>
            <w:vAlign w:val="center"/>
          </w:tcPr>
          <w:p>
            <w:pPr>
              <w:keepNext w:val="0"/>
              <w:keepLines w:val="0"/>
              <w:pageBreakBefore w:val="0"/>
              <w:widowControl/>
              <w:kinsoku/>
              <w:overflowPunct/>
              <w:topLinePunct w:val="0"/>
              <w:autoSpaceDE/>
              <w:autoSpaceDN/>
              <w:bidi w:val="0"/>
              <w:adjustRightInd w:val="0"/>
              <w:snapToGrid w:val="0"/>
              <w:spacing w:line="440" w:lineRule="exact"/>
              <w:ind w:left="0" w:firstLine="0" w:firstLineChars="0"/>
              <w:jc w:val="center"/>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6</w:t>
            </w:r>
          </w:p>
        </w:tc>
        <w:tc>
          <w:tcPr>
            <w:tcW w:w="1413"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center"/>
              <w:textAlignment w:val="auto"/>
              <w:rPr>
                <w:rFonts w:hint="eastAsia" w:ascii="仿宋_GB2312" w:hAnsi="仿宋_GB2312" w:eastAsia="仿宋_GB2312" w:cs="仿宋_GB2312"/>
                <w:bCs/>
                <w:iCs/>
                <w:color w:val="000000" w:themeColor="text1"/>
                <w:sz w:val="24"/>
                <w:szCs w:val="24"/>
                <w:highlight w:val="none"/>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卫生保洁</w:t>
            </w:r>
            <w:r>
              <w:rPr>
                <w:rFonts w:hint="eastAsia" w:ascii="仿宋_GB2312" w:hAnsi="仿宋_GB2312" w:eastAsia="仿宋_GB2312" w:cs="仿宋_GB2312"/>
                <w:bCs/>
                <w:iCs/>
                <w:color w:val="000000" w:themeColor="text1"/>
                <w:sz w:val="24"/>
                <w:szCs w:val="24"/>
                <w:highlight w:val="none"/>
                <w:lang w:eastAsia="zh-CN"/>
                <w14:textFill>
                  <w14:solidFill>
                    <w14:schemeClr w14:val="tx1"/>
                  </w14:solidFill>
                </w14:textFill>
              </w:rPr>
              <w:t>服务</w:t>
            </w: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方案</w:t>
            </w:r>
          </w:p>
        </w:tc>
        <w:tc>
          <w:tcPr>
            <w:tcW w:w="6416" w:type="dxa"/>
            <w:vAlign w:val="center"/>
          </w:tcPr>
          <w:p>
            <w:pPr>
              <w:keepNext w:val="0"/>
              <w:keepLines w:val="0"/>
              <w:pageBreakBefore w:val="0"/>
              <w:kinsoku/>
              <w:overflowPunct/>
              <w:topLinePunct w:val="0"/>
              <w:autoSpaceDE/>
              <w:autoSpaceDN/>
              <w:bidi w:val="0"/>
              <w:adjustRightInd w:val="0"/>
              <w:spacing w:line="440" w:lineRule="exact"/>
              <w:ind w:left="0" w:firstLine="0" w:firstLineChars="0"/>
              <w:textAlignment w:val="auto"/>
              <w:rPr>
                <w:rFonts w:hint="eastAsia" w:ascii="仿宋_GB2312" w:hAnsi="仿宋_GB2312" w:eastAsia="仿宋_GB2312" w:cs="仿宋_GB2312"/>
                <w:bCs/>
                <w:iCs/>
                <w:color w:val="000000" w:themeColor="text1"/>
                <w:sz w:val="24"/>
                <w:szCs w:val="24"/>
                <w:highlight w:val="none"/>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投标人提供完善的卫生保洁</w:t>
            </w:r>
            <w:r>
              <w:rPr>
                <w:rFonts w:hint="eastAsia" w:ascii="仿宋_GB2312" w:hAnsi="仿宋_GB2312" w:eastAsia="仿宋_GB2312" w:cs="仿宋_GB2312"/>
                <w:bCs/>
                <w:iCs/>
                <w:color w:val="000000" w:themeColor="text1"/>
                <w:sz w:val="24"/>
                <w:szCs w:val="24"/>
                <w:highlight w:val="none"/>
                <w:lang w:eastAsia="zh-CN"/>
                <w14:textFill>
                  <w14:solidFill>
                    <w14:schemeClr w14:val="tx1"/>
                  </w14:solidFill>
                </w14:textFill>
              </w:rPr>
              <w:t>服务</w:t>
            </w: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方案</w:t>
            </w: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进行打分</w:t>
            </w: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包括但不限于楼栋内的楼梯、电梯、公共活动场所的台（地）面、墙面、门、窗、灯具、垃圾箱等设施和器皿、楼宇外墙等所有公共部位设施、围墙内的道路、停车场(库)、垃圾房等所有公共场地及设施的日常保洁保养以及垃圾、废弃物清理和灭“四害”等</w:t>
            </w: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w:t>
            </w:r>
            <w:r>
              <w:rPr>
                <w:rFonts w:hint="eastAsia" w:ascii="仿宋_GB2312" w:hAnsi="仿宋_GB2312" w:eastAsia="仿宋_GB2312" w:cs="仿宋_GB2312"/>
                <w:bCs/>
                <w:iCs/>
                <w:color w:val="auto"/>
                <w:sz w:val="24"/>
                <w:szCs w:val="24"/>
                <w:highlight w:val="none"/>
              </w:rPr>
              <w:t>（本项分值设置为5,4,3,2,1,0.5,0</w:t>
            </w:r>
            <w:r>
              <w:rPr>
                <w:rFonts w:hint="eastAsia" w:ascii="仿宋_GB2312" w:hAnsi="仿宋_GB2312" w:eastAsia="仿宋_GB2312" w:cs="仿宋_GB2312"/>
                <w:bCs/>
                <w:iCs/>
                <w:color w:val="auto"/>
                <w:sz w:val="24"/>
                <w:szCs w:val="24"/>
                <w:highlight w:val="none"/>
                <w:lang w:val="en-US" w:eastAsia="zh-CN"/>
              </w:rPr>
              <w:t>分</w:t>
            </w:r>
            <w:r>
              <w:rPr>
                <w:rFonts w:hint="eastAsia" w:ascii="仿宋_GB2312" w:hAnsi="仿宋_GB2312" w:eastAsia="仿宋_GB2312" w:cs="仿宋_GB2312"/>
                <w:bCs/>
                <w:iCs/>
                <w:color w:val="auto"/>
                <w:sz w:val="24"/>
                <w:szCs w:val="24"/>
                <w:highlight w:val="none"/>
              </w:rPr>
              <w:t>）</w:t>
            </w:r>
          </w:p>
        </w:tc>
        <w:tc>
          <w:tcPr>
            <w:tcW w:w="786"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center"/>
              <w:textAlignment w:val="auto"/>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keepNext w:val="0"/>
              <w:keepLines w:val="0"/>
              <w:pageBreakBefore w:val="0"/>
              <w:widowControl/>
              <w:kinsoku/>
              <w:overflowPunct/>
              <w:topLinePunct w:val="0"/>
              <w:autoSpaceDE/>
              <w:autoSpaceDN/>
              <w:bidi w:val="0"/>
              <w:adjustRightInd w:val="0"/>
              <w:snapToGrid w:val="0"/>
              <w:spacing w:line="440" w:lineRule="exact"/>
              <w:ind w:left="0" w:firstLine="0" w:firstLineChars="0"/>
              <w:jc w:val="center"/>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7</w:t>
            </w:r>
          </w:p>
        </w:tc>
        <w:tc>
          <w:tcPr>
            <w:tcW w:w="1413"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center"/>
              <w:textAlignment w:val="auto"/>
              <w:rPr>
                <w:rFonts w:hint="eastAsia" w:ascii="仿宋_GB2312" w:hAnsi="仿宋_GB2312" w:eastAsia="仿宋_GB2312" w:cs="仿宋_GB2312"/>
                <w:bCs/>
                <w:iCs/>
                <w:color w:val="000000" w:themeColor="text1"/>
                <w:sz w:val="24"/>
                <w:szCs w:val="24"/>
                <w:highlight w:val="none"/>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维修服务方案</w:t>
            </w:r>
          </w:p>
        </w:tc>
        <w:tc>
          <w:tcPr>
            <w:tcW w:w="6416" w:type="dxa"/>
            <w:vAlign w:val="center"/>
          </w:tcPr>
          <w:p>
            <w:pPr>
              <w:keepNext w:val="0"/>
              <w:keepLines w:val="0"/>
              <w:pageBreakBefore w:val="0"/>
              <w:kinsoku/>
              <w:overflowPunct/>
              <w:topLinePunct w:val="0"/>
              <w:autoSpaceDE/>
              <w:autoSpaceDN/>
              <w:bidi w:val="0"/>
              <w:adjustRightInd w:val="0"/>
              <w:spacing w:line="440" w:lineRule="exact"/>
              <w:ind w:left="0" w:firstLine="0" w:firstLineChars="0"/>
              <w:textAlignment w:val="auto"/>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投标人</w:t>
            </w: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提供</w:t>
            </w: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针对本项目的维修服务方案进行打分，包括但不限于高（低）压线路、照明及供电设备管理维护方案；设备机房标准化管理方案；房屋及设备设施日常养护、巡查维修方案；以及其他相关维修方案等。</w:t>
            </w:r>
          </w:p>
          <w:p>
            <w:pPr>
              <w:keepNext w:val="0"/>
              <w:keepLines w:val="0"/>
              <w:pageBreakBefore w:val="0"/>
              <w:kinsoku/>
              <w:overflowPunct/>
              <w:topLinePunct w:val="0"/>
              <w:autoSpaceDE/>
              <w:autoSpaceDN/>
              <w:bidi w:val="0"/>
              <w:adjustRightInd w:val="0"/>
              <w:spacing w:line="440" w:lineRule="exact"/>
              <w:ind w:left="0" w:firstLine="0" w:firstLineChars="0"/>
              <w:textAlignment w:val="auto"/>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Cs/>
                <w:iCs/>
                <w:color w:val="auto"/>
                <w:sz w:val="24"/>
                <w:szCs w:val="24"/>
                <w:highlight w:val="none"/>
              </w:rPr>
              <w:t>（本项分值设置为5,4,3,2,1,0.5,0</w:t>
            </w:r>
            <w:r>
              <w:rPr>
                <w:rFonts w:hint="eastAsia" w:ascii="仿宋_GB2312" w:hAnsi="仿宋_GB2312" w:eastAsia="仿宋_GB2312" w:cs="仿宋_GB2312"/>
                <w:bCs/>
                <w:iCs/>
                <w:color w:val="auto"/>
                <w:sz w:val="24"/>
                <w:szCs w:val="24"/>
                <w:highlight w:val="none"/>
                <w:lang w:val="en-US" w:eastAsia="zh-CN"/>
              </w:rPr>
              <w:t>分</w:t>
            </w:r>
            <w:r>
              <w:rPr>
                <w:rFonts w:hint="eastAsia" w:ascii="仿宋_GB2312" w:hAnsi="仿宋_GB2312" w:eastAsia="仿宋_GB2312" w:cs="仿宋_GB2312"/>
                <w:bCs/>
                <w:iCs/>
                <w:color w:val="auto"/>
                <w:sz w:val="24"/>
                <w:szCs w:val="24"/>
                <w:highlight w:val="none"/>
              </w:rPr>
              <w:t>）</w:t>
            </w:r>
          </w:p>
        </w:tc>
        <w:tc>
          <w:tcPr>
            <w:tcW w:w="786"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center"/>
              <w:textAlignment w:val="auto"/>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keepNext w:val="0"/>
              <w:keepLines w:val="0"/>
              <w:pageBreakBefore w:val="0"/>
              <w:widowControl/>
              <w:kinsoku/>
              <w:overflowPunct/>
              <w:topLinePunct w:val="0"/>
              <w:autoSpaceDE/>
              <w:autoSpaceDN/>
              <w:bidi w:val="0"/>
              <w:adjustRightInd w:val="0"/>
              <w:snapToGrid w:val="0"/>
              <w:spacing w:line="440" w:lineRule="exact"/>
              <w:ind w:left="0" w:firstLine="0" w:firstLineChars="0"/>
              <w:jc w:val="center"/>
              <w:textAlignment w:val="auto"/>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8</w:t>
            </w:r>
          </w:p>
        </w:tc>
        <w:tc>
          <w:tcPr>
            <w:tcW w:w="1413"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center"/>
              <w:textAlignment w:val="auto"/>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绿化养护服务方案</w:t>
            </w:r>
          </w:p>
        </w:tc>
        <w:tc>
          <w:tcPr>
            <w:tcW w:w="6416" w:type="dxa"/>
            <w:vAlign w:val="center"/>
          </w:tcPr>
          <w:p>
            <w:pPr>
              <w:keepNext w:val="0"/>
              <w:keepLines w:val="0"/>
              <w:pageBreakBefore w:val="0"/>
              <w:kinsoku/>
              <w:overflowPunct/>
              <w:topLinePunct w:val="0"/>
              <w:autoSpaceDE/>
              <w:autoSpaceDN/>
              <w:bidi w:val="0"/>
              <w:adjustRightInd w:val="0"/>
              <w:spacing w:line="440" w:lineRule="exact"/>
              <w:ind w:left="0" w:firstLine="0" w:firstLineChars="0"/>
              <w:textAlignment w:val="auto"/>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Cs/>
                <w:iCs/>
                <w:color w:val="000000" w:themeColor="text1"/>
                <w:sz w:val="24"/>
                <w:szCs w:val="24"/>
                <w14:textFill>
                  <w14:solidFill>
                    <w14:schemeClr w14:val="tx1"/>
                  </w14:solidFill>
                </w14:textFill>
              </w:rPr>
              <w:t>投标人提供绿化养护方案</w:t>
            </w:r>
            <w:r>
              <w:rPr>
                <w:rFonts w:hint="eastAsia" w:ascii="仿宋_GB2312" w:hAnsi="仿宋_GB2312" w:eastAsia="仿宋_GB2312" w:cs="仿宋_GB2312"/>
                <w:bCs/>
                <w:iCs/>
                <w:color w:val="000000" w:themeColor="text1"/>
                <w:sz w:val="24"/>
                <w:szCs w:val="24"/>
                <w:lang w:val="en-US" w:eastAsia="zh-CN"/>
                <w14:textFill>
                  <w14:solidFill>
                    <w14:schemeClr w14:val="tx1"/>
                  </w14:solidFill>
                </w14:textFill>
              </w:rPr>
              <w:t>进行打分</w:t>
            </w:r>
            <w:r>
              <w:rPr>
                <w:rFonts w:hint="eastAsia" w:ascii="仿宋_GB2312" w:hAnsi="仿宋_GB2312" w:eastAsia="仿宋_GB2312" w:cs="仿宋_GB2312"/>
                <w:bCs/>
                <w:iCs/>
                <w:color w:val="000000" w:themeColor="text1"/>
                <w:sz w:val="24"/>
                <w:szCs w:val="24"/>
                <w:lang w:eastAsia="zh-CN"/>
                <w14:textFill>
                  <w14:solidFill>
                    <w14:schemeClr w14:val="tx1"/>
                  </w14:solidFill>
                </w14:textFill>
              </w:rPr>
              <w:t>，</w:t>
            </w:r>
            <w:r>
              <w:rPr>
                <w:rFonts w:hint="eastAsia" w:ascii="仿宋_GB2312" w:hAnsi="仿宋_GB2312" w:eastAsia="仿宋_GB2312" w:cs="仿宋_GB2312"/>
                <w:bCs/>
                <w:iCs/>
                <w:color w:val="000000" w:themeColor="text1"/>
                <w:sz w:val="24"/>
                <w:szCs w:val="24"/>
                <w14:textFill>
                  <w14:solidFill>
                    <w14:schemeClr w14:val="tx1"/>
                  </w14:solidFill>
                </w14:textFill>
              </w:rPr>
              <w:t>包括但不限于服务区域内树木、花草、色块等的日常养护和管理，绿地的养护及卫生管理等。</w:t>
            </w:r>
            <w:r>
              <w:rPr>
                <w:rFonts w:hint="eastAsia" w:ascii="仿宋_GB2312" w:hAnsi="仿宋_GB2312" w:eastAsia="仿宋_GB2312" w:cs="仿宋_GB2312"/>
                <w:bCs/>
                <w:iCs/>
                <w:color w:val="auto"/>
                <w:sz w:val="24"/>
                <w:szCs w:val="24"/>
                <w:highlight w:val="none"/>
              </w:rPr>
              <w:t>（本项分值设置为5,4,3,2,1,0.5,0</w:t>
            </w:r>
            <w:r>
              <w:rPr>
                <w:rFonts w:hint="eastAsia" w:ascii="仿宋_GB2312" w:hAnsi="仿宋_GB2312" w:eastAsia="仿宋_GB2312" w:cs="仿宋_GB2312"/>
                <w:bCs/>
                <w:iCs/>
                <w:color w:val="auto"/>
                <w:sz w:val="24"/>
                <w:szCs w:val="24"/>
                <w:highlight w:val="none"/>
                <w:lang w:val="en-US" w:eastAsia="zh-CN"/>
              </w:rPr>
              <w:t>分</w:t>
            </w:r>
            <w:r>
              <w:rPr>
                <w:rFonts w:hint="eastAsia" w:ascii="仿宋_GB2312" w:hAnsi="仿宋_GB2312" w:eastAsia="仿宋_GB2312" w:cs="仿宋_GB2312"/>
                <w:bCs/>
                <w:iCs/>
                <w:color w:val="auto"/>
                <w:sz w:val="24"/>
                <w:szCs w:val="24"/>
                <w:highlight w:val="none"/>
              </w:rPr>
              <w:t>）</w:t>
            </w:r>
          </w:p>
        </w:tc>
        <w:tc>
          <w:tcPr>
            <w:tcW w:w="786"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center"/>
              <w:textAlignment w:val="auto"/>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11" w:type="dxa"/>
            <w:vAlign w:val="center"/>
          </w:tcPr>
          <w:p>
            <w:pPr>
              <w:keepNext w:val="0"/>
              <w:keepLines w:val="0"/>
              <w:pageBreakBefore w:val="0"/>
              <w:widowControl/>
              <w:kinsoku/>
              <w:overflowPunct/>
              <w:topLinePunct w:val="0"/>
              <w:autoSpaceDE/>
              <w:autoSpaceDN/>
              <w:bidi w:val="0"/>
              <w:adjustRightInd w:val="0"/>
              <w:snapToGrid w:val="0"/>
              <w:spacing w:line="440" w:lineRule="exact"/>
              <w:ind w:left="0" w:firstLine="0" w:firstLineChars="0"/>
              <w:jc w:val="center"/>
              <w:textAlignment w:val="auto"/>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9</w:t>
            </w:r>
          </w:p>
        </w:tc>
        <w:tc>
          <w:tcPr>
            <w:tcW w:w="1413"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center"/>
              <w:textAlignment w:val="auto"/>
              <w:rPr>
                <w:rFonts w:hint="eastAsia" w:ascii="仿宋_GB2312" w:hAnsi="仿宋_GB2312" w:eastAsia="仿宋_GB2312" w:cs="仿宋_GB2312"/>
                <w:bCs/>
                <w:iCs/>
                <w:color w:val="000000" w:themeColor="text1"/>
                <w:sz w:val="24"/>
                <w:szCs w:val="24"/>
                <w:highlight w:val="none"/>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紧急事件防范方案</w:t>
            </w:r>
          </w:p>
        </w:tc>
        <w:tc>
          <w:tcPr>
            <w:tcW w:w="6416" w:type="dxa"/>
            <w:vAlign w:val="center"/>
          </w:tcPr>
          <w:p>
            <w:pPr>
              <w:keepNext w:val="0"/>
              <w:keepLines w:val="0"/>
              <w:pageBreakBefore w:val="0"/>
              <w:kinsoku/>
              <w:overflowPunct/>
              <w:topLinePunct w:val="0"/>
              <w:autoSpaceDE/>
              <w:autoSpaceDN/>
              <w:bidi w:val="0"/>
              <w:adjustRightInd w:val="0"/>
              <w:spacing w:line="440" w:lineRule="exact"/>
              <w:ind w:left="0" w:firstLine="0" w:firstLineChars="0"/>
              <w:textAlignment w:val="auto"/>
              <w:rPr>
                <w:rFonts w:hint="eastAsia" w:ascii="仿宋_GB2312" w:hAnsi="仿宋_GB2312" w:eastAsia="仿宋_GB2312" w:cs="仿宋_GB2312"/>
                <w:bCs/>
                <w:iCs/>
                <w:color w:val="000000" w:themeColor="text1"/>
                <w:sz w:val="24"/>
                <w:szCs w:val="24"/>
                <w:highlight w:val="none"/>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投标人提供紧急事件防范方案</w:t>
            </w: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进行打分</w:t>
            </w: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，包</w:t>
            </w: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括</w:t>
            </w: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但不限于重大活动应急保障</w:t>
            </w:r>
            <w:r>
              <w:rPr>
                <w:rFonts w:hint="eastAsia" w:ascii="仿宋_GB2312" w:hAnsi="仿宋_GB2312" w:eastAsia="仿宋_GB2312" w:cs="仿宋_GB2312"/>
                <w:bCs/>
                <w:iCs/>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电梯困人</w:t>
            </w:r>
            <w:r>
              <w:rPr>
                <w:rFonts w:hint="eastAsia" w:ascii="仿宋_GB2312" w:hAnsi="仿宋_GB2312" w:eastAsia="仿宋_GB2312" w:cs="仿宋_GB2312"/>
                <w:bCs/>
                <w:iCs/>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雨雪天气</w:t>
            </w:r>
            <w:r>
              <w:rPr>
                <w:rFonts w:hint="eastAsia" w:ascii="仿宋_GB2312" w:hAnsi="仿宋_GB2312" w:eastAsia="仿宋_GB2312" w:cs="仿宋_GB2312"/>
                <w:bCs/>
                <w:iCs/>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火灾等。</w:t>
            </w:r>
          </w:p>
          <w:p>
            <w:pPr>
              <w:keepNext w:val="0"/>
              <w:keepLines w:val="0"/>
              <w:pageBreakBefore w:val="0"/>
              <w:kinsoku/>
              <w:overflowPunct/>
              <w:topLinePunct w:val="0"/>
              <w:autoSpaceDE/>
              <w:autoSpaceDN/>
              <w:bidi w:val="0"/>
              <w:adjustRightInd w:val="0"/>
              <w:spacing w:line="440" w:lineRule="exact"/>
              <w:ind w:left="0" w:firstLine="0" w:firstLineChars="0"/>
              <w:textAlignment w:val="auto"/>
              <w:rPr>
                <w:rFonts w:hint="eastAsia" w:ascii="仿宋_GB2312" w:hAnsi="仿宋_GB2312" w:eastAsia="仿宋_GB2312" w:cs="仿宋_GB2312"/>
                <w:bCs/>
                <w:iCs/>
                <w:color w:val="000000" w:themeColor="text1"/>
                <w:sz w:val="24"/>
                <w:szCs w:val="24"/>
                <w:highlight w:val="none"/>
                <w:lang w:val="en-US"/>
                <w14:textFill>
                  <w14:solidFill>
                    <w14:schemeClr w14:val="tx1"/>
                  </w14:solidFill>
                </w14:textFill>
              </w:rPr>
            </w:pPr>
            <w:r>
              <w:rPr>
                <w:rFonts w:hint="eastAsia" w:ascii="仿宋_GB2312" w:hAnsi="仿宋_GB2312" w:eastAsia="仿宋_GB2312" w:cs="仿宋_GB2312"/>
                <w:bCs/>
                <w:iCs/>
                <w:color w:val="auto"/>
                <w:sz w:val="24"/>
                <w:szCs w:val="24"/>
                <w:highlight w:val="none"/>
              </w:rPr>
              <w:t>（本项分值设置为5,4,3,2,1,0.5,0</w:t>
            </w:r>
            <w:r>
              <w:rPr>
                <w:rFonts w:hint="eastAsia" w:ascii="仿宋_GB2312" w:hAnsi="仿宋_GB2312" w:eastAsia="仿宋_GB2312" w:cs="仿宋_GB2312"/>
                <w:bCs/>
                <w:iCs/>
                <w:color w:val="auto"/>
                <w:sz w:val="24"/>
                <w:szCs w:val="24"/>
                <w:highlight w:val="none"/>
                <w:lang w:val="en-US" w:eastAsia="zh-CN"/>
              </w:rPr>
              <w:t>分</w:t>
            </w:r>
            <w:r>
              <w:rPr>
                <w:rFonts w:hint="eastAsia" w:ascii="仿宋_GB2312" w:hAnsi="仿宋_GB2312" w:eastAsia="仿宋_GB2312" w:cs="仿宋_GB2312"/>
                <w:bCs/>
                <w:iCs/>
                <w:color w:val="auto"/>
                <w:sz w:val="24"/>
                <w:szCs w:val="24"/>
                <w:highlight w:val="none"/>
              </w:rPr>
              <w:t>）</w:t>
            </w:r>
          </w:p>
        </w:tc>
        <w:tc>
          <w:tcPr>
            <w:tcW w:w="786"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center"/>
              <w:textAlignment w:val="auto"/>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11" w:type="dxa"/>
            <w:vAlign w:val="center"/>
          </w:tcPr>
          <w:p>
            <w:pPr>
              <w:keepNext w:val="0"/>
              <w:keepLines w:val="0"/>
              <w:pageBreakBefore w:val="0"/>
              <w:widowControl/>
              <w:kinsoku/>
              <w:overflowPunct/>
              <w:topLinePunct w:val="0"/>
              <w:autoSpaceDE/>
              <w:autoSpaceDN/>
              <w:bidi w:val="0"/>
              <w:adjustRightInd w:val="0"/>
              <w:snapToGrid w:val="0"/>
              <w:spacing w:line="440" w:lineRule="exact"/>
              <w:ind w:left="0" w:firstLine="0" w:firstLineChars="0"/>
              <w:jc w:val="center"/>
              <w:textAlignment w:val="auto"/>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10</w:t>
            </w:r>
          </w:p>
        </w:tc>
        <w:tc>
          <w:tcPr>
            <w:tcW w:w="1413"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center"/>
              <w:textAlignment w:val="auto"/>
              <w:rPr>
                <w:rFonts w:hint="eastAsia" w:ascii="仿宋_GB2312" w:hAnsi="仿宋_GB2312" w:eastAsia="仿宋_GB2312" w:cs="仿宋_GB2312"/>
                <w:bCs/>
                <w:iCs/>
                <w:color w:val="000000" w:themeColor="text1"/>
                <w:sz w:val="24"/>
                <w:szCs w:val="24"/>
                <w:highlight w:val="none"/>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项目员工培训方案</w:t>
            </w:r>
          </w:p>
        </w:tc>
        <w:tc>
          <w:tcPr>
            <w:tcW w:w="6416" w:type="dxa"/>
            <w:vAlign w:val="center"/>
          </w:tcPr>
          <w:p>
            <w:pPr>
              <w:keepNext w:val="0"/>
              <w:keepLines w:val="0"/>
              <w:pageBreakBefore w:val="0"/>
              <w:kinsoku/>
              <w:overflowPunct/>
              <w:topLinePunct w:val="0"/>
              <w:autoSpaceDE/>
              <w:autoSpaceDN/>
              <w:bidi w:val="0"/>
              <w:adjustRightInd w:val="0"/>
              <w:spacing w:line="440" w:lineRule="exact"/>
              <w:ind w:left="0" w:firstLine="0" w:firstLineChars="0"/>
              <w:textAlignment w:val="auto"/>
              <w:rPr>
                <w:rFonts w:hint="eastAsia" w:ascii="仿宋_GB2312" w:hAnsi="仿宋_GB2312" w:eastAsia="仿宋_GB2312" w:cs="仿宋_GB2312"/>
                <w:bCs/>
                <w:iCs/>
                <w:color w:val="000000" w:themeColor="text1"/>
                <w:sz w:val="24"/>
                <w:szCs w:val="24"/>
                <w:highlight w:val="none"/>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投标人提供完备的培训与管理方案</w:t>
            </w: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进行打分</w:t>
            </w: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，包括但不限于培训场地、培训师资、培训制度、培训内容等。</w:t>
            </w:r>
          </w:p>
          <w:p>
            <w:pPr>
              <w:keepNext w:val="0"/>
              <w:keepLines w:val="0"/>
              <w:pageBreakBefore w:val="0"/>
              <w:kinsoku/>
              <w:overflowPunct/>
              <w:topLinePunct w:val="0"/>
              <w:autoSpaceDE/>
              <w:autoSpaceDN/>
              <w:bidi w:val="0"/>
              <w:adjustRightInd w:val="0"/>
              <w:spacing w:line="440" w:lineRule="exact"/>
              <w:ind w:left="0" w:firstLine="0" w:firstLineChars="0"/>
              <w:textAlignment w:val="auto"/>
              <w:rPr>
                <w:rFonts w:hint="eastAsia" w:ascii="仿宋_GB2312" w:hAnsi="仿宋_GB2312" w:eastAsia="仿宋_GB2312" w:cs="仿宋_GB2312"/>
                <w:bCs/>
                <w:iCs/>
                <w:color w:val="000000" w:themeColor="text1"/>
                <w:sz w:val="24"/>
                <w:szCs w:val="24"/>
                <w:highlight w:val="none"/>
                <w14:textFill>
                  <w14:solidFill>
                    <w14:schemeClr w14:val="tx1"/>
                  </w14:solidFill>
                </w14:textFill>
              </w:rPr>
            </w:pPr>
            <w:r>
              <w:rPr>
                <w:rFonts w:hint="eastAsia" w:ascii="仿宋_GB2312" w:hAnsi="仿宋_GB2312" w:eastAsia="仿宋_GB2312" w:cs="仿宋_GB2312"/>
                <w:bCs/>
                <w:iCs/>
                <w:color w:val="auto"/>
                <w:sz w:val="24"/>
                <w:szCs w:val="24"/>
                <w:highlight w:val="none"/>
              </w:rPr>
              <w:t>（本项分值设置为4,3,2,1,0.5,0</w:t>
            </w:r>
            <w:r>
              <w:rPr>
                <w:rFonts w:hint="eastAsia" w:ascii="仿宋_GB2312" w:hAnsi="仿宋_GB2312" w:eastAsia="仿宋_GB2312" w:cs="仿宋_GB2312"/>
                <w:bCs/>
                <w:iCs/>
                <w:color w:val="auto"/>
                <w:sz w:val="24"/>
                <w:szCs w:val="24"/>
                <w:highlight w:val="none"/>
                <w:lang w:val="en-US" w:eastAsia="zh-CN"/>
              </w:rPr>
              <w:t>分</w:t>
            </w:r>
            <w:r>
              <w:rPr>
                <w:rFonts w:hint="eastAsia" w:ascii="仿宋_GB2312" w:hAnsi="仿宋_GB2312" w:eastAsia="仿宋_GB2312" w:cs="仿宋_GB2312"/>
                <w:bCs/>
                <w:iCs/>
                <w:color w:val="auto"/>
                <w:sz w:val="24"/>
                <w:szCs w:val="24"/>
                <w:highlight w:val="none"/>
              </w:rPr>
              <w:t>）</w:t>
            </w:r>
          </w:p>
        </w:tc>
        <w:tc>
          <w:tcPr>
            <w:tcW w:w="786"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center"/>
              <w:textAlignment w:val="auto"/>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keepNext w:val="0"/>
              <w:keepLines w:val="0"/>
              <w:pageBreakBefore w:val="0"/>
              <w:widowControl/>
              <w:kinsoku/>
              <w:overflowPunct/>
              <w:topLinePunct w:val="0"/>
              <w:autoSpaceDE/>
              <w:autoSpaceDN/>
              <w:bidi w:val="0"/>
              <w:adjustRightInd w:val="0"/>
              <w:snapToGrid w:val="0"/>
              <w:spacing w:line="440" w:lineRule="exact"/>
              <w:ind w:left="0" w:firstLine="0" w:firstLineChars="0"/>
              <w:jc w:val="center"/>
              <w:textAlignment w:val="auto"/>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11</w:t>
            </w:r>
          </w:p>
        </w:tc>
        <w:tc>
          <w:tcPr>
            <w:tcW w:w="1413"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center"/>
              <w:textAlignment w:val="auto"/>
              <w:rPr>
                <w:rFonts w:hint="eastAsia" w:ascii="仿宋_GB2312" w:hAnsi="仿宋_GB2312" w:eastAsia="仿宋_GB2312" w:cs="仿宋_GB2312"/>
                <w:bCs/>
                <w:iCs/>
                <w:color w:val="000000" w:themeColor="text1"/>
                <w:sz w:val="24"/>
                <w:szCs w:val="24"/>
                <w:highlight w:val="none"/>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稳定员工队伍的方案</w:t>
            </w:r>
          </w:p>
        </w:tc>
        <w:tc>
          <w:tcPr>
            <w:tcW w:w="6416" w:type="dxa"/>
            <w:vAlign w:val="center"/>
          </w:tcPr>
          <w:p>
            <w:pPr>
              <w:keepNext w:val="0"/>
              <w:keepLines w:val="0"/>
              <w:pageBreakBefore w:val="0"/>
              <w:kinsoku/>
              <w:overflowPunct/>
              <w:topLinePunct w:val="0"/>
              <w:autoSpaceDE/>
              <w:autoSpaceDN/>
              <w:bidi w:val="0"/>
              <w:adjustRightInd w:val="0"/>
              <w:spacing w:line="440" w:lineRule="exact"/>
              <w:ind w:left="0" w:firstLine="0" w:firstLineChars="0"/>
              <w:textAlignment w:val="auto"/>
              <w:rPr>
                <w:rFonts w:hint="eastAsia" w:ascii="仿宋_GB2312" w:hAnsi="仿宋_GB2312" w:eastAsia="仿宋_GB2312" w:cs="仿宋_GB2312"/>
                <w:bCs/>
                <w:iCs/>
                <w:color w:val="000000" w:themeColor="text1"/>
                <w:sz w:val="24"/>
                <w:szCs w:val="24"/>
                <w:highlight w:val="none"/>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投标人</w:t>
            </w:r>
            <w:r>
              <w:rPr>
                <w:rFonts w:hint="eastAsia" w:ascii="仿宋_GB2312" w:hAnsi="仿宋_GB2312" w:eastAsia="仿宋_GB2312" w:cs="仿宋_GB2312"/>
                <w:bCs/>
                <w:iCs/>
                <w:color w:val="000000" w:themeColor="text1"/>
                <w:sz w:val="24"/>
                <w:szCs w:val="24"/>
                <w:highlight w:val="none"/>
                <w:lang w:eastAsia="zh-CN"/>
                <w14:textFill>
                  <w14:solidFill>
                    <w14:schemeClr w14:val="tx1"/>
                  </w14:solidFill>
                </w14:textFill>
              </w:rPr>
              <w:t>提供</w:t>
            </w: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针对本项目稳定员工队伍的可行性措施及方案</w:t>
            </w: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进行打分</w:t>
            </w: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w:t>
            </w: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包括但不限于员工福利待遇，工会福利等</w:t>
            </w: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w:t>
            </w:r>
          </w:p>
          <w:p>
            <w:pPr>
              <w:keepNext w:val="0"/>
              <w:keepLines w:val="0"/>
              <w:pageBreakBefore w:val="0"/>
              <w:kinsoku/>
              <w:overflowPunct/>
              <w:topLinePunct w:val="0"/>
              <w:autoSpaceDE/>
              <w:autoSpaceDN/>
              <w:bidi w:val="0"/>
              <w:adjustRightInd w:val="0"/>
              <w:spacing w:line="440" w:lineRule="exact"/>
              <w:ind w:left="0" w:firstLine="0" w:firstLineChars="0"/>
              <w:textAlignment w:val="auto"/>
              <w:rPr>
                <w:rFonts w:hint="eastAsia" w:ascii="仿宋_GB2312" w:hAnsi="仿宋_GB2312" w:eastAsia="仿宋_GB2312" w:cs="仿宋_GB2312"/>
                <w:bCs/>
                <w:iCs/>
                <w:color w:val="000000" w:themeColor="text1"/>
                <w:sz w:val="24"/>
                <w:szCs w:val="24"/>
                <w:highlight w:val="none"/>
                <w14:textFill>
                  <w14:solidFill>
                    <w14:schemeClr w14:val="tx1"/>
                  </w14:solidFill>
                </w14:textFill>
              </w:rPr>
            </w:pPr>
            <w:r>
              <w:rPr>
                <w:rFonts w:hint="eastAsia" w:ascii="仿宋_GB2312" w:hAnsi="仿宋_GB2312" w:eastAsia="仿宋_GB2312" w:cs="仿宋_GB2312"/>
                <w:bCs/>
                <w:iCs/>
                <w:color w:val="auto"/>
                <w:sz w:val="24"/>
                <w:szCs w:val="24"/>
                <w:highlight w:val="none"/>
              </w:rPr>
              <w:t>（本项分值设置为4,3,2,1,0.5,0</w:t>
            </w:r>
            <w:r>
              <w:rPr>
                <w:rFonts w:hint="eastAsia" w:ascii="仿宋_GB2312" w:hAnsi="仿宋_GB2312" w:eastAsia="仿宋_GB2312" w:cs="仿宋_GB2312"/>
                <w:bCs/>
                <w:iCs/>
                <w:color w:val="auto"/>
                <w:sz w:val="24"/>
                <w:szCs w:val="24"/>
                <w:highlight w:val="none"/>
                <w:lang w:val="en-US" w:eastAsia="zh-CN"/>
              </w:rPr>
              <w:t>分</w:t>
            </w:r>
            <w:r>
              <w:rPr>
                <w:rFonts w:hint="eastAsia" w:ascii="仿宋_GB2312" w:hAnsi="仿宋_GB2312" w:eastAsia="仿宋_GB2312" w:cs="仿宋_GB2312"/>
                <w:bCs/>
                <w:iCs/>
                <w:color w:val="auto"/>
                <w:sz w:val="24"/>
                <w:szCs w:val="24"/>
                <w:highlight w:val="none"/>
              </w:rPr>
              <w:t>）</w:t>
            </w:r>
          </w:p>
        </w:tc>
        <w:tc>
          <w:tcPr>
            <w:tcW w:w="786"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center"/>
              <w:textAlignment w:val="auto"/>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keepNext w:val="0"/>
              <w:keepLines w:val="0"/>
              <w:pageBreakBefore w:val="0"/>
              <w:widowControl/>
              <w:kinsoku/>
              <w:overflowPunct/>
              <w:topLinePunct w:val="0"/>
              <w:autoSpaceDE/>
              <w:autoSpaceDN/>
              <w:bidi w:val="0"/>
              <w:adjustRightInd w:val="0"/>
              <w:snapToGrid w:val="0"/>
              <w:spacing w:line="440" w:lineRule="exact"/>
              <w:ind w:left="0" w:firstLine="0" w:firstLineChars="0"/>
              <w:jc w:val="center"/>
              <w:textAlignment w:val="auto"/>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12</w:t>
            </w:r>
          </w:p>
        </w:tc>
        <w:tc>
          <w:tcPr>
            <w:tcW w:w="1413"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center"/>
              <w:textAlignment w:val="auto"/>
              <w:rPr>
                <w:rFonts w:hint="eastAsia" w:ascii="仿宋_GB2312" w:hAnsi="仿宋_GB2312" w:eastAsia="仿宋_GB2312" w:cs="仿宋_GB2312"/>
                <w:bCs/>
                <w:iCs/>
                <w:color w:val="000000" w:themeColor="text1"/>
                <w:sz w:val="24"/>
                <w:szCs w:val="24"/>
                <w:highlight w:val="none"/>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交接方案</w:t>
            </w:r>
          </w:p>
        </w:tc>
        <w:tc>
          <w:tcPr>
            <w:tcW w:w="6416" w:type="dxa"/>
            <w:vAlign w:val="center"/>
          </w:tcPr>
          <w:p>
            <w:pPr>
              <w:keepNext w:val="0"/>
              <w:keepLines w:val="0"/>
              <w:pageBreakBefore w:val="0"/>
              <w:kinsoku/>
              <w:overflowPunct/>
              <w:topLinePunct w:val="0"/>
              <w:autoSpaceDE/>
              <w:autoSpaceDN/>
              <w:bidi w:val="0"/>
              <w:adjustRightInd w:val="0"/>
              <w:spacing w:line="440" w:lineRule="exact"/>
              <w:ind w:left="0" w:firstLine="0" w:firstLineChars="0"/>
              <w:textAlignment w:val="auto"/>
              <w:rPr>
                <w:rFonts w:hint="eastAsia" w:ascii="仿宋_GB2312" w:hAnsi="仿宋_GB2312" w:eastAsia="仿宋_GB2312" w:cs="仿宋_GB2312"/>
                <w:bCs/>
                <w:iCs/>
                <w:color w:val="000000" w:themeColor="text1"/>
                <w:sz w:val="24"/>
                <w:szCs w:val="24"/>
                <w:highlight w:val="none"/>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根据投标人提供物业交接方案进行打分，包</w:t>
            </w: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括</w:t>
            </w: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但不限于人员安置、工作移交、设备盘点交接、提前对接等。</w:t>
            </w:r>
          </w:p>
          <w:p>
            <w:pPr>
              <w:keepNext w:val="0"/>
              <w:keepLines w:val="0"/>
              <w:pageBreakBefore w:val="0"/>
              <w:kinsoku/>
              <w:overflowPunct/>
              <w:topLinePunct w:val="0"/>
              <w:autoSpaceDE/>
              <w:autoSpaceDN/>
              <w:bidi w:val="0"/>
              <w:adjustRightInd w:val="0"/>
              <w:spacing w:line="440" w:lineRule="exact"/>
              <w:ind w:left="0" w:firstLine="0" w:firstLineChars="0"/>
              <w:textAlignment w:val="auto"/>
              <w:rPr>
                <w:rFonts w:hint="eastAsia" w:ascii="仿宋_GB2312" w:hAnsi="仿宋_GB2312" w:eastAsia="仿宋_GB2312" w:cs="仿宋_GB2312"/>
                <w:bCs/>
                <w:iCs/>
                <w:color w:val="000000" w:themeColor="text1"/>
                <w:sz w:val="24"/>
                <w:szCs w:val="24"/>
                <w:highlight w:val="none"/>
                <w14:textFill>
                  <w14:solidFill>
                    <w14:schemeClr w14:val="tx1"/>
                  </w14:solidFill>
                </w14:textFill>
              </w:rPr>
            </w:pPr>
            <w:r>
              <w:rPr>
                <w:rFonts w:hint="eastAsia" w:ascii="仿宋_GB2312" w:hAnsi="仿宋_GB2312" w:eastAsia="仿宋_GB2312" w:cs="仿宋_GB2312"/>
                <w:bCs/>
                <w:iCs/>
                <w:color w:val="auto"/>
                <w:sz w:val="24"/>
                <w:szCs w:val="24"/>
                <w:highlight w:val="none"/>
              </w:rPr>
              <w:t>（本项分值设置为4,3,2,1,0.5,0</w:t>
            </w:r>
            <w:r>
              <w:rPr>
                <w:rFonts w:hint="eastAsia" w:ascii="仿宋_GB2312" w:hAnsi="仿宋_GB2312" w:eastAsia="仿宋_GB2312" w:cs="仿宋_GB2312"/>
                <w:bCs/>
                <w:iCs/>
                <w:color w:val="auto"/>
                <w:sz w:val="24"/>
                <w:szCs w:val="24"/>
                <w:highlight w:val="none"/>
                <w:lang w:val="en-US" w:eastAsia="zh-CN"/>
              </w:rPr>
              <w:t>分</w:t>
            </w:r>
            <w:r>
              <w:rPr>
                <w:rFonts w:hint="eastAsia" w:ascii="仿宋_GB2312" w:hAnsi="仿宋_GB2312" w:eastAsia="仿宋_GB2312" w:cs="仿宋_GB2312"/>
                <w:bCs/>
                <w:iCs/>
                <w:color w:val="auto"/>
                <w:sz w:val="24"/>
                <w:szCs w:val="24"/>
                <w:highlight w:val="none"/>
              </w:rPr>
              <w:t>）</w:t>
            </w:r>
          </w:p>
        </w:tc>
        <w:tc>
          <w:tcPr>
            <w:tcW w:w="786"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center"/>
              <w:textAlignment w:val="auto"/>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keepNext w:val="0"/>
              <w:keepLines w:val="0"/>
              <w:pageBreakBefore w:val="0"/>
              <w:widowControl/>
              <w:kinsoku/>
              <w:overflowPunct/>
              <w:topLinePunct w:val="0"/>
              <w:autoSpaceDE/>
              <w:autoSpaceDN/>
              <w:bidi w:val="0"/>
              <w:adjustRightInd w:val="0"/>
              <w:snapToGrid w:val="0"/>
              <w:spacing w:line="440" w:lineRule="exact"/>
              <w:ind w:left="0" w:firstLine="0" w:firstLineChars="0"/>
              <w:jc w:val="center"/>
              <w:textAlignment w:val="auto"/>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13</w:t>
            </w:r>
          </w:p>
        </w:tc>
        <w:tc>
          <w:tcPr>
            <w:tcW w:w="1413"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center"/>
              <w:textAlignment w:val="auto"/>
              <w:rPr>
                <w:rFonts w:hint="eastAsia" w:ascii="仿宋_GB2312" w:hAnsi="仿宋_GB2312" w:eastAsia="仿宋_GB2312" w:cs="仿宋_GB2312"/>
                <w:bCs/>
                <w:iCs/>
                <w:color w:val="000000" w:themeColor="text1"/>
                <w:sz w:val="24"/>
                <w:szCs w:val="24"/>
                <w:highlight w:val="none"/>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节能降耗方案</w:t>
            </w:r>
          </w:p>
        </w:tc>
        <w:tc>
          <w:tcPr>
            <w:tcW w:w="6416" w:type="dxa"/>
            <w:vAlign w:val="center"/>
          </w:tcPr>
          <w:p>
            <w:pPr>
              <w:keepNext w:val="0"/>
              <w:keepLines w:val="0"/>
              <w:pageBreakBefore w:val="0"/>
              <w:kinsoku/>
              <w:overflowPunct/>
              <w:topLinePunct w:val="0"/>
              <w:autoSpaceDE/>
              <w:autoSpaceDN/>
              <w:bidi w:val="0"/>
              <w:adjustRightInd w:val="0"/>
              <w:spacing w:line="440" w:lineRule="exact"/>
              <w:ind w:left="0" w:firstLine="0" w:firstLineChars="0"/>
              <w:textAlignment w:val="auto"/>
              <w:rPr>
                <w:rFonts w:hint="eastAsia" w:ascii="仿宋_GB2312" w:hAnsi="仿宋_GB2312" w:eastAsia="仿宋_GB2312" w:cs="仿宋_GB2312"/>
                <w:bCs/>
                <w:iCs/>
                <w:color w:val="000000" w:themeColor="text1"/>
                <w:sz w:val="24"/>
                <w:szCs w:val="24"/>
                <w:highlight w:val="none"/>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投标人提供的节能降耗措施及方案</w:t>
            </w: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进行打分</w:t>
            </w: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，包</w:t>
            </w: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括</w:t>
            </w: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但不限于节能降耗制度</w:t>
            </w:r>
            <w:r>
              <w:rPr>
                <w:rFonts w:hint="eastAsia" w:ascii="仿宋_GB2312" w:hAnsi="仿宋_GB2312" w:eastAsia="仿宋_GB2312" w:cs="仿宋_GB2312"/>
                <w:bCs/>
                <w:iCs/>
                <w:color w:val="000000" w:themeColor="text1"/>
                <w:sz w:val="24"/>
                <w:szCs w:val="24"/>
                <w:highlight w:val="none"/>
                <w:lang w:eastAsia="zh-CN"/>
                <w14:textFill>
                  <w14:solidFill>
                    <w14:schemeClr w14:val="tx1"/>
                  </w14:solidFill>
                </w14:textFill>
              </w:rPr>
              <w:t>，节能降耗数据统计，科学创新举措等</w:t>
            </w:r>
            <w:r>
              <w:rPr>
                <w:rFonts w:hint="eastAsia" w:ascii="仿宋_GB2312" w:hAnsi="仿宋_GB2312" w:eastAsia="仿宋_GB2312" w:cs="仿宋_GB2312"/>
                <w:bCs/>
                <w:iCs/>
                <w:color w:val="000000" w:themeColor="text1"/>
                <w:sz w:val="24"/>
                <w:szCs w:val="24"/>
                <w:highlight w:val="none"/>
                <w14:textFill>
                  <w14:solidFill>
                    <w14:schemeClr w14:val="tx1"/>
                  </w14:solidFill>
                </w14:textFill>
              </w:rPr>
              <w:t>。</w:t>
            </w:r>
          </w:p>
          <w:p>
            <w:pPr>
              <w:keepNext w:val="0"/>
              <w:keepLines w:val="0"/>
              <w:pageBreakBefore w:val="0"/>
              <w:kinsoku/>
              <w:overflowPunct/>
              <w:topLinePunct w:val="0"/>
              <w:autoSpaceDE/>
              <w:autoSpaceDN/>
              <w:bidi w:val="0"/>
              <w:adjustRightInd w:val="0"/>
              <w:spacing w:line="440" w:lineRule="exact"/>
              <w:ind w:left="0" w:firstLine="0" w:firstLineChars="0"/>
              <w:textAlignment w:val="auto"/>
              <w:rPr>
                <w:rFonts w:hint="eastAsia" w:ascii="仿宋_GB2312" w:hAnsi="仿宋_GB2312" w:eastAsia="仿宋_GB2312" w:cs="仿宋_GB2312"/>
                <w:bCs/>
                <w:iCs/>
                <w:color w:val="000000" w:themeColor="text1"/>
                <w:sz w:val="24"/>
                <w:szCs w:val="24"/>
                <w:highlight w:val="none"/>
                <w14:textFill>
                  <w14:solidFill>
                    <w14:schemeClr w14:val="tx1"/>
                  </w14:solidFill>
                </w14:textFill>
              </w:rPr>
            </w:pPr>
            <w:bookmarkStart w:id="163" w:name="_GoBack"/>
            <w:bookmarkEnd w:id="163"/>
            <w:r>
              <w:rPr>
                <w:rFonts w:hint="eastAsia" w:ascii="仿宋_GB2312" w:hAnsi="仿宋_GB2312" w:eastAsia="仿宋_GB2312" w:cs="仿宋_GB2312"/>
                <w:bCs/>
                <w:iCs/>
                <w:color w:val="auto"/>
                <w:sz w:val="24"/>
                <w:szCs w:val="24"/>
                <w:highlight w:val="none"/>
              </w:rPr>
              <w:t>（本项分值设置为4,3,2,1,0.5,0</w:t>
            </w:r>
            <w:r>
              <w:rPr>
                <w:rFonts w:hint="eastAsia" w:ascii="仿宋_GB2312" w:hAnsi="仿宋_GB2312" w:eastAsia="仿宋_GB2312" w:cs="仿宋_GB2312"/>
                <w:bCs/>
                <w:iCs/>
                <w:color w:val="auto"/>
                <w:sz w:val="24"/>
                <w:szCs w:val="24"/>
                <w:highlight w:val="none"/>
                <w:lang w:val="en-US" w:eastAsia="zh-CN"/>
              </w:rPr>
              <w:t>分</w:t>
            </w:r>
            <w:r>
              <w:rPr>
                <w:rFonts w:hint="eastAsia" w:ascii="仿宋_GB2312" w:hAnsi="仿宋_GB2312" w:eastAsia="仿宋_GB2312" w:cs="仿宋_GB2312"/>
                <w:bCs/>
                <w:iCs/>
                <w:color w:val="auto"/>
                <w:sz w:val="24"/>
                <w:szCs w:val="24"/>
                <w:highlight w:val="none"/>
              </w:rPr>
              <w:t>）</w:t>
            </w:r>
          </w:p>
        </w:tc>
        <w:tc>
          <w:tcPr>
            <w:tcW w:w="786"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center"/>
              <w:textAlignment w:val="auto"/>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keepNext w:val="0"/>
              <w:keepLines w:val="0"/>
              <w:pageBreakBefore w:val="0"/>
              <w:widowControl/>
              <w:kinsoku/>
              <w:overflowPunct/>
              <w:topLinePunct w:val="0"/>
              <w:autoSpaceDE/>
              <w:autoSpaceDN/>
              <w:bidi w:val="0"/>
              <w:adjustRightInd w:val="0"/>
              <w:snapToGrid w:val="0"/>
              <w:spacing w:line="440" w:lineRule="exact"/>
              <w:ind w:left="0" w:firstLine="0" w:firstLineChars="0"/>
              <w:jc w:val="center"/>
              <w:textAlignment w:val="auto"/>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14</w:t>
            </w:r>
          </w:p>
        </w:tc>
        <w:tc>
          <w:tcPr>
            <w:tcW w:w="1413"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center"/>
              <w:textAlignment w:val="auto"/>
              <w:rPr>
                <w:rFonts w:hint="eastAsia" w:ascii="仿宋_GB2312" w:hAnsi="仿宋_GB2312" w:eastAsia="仿宋_GB2312" w:cs="仿宋_GB2312"/>
                <w:bCs/>
                <w:iCs/>
                <w:color w:val="000000" w:themeColor="text1"/>
                <w:sz w:val="24"/>
                <w:szCs w:val="24"/>
                <w:highlight w:val="none"/>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演出保障服务方案</w:t>
            </w:r>
          </w:p>
        </w:tc>
        <w:tc>
          <w:tcPr>
            <w:tcW w:w="6416" w:type="dxa"/>
            <w:vAlign w:val="center"/>
          </w:tcPr>
          <w:p>
            <w:pPr>
              <w:keepNext w:val="0"/>
              <w:keepLines w:val="0"/>
              <w:pageBreakBefore w:val="0"/>
              <w:kinsoku/>
              <w:overflowPunct/>
              <w:topLinePunct w:val="0"/>
              <w:autoSpaceDE/>
              <w:autoSpaceDN/>
              <w:bidi w:val="0"/>
              <w:adjustRightInd w:val="0"/>
              <w:spacing w:line="440" w:lineRule="exact"/>
              <w:ind w:left="0" w:firstLine="0" w:firstLineChars="0"/>
              <w:textAlignment w:val="auto"/>
              <w:rPr>
                <w:rFonts w:hint="eastAsia" w:ascii="仿宋_GB2312" w:hAnsi="仿宋_GB2312" w:eastAsia="仿宋_GB2312" w:cs="仿宋_GB2312"/>
                <w:bCs/>
                <w:iCs/>
                <w:color w:val="000000" w:themeColor="text1"/>
                <w:sz w:val="24"/>
                <w:szCs w:val="24"/>
                <w:highlight w:val="none"/>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投标人根据学校演出保障的服务特点，提供针对性的服务方案进行打分，包括但不限于各类演出、比赛</w:t>
            </w:r>
            <w:r>
              <w:rPr>
                <w:rFonts w:hint="eastAsia" w:ascii="仿宋_GB2312" w:hAnsi="仿宋_GB2312" w:eastAsia="仿宋_GB2312" w:cs="仿宋_GB2312"/>
                <w:bCs/>
                <w:iCs/>
                <w:color w:val="auto"/>
                <w:sz w:val="24"/>
                <w:szCs w:val="24"/>
                <w:highlight w:val="none"/>
                <w:lang w:val="en-US" w:eastAsia="zh-CN"/>
              </w:rPr>
              <w:t>的活动前期准备、人员统筹协调、人员岗位设置、停车管理方案、安全保障、环境管理等</w:t>
            </w: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w:t>
            </w:r>
            <w:r>
              <w:rPr>
                <w:rFonts w:hint="eastAsia" w:ascii="仿宋_GB2312" w:hAnsi="仿宋_GB2312" w:eastAsia="仿宋_GB2312" w:cs="仿宋_GB2312"/>
                <w:bCs/>
                <w:iCs/>
                <w:color w:val="auto"/>
                <w:sz w:val="24"/>
                <w:szCs w:val="24"/>
                <w:highlight w:val="none"/>
              </w:rPr>
              <w:t>（本项分值设置为5,4,3,2,1,0.5,0</w:t>
            </w:r>
            <w:r>
              <w:rPr>
                <w:rFonts w:hint="eastAsia" w:ascii="仿宋_GB2312" w:hAnsi="仿宋_GB2312" w:eastAsia="仿宋_GB2312" w:cs="仿宋_GB2312"/>
                <w:bCs/>
                <w:iCs/>
                <w:color w:val="auto"/>
                <w:sz w:val="24"/>
                <w:szCs w:val="24"/>
                <w:highlight w:val="none"/>
                <w:lang w:val="en-US" w:eastAsia="zh-CN"/>
              </w:rPr>
              <w:t>分</w:t>
            </w:r>
            <w:r>
              <w:rPr>
                <w:rFonts w:hint="eastAsia" w:ascii="仿宋_GB2312" w:hAnsi="仿宋_GB2312" w:eastAsia="仿宋_GB2312" w:cs="仿宋_GB2312"/>
                <w:bCs/>
                <w:iCs/>
                <w:color w:val="auto"/>
                <w:sz w:val="24"/>
                <w:szCs w:val="24"/>
                <w:highlight w:val="none"/>
              </w:rPr>
              <w:t>）</w:t>
            </w:r>
          </w:p>
        </w:tc>
        <w:tc>
          <w:tcPr>
            <w:tcW w:w="786"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center"/>
              <w:textAlignment w:val="auto"/>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keepNext w:val="0"/>
              <w:keepLines w:val="0"/>
              <w:pageBreakBefore w:val="0"/>
              <w:widowControl/>
              <w:kinsoku/>
              <w:overflowPunct/>
              <w:topLinePunct w:val="0"/>
              <w:autoSpaceDE/>
              <w:autoSpaceDN/>
              <w:bidi w:val="0"/>
              <w:adjustRightInd w:val="0"/>
              <w:snapToGrid w:val="0"/>
              <w:spacing w:line="440" w:lineRule="exact"/>
              <w:ind w:left="0" w:firstLine="0" w:firstLineChars="0"/>
              <w:jc w:val="center"/>
              <w:textAlignment w:val="auto"/>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15</w:t>
            </w:r>
          </w:p>
        </w:tc>
        <w:tc>
          <w:tcPr>
            <w:tcW w:w="1413"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center"/>
              <w:textAlignment w:val="auto"/>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服务承诺</w:t>
            </w:r>
          </w:p>
        </w:tc>
        <w:tc>
          <w:tcPr>
            <w:tcW w:w="6416" w:type="dxa"/>
            <w:vAlign w:val="center"/>
          </w:tcPr>
          <w:p>
            <w:pPr>
              <w:keepNext w:val="0"/>
              <w:keepLines w:val="0"/>
              <w:pageBreakBefore w:val="0"/>
              <w:kinsoku/>
              <w:overflowPunct/>
              <w:topLinePunct w:val="0"/>
              <w:autoSpaceDE/>
              <w:autoSpaceDN/>
              <w:bidi w:val="0"/>
              <w:adjustRightInd w:val="0"/>
              <w:spacing w:line="440" w:lineRule="exact"/>
              <w:ind w:left="0" w:firstLine="0" w:firstLineChars="0"/>
              <w:textAlignment w:val="auto"/>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投标人根据采购人对项目人员不满意3天内更换时间、紧急维修1小时响应时间、临时工作增加人员1小时内到岗等进行承诺，每承诺一个得2分，不承诺不得分，最高6分。</w:t>
            </w:r>
          </w:p>
        </w:tc>
        <w:tc>
          <w:tcPr>
            <w:tcW w:w="786" w:type="dxa"/>
            <w:vAlign w:val="center"/>
          </w:tcPr>
          <w:p>
            <w:pPr>
              <w:keepNext w:val="0"/>
              <w:keepLines w:val="0"/>
              <w:pageBreakBefore w:val="0"/>
              <w:kinsoku/>
              <w:overflowPunct/>
              <w:topLinePunct w:val="0"/>
              <w:autoSpaceDE/>
              <w:autoSpaceDN/>
              <w:bidi w:val="0"/>
              <w:adjustRightInd w:val="0"/>
              <w:spacing w:line="440" w:lineRule="exact"/>
              <w:ind w:left="0" w:firstLine="0" w:firstLineChars="0"/>
              <w:jc w:val="center"/>
              <w:textAlignment w:val="auto"/>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Cs/>
                <w:iCs/>
                <w:color w:val="000000" w:themeColor="text1"/>
                <w:sz w:val="24"/>
                <w:szCs w:val="24"/>
                <w:highlight w:val="none"/>
                <w:lang w:val="en-US" w:eastAsia="zh-CN"/>
                <w14:textFill>
                  <w14:solidFill>
                    <w14:schemeClr w14:val="tx1"/>
                  </w14:solidFill>
                </w14:textFill>
              </w:rPr>
              <w:t>6</w:t>
            </w:r>
          </w:p>
        </w:tc>
      </w:tr>
    </w:tbl>
    <w:p>
      <w:pPr>
        <w:keepNext w:val="0"/>
        <w:keepLines w:val="0"/>
        <w:pageBreakBefore w:val="0"/>
        <w:kinsoku/>
        <w:wordWrap w:val="0"/>
        <w:overflowPunct/>
        <w:topLinePunct w:val="0"/>
        <w:bidi w:val="0"/>
        <w:adjustRightInd w:val="0"/>
        <w:snapToGrid w:val="0"/>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0"/>
          <w:szCs w:val="20"/>
          <w:highlight w:val="none"/>
          <w:shd w:val="clear" w:color="auto" w:fill="FFFFFF"/>
        </w:rPr>
        <w:t> </w:t>
      </w:r>
      <w:r>
        <w:rPr>
          <w:rFonts w:hint="eastAsia" w:ascii="仿宋_GB2312" w:hAnsi="仿宋_GB2312" w:eastAsia="仿宋_GB2312" w:cs="仿宋_GB2312"/>
          <w:b/>
          <w:color w:val="auto"/>
          <w:sz w:val="24"/>
          <w:highlight w:val="none"/>
        </w:rPr>
        <w:t>备注：</w:t>
      </w:r>
      <w:r>
        <w:rPr>
          <w:rFonts w:hint="eastAsia" w:ascii="仿宋_GB2312" w:hAnsi="仿宋_GB2312" w:eastAsia="仿宋_GB2312" w:cs="仿宋_GB2312"/>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w:t>
      </w:r>
      <w:r>
        <w:rPr>
          <w:rFonts w:hint="eastAsia" w:ascii="仿宋_GB2312" w:hAnsi="仿宋_GB2312" w:eastAsia="仿宋_GB2312" w:cs="仿宋_GB2312"/>
          <w:b/>
          <w:bCs/>
          <w:iCs/>
          <w:color w:val="auto"/>
          <w:sz w:val="24"/>
          <w:highlight w:val="none"/>
          <w:u w:val="none"/>
          <w:lang w:val="en-US" w:eastAsia="zh-CN"/>
        </w:rPr>
        <w:t>20</w:t>
      </w:r>
      <w:r>
        <w:rPr>
          <w:rFonts w:hint="eastAsia" w:ascii="仿宋_GB2312" w:hAnsi="仿宋_GB2312" w:eastAsia="仿宋_GB2312" w:cs="仿宋_GB2312"/>
          <w:b/>
          <w:bCs/>
          <w:iCs/>
          <w:color w:val="auto"/>
          <w:sz w:val="24"/>
          <w:highlight w:val="none"/>
        </w:rPr>
        <w:t>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2.2.1评标基准价：即满足招标文件要求且投标价格最低的投标报价为评标基准价，其价格分为满分。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u w:val="none"/>
          <w:lang w:val="en-US" w:eastAsia="zh-CN"/>
        </w:rPr>
      </w:pPr>
      <w:r>
        <w:rPr>
          <w:rFonts w:hint="eastAsia" w:ascii="仿宋_GB2312" w:hAnsi="仿宋_GB2312" w:eastAsia="仿宋_GB2312" w:cs="仿宋_GB2312"/>
          <w:bCs/>
          <w:iCs/>
          <w:color w:val="auto"/>
          <w:sz w:val="24"/>
          <w:highlight w:val="none"/>
        </w:rPr>
        <w:t>即：投标报价得分=(评标基准价／投标报价)×</w:t>
      </w:r>
      <w:r>
        <w:rPr>
          <w:rFonts w:hint="eastAsia" w:ascii="仿宋_GB2312" w:hAnsi="仿宋_GB2312" w:eastAsia="仿宋_GB2312" w:cs="仿宋_GB2312"/>
          <w:bCs/>
          <w:iCs/>
          <w:color w:val="auto"/>
          <w:sz w:val="24"/>
          <w:highlight w:val="none"/>
          <w:u w:val="none"/>
          <w:lang w:val="en-US" w:eastAsia="zh-CN"/>
        </w:rPr>
        <w:t>20</w:t>
      </w:r>
    </w:p>
    <w:p>
      <w:pPr>
        <w:pStyle w:val="23"/>
        <w:rPr>
          <w:rFonts w:hint="eastAsia"/>
          <w:lang w:val="en-US" w:eastAsia="zh-CN"/>
        </w:rPr>
      </w:pPr>
    </w:p>
    <w:p>
      <w:pPr>
        <w:pStyle w:val="26"/>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pStyle w:val="26"/>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pStyle w:val="26"/>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pStyle w:val="26"/>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pStyle w:val="26"/>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pStyle w:val="26"/>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pStyle w:val="26"/>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pStyle w:val="26"/>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widowControl/>
        <w:kinsoku/>
        <w:wordWrap w:val="0"/>
        <w:overflowPunct/>
        <w:topLinePunct w:val="0"/>
        <w:bidi w:val="0"/>
        <w:adjustRightInd/>
        <w:jc w:val="center"/>
        <w:rPr>
          <w:rFonts w:hint="eastAsia" w:ascii="仿宋_GB2312" w:hAnsi="仿宋_GB2312" w:eastAsia="仿宋_GB2312" w:cs="仿宋_GB2312"/>
          <w:b/>
          <w:color w:val="auto"/>
          <w:sz w:val="36"/>
          <w:szCs w:val="20"/>
          <w:highlight w:val="none"/>
        </w:rPr>
      </w:pPr>
    </w:p>
    <w:p>
      <w:pPr>
        <w:pStyle w:val="23"/>
        <w:kinsoku/>
        <w:wordWrap w:val="0"/>
        <w:overflowPunct/>
        <w:topLinePunct w:val="0"/>
        <w:bidi w:val="0"/>
        <w:rPr>
          <w:rFonts w:hint="eastAsia" w:ascii="仿宋_GB2312" w:hAnsi="仿宋_GB2312" w:eastAsia="仿宋_GB2312" w:cs="仿宋_GB2312"/>
          <w:b/>
          <w:color w:val="auto"/>
          <w:sz w:val="36"/>
          <w:szCs w:val="20"/>
          <w:highlight w:val="none"/>
        </w:rPr>
      </w:pPr>
    </w:p>
    <w:p>
      <w:pPr>
        <w:pStyle w:val="24"/>
        <w:kinsoku/>
        <w:wordWrap w:val="0"/>
        <w:overflowPunct/>
        <w:topLinePunct w:val="0"/>
        <w:bidi w:val="0"/>
        <w:rPr>
          <w:rFonts w:hint="eastAsia" w:ascii="仿宋_GB2312" w:hAnsi="仿宋_GB2312" w:eastAsia="仿宋_GB2312" w:cs="仿宋_GB2312"/>
          <w:b/>
          <w:color w:val="auto"/>
          <w:sz w:val="36"/>
          <w:szCs w:val="20"/>
          <w:highlight w:val="none"/>
        </w:rPr>
      </w:pPr>
    </w:p>
    <w:p>
      <w:pPr>
        <w:kinsoku/>
        <w:wordWrap w:val="0"/>
        <w:overflowPunct/>
        <w:topLinePunct w:val="0"/>
        <w:bidi w:val="0"/>
        <w:rPr>
          <w:rFonts w:hint="eastAsia" w:ascii="仿宋_GB2312" w:hAnsi="仿宋_GB2312" w:eastAsia="仿宋_GB2312" w:cs="仿宋_GB2312"/>
          <w:b/>
          <w:color w:val="auto"/>
          <w:sz w:val="36"/>
          <w:szCs w:val="20"/>
          <w:highlight w:val="none"/>
        </w:rPr>
      </w:pPr>
    </w:p>
    <w:p>
      <w:pPr>
        <w:pStyle w:val="23"/>
        <w:kinsoku/>
        <w:wordWrap w:val="0"/>
        <w:overflowPunct/>
        <w:topLinePunct w:val="0"/>
        <w:bidi w:val="0"/>
        <w:rPr>
          <w:rFonts w:hint="eastAsia" w:ascii="仿宋_GB2312" w:hAnsi="仿宋_GB2312" w:eastAsia="仿宋_GB2312" w:cs="仿宋_GB2312"/>
          <w:b/>
          <w:color w:val="auto"/>
          <w:sz w:val="36"/>
          <w:szCs w:val="20"/>
          <w:highlight w:val="none"/>
        </w:rPr>
      </w:pPr>
    </w:p>
    <w:p>
      <w:pPr>
        <w:pStyle w:val="24"/>
        <w:kinsoku/>
        <w:wordWrap w:val="0"/>
        <w:overflowPunct/>
        <w:topLinePunct w:val="0"/>
        <w:bidi w:val="0"/>
        <w:rPr>
          <w:rFonts w:hint="eastAsia" w:ascii="仿宋_GB2312" w:hAnsi="仿宋_GB2312" w:eastAsia="仿宋_GB2312" w:cs="仿宋_GB2312"/>
          <w:b/>
          <w:color w:val="auto"/>
          <w:sz w:val="36"/>
          <w:szCs w:val="20"/>
          <w:highlight w:val="none"/>
        </w:rPr>
      </w:pPr>
    </w:p>
    <w:p>
      <w:pPr>
        <w:kinsoku/>
        <w:wordWrap w:val="0"/>
        <w:overflowPunct/>
        <w:topLinePunct w:val="0"/>
        <w:bidi w:val="0"/>
        <w:rPr>
          <w:rFonts w:hint="eastAsia" w:ascii="仿宋_GB2312" w:hAnsi="仿宋_GB2312" w:eastAsia="仿宋_GB2312" w:cs="仿宋_GB2312"/>
          <w:b/>
          <w:color w:val="auto"/>
          <w:sz w:val="36"/>
          <w:szCs w:val="20"/>
          <w:highlight w:val="none"/>
        </w:rPr>
      </w:pPr>
    </w:p>
    <w:p>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w:t>
      </w:r>
      <w:bookmarkEnd w:id="36"/>
      <w:r>
        <w:rPr>
          <w:rFonts w:hint="eastAsia" w:ascii="仿宋_GB2312" w:hAnsi="仿宋_GB2312" w:eastAsia="仿宋_GB2312" w:cs="仿宋_GB2312"/>
          <w:b/>
          <w:color w:val="auto"/>
          <w:sz w:val="36"/>
          <w:szCs w:val="20"/>
          <w:highlight w:val="none"/>
        </w:rPr>
        <w:t xml:space="preserve"> </w:t>
      </w:r>
      <w:bookmarkEnd w:id="37"/>
      <w:r>
        <w:rPr>
          <w:rFonts w:hint="eastAsia" w:ascii="仿宋_GB2312" w:hAnsi="仿宋_GB2312" w:eastAsia="仿宋_GB2312" w:cs="仿宋_GB2312"/>
          <w:b/>
          <w:color w:val="auto"/>
          <w:sz w:val="36"/>
          <w:szCs w:val="20"/>
          <w:highlight w:val="none"/>
        </w:rPr>
        <w:t>投标文件及其附件格式</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资格文件部分</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（1）符合参加政府采购活动应当具备的一般条件的承诺函……………（页码）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szCs w:val="20"/>
          <w:highlight w:val="none"/>
        </w:rPr>
        <w:t>（2）联合协议</w:t>
      </w:r>
      <w:r>
        <w:rPr>
          <w:rFonts w:hint="eastAsia" w:ascii="仿宋_GB2312" w:hAnsi="仿宋_GB2312" w:eastAsia="仿宋_GB2312" w:cs="仿宋_GB2312"/>
          <w:color w:val="auto"/>
          <w:sz w:val="24"/>
          <w:highlight w:val="none"/>
        </w:rPr>
        <w:t>………………………………………………………………（页码）</w:t>
      </w:r>
    </w:p>
    <w:p>
      <w:pPr>
        <w:pStyle w:val="23"/>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rPr>
        <w:t>（3）</w:t>
      </w:r>
      <w:r>
        <w:rPr>
          <w:rFonts w:hint="eastAsia" w:ascii="仿宋_GB2312" w:hAnsi="仿宋_GB2312" w:eastAsia="仿宋_GB2312" w:cs="仿宋_GB2312"/>
          <w:color w:val="auto"/>
          <w:sz w:val="24"/>
          <w:highlight w:val="none"/>
          <w:lang w:eastAsia="zh-CN"/>
        </w:rPr>
        <w:t>分包协议</w:t>
      </w:r>
      <w:r>
        <w:rPr>
          <w:rFonts w:hint="eastAsia" w:ascii="仿宋_GB2312" w:hAnsi="仿宋_GB2312" w:eastAsia="仿宋_GB2312" w:cs="仿宋_GB2312"/>
          <w:color w:val="auto"/>
          <w:sz w:val="24"/>
          <w:highlight w:val="none"/>
        </w:rPr>
        <w:t>………………………………………………………………（页码）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）落实政府采购政策需满足的资格要求………………………………（页码）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）本项目的特定资格要求………………………………………………（页码）</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kern w:val="0"/>
          <w:sz w:val="24"/>
          <w:highlight w:val="none"/>
        </w:rPr>
        <w:br w:type="page"/>
      </w:r>
      <w:r>
        <w:rPr>
          <w:rFonts w:hint="eastAsia" w:ascii="仿宋_GB2312" w:hAnsi="仿宋_GB2312" w:eastAsia="仿宋_GB2312" w:cs="仿宋_GB2312"/>
          <w:b/>
          <w:color w:val="auto"/>
          <w:kern w:val="0"/>
          <w:sz w:val="32"/>
          <w:szCs w:val="32"/>
          <w:highlight w:val="none"/>
        </w:rPr>
        <w:t xml:space="preserve">  一、 符合参加政府采购活动应当具备的一般条件的承诺函</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绍兴艺术学校</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sz w:val="24"/>
          <w:highlight w:val="none"/>
        </w:rPr>
        <w:t>：</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我方参与</w:t>
      </w:r>
      <w:r>
        <w:rPr>
          <w:rFonts w:hint="eastAsia" w:ascii="仿宋_GB2312" w:hAnsi="仿宋_GB2312" w:eastAsia="仿宋_GB2312" w:cs="仿宋_GB2312"/>
          <w:color w:val="auto"/>
          <w:sz w:val="24"/>
          <w:highlight w:val="none"/>
          <w:lang w:eastAsia="zh-CN"/>
        </w:rPr>
        <w:t xml:space="preserve">绍兴艺术学校2025物业管理项目 </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2025-01-0010</w:t>
      </w:r>
      <w:r>
        <w:rPr>
          <w:rFonts w:hint="eastAsia" w:ascii="仿宋_GB2312" w:hAnsi="仿宋_GB2312" w:eastAsia="仿宋_GB2312" w:cs="仿宋_GB2312"/>
          <w:color w:val="auto"/>
          <w:sz w:val="24"/>
          <w:highlight w:val="none"/>
        </w:rPr>
        <w:t>】政府采购活动，郑重承诺：</w:t>
      </w:r>
    </w:p>
    <w:p>
      <w:pPr>
        <w:kinsoku/>
        <w:wordWrap w:val="0"/>
        <w:overflowPunct/>
        <w:topLinePunct w:val="0"/>
        <w:bidi w:val="0"/>
        <w:snapToGrid w:val="0"/>
        <w:spacing w:line="360" w:lineRule="auto"/>
        <w:ind w:firstLine="360" w:firstLineChars="1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（一）具备《中华人民共和国政府采购法》第二十二条第一款规定的条件：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2、具有良好的商业信誉和健全的财务会计制度； </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3、具有履行合同所必需的设备和专业技术能力；</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4、有依法缴纳税收和社会保障资金的良好记录；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5、参加政府采购活动前三年内，在经营活动中没有重大违法记录；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6、具有法律、行政法规规定的其他条件。</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（二）未被信用中国（www.creditchina.gov.cn)、中国政府采购网（www.ccgp.gov.cn）列入失信被执行人、重大税收违法案件当事人名单、政府采购严重违法失信行为记录名单。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（三）不存在以下情况：</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1、单位负责人为同一人或者存在直接控股、管理关系的不同供应商参加同一合同项下的政府采购活动的；</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2、为采购项目提供整体设计、规范编制或者项目管理、监理、检测等服务后再参加该采购项目的其他采购活动的。</w:t>
      </w:r>
    </w:p>
    <w:p>
      <w:pPr>
        <w:kinsoku/>
        <w:wordWrap w:val="0"/>
        <w:overflowPunct/>
        <w:topLinePunct w:val="0"/>
        <w:bidi w:val="0"/>
        <w:snapToGrid w:val="0"/>
        <w:spacing w:line="360" w:lineRule="auto"/>
        <w:ind w:firstLine="5520" w:firstLineChars="23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pPr>
        <w:widowControl/>
        <w:kinsoku/>
        <w:wordWrap w:val="0"/>
        <w:overflowPunct/>
        <w:topLinePunct w:val="0"/>
        <w:bidi w:val="0"/>
        <w:spacing w:line="360" w:lineRule="auto"/>
        <w:ind w:firstLine="643" w:firstLineChars="20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二、联合协议（如有）</w:t>
      </w:r>
    </w:p>
    <w:p>
      <w:pPr>
        <w:widowControl/>
        <w:kinsoku/>
        <w:wordWrap w:val="0"/>
        <w:overflowPunct/>
        <w:topLinePunct w:val="0"/>
        <w:bidi w:val="0"/>
        <w:spacing w:line="360"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[以联合体形式投标的，提供联合协议（附件5）；本项目不接受联合体投标或者投标人不以联合体形式投标的，则不需要提供）]</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三、分包意向协议（如有）</w:t>
      </w:r>
    </w:p>
    <w:p>
      <w:pPr>
        <w:widowControl/>
        <w:kinsoku/>
        <w:wordWrap w:val="0"/>
        <w:overflowPunct/>
        <w:topLinePunct w:val="0"/>
        <w:bidi w:val="0"/>
        <w:spacing w:line="360" w:lineRule="auto"/>
        <w:ind w:firstLine="361" w:firstLineChars="1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[中标后以分包方式履行合同的，提供分包意向协议(附件6)；采购人不同意分包或者投标人中标后不以分包方式履行合同的，则不需要提供。]</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四</w:t>
      </w:r>
      <w:r>
        <w:rPr>
          <w:rFonts w:hint="eastAsia" w:ascii="仿宋_GB2312" w:hAnsi="仿宋_GB2312" w:eastAsia="仿宋_GB2312" w:cs="仿宋_GB2312"/>
          <w:b/>
          <w:color w:val="auto"/>
          <w:kern w:val="0"/>
          <w:sz w:val="32"/>
          <w:szCs w:val="32"/>
          <w:highlight w:val="none"/>
        </w:rPr>
        <w:t>、落实政府采购政策需满足的资格要求</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（根据招标公告落实政府采购政策需满足的资格要求选择提供相应的材料；未要求的，无需提供）</w:t>
      </w:r>
    </w:p>
    <w:p>
      <w:pPr>
        <w:kinsoku/>
        <w:wordWrap w:val="0"/>
        <w:overflowPunct/>
        <w:topLinePunct w:val="0"/>
        <w:bidi w:val="0"/>
        <w:snapToGrid w:val="0"/>
        <w:spacing w:before="50" w:after="50"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A</w:t>
      </w:r>
      <w:r>
        <w:rPr>
          <w:rFonts w:hint="eastAsia" w:ascii="仿宋_GB2312" w:hAnsi="仿宋_GB2312" w:eastAsia="仿宋_GB2312" w:cs="仿宋_GB2312"/>
          <w:color w:val="auto"/>
          <w:sz w:val="24"/>
          <w:highlight w:val="none"/>
        </w:rPr>
        <w:t xml:space="preserve">.专门面向中小企业，服务全部由符合政策要求的中小企业（或小微企业）承接的，提供相应的中小企业声明函（附件7）。 </w:t>
      </w:r>
    </w:p>
    <w:p>
      <w:pPr>
        <w:widowControl/>
        <w:kinsoku/>
        <w:wordWrap w:val="0"/>
        <w:overflowPunct/>
        <w:topLinePunct w:val="0"/>
        <w:bidi w:val="0"/>
        <w:spacing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B.</w:t>
      </w:r>
      <w:r>
        <w:rPr>
          <w:rFonts w:hint="eastAsia" w:ascii="仿宋_GB2312" w:hAnsi="仿宋_GB2312" w:eastAsia="仿宋_GB2312" w:cs="仿宋_GB2312"/>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视同符合了资格条件，无需再与其他中小企业组成联合体参加政府采购活动，无需提供联合协议。</w:t>
      </w:r>
      <w:r>
        <w:rPr>
          <w:rFonts w:hint="eastAsia" w:ascii="仿宋_GB2312" w:hAnsi="仿宋_GB2312" w:eastAsia="仿宋_GB2312" w:cs="仿宋_GB2312"/>
          <w:b/>
          <w:color w:val="auto"/>
          <w:sz w:val="24"/>
          <w:highlight w:val="none"/>
        </w:rPr>
        <w:t xml:space="preserve"> </w:t>
      </w:r>
    </w:p>
    <w:p>
      <w:pPr>
        <w:kinsoku/>
        <w:wordWrap w:val="0"/>
        <w:overflowPunct/>
        <w:topLinePunct w:val="0"/>
        <w:bidi w:val="0"/>
        <w:spacing w:line="360" w:lineRule="auto"/>
        <w:ind w:firstLine="482"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C、</w:t>
      </w:r>
      <w:r>
        <w:rPr>
          <w:rFonts w:hint="eastAsia" w:ascii="仿宋_GB2312" w:hAnsi="仿宋_GB2312" w:eastAsia="仿宋_GB2312" w:cs="仿宋_GB2312"/>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视同符合了资格条件，无需再向中小企业分包，无需提供分包意向协议。</w:t>
      </w:r>
    </w:p>
    <w:p>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p>
    <w:p>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五</w:t>
      </w:r>
      <w:r>
        <w:rPr>
          <w:rFonts w:hint="eastAsia" w:ascii="仿宋_GB2312" w:hAnsi="仿宋_GB2312" w:eastAsia="仿宋_GB2312" w:cs="仿宋_GB2312"/>
          <w:b/>
          <w:color w:val="auto"/>
          <w:kern w:val="0"/>
          <w:sz w:val="32"/>
          <w:szCs w:val="32"/>
          <w:highlight w:val="none"/>
        </w:rPr>
        <w:t>、本项目的特定资格要求</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（根据招标公告本项目的特定资格要求提供相应的材料；未要求的，无需提供）</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24"/>
          <w:highlight w:val="none"/>
        </w:rPr>
      </w:pPr>
    </w:p>
    <w:p>
      <w:pPr>
        <w:keepNext w:val="0"/>
        <w:keepLines w:val="0"/>
        <w:pageBreakBefore/>
        <w:widowControl w:val="0"/>
        <w:kinsoku/>
        <w:wordWrap w:val="0"/>
        <w:overflowPunct/>
        <w:topLinePunct w:val="0"/>
        <w:autoSpaceDE/>
        <w:autoSpaceDN/>
        <w:bidi w:val="0"/>
        <w:adjustRightInd w:val="0"/>
        <w:snapToGrid/>
        <w:spacing w:line="336" w:lineRule="auto"/>
        <w:jc w:val="center"/>
        <w:textAlignment w:val="auto"/>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商务技术文件部分</w:t>
      </w:r>
    </w:p>
    <w:p>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4"/>
          <w:highlight w:val="none"/>
        </w:rPr>
      </w:pPr>
    </w:p>
    <w:p>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pPr>
        <w:pStyle w:val="904"/>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投标函</w:t>
      </w:r>
      <w:r>
        <w:rPr>
          <w:rFonts w:hint="eastAsia" w:ascii="仿宋_GB2312" w:hAnsi="仿宋_GB2312" w:eastAsia="仿宋_GB2312" w:cs="仿宋_GB2312"/>
          <w:color w:val="auto"/>
          <w:highlight w:val="none"/>
        </w:rPr>
        <w:t>…………………………………………………………………………（页码）</w:t>
      </w:r>
    </w:p>
    <w:p>
      <w:pPr>
        <w:pStyle w:val="904"/>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rPr>
        <w:t>法定代表人授权委托书</w:t>
      </w:r>
      <w:r>
        <w:rPr>
          <w:rFonts w:hint="eastAsia" w:ascii="仿宋_GB2312" w:hAnsi="仿宋_GB2312" w:eastAsia="仿宋_GB2312" w:cs="仿宋_GB2312"/>
          <w:color w:val="auto"/>
          <w:highlight w:val="none"/>
        </w:rPr>
        <w:t xml:space="preserve"> …………………………………………………… （页码）</w:t>
      </w:r>
    </w:p>
    <w:p>
      <w:pPr>
        <w:pStyle w:val="904"/>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法定代表人及其授权代表身份证复印件……………………………………（页码）</w:t>
      </w:r>
    </w:p>
    <w:p>
      <w:pPr>
        <w:pStyle w:val="904"/>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lang w:val="en-US" w:eastAsia="zh-CN"/>
        </w:rPr>
        <w:t>授权代表社保证明</w:t>
      </w:r>
      <w:r>
        <w:rPr>
          <w:rFonts w:hint="eastAsia" w:ascii="仿宋_GB2312" w:hAnsi="仿宋_GB2312" w:eastAsia="仿宋_GB2312" w:cs="仿宋_GB2312"/>
          <w:color w:val="auto"/>
          <w:highlight w:val="none"/>
        </w:rPr>
        <w:t>……………………………………………………………（页码）</w:t>
      </w:r>
    </w:p>
    <w:p>
      <w:pPr>
        <w:pStyle w:val="904"/>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法定代表人身份证明书………………………………………………………（页码）</w:t>
      </w:r>
    </w:p>
    <w:p>
      <w:pPr>
        <w:pStyle w:val="904"/>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商务技术</w:t>
      </w:r>
      <w:r>
        <w:rPr>
          <w:rFonts w:hint="eastAsia" w:ascii="仿宋_GB2312" w:hAnsi="仿宋_GB2312" w:eastAsia="仿宋_GB2312" w:cs="仿宋_GB2312"/>
          <w:color w:val="auto"/>
          <w:highlight w:val="none"/>
          <w:lang w:eastAsia="zh-CN"/>
        </w:rPr>
        <w:t>偏离表</w:t>
      </w:r>
      <w:r>
        <w:rPr>
          <w:rFonts w:hint="eastAsia" w:ascii="仿宋_GB2312" w:hAnsi="仿宋_GB2312" w:eastAsia="仿宋_GB2312" w:cs="仿宋_GB2312"/>
          <w:color w:val="auto"/>
          <w:highlight w:val="none"/>
        </w:rPr>
        <w:t>………………………………………………………………（页码）</w:t>
      </w:r>
    </w:p>
    <w:p>
      <w:pPr>
        <w:pStyle w:val="904"/>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政府采购供应商廉洁自律承诺书</w:t>
      </w:r>
      <w:r>
        <w:rPr>
          <w:rFonts w:hint="eastAsia" w:ascii="仿宋_GB2312" w:hAnsi="仿宋_GB2312" w:eastAsia="仿宋_GB2312" w:cs="仿宋_GB2312"/>
          <w:color w:val="auto"/>
          <w:highlight w:val="none"/>
        </w:rPr>
        <w:t>……………………………………………（页码）</w:t>
      </w:r>
    </w:p>
    <w:p>
      <w:pPr>
        <w:kinsoku/>
        <w:wordWrap w:val="0"/>
        <w:overflowPunct/>
        <w:topLinePunct w:val="0"/>
        <w:bidi w:val="0"/>
        <w:adjustRightInd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sz w:val="24"/>
          <w:highlight w:val="none"/>
        </w:rPr>
        <w:t>（页码）</w:t>
      </w:r>
    </w:p>
    <w:p>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368" w:rightChars="-175"/>
        <w:jc w:val="both"/>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both"/>
        <w:rPr>
          <w:rFonts w:hint="eastAsia" w:ascii="仿宋_GB2312" w:hAnsi="仿宋_GB2312" w:eastAsia="仿宋_GB2312" w:cs="仿宋_GB2312"/>
          <w:b/>
          <w:color w:val="auto"/>
          <w:kern w:val="0"/>
          <w:sz w:val="32"/>
          <w:szCs w:val="32"/>
          <w:highlight w:val="none"/>
          <w:lang w:val="zh-CN"/>
        </w:rPr>
      </w:pPr>
    </w:p>
    <w:p>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kern w:val="0"/>
          <w:sz w:val="32"/>
          <w:szCs w:val="32"/>
          <w:highlight w:val="none"/>
        </w:rPr>
        <w:t>一、投标</w:t>
      </w:r>
      <w:r>
        <w:rPr>
          <w:rFonts w:hint="eastAsia" w:ascii="仿宋_GB2312" w:hAnsi="仿宋_GB2312" w:eastAsia="仿宋_GB2312" w:cs="仿宋_GB2312"/>
          <w:b/>
          <w:color w:val="auto"/>
          <w:sz w:val="32"/>
          <w:szCs w:val="32"/>
          <w:highlight w:val="none"/>
        </w:rPr>
        <w:t>函</w:t>
      </w:r>
    </w:p>
    <w:p>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szCs w:val="24"/>
          <w:u w:val="single"/>
          <w:lang w:eastAsia="zh-CN"/>
        </w:rPr>
        <w:t>绍兴艺术学校</w:t>
      </w:r>
      <w:r>
        <w:rPr>
          <w:rFonts w:hint="eastAsia" w:ascii="仿宋_GB2312" w:hAnsi="仿宋_GB2312" w:eastAsia="仿宋_GB2312" w:cs="仿宋_GB2312"/>
          <w:szCs w:val="24"/>
          <w:u w:val="single"/>
        </w:rPr>
        <w:t>、绍兴市公共资源交易中心</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根据贵方招标文件（</w:t>
      </w:r>
      <w:r>
        <w:rPr>
          <w:rFonts w:hint="eastAsia" w:ascii="仿宋_GB2312" w:hAnsi="仿宋_GB2312" w:eastAsia="仿宋_GB2312" w:cs="仿宋_GB2312"/>
          <w:b/>
          <w:color w:val="auto"/>
          <w:sz w:val="24"/>
          <w:szCs w:val="24"/>
          <w:highlight w:val="none"/>
          <w:u w:val="single"/>
        </w:rPr>
        <w:t>填写招标编号：</w:t>
      </w:r>
      <w:r>
        <w:rPr>
          <w:rFonts w:hint="eastAsia" w:ascii="仿宋_GB2312" w:hAnsi="仿宋_GB2312" w:eastAsia="仿宋_GB2312" w:cs="仿宋_GB2312"/>
          <w:color w:val="auto"/>
          <w:sz w:val="24"/>
          <w:szCs w:val="24"/>
          <w:highlight w:val="none"/>
        </w:rPr>
        <w:t>）的要求，正式授权</w:t>
      </w:r>
      <w:r>
        <w:rPr>
          <w:rFonts w:hint="eastAsia" w:ascii="仿宋_GB2312" w:hAnsi="仿宋_GB2312" w:eastAsia="仿宋_GB2312" w:cs="仿宋_GB2312"/>
          <w:b/>
          <w:color w:val="auto"/>
          <w:sz w:val="24"/>
          <w:szCs w:val="24"/>
          <w:highlight w:val="none"/>
          <w:u w:val="single"/>
        </w:rPr>
        <w:t>（全权代表姓名    、单位    、职务   ）</w:t>
      </w:r>
      <w:r>
        <w:rPr>
          <w:rFonts w:hint="eastAsia" w:ascii="仿宋_GB2312" w:hAnsi="仿宋_GB2312" w:eastAsia="仿宋_GB2312" w:cs="仿宋_GB2312"/>
          <w:color w:val="auto"/>
          <w:sz w:val="24"/>
          <w:szCs w:val="24"/>
          <w:highlight w:val="none"/>
        </w:rPr>
        <w:t>代表投标人</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b/>
          <w:color w:val="auto"/>
          <w:sz w:val="24"/>
          <w:szCs w:val="24"/>
          <w:highlight w:val="none"/>
          <w:u w:val="single"/>
        </w:rPr>
        <w:t xml:space="preserve">填写单位    、地址   </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rPr>
        <w:t>提交投标文件。</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我方已完全明白招标文件的所有条款要求，兹声明同意如下：</w:t>
      </w:r>
    </w:p>
    <w:p>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1.我方同意在投标人</w:t>
      </w:r>
      <w:r>
        <w:rPr>
          <w:rFonts w:hint="eastAsia" w:ascii="仿宋_GB2312" w:hAnsi="仿宋_GB2312" w:eastAsia="仿宋_GB2312" w:cs="仿宋_GB2312"/>
          <w:color w:val="auto"/>
          <w:kern w:val="44"/>
          <w:sz w:val="24"/>
          <w:szCs w:val="24"/>
          <w:highlight w:val="none"/>
        </w:rPr>
        <w:t>须知</w:t>
      </w:r>
      <w:r>
        <w:rPr>
          <w:rFonts w:hint="eastAsia" w:ascii="仿宋_GB2312" w:hAnsi="仿宋_GB2312" w:eastAsia="仿宋_GB2312" w:cs="仿宋_GB2312"/>
          <w:color w:val="auto"/>
          <w:sz w:val="24"/>
          <w:szCs w:val="24"/>
          <w:highlight w:val="none"/>
        </w:rPr>
        <w:t>规定的开标日期起遵守本投标文件中的承诺且在投标有效期满之前均具有约束力。</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2.我方承诺已经具备《中华人民共和国政府采购法》中规定的参加政府采购活动的供应商应当具备的条件。</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_GB2312" w:hAnsi="仿宋_GB2312" w:eastAsia="仿宋_GB2312" w:cs="仿宋_GB2312"/>
          <w:color w:val="auto"/>
          <w:sz w:val="24"/>
          <w:szCs w:val="24"/>
          <w:highlight w:val="none"/>
          <w:lang w:eastAsia="zh-CN"/>
        </w:rPr>
        <w:t>采购代理机构</w:t>
      </w:r>
      <w:r>
        <w:rPr>
          <w:rFonts w:hint="eastAsia" w:ascii="仿宋_GB2312" w:hAnsi="仿宋_GB2312" w:eastAsia="仿宋_GB2312" w:cs="仿宋_GB2312"/>
          <w:color w:val="auto"/>
          <w:sz w:val="24"/>
          <w:szCs w:val="24"/>
          <w:highlight w:val="none"/>
        </w:rPr>
        <w:t>提供可能另外要求的与投标有关的任何数据或资料。</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4.我方理解贵方将不受你们所收到的最低报价的约束。</w:t>
      </w:r>
    </w:p>
    <w:p>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5.本投标自开标之日（投标截止之日）起90天内有效。</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a)提供虚假材料谋取中标、成交的；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b)采取不正当手段诋毁、排挤其他供应商的；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c)与采购人、其它供应商或者采购代理机构恶意串通的；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d)向采购人、采购代理机构行贿或者提供其他不正当利益的；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e)在招标采购过程中与采购人进行协商谈判的；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f)拒绝有关部门监督检查或提供虚假情况的。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供应商有前款第a)至e)项情形之一的，中标、成交无效。</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地址：　　　　　　　　　　　　　　　邮政编码：</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电话：                              传真：</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开户银行：                          帐号：</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法定代表人或其授权代表(签字或盖章)：</w:t>
      </w: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color w:val="auto"/>
          <w:sz w:val="24"/>
          <w:szCs w:val="24"/>
          <w:highlight w:val="none"/>
        </w:rPr>
      </w:pP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sz w:val="24"/>
          <w:szCs w:val="24"/>
          <w:highlight w:val="none"/>
        </w:rPr>
        <w:t xml:space="preserve">投标人(电子签章)：　　　　　　　　　日期：  </w:t>
      </w:r>
    </w:p>
    <w:p>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二</w:t>
      </w: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（适用于非联合体投标）</w:t>
      </w:r>
    </w:p>
    <w:p>
      <w:pPr>
        <w:kinsoku/>
        <w:wordWrap w:val="0"/>
        <w:overflowPunct/>
        <w:topLinePunct w:val="0"/>
        <w:bidi w:val="0"/>
        <w:jc w:val="center"/>
        <w:rPr>
          <w:rFonts w:hint="eastAsia" w:ascii="仿宋_GB2312" w:hAnsi="仿宋_GB2312" w:eastAsia="仿宋_GB2312" w:cs="仿宋_GB2312"/>
          <w:b/>
          <w:color w:val="auto"/>
          <w:sz w:val="24"/>
          <w:highlight w:val="none"/>
        </w:rPr>
      </w:pPr>
    </w:p>
    <w:p>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本授权委托书声明：我</w:t>
      </w:r>
      <w:r>
        <w:rPr>
          <w:rFonts w:hint="eastAsia" w:ascii="仿宋_GB2312" w:hAnsi="仿宋_GB2312" w:eastAsia="仿宋_GB2312" w:cs="仿宋_GB2312"/>
          <w:color w:val="auto"/>
          <w:sz w:val="24"/>
          <w:highlight w:val="none"/>
          <w:u w:val="single"/>
        </w:rPr>
        <w:t xml:space="preserve">         (填写姓名)</w:t>
      </w: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（填写投标人单位全称）</w:t>
      </w:r>
      <w:r>
        <w:rPr>
          <w:rFonts w:hint="eastAsia" w:ascii="仿宋_GB2312" w:hAnsi="仿宋_GB2312" w:eastAsia="仿宋_GB2312" w:cs="仿宋_GB2312"/>
          <w:color w:val="auto"/>
          <w:sz w:val="24"/>
          <w:highlight w:val="none"/>
        </w:rPr>
        <w:t>的法定代表人，现授权委托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的（填写姓名）为我公司授权代表，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。以本公司的名义参加</w:t>
      </w:r>
      <w:r>
        <w:rPr>
          <w:rFonts w:hint="eastAsia" w:ascii="仿宋_GB2312" w:hAnsi="仿宋_GB2312" w:eastAsia="仿宋_GB2312" w:cs="仿宋_GB2312"/>
          <w:color w:val="auto"/>
          <w:sz w:val="24"/>
          <w:highlight w:val="none"/>
          <w:u w:val="single"/>
          <w:lang w:val="en-US" w:eastAsia="zh-CN"/>
        </w:rPr>
        <w:t xml:space="preserve"> 绍兴艺术学校、绍兴市公共资源交易中心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绍兴艺术学校2025物业管理项目 （招标编号:2025-01-0010）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投标人（电子签章）：</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法定代表人（签字或盖章）：</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ind w:firstLine="5280" w:firstLineChars="2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日期：    年   月   日</w:t>
      </w:r>
    </w:p>
    <w:p>
      <w:pPr>
        <w:kinsoku/>
        <w:wordWrap w:val="0"/>
        <w:overflowPunct/>
        <w:topLinePunct w:val="0"/>
        <w:bidi w:val="0"/>
        <w:ind w:firstLine="4920" w:firstLineChars="2050"/>
        <w:jc w:val="left"/>
        <w:rPr>
          <w:rFonts w:hint="eastAsia" w:ascii="仿宋_GB2312" w:hAnsi="仿宋_GB2312" w:eastAsia="仿宋_GB2312" w:cs="仿宋_GB2312"/>
          <w:color w:val="auto"/>
          <w:sz w:val="24"/>
          <w:highlight w:val="none"/>
        </w:rPr>
      </w:pP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（适用于联合体投标）</w:t>
      </w:r>
    </w:p>
    <w:p>
      <w:pPr>
        <w:kinsoku/>
        <w:wordWrap w:val="0"/>
        <w:overflowPunct/>
        <w:topLinePunct w:val="0"/>
        <w:bidi w:val="0"/>
        <w:jc w:val="center"/>
        <w:rPr>
          <w:rFonts w:hint="eastAsia" w:ascii="仿宋_GB2312" w:hAnsi="仿宋_GB2312" w:eastAsia="仿宋_GB2312" w:cs="仿宋_GB2312"/>
          <w:b/>
          <w:color w:val="auto"/>
          <w:sz w:val="24"/>
          <w:highlight w:val="none"/>
        </w:rPr>
      </w:pPr>
    </w:p>
    <w:p>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w:t>
      </w:r>
    </w:p>
    <w:p>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的（填写姓名）为我方授权代表，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。以我方的名义参加</w:t>
      </w:r>
      <w:r>
        <w:rPr>
          <w:rFonts w:hint="eastAsia" w:ascii="仿宋_GB2312" w:hAnsi="仿宋_GB2312" w:eastAsia="仿宋_GB2312" w:cs="仿宋_GB2312"/>
          <w:color w:val="auto"/>
          <w:sz w:val="24"/>
          <w:highlight w:val="none"/>
          <w:u w:val="single"/>
          <w:lang w:val="en-US" w:eastAsia="zh-CN"/>
        </w:rPr>
        <w:t xml:space="preserve"> 绍兴艺术学校、绍兴市公共资源交易中心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绍兴艺术学校2025物业管理项目 （招标编号:2025-01-0010）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firstLine="5760" w:firstLineChars="24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三、授权代表社保证明（复印件）</w:t>
      </w:r>
    </w:p>
    <w:p>
      <w:pPr>
        <w:kinsoku/>
        <w:wordWrap w:val="0"/>
        <w:overflowPunct/>
        <w:topLinePunct w:val="0"/>
        <w:bidi w:val="0"/>
        <w:spacing w:line="800" w:lineRule="exact"/>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四</w:t>
      </w:r>
      <w:r>
        <w:rPr>
          <w:rFonts w:hint="eastAsia" w:ascii="仿宋_GB2312" w:hAnsi="仿宋_GB2312" w:eastAsia="仿宋_GB2312" w:cs="仿宋_GB2312"/>
          <w:b/>
          <w:color w:val="auto"/>
          <w:sz w:val="30"/>
          <w:szCs w:val="30"/>
          <w:highlight w:val="none"/>
        </w:rPr>
        <w:t>、法定代表人及其授权代表身份证复印件（正反面）</w:t>
      </w: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五</w:t>
      </w:r>
      <w:r>
        <w:rPr>
          <w:rFonts w:hint="eastAsia" w:ascii="仿宋_GB2312" w:hAnsi="仿宋_GB2312" w:eastAsia="仿宋_GB2312" w:cs="仿宋_GB2312"/>
          <w:b/>
          <w:color w:val="auto"/>
          <w:sz w:val="30"/>
          <w:szCs w:val="30"/>
          <w:highlight w:val="none"/>
        </w:rPr>
        <w:t>、法定代表人身份证明书(格式)</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 标 人：</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姓    名：</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身份证号码：</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   务：</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（填写投标人名称）</w:t>
      </w:r>
      <w:r>
        <w:rPr>
          <w:rFonts w:hint="eastAsia" w:ascii="仿宋_GB2312" w:hAnsi="仿宋_GB2312" w:eastAsia="仿宋_GB2312" w:cs="仿宋_GB2312"/>
          <w:color w:val="auto"/>
          <w:sz w:val="24"/>
          <w:highlight w:val="none"/>
        </w:rPr>
        <w:t>的法定代表人。</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特此证明。</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w:t>
      </w:r>
      <w:r>
        <w:rPr>
          <w:rFonts w:hint="eastAsia" w:ascii="仿宋_GB2312" w:hAnsi="仿宋_GB2312" w:eastAsia="仿宋_GB2312" w:cs="仿宋_GB2312"/>
          <w:color w:val="auto"/>
          <w:sz w:val="24"/>
          <w:highlight w:val="none"/>
          <w:lang w:eastAsia="zh-CN"/>
        </w:rPr>
        <w:t>名称</w:t>
      </w:r>
      <w:r>
        <w:rPr>
          <w:rFonts w:hint="eastAsia" w:ascii="仿宋_GB2312" w:hAnsi="仿宋_GB2312" w:eastAsia="仿宋_GB2312" w:cs="仿宋_GB2312"/>
          <w:color w:val="auto"/>
          <w:sz w:val="24"/>
          <w:highlight w:val="none"/>
        </w:rPr>
        <w:t>：                             （电子签章）</w:t>
      </w:r>
    </w:p>
    <w:p>
      <w:pPr>
        <w:kinsoku/>
        <w:wordWrap w:val="0"/>
        <w:overflowPunct/>
        <w:topLinePunct w:val="0"/>
        <w:bidi w:val="0"/>
        <w:spacing w:line="440" w:lineRule="exact"/>
        <w:ind w:right="480"/>
        <w:rPr>
          <w:rFonts w:hint="eastAsia" w:ascii="仿宋_GB2312" w:hAnsi="仿宋_GB2312" w:eastAsia="仿宋_GB2312" w:cs="仿宋_GB2312"/>
          <w:color w:val="auto"/>
          <w:sz w:val="24"/>
          <w:highlight w:val="none"/>
        </w:rPr>
      </w:pPr>
    </w:p>
    <w:p>
      <w:pPr>
        <w:kinsoku/>
        <w:wordWrap w:val="0"/>
        <w:overflowPunct/>
        <w:topLinePunct w:val="0"/>
        <w:bidi w:val="0"/>
        <w:spacing w:line="440" w:lineRule="exact"/>
        <w:ind w:right="72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   月   日</w:t>
      </w: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both"/>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val="en-US" w:eastAsia="zh-CN"/>
        </w:rPr>
        <w:t>六</w:t>
      </w:r>
      <w:r>
        <w:rPr>
          <w:rFonts w:hint="eastAsia" w:ascii="仿宋_GB2312" w:hAnsi="仿宋_GB2312" w:eastAsia="仿宋_GB2312" w:cs="仿宋_GB2312"/>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3683"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招标文件章节及具体内容</w:t>
            </w:r>
          </w:p>
        </w:tc>
        <w:tc>
          <w:tcPr>
            <w:tcW w:w="3546"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投标文件章节及具体内容</w:t>
            </w:r>
          </w:p>
        </w:tc>
        <w:tc>
          <w:tcPr>
            <w:tcW w:w="1276"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bl>
    <w:p>
      <w:pPr>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投标人保证：除商务技术偏离表列出的偏离外，投标人响应招标文件的全部要求</w:t>
      </w: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pacing w:line="360" w:lineRule="auto"/>
        <w:ind w:right="420"/>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注：按本格式和要求提供。</w:t>
      </w:r>
    </w:p>
    <w:p>
      <w:pPr>
        <w:widowControl/>
        <w:kinsoku/>
        <w:wordWrap w:val="0"/>
        <w:overflowPunct/>
        <w:topLinePunct w:val="0"/>
        <w:bidi w:val="0"/>
        <w:adjustRightInd/>
        <w:jc w:val="left"/>
        <w:rPr>
          <w:rFonts w:hint="eastAsia" w:ascii="仿宋_GB2312" w:hAnsi="仿宋_GB2312" w:eastAsia="仿宋_GB2312" w:cs="仿宋_GB2312"/>
          <w:b/>
          <w:bCs/>
          <w:color w:val="auto"/>
          <w:sz w:val="32"/>
          <w:szCs w:val="32"/>
          <w:highlight w:val="none"/>
          <w:lang w:eastAsia="zh-CN"/>
        </w:rPr>
      </w:pPr>
    </w:p>
    <w:p>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color w:val="auto"/>
          <w:kern w:val="0"/>
          <w:sz w:val="32"/>
          <w:szCs w:val="32"/>
          <w:highlight w:val="none"/>
        </w:rPr>
        <w:t>、</w:t>
      </w:r>
      <w:r>
        <w:rPr>
          <w:rFonts w:hint="eastAsia" w:ascii="仿宋_GB2312" w:hAnsi="仿宋_GB2312" w:eastAsia="仿宋_GB2312" w:cs="仿宋_GB2312"/>
          <w:b/>
          <w:color w:val="auto"/>
          <w:kern w:val="0"/>
          <w:sz w:val="32"/>
          <w:szCs w:val="32"/>
          <w:highlight w:val="none"/>
          <w:lang w:val="zh-CN"/>
        </w:rPr>
        <w:t>政府采购供应商廉洁自律承诺书</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绍兴艺术学校</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kern w:val="0"/>
          <w:sz w:val="24"/>
          <w:highlight w:val="none"/>
          <w:lang w:val="zh-CN"/>
        </w:rPr>
        <w:t>：</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项目招标要求参加投标。在这次投标过程中和中标后，我们将严格遵守国家法律法规要求，并郑重承诺：</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四、不为项目有关人员及部门出国（境）、旅游等提供方便；</w:t>
      </w:r>
    </w:p>
    <w:p>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五、不为项目有关人员个人装修住房、婚丧嫁娶、配偶子女工作安排等提供</w:t>
      </w:r>
    </w:p>
    <w:p>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好处；</w:t>
      </w:r>
    </w:p>
    <w:p>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六、严格遵守《</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政府采购法》《</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招标投标</w:t>
      </w:r>
    </w:p>
    <w:p>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w:t>
      </w:r>
      <w:r>
        <w:rPr>
          <w:rFonts w:hint="eastAsia" w:ascii="仿宋_GB2312" w:hAnsi="仿宋_GB2312" w:eastAsia="仿宋_GB2312" w:cs="仿宋_GB2312"/>
          <w:color w:val="auto"/>
          <w:sz w:val="24"/>
          <w:highlight w:val="none"/>
          <w:lang w:val="zh-CN"/>
        </w:rPr>
        <w:t>《中华人民共和国民法典》</w:t>
      </w:r>
      <w:r>
        <w:rPr>
          <w:rFonts w:hint="eastAsia" w:ascii="仿宋_GB2312" w:hAnsi="仿宋_GB2312" w:eastAsia="仿宋_GB2312" w:cs="仿宋_GB2312"/>
          <w:color w:val="auto"/>
          <w:kern w:val="0"/>
          <w:sz w:val="24"/>
          <w:highlight w:val="none"/>
          <w:lang w:val="zh-CN"/>
        </w:rPr>
        <w:t xml:space="preserve">等法律法规，诚实守信，合法经营，坚决抵制各种违法违纪行为。 </w:t>
      </w:r>
    </w:p>
    <w:p>
      <w:pPr>
        <w:kinsoku/>
        <w:wordWrap w:val="0"/>
        <w:overflowPunct/>
        <w:topLinePunct w:val="0"/>
        <w:autoSpaceDE w:val="0"/>
        <w:autoSpaceDN w:val="0"/>
        <w:bidi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leftChars="1" w:right="1120" w:firstLine="4560" w:firstLineChars="19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w:t>
      </w:r>
      <w:r>
        <w:rPr>
          <w:rFonts w:hint="eastAsia" w:ascii="仿宋_GB2312" w:hAnsi="仿宋_GB2312" w:eastAsia="仿宋_GB2312" w:cs="仿宋_GB2312"/>
          <w:color w:val="auto"/>
          <w:sz w:val="24"/>
          <w:highlight w:val="none"/>
        </w:rPr>
        <w:t>电子签名</w:t>
      </w:r>
      <w:r>
        <w:rPr>
          <w:rFonts w:hint="eastAsia" w:ascii="仿宋_GB2312" w:hAnsi="仿宋_GB2312" w:eastAsia="仿宋_GB2312" w:cs="仿宋_GB2312"/>
          <w:color w:val="auto"/>
          <w:kern w:val="0"/>
          <w:sz w:val="24"/>
          <w:highlight w:val="none"/>
          <w:lang w:val="zh-CN"/>
        </w:rPr>
        <w:t xml:space="preserve">）：                                                                                                                                                                                                               </w:t>
      </w:r>
    </w:p>
    <w:p>
      <w:pPr>
        <w:kinsoku/>
        <w:wordWrap w:val="0"/>
        <w:overflowPunct/>
        <w:topLinePunct w:val="0"/>
        <w:bidi w:val="0"/>
        <w:spacing w:line="360" w:lineRule="auto"/>
        <w:ind w:left="4620" w:leftChars="2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 xml:space="preserve">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kinsoku/>
        <w:wordWrap w:val="0"/>
        <w:overflowPunct/>
        <w:topLinePunct w:val="0"/>
        <w:autoSpaceDE w:val="0"/>
        <w:autoSpaceDN w:val="0"/>
        <w:bidi w:val="0"/>
        <w:spacing w:line="360" w:lineRule="auto"/>
        <w:ind w:firstLine="12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647"/>
        <w:kinsoku/>
        <w:wordWrap w:val="0"/>
        <w:overflowPunct/>
        <w:topLinePunct w:val="0"/>
        <w:bidi w:val="0"/>
        <w:ind w:firstLine="0"/>
        <w:jc w:val="both"/>
        <w:rPr>
          <w:rFonts w:hint="eastAsia" w:ascii="仿宋_GB2312" w:hAnsi="仿宋_GB2312" w:eastAsia="仿宋_GB2312" w:cs="仿宋_GB2312"/>
          <w:color w:val="auto"/>
          <w:highlight w:val="none"/>
        </w:rPr>
      </w:pP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pacing w:val="6"/>
          <w:sz w:val="24"/>
          <w:highlight w:val="none"/>
        </w:rPr>
      </w:pPr>
      <w:r>
        <w:rPr>
          <w:rFonts w:hint="eastAsia" w:ascii="仿宋_GB2312" w:hAnsi="仿宋_GB2312" w:eastAsia="仿宋_GB2312" w:cs="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pPr>
        <w:kinsoku/>
        <w:wordWrap w:val="0"/>
        <w:overflowPunct/>
        <w:topLinePunct w:val="0"/>
        <w:autoSpaceDE w:val="0"/>
        <w:autoSpaceDN w:val="0"/>
        <w:bidi w:val="0"/>
        <w:spacing w:line="360" w:lineRule="auto"/>
        <w:ind w:firstLine="4560" w:firstLineChars="1900"/>
        <w:rPr>
          <w:rFonts w:hint="eastAsia" w:ascii="仿宋_GB2312" w:hAnsi="仿宋_GB2312" w:eastAsia="仿宋_GB2312" w:cs="仿宋_GB2312"/>
          <w:color w:val="auto"/>
          <w:kern w:val="0"/>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6"/>
          <w:szCs w:val="36"/>
          <w:highlight w:val="none"/>
          <w:lang w:val="zh-CN"/>
        </w:rPr>
      </w:pPr>
    </w:p>
    <w:p>
      <w:pPr>
        <w:pageBreakBefore/>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kinsoku/>
        <w:wordWrap w:val="0"/>
        <w:overflowPunct/>
        <w:topLinePunct w:val="0"/>
        <w:autoSpaceDE w:val="0"/>
        <w:autoSpaceDN w:val="0"/>
        <w:bidi w:val="0"/>
        <w:spacing w:line="360" w:lineRule="auto"/>
        <w:ind w:right="1400"/>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kinsoku/>
        <w:wordWrap w:val="0"/>
        <w:overflowPunct/>
        <w:topLinePunct w:val="0"/>
        <w:autoSpaceDE w:val="0"/>
        <w:autoSpaceDN w:val="0"/>
        <w:bidi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ind w:left="-36" w:leftChars="-17" w:right="-181" w:rightChars="-86"/>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ind w:firstLine="480" w:firstLineChars="200"/>
        <w:jc w:val="right"/>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color w:val="auto"/>
          <w:sz w:val="30"/>
          <w:szCs w:val="30"/>
          <w:highlight w:val="none"/>
          <w:lang w:eastAsia="zh-CN"/>
        </w:rPr>
      </w:pPr>
    </w:p>
    <w:p>
      <w:pPr>
        <w:pStyle w:val="79"/>
        <w:kinsoku/>
        <w:wordWrap w:val="0"/>
        <w:overflowPunct/>
        <w:topLinePunct w:val="0"/>
        <w:bidi w:val="0"/>
        <w:rPr>
          <w:rFonts w:hint="eastAsia" w:ascii="仿宋_GB2312" w:hAnsi="仿宋_GB2312" w:eastAsia="仿宋_GB2312" w:cs="仿宋_GB2312"/>
          <w:color w:val="auto"/>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p>
    <w:p>
      <w:pPr>
        <w:pStyle w:val="79"/>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79"/>
        <w:kinsoku/>
        <w:wordWrap w:val="0"/>
        <w:overflowPunct/>
        <w:topLinePunct w:val="0"/>
        <w:bidi w:val="0"/>
        <w:rPr>
          <w:rFonts w:hint="eastAsia" w:ascii="仿宋_GB2312" w:hAnsi="仿宋_GB2312" w:eastAsia="仿宋_GB2312" w:cs="仿宋_GB2312"/>
          <w:color w:val="auto"/>
          <w:highlight w:val="none"/>
        </w:rPr>
      </w:pP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kinsoku/>
        <w:wordWrap w:val="0"/>
        <w:overflowPunct/>
        <w:topLinePunct w:val="0"/>
        <w:autoSpaceDE w:val="0"/>
        <w:autoSpaceDN w:val="0"/>
        <w:bidi w:val="0"/>
        <w:spacing w:line="360" w:lineRule="auto"/>
        <w:ind w:firstLine="477"/>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napToGrid w:val="0"/>
        <w:spacing w:line="360" w:lineRule="auto"/>
        <w:ind w:firstLine="6907" w:firstLineChars="2150"/>
        <w:rPr>
          <w:rFonts w:hint="eastAsia" w:ascii="仿宋_GB2312" w:hAnsi="仿宋_GB2312" w:eastAsia="仿宋_GB2312" w:cs="仿宋_GB2312"/>
          <w:b/>
          <w:bCs/>
          <w:color w:val="auto"/>
          <w:sz w:val="32"/>
          <w:szCs w:val="32"/>
          <w:highlight w:val="none"/>
        </w:rPr>
      </w:pPr>
    </w:p>
    <w:p>
      <w:pPr>
        <w:kinsoku/>
        <w:wordWrap w:val="0"/>
        <w:overflowPunct/>
        <w:topLinePunct w:val="0"/>
        <w:bidi w:val="0"/>
        <w:snapToGrid w:val="0"/>
        <w:spacing w:line="360" w:lineRule="auto"/>
        <w:ind w:right="960"/>
        <w:jc w:val="both"/>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hint="eastAsia" w:ascii="仿宋_GB2312" w:hAnsi="仿宋_GB2312" w:eastAsia="仿宋_GB2312" w:cs="仿宋_GB2312"/>
          <w:color w:val="auto"/>
          <w:sz w:val="18"/>
          <w:szCs w:val="18"/>
          <w:highlight w:val="none"/>
        </w:rPr>
      </w:pPr>
    </w:p>
    <w:p>
      <w:pPr>
        <w:pStyle w:val="79"/>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bCs/>
          <w:color w:val="auto"/>
          <w:sz w:val="18"/>
          <w:szCs w:val="18"/>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kinsoku/>
        <w:wordWrap w:val="0"/>
        <w:overflowPunct/>
        <w:topLinePunct w:val="0"/>
        <w:autoSpaceDE w:val="0"/>
        <w:autoSpaceDN w:val="0"/>
        <w:bidi w:val="0"/>
        <w:spacing w:line="360" w:lineRule="auto"/>
        <w:ind w:firstLine="477"/>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80"/>
        <w:kinsoku/>
        <w:wordWrap w:val="0"/>
        <w:overflowPunct/>
        <w:topLinePunct w:val="0"/>
        <w:bidi w:val="0"/>
        <w:rPr>
          <w:rFonts w:hint="eastAsia" w:ascii="仿宋_GB2312" w:hAnsi="仿宋_GB2312" w:eastAsia="仿宋_GB2312" w:cs="仿宋_GB2312"/>
          <w:color w:val="auto"/>
          <w:highlight w:val="none"/>
        </w:rPr>
        <w:sectPr>
          <w:headerReference r:id="rId12" w:type="first"/>
          <w:footerReference r:id="rId14" w:type="first"/>
          <w:footerReference r:id="rId13" w:type="default"/>
          <w:pgSz w:w="11906" w:h="16838"/>
          <w:pgMar w:top="1276" w:right="1418" w:bottom="1247" w:left="1418" w:header="851" w:footer="992" w:gutter="0"/>
          <w:pgNumType w:fmt="decimal"/>
          <w:cols w:space="720" w:num="1"/>
          <w:titlePg/>
          <w:docGrid w:linePitch="312" w:charSpace="0"/>
        </w:sectPr>
      </w:pP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（1）开标一览表（报价表）………………………………………………………（页码）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（2）中小企业声明函………………………………………………………………（页码）</w:t>
      </w:r>
    </w:p>
    <w:p>
      <w:pPr>
        <w:pStyle w:val="23"/>
        <w:numPr>
          <w:ilvl w:val="0"/>
          <w:numId w:val="0"/>
        </w:num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（3）残疾人福利性单位声明函……………………………………………………（页码）</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both"/>
        <w:rPr>
          <w:rFonts w:hint="eastAsia" w:ascii="仿宋_GB2312" w:hAnsi="仿宋_GB2312" w:eastAsia="仿宋_GB2312" w:cs="仿宋_GB2312"/>
          <w:b/>
          <w:color w:val="auto"/>
          <w:kern w:val="0"/>
          <w:sz w:val="32"/>
          <w:szCs w:val="32"/>
          <w:highlight w:val="none"/>
        </w:r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footerReference r:id="rId17" w:type="first"/>
          <w:headerReference r:id="rId15" w:type="default"/>
          <w:footerReference r:id="rId16" w:type="default"/>
          <w:pgSz w:w="11906" w:h="16838"/>
          <w:pgMar w:top="1276" w:right="1418" w:bottom="1247" w:left="1418" w:header="851" w:footer="992" w:gutter="0"/>
          <w:pgNumType w:fmt="decimal"/>
          <w:cols w:space="720" w:num="1"/>
          <w:titlePg/>
          <w:docGrid w:linePitch="312" w:charSpace="0"/>
        </w:sect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一、开标一览表（报价表）</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绍兴艺术学校</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ind w:firstLine="482"/>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color w:val="auto"/>
          <w:sz w:val="24"/>
          <w:highlight w:val="none"/>
          <w:lang w:eastAsia="zh-CN"/>
        </w:rPr>
        <w:t xml:space="preserve">绍兴艺术学校2025物业管理项目 </w:t>
      </w:r>
      <w:r>
        <w:rPr>
          <w:rFonts w:hint="eastAsia" w:ascii="仿宋_GB2312" w:hAnsi="仿宋_GB2312" w:eastAsia="仿宋_GB2312" w:cs="仿宋_GB2312"/>
          <w:color w:val="auto"/>
          <w:kern w:val="0"/>
          <w:sz w:val="24"/>
          <w:highlight w:val="none"/>
          <w:lang w:val="zh-CN"/>
        </w:rPr>
        <w:t>【招标编号：</w:t>
      </w:r>
      <w:r>
        <w:rPr>
          <w:rFonts w:hint="eastAsia" w:ascii="仿宋_GB2312" w:hAnsi="仿宋_GB2312" w:eastAsia="仿宋_GB2312" w:cs="仿宋_GB2312"/>
          <w:color w:val="auto"/>
          <w:sz w:val="24"/>
          <w:highlight w:val="none"/>
          <w:lang w:eastAsia="zh-CN"/>
        </w:rPr>
        <w:t>2025-01-0010</w:t>
      </w:r>
      <w:r>
        <w:rPr>
          <w:rFonts w:hint="eastAsia" w:ascii="仿宋_GB2312" w:hAnsi="仿宋_GB2312" w:eastAsia="仿宋_GB2312" w:cs="仿宋_GB2312"/>
          <w:color w:val="auto"/>
          <w:sz w:val="24"/>
          <w:highlight w:val="none"/>
        </w:rPr>
        <w:t>】的实施</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jc w:val="center"/>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87"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名称</w:t>
            </w:r>
          </w:p>
        </w:tc>
        <w:tc>
          <w:tcPr>
            <w:tcW w:w="657" w:type="pct"/>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服务范围</w:t>
            </w:r>
          </w:p>
        </w:tc>
        <w:tc>
          <w:tcPr>
            <w:tcW w:w="698"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服务要求</w:t>
            </w:r>
          </w:p>
        </w:tc>
        <w:tc>
          <w:tcPr>
            <w:tcW w:w="657"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服务时间</w:t>
            </w: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服务标准</w:t>
            </w: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服务人数</w:t>
            </w: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lang w:val="en-US" w:eastAsia="zh-CN"/>
              </w:rPr>
              <w:t>服务单价</w:t>
            </w: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备注（如有）</w:t>
            </w: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28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XX</w:t>
            </w: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28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XX</w:t>
            </w: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28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28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28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投标报价（小写）</w:t>
            </w:r>
          </w:p>
        </w:tc>
        <w:tc>
          <w:tcPr>
            <w:tcW w:w="2504" w:type="pct"/>
            <w:gridSpan w:val="4"/>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投标报价（大写）</w:t>
            </w:r>
          </w:p>
        </w:tc>
        <w:tc>
          <w:tcPr>
            <w:tcW w:w="2504" w:type="pct"/>
            <w:gridSpan w:val="4"/>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bidi w:val="0"/>
        <w:snapToGrid w:val="0"/>
        <w:spacing w:line="360" w:lineRule="auto"/>
        <w:ind w:left="480"/>
        <w:rPr>
          <w:rFonts w:hint="eastAsia" w:ascii="仿宋_GB2312" w:hAnsi="仿宋_GB2312" w:eastAsia="仿宋_GB2312" w:cs="仿宋_GB2312"/>
          <w:b/>
          <w:color w:val="auto"/>
          <w:kern w:val="0"/>
          <w:sz w:val="24"/>
          <w:highlight w:val="none"/>
          <w:lang w:val="zh-CN"/>
        </w:rPr>
      </w:pPr>
    </w:p>
    <w:p>
      <w:pPr>
        <w:kinsoku/>
        <w:wordWrap w:val="0"/>
        <w:overflowPunct/>
        <w:topLinePunct w:val="0"/>
        <w:bidi w:val="0"/>
        <w:snapToGrid w:val="0"/>
        <w:spacing w:line="360" w:lineRule="auto"/>
        <w:ind w:left="480" w:firstLine="9120" w:firstLineChars="3800"/>
        <w:rPr>
          <w:rFonts w:hint="eastAsia" w:ascii="仿宋_GB2312" w:hAnsi="仿宋_GB2312" w:eastAsia="仿宋_GB2312" w:cs="仿宋_GB2312"/>
          <w:b/>
          <w:color w:val="auto"/>
          <w:kern w:val="0"/>
          <w:sz w:val="24"/>
          <w:highlight w:val="none"/>
          <w:lang w:val="en-US"/>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r>
        <w:rPr>
          <w:rFonts w:hint="eastAsia" w:ascii="仿宋_GB2312" w:hAnsi="仿宋_GB2312" w:eastAsia="仿宋_GB2312" w:cs="仿宋_GB2312"/>
          <w:color w:val="auto"/>
          <w:sz w:val="24"/>
          <w:highlight w:val="none"/>
          <w:lang w:val="en-US"/>
        </w:rPr>
        <w:t>:</w:t>
      </w:r>
    </w:p>
    <w:p>
      <w:pPr>
        <w:kinsoku/>
        <w:wordWrap w:val="0"/>
        <w:overflowPunct/>
        <w:topLinePunct w:val="0"/>
        <w:bidi w:val="0"/>
        <w:snapToGrid w:val="0"/>
        <w:spacing w:line="360" w:lineRule="auto"/>
        <w:ind w:firstLine="9600" w:firstLineChars="4000"/>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sz w:val="24"/>
          <w:highlight w:val="none"/>
        </w:rPr>
        <w:t>日期：  年   月   日</w:t>
      </w:r>
    </w:p>
    <w:p>
      <w:pPr>
        <w:kinsoku/>
        <w:wordWrap w:val="0"/>
        <w:overflowPunct/>
        <w:topLinePunct w:val="0"/>
        <w:bidi w:val="0"/>
        <w:snapToGrid w:val="0"/>
        <w:spacing w:line="360" w:lineRule="auto"/>
        <w:ind w:left="480"/>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注：</w:t>
      </w:r>
    </w:p>
    <w:p>
      <w:pPr>
        <w:kinsoku/>
        <w:wordWrap w:val="0"/>
        <w:overflowPunct/>
        <w:topLinePunct w:val="0"/>
        <w:bidi w:val="0"/>
        <w:spacing w:line="360" w:lineRule="auto"/>
        <w:ind w:left="-2" w:leftChars="-1" w:firstLine="480" w:firstLineChars="2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1、投标人需按本表格式填写</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2、有关本项目实施所涉及的一切费用均计入报价。</w:t>
      </w:r>
      <w:r>
        <w:rPr>
          <w:rFonts w:hint="eastAsia" w:ascii="仿宋_GB2312" w:hAnsi="仿宋_GB2312" w:eastAsia="仿宋_GB2312" w:cs="仿宋_GB2312"/>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不得出现“0元”“免费赠送”等形式的无偿报价，</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；采购内容未包含在《开标一览表（报价表）》名称栏中，投标人不能作出合理解释的，</w:t>
      </w:r>
      <w:r>
        <w:rPr>
          <w:rFonts w:hint="eastAsia" w:ascii="仿宋_GB2312" w:hAnsi="仿宋_GB2312" w:eastAsia="仿宋_GB2312" w:cs="仿宋_GB2312"/>
          <w:b/>
          <w:color w:val="auto"/>
          <w:kern w:val="0"/>
          <w:sz w:val="24"/>
          <w:highlight w:val="none"/>
        </w:rPr>
        <w:t>视为</w:t>
      </w:r>
      <w:r>
        <w:rPr>
          <w:rFonts w:hint="eastAsia" w:ascii="仿宋_GB2312" w:hAnsi="仿宋_GB2312" w:eastAsia="仿宋_GB2312" w:cs="仿宋_GB2312"/>
          <w:b/>
          <w:color w:val="auto"/>
          <w:sz w:val="24"/>
          <w:highlight w:val="none"/>
        </w:rPr>
        <w:t>投标文件含有采购人不能接受的附加条件的，投标无效。</w:t>
      </w:r>
    </w:p>
    <w:p>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szCs w:val="22"/>
          <w:highlight w:val="none"/>
          <w:lang w:val="zh-CN"/>
        </w:rPr>
        <w:t>4、</w:t>
      </w:r>
      <w:r>
        <w:rPr>
          <w:rFonts w:hint="eastAsia" w:ascii="仿宋_GB2312" w:hAnsi="仿宋_GB2312" w:eastAsia="仿宋_GB2312" w:cs="仿宋_GB2312"/>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wordWrap w:val="0"/>
        <w:overflowPunct/>
        <w:topLinePunct w:val="0"/>
        <w:bidi w:val="0"/>
        <w:spacing w:line="360" w:lineRule="auto"/>
        <w:ind w:firstLine="482" w:firstLineChars="200"/>
        <w:rPr>
          <w:rFonts w:hint="eastAsia" w:ascii="仿宋_GB2312" w:hAnsi="仿宋_GB2312" w:eastAsia="仿宋_GB2312" w:cs="仿宋_GB2312"/>
          <w:b/>
          <w:color w:val="auto"/>
          <w:kern w:val="0"/>
          <w:sz w:val="24"/>
          <w:highlight w:val="none"/>
        </w:r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rPr>
        <w:t>二、</w:t>
      </w:r>
      <w:r>
        <w:rPr>
          <w:rFonts w:hint="eastAsia" w:ascii="仿宋_GB2312" w:hAnsi="仿宋_GB2312" w:eastAsia="仿宋_GB2312" w:cs="仿宋_GB2312"/>
          <w:color w:val="auto"/>
          <w:sz w:val="32"/>
          <w:szCs w:val="32"/>
          <w:highlight w:val="none"/>
        </w:rPr>
        <w:t>中小企业声明函（如有）</w:t>
      </w:r>
    </w:p>
    <w:p>
      <w:pPr>
        <w:widowControl/>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kinsoku/>
        <w:wordWrap w:val="0"/>
        <w:overflowPunct/>
        <w:topLinePunct w:val="0"/>
        <w:bidi w:val="0"/>
        <w:rPr>
          <w:rFonts w:hint="eastAsia" w:ascii="仿宋_GB2312" w:hAnsi="仿宋_GB2312" w:eastAsia="仿宋_GB2312" w:cs="仿宋_GB2312"/>
          <w:b/>
          <w:color w:val="auto"/>
          <w:sz w:val="24"/>
          <w:highlight w:val="none"/>
        </w:rPr>
      </w:pPr>
    </w:p>
    <w:p>
      <w:pPr>
        <w:pStyle w:val="80"/>
        <w:kinsoku/>
        <w:wordWrap w:val="0"/>
        <w:overflowPunct/>
        <w:topLinePunct w:val="0"/>
        <w:bidi w:val="0"/>
        <w:rPr>
          <w:rFonts w:hint="eastAsia" w:ascii="仿宋_GB2312" w:hAnsi="仿宋_GB2312" w:eastAsia="仿宋_GB2312" w:cs="仿宋_GB2312"/>
          <w:b/>
          <w:color w:val="auto"/>
          <w:sz w:val="24"/>
          <w:highlight w:val="none"/>
        </w:rPr>
      </w:pPr>
    </w:p>
    <w:p>
      <w:pPr>
        <w:kinsoku/>
        <w:wordWrap w:val="0"/>
        <w:overflowPunct/>
        <w:topLinePunct w:val="0"/>
        <w:bidi w:val="0"/>
        <w:rPr>
          <w:rFonts w:hint="eastAsia" w:ascii="仿宋_GB2312" w:hAnsi="仿宋_GB2312" w:eastAsia="仿宋_GB2312" w:cs="仿宋_GB2312"/>
          <w:b/>
          <w:color w:val="auto"/>
          <w:sz w:val="24"/>
          <w:highlight w:val="none"/>
        </w:rPr>
      </w:pPr>
    </w:p>
    <w:p>
      <w:pPr>
        <w:pStyle w:val="79"/>
        <w:kinsoku/>
        <w:wordWrap w:val="0"/>
        <w:overflowPunct/>
        <w:topLinePunct w:val="0"/>
        <w:bidi w:val="0"/>
        <w:rPr>
          <w:rFonts w:hint="eastAsia" w:ascii="仿宋_GB2312" w:hAnsi="仿宋_GB2312" w:eastAsia="仿宋_GB2312" w:cs="仿宋_GB2312"/>
          <w:b/>
          <w:color w:val="auto"/>
          <w:sz w:val="24"/>
          <w:highlight w:val="none"/>
        </w:rPr>
      </w:pPr>
    </w:p>
    <w:p>
      <w:pPr>
        <w:pStyle w:val="80"/>
        <w:kinsoku/>
        <w:wordWrap w:val="0"/>
        <w:overflowPunct/>
        <w:topLinePunct w:val="0"/>
        <w:bidi w:val="0"/>
        <w:rPr>
          <w:rFonts w:hint="eastAsia" w:ascii="仿宋_GB2312" w:hAnsi="仿宋_GB2312" w:eastAsia="仿宋_GB2312" w:cs="仿宋_GB2312"/>
          <w:b/>
          <w:color w:val="auto"/>
          <w:sz w:val="24"/>
          <w:highlight w:val="none"/>
        </w:rPr>
      </w:pPr>
    </w:p>
    <w:p>
      <w:pPr>
        <w:kinsoku/>
        <w:wordWrap w:val="0"/>
        <w:overflowPunct/>
        <w:topLinePunct w:val="0"/>
        <w:bidi w:val="0"/>
        <w:rPr>
          <w:rFonts w:hint="eastAsia" w:ascii="仿宋_GB2312" w:hAnsi="仿宋_GB2312" w:eastAsia="仿宋_GB2312" w:cs="仿宋_GB2312"/>
          <w:color w:val="auto"/>
          <w:highlight w:val="none"/>
          <w:lang w:eastAsia="zh-CN"/>
        </w:rPr>
      </w:pPr>
    </w:p>
    <w:p>
      <w:pPr>
        <w:widowControl/>
        <w:kinsoku/>
        <w:wordWrap w:val="0"/>
        <w:overflowPunct/>
        <w:topLinePunct w:val="0"/>
        <w:bidi w:val="0"/>
        <w:spacing w:line="360" w:lineRule="auto"/>
        <w:ind w:firstLine="161" w:firstLineChars="50"/>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lang w:eastAsia="zh-CN"/>
        </w:rPr>
        <w:t>三、残疾人福利性单位声明函（如有）</w:t>
      </w:r>
    </w:p>
    <w:p>
      <w:pPr>
        <w:pStyle w:val="23"/>
        <w:widowControl/>
        <w:numPr>
          <w:ilvl w:val="0"/>
          <w:numId w:val="0"/>
        </w:numPr>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[符合条件的残疾人福利性单位，提供残疾人福利性单位声明函(附件6)，否则不需要提供。]</w:t>
      </w: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b w:val="0"/>
          <w:color w:val="auto"/>
          <w:sz w:val="32"/>
          <w:szCs w:val="32"/>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pStyle w:val="4"/>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附件</w:t>
      </w: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附件1：质疑函范本及制作说明</w:t>
      </w: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质疑函范本</w:t>
      </w:r>
    </w:p>
    <w:p>
      <w:pPr>
        <w:kinsoku/>
        <w:wordWrap w:val="0"/>
        <w:overflowPunct/>
        <w:topLinePunct w:val="0"/>
        <w:bidi w:val="0"/>
        <w:snapToGrid w:val="0"/>
        <w:spacing w:before="240" w:beforeLines="100"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一、质疑供应商基本信息</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质疑供应商：</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地址： </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二、质疑项目基本情况</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采购文件获取日期：</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三、质疑事项具体内容</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质疑事项1：</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质疑事项2</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四、与质疑事项相关的质疑请求</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质疑函制作说明：</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1.供应商提出质疑时，应提交质疑函和必要的证明材料。</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2.质疑供应商若委托代理人进行质疑的，质疑函应按要求列明“授权代表”的有关内容，并在附件中提交由质疑</w:t>
      </w:r>
      <w:r>
        <w:rPr>
          <w:rFonts w:hint="eastAsia" w:ascii="仿宋_GB2312" w:hAnsi="仿宋_GB2312" w:eastAsia="仿宋_GB2312" w:cs="仿宋_GB2312"/>
          <w:color w:val="auto"/>
          <w:kern w:val="0"/>
          <w:sz w:val="24"/>
          <w:highlight w:val="none"/>
        </w:rPr>
        <w:t>供应商签署的授权委托书。授权委托书应载明代理人的姓名或者名称、代理事项、具体权限、期限和相关事项。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3.质疑供应商若对项目的某一分包进行质疑，质疑函中应列明具体分包号。</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4.质疑函的质疑事项应具体、明确，并有必要的事实依据和法律依据。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5.质疑函的质疑请求应与质疑事项相关。</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kinsoku/>
        <w:wordWrap w:val="0"/>
        <w:overflowPunct/>
        <w:topLinePunct w:val="0"/>
        <w:bidi w:val="0"/>
        <w:spacing w:line="360" w:lineRule="auto"/>
        <w:ind w:firstLine="600" w:firstLineChars="200"/>
        <w:jc w:val="left"/>
        <w:rPr>
          <w:rFonts w:hint="eastAsia" w:ascii="仿宋_GB2312" w:hAnsi="仿宋_GB2312" w:eastAsia="仿宋_GB2312" w:cs="仿宋_GB2312"/>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2</w:t>
      </w:r>
      <w:r>
        <w:rPr>
          <w:rFonts w:hint="eastAsia" w:ascii="仿宋_GB2312" w:hAnsi="仿宋_GB2312" w:eastAsia="仿宋_GB2312" w:cs="仿宋_GB2312"/>
          <w:b/>
          <w:color w:val="auto"/>
          <w:spacing w:val="6"/>
          <w:sz w:val="32"/>
          <w:szCs w:val="32"/>
          <w:highlight w:val="none"/>
        </w:rPr>
        <w:t>：投诉书范本及制作说明</w:t>
      </w: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投诉书范本</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一、投诉相关主体基本情况</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tabs>
          <w:tab w:val="left" w:pos="6510"/>
        </w:tabs>
        <w:kinsoku/>
        <w:wordWrap w:val="0"/>
        <w:overflowPunct/>
        <w:topLinePunct w:val="0"/>
        <w:bidi w:val="0"/>
        <w:spacing w:line="360"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法定代表人/主要负责人：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tabs>
          <w:tab w:val="left" w:pos="6510"/>
        </w:tabs>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被投诉人1：</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被投诉人2</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相关供应商：</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二、投诉项目基本情况</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采购项目名称：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采购项目编号：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代理机构名称：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采购文件公告: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采购结果公告: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三、质疑基本情况</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日,向</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提出质疑，质疑事项为：</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采购人/代理机构</w:t>
      </w:r>
      <w:r>
        <w:rPr>
          <w:rFonts w:hint="eastAsia" w:ascii="仿宋_GB2312" w:hAnsi="仿宋_GB2312" w:eastAsia="仿宋_GB2312" w:cs="仿宋_GB2312"/>
          <w:color w:val="auto"/>
          <w:sz w:val="24"/>
          <w:highlight w:val="none"/>
        </w:rPr>
        <w:t>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日,就质疑事项作出了答复/没有在法定期限内作出答复。</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四、投诉事项具体内容</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投诉事项 1：</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投诉事项2</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五、与投诉事项相关的投诉请求</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投诉书制作说明：</w:t>
      </w:r>
    </w:p>
    <w:p>
      <w:pPr>
        <w:widowControl/>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1.投诉人提起投诉时，应当提交投诉书和必要的证明材料，并按照被投诉人和与投诉事项有关的供应商数量提供投诉书副本。</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2.投诉人若委托代理人进行投诉的，投诉书应按照要求列明“授权代表”的有关内容，并在附件中提交由</w:t>
      </w:r>
      <w:r>
        <w:rPr>
          <w:rFonts w:hint="eastAsia" w:ascii="仿宋_GB2312" w:hAnsi="仿宋_GB2312" w:eastAsia="仿宋_GB2312" w:cs="仿宋_GB2312"/>
          <w:color w:val="auto"/>
          <w:kern w:val="0"/>
          <w:sz w:val="24"/>
          <w:highlight w:val="none"/>
        </w:rPr>
        <w:t>投诉人签署的授权委托书。授权委托书应当载明代理人的姓名或者名称、代理事项、具体权限、期限和相关事项。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3.投诉人若对项目的某一分包进行投诉，投诉书应列明具体分包号。</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4.投诉书应简要列明质疑事项，质疑函、质疑答复等作为附件材料提供。</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5.投诉书的投诉事项应具体、明确，并有必要的事实依据和法律依据。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6.投诉书的投诉请求应与投诉事项相关。</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7.投诉人为自然人的，投诉书应当由本人签字；投诉人为法人或者其他组织的，投诉书应当由法定代表人、主要负责人，或者其授权代表签字或者盖章，并加盖公章。</w:t>
      </w: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3</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bCs/>
          <w:color w:val="auto"/>
          <w:sz w:val="32"/>
          <w:szCs w:val="32"/>
          <w:highlight w:val="none"/>
        </w:rPr>
        <w:t>业务专用章使用说明函</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p>
    <w:p>
      <w:pPr>
        <w:keepNext w:val="0"/>
        <w:keepLines w:val="0"/>
        <w:pageBreakBefore w:val="0"/>
        <w:widowControl w:val="0"/>
        <w:kinsoku/>
        <w:wordWrap w:val="0"/>
        <w:overflowPunct/>
        <w:topLinePunct w:val="0"/>
        <w:autoSpaceDE/>
        <w:autoSpaceDN/>
        <w:bidi w:val="0"/>
        <w:adjustRightInd w:val="0"/>
        <w:snapToGrid/>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eastAsia="zh-CN"/>
        </w:rPr>
        <w:t>绍兴艺术学校</w:t>
      </w:r>
      <w:r>
        <w:rPr>
          <w:rFonts w:hint="eastAsia" w:ascii="仿宋_GB2312" w:hAnsi="仿宋_GB2312" w:eastAsia="仿宋_GB2312" w:cs="仿宋_GB2312"/>
          <w:color w:val="auto"/>
          <w:sz w:val="24"/>
          <w:highlight w:val="none"/>
          <w:u w:val="single"/>
        </w:rPr>
        <w:t>、</w:t>
      </w:r>
      <w:r>
        <w:rPr>
          <w:rFonts w:hint="eastAsia" w:ascii="仿宋_GB2312" w:hAnsi="仿宋_GB2312" w:eastAsia="仿宋_GB2312" w:cs="仿宋_GB2312"/>
          <w:color w:val="auto"/>
          <w:sz w:val="24"/>
          <w:highlight w:val="none"/>
          <w:u w:val="single"/>
          <w:lang w:eastAsia="zh-CN"/>
        </w:rPr>
        <w:t>绍兴市公共资源交易中心</w:t>
      </w:r>
      <w:r>
        <w:rPr>
          <w:rFonts w:hint="eastAsia" w:ascii="仿宋_GB2312" w:hAnsi="仿宋_GB2312" w:eastAsia="仿宋_GB2312" w:cs="仿宋_GB2312"/>
          <w:color w:val="auto"/>
          <w:sz w:val="24"/>
          <w:highlight w:val="none"/>
          <w:u w:val="single"/>
        </w:rPr>
        <w:t>：</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我方</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sz w:val="24"/>
          <w:highlight w:val="none"/>
        </w:rPr>
        <w:t>(投标人全称)是中华人民共和国依法登记注册的合法企业，</w:t>
      </w:r>
      <w:r>
        <w:rPr>
          <w:rFonts w:hint="eastAsia" w:ascii="仿宋_GB2312" w:hAnsi="仿宋_GB2312" w:eastAsia="仿宋_GB2312" w:cs="仿宋_GB2312"/>
          <w:bCs/>
          <w:color w:val="auto"/>
          <w:sz w:val="24"/>
          <w:highlight w:val="none"/>
        </w:rPr>
        <w:t>在参加</w:t>
      </w:r>
      <w:r>
        <w:rPr>
          <w:rFonts w:hint="eastAsia" w:ascii="仿宋_GB2312" w:hAnsi="仿宋_GB2312" w:eastAsia="仿宋_GB2312" w:cs="仿宋_GB2312"/>
          <w:color w:val="auto"/>
          <w:sz w:val="24"/>
          <w:highlight w:val="none"/>
        </w:rPr>
        <w:t>你方组织的</w:t>
      </w:r>
      <w:r>
        <w:rPr>
          <w:rFonts w:hint="eastAsia" w:ascii="仿宋_GB2312" w:hAnsi="仿宋_GB2312" w:eastAsia="仿宋_GB2312" w:cs="仿宋_GB2312"/>
          <w:color w:val="auto"/>
          <w:sz w:val="24"/>
          <w:highlight w:val="none"/>
          <w:lang w:eastAsia="zh-CN"/>
        </w:rPr>
        <w:t xml:space="preserve">绍兴艺术学校2025物业管理项目 </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2025-01-0010</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Cs/>
          <w:color w:val="auto"/>
          <w:sz w:val="24"/>
          <w:highlight w:val="none"/>
        </w:rPr>
        <w:t>投标活动中作如下说明：</w:t>
      </w:r>
      <w:r>
        <w:rPr>
          <w:rFonts w:hint="eastAsia" w:ascii="仿宋_GB2312" w:hAnsi="仿宋_GB2312" w:eastAsia="仿宋_GB2312" w:cs="仿宋_GB2312"/>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特此说明。</w:t>
      </w: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right="480" w:firstLine="4080" w:firstLineChars="17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投标单位（法定名称章）：</w:t>
      </w:r>
    </w:p>
    <w:p>
      <w:pPr>
        <w:kinsoku/>
        <w:wordWrap w:val="0"/>
        <w:overflowPunct/>
        <w:topLinePunct w:val="0"/>
        <w:bidi w:val="0"/>
        <w:ind w:right="1440" w:firstLine="494"/>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附：</w:t>
      </w:r>
    </w:p>
    <w:p>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_GB2312" w:hAnsi="仿宋_GB2312" w:eastAsia="仿宋_GB2312" w:cs="仿宋_GB2312"/>
          <w:color w:val="auto"/>
          <w:sz w:val="24"/>
          <w:highlight w:val="none"/>
        </w:rPr>
        <w:t>投标单位法定名称章（印模）                投标单位“XX专用章”（印模）</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4</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lang w:val="zh-CN"/>
        </w:rPr>
        <w:t>联合协议</w:t>
      </w:r>
    </w:p>
    <w:p>
      <w:pPr>
        <w:keepNext w:val="0"/>
        <w:keepLines w:val="0"/>
        <w:pageBreakBefore w:val="0"/>
        <w:widowControl/>
        <w:kinsoku/>
        <w:wordWrap w:val="0"/>
        <w:overflowPunct/>
        <w:topLinePunct w:val="0"/>
        <w:autoSpaceDE/>
        <w:autoSpaceDN/>
        <w:bidi w:val="0"/>
        <w:adjustRightInd w:val="0"/>
        <w:spacing w:line="440" w:lineRule="exact"/>
        <w:ind w:righ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（联合体所有成员名称）</w:t>
      </w:r>
      <w:r>
        <w:rPr>
          <w:rFonts w:hint="eastAsia" w:ascii="仿宋_GB2312" w:hAnsi="仿宋_GB2312" w:eastAsia="仿宋_GB2312" w:cs="仿宋_GB2312"/>
          <w:color w:val="auto"/>
          <w:kern w:val="0"/>
          <w:sz w:val="24"/>
          <w:highlight w:val="none"/>
        </w:rPr>
        <w:t>自愿</w:t>
      </w:r>
      <w:r>
        <w:rPr>
          <w:rFonts w:hint="eastAsia" w:ascii="仿宋_GB2312" w:hAnsi="仿宋_GB2312" w:eastAsia="仿宋_GB2312" w:cs="仿宋_GB2312"/>
          <w:color w:val="auto"/>
          <w:kern w:val="0"/>
          <w:sz w:val="24"/>
          <w:highlight w:val="none"/>
          <w:lang w:val="zh-CN"/>
        </w:rPr>
        <w:t>组成一个联合体，以一个投标人的身份</w:t>
      </w:r>
      <w:r>
        <w:rPr>
          <w:rFonts w:hint="eastAsia" w:ascii="仿宋_GB2312" w:hAnsi="仿宋_GB2312" w:eastAsia="仿宋_GB2312" w:cs="仿宋_GB2312"/>
          <w:color w:val="auto"/>
          <w:kern w:val="0"/>
          <w:sz w:val="24"/>
          <w:highlight w:val="none"/>
        </w:rPr>
        <w:t>参加</w:t>
      </w:r>
      <w:r>
        <w:rPr>
          <w:rFonts w:hint="eastAsia" w:ascii="仿宋_GB2312" w:hAnsi="仿宋_GB2312" w:eastAsia="仿宋_GB2312" w:cs="仿宋_GB2312"/>
          <w:color w:val="auto"/>
          <w:sz w:val="24"/>
          <w:highlight w:val="none"/>
          <w:lang w:eastAsia="zh-CN"/>
        </w:rPr>
        <w:t xml:space="preserve">绍兴艺术学校2025物业管理项目 </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2025-01-0010</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投标。 </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一、各方一致决定，</w:t>
      </w:r>
      <w:r>
        <w:rPr>
          <w:rFonts w:hint="eastAsia" w:ascii="仿宋_GB2312" w:hAnsi="仿宋_GB2312" w:eastAsia="仿宋_GB2312" w:cs="仿宋_GB2312"/>
          <w:color w:val="auto"/>
          <w:kern w:val="0"/>
          <w:sz w:val="24"/>
          <w:highlight w:val="none"/>
          <w:u w:val="single"/>
        </w:rPr>
        <w:t>（某联合体成员名称）</w:t>
      </w:r>
      <w:r>
        <w:rPr>
          <w:rFonts w:hint="eastAsia" w:ascii="仿宋_GB2312" w:hAnsi="仿宋_GB2312" w:eastAsia="仿宋_GB2312" w:cs="仿宋_GB2312"/>
          <w:color w:val="auto"/>
          <w:kern w:val="0"/>
          <w:sz w:val="24"/>
          <w:highlight w:val="none"/>
        </w:rPr>
        <w:t>为联合体</w:t>
      </w:r>
      <w:r>
        <w:rPr>
          <w:rFonts w:hint="eastAsia" w:ascii="仿宋_GB2312" w:hAnsi="仿宋_GB2312" w:eastAsia="仿宋_GB2312" w:cs="仿宋_GB2312"/>
          <w:color w:val="auto"/>
          <w:kern w:val="0"/>
          <w:sz w:val="24"/>
          <w:highlight w:val="none"/>
          <w:lang w:val="zh-CN"/>
        </w:rPr>
        <w:t>牵头人</w:t>
      </w:r>
      <w:r>
        <w:rPr>
          <w:rFonts w:hint="eastAsia" w:ascii="仿宋_GB2312" w:hAnsi="仿宋_GB2312" w:eastAsia="仿宋_GB2312" w:cs="仿宋_GB2312"/>
          <w:color w:val="auto"/>
          <w:sz w:val="24"/>
          <w:highlight w:val="none"/>
        </w:rPr>
        <w:t>，代表所有联合体成员负责投标和合同实施阶段的主办、协调工作</w:t>
      </w: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w:t>
      </w:r>
      <w:r>
        <w:rPr>
          <w:rFonts w:hint="eastAsia" w:ascii="仿宋_GB2312" w:hAnsi="仿宋_GB2312" w:eastAsia="仿宋_GB2312" w:cs="仿宋_GB2312"/>
          <w:color w:val="auto"/>
          <w:sz w:val="24"/>
          <w:highlight w:val="none"/>
        </w:rPr>
        <w:t>所有联合体成员各方签署授权书，授权书载明的</w:t>
      </w:r>
      <w:r>
        <w:rPr>
          <w:rFonts w:hint="eastAsia" w:ascii="仿宋_GB2312" w:hAnsi="仿宋_GB2312" w:eastAsia="仿宋_GB2312" w:cs="仿宋_GB2312"/>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三、本次联合投标中，分工如下：</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（联合体成员1）</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（联合体成员2）</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四、联合体成员中小企业合同份额。</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lang w:val="zh-CN"/>
        </w:rPr>
        <w:t>1、</w:t>
      </w:r>
      <w:r>
        <w:rPr>
          <w:rFonts w:hint="eastAsia" w:ascii="仿宋_GB2312" w:hAnsi="仿宋_GB2312" w:eastAsia="仿宋_GB2312" w:cs="仿宋_GB2312"/>
          <w:color w:val="auto"/>
          <w:kern w:val="0"/>
          <w:sz w:val="24"/>
          <w:highlight w:val="none"/>
          <w:u w:val="single"/>
        </w:rPr>
        <w:t>（</w:t>
      </w:r>
      <w:bookmarkStart w:id="158" w:name="_Hlk101131882"/>
      <w:r>
        <w:rPr>
          <w:rFonts w:hint="eastAsia" w:ascii="仿宋_GB2312" w:hAnsi="仿宋_GB2312" w:eastAsia="仿宋_GB2312" w:cs="仿宋_GB2312"/>
          <w:color w:val="auto"/>
          <w:kern w:val="0"/>
          <w:sz w:val="24"/>
          <w:highlight w:val="none"/>
          <w:u w:val="single"/>
        </w:rPr>
        <w:t>联合体成员X,……</w:t>
      </w:r>
      <w:bookmarkEnd w:id="158"/>
      <w:r>
        <w:rPr>
          <w:rFonts w:hint="eastAsia" w:ascii="仿宋_GB2312" w:hAnsi="仿宋_GB2312" w:eastAsia="仿宋_GB2312" w:cs="仿宋_GB2312"/>
          <w:color w:val="auto"/>
          <w:kern w:val="0"/>
          <w:sz w:val="24"/>
          <w:highlight w:val="none"/>
          <w:u w:val="single"/>
        </w:rPr>
        <w:t>）</w:t>
      </w:r>
      <w:r>
        <w:rPr>
          <w:rFonts w:hint="eastAsia" w:ascii="仿宋_GB2312" w:hAnsi="仿宋_GB2312" w:eastAsia="仿宋_GB2312" w:cs="仿宋_GB2312"/>
          <w:color w:val="auto"/>
          <w:kern w:val="0"/>
          <w:sz w:val="24"/>
          <w:highlight w:val="none"/>
        </w:rPr>
        <w:t>提供的服务由小微企业承接，其合同份额占到合同总金额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w:t>
      </w:r>
      <w:bookmarkStart w:id="159" w:name="_Hlk101133598"/>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bookmarkEnd w:id="159"/>
      <w:r>
        <w:rPr>
          <w:rFonts w:hint="eastAsia" w:ascii="仿宋_GB2312" w:hAnsi="仿宋_GB2312" w:eastAsia="仿宋_GB2312" w:cs="仿宋_GB2312"/>
          <w:b/>
          <w:color w:val="auto"/>
          <w:kern w:val="0"/>
          <w:sz w:val="24"/>
          <w:highlight w:val="none"/>
          <w:lang w:val="zh-CN"/>
        </w:rPr>
        <w:t>）</w:t>
      </w:r>
    </w:p>
    <w:p>
      <w:pPr>
        <w:keepNext w:val="0"/>
        <w:keepLines w:val="0"/>
        <w:pageBreakBefore w:val="0"/>
        <w:kinsoku/>
        <w:wordWrap w:val="0"/>
        <w:overflowPunct/>
        <w:topLinePunct w:val="0"/>
        <w:autoSpaceDE/>
        <w:autoSpaceDN/>
        <w:bidi w:val="0"/>
        <w:adjustRightInd w:val="0"/>
        <w:spacing w:line="440" w:lineRule="exact"/>
        <w:ind w:right="0" w:firstLine="600" w:firstLineChars="25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w:t>
      </w:r>
      <w:bookmarkStart w:id="160" w:name="_Hlk101133173"/>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bookmarkEnd w:id="160"/>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五、如果中标，</w:t>
      </w:r>
      <w:r>
        <w:rPr>
          <w:rFonts w:hint="eastAsia" w:ascii="仿宋_GB2312" w:hAnsi="仿宋_GB2312" w:eastAsia="仿宋_GB2312" w:cs="仿宋_GB2312"/>
          <w:color w:val="auto"/>
          <w:sz w:val="24"/>
          <w:highlight w:val="none"/>
        </w:rPr>
        <w:t>联合体各成员方共同与采购人签订合同，并就采购合同约定的事项对采购人承担连带责任。</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六、有关本次联合投标的其他事宜：</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eepNext w:val="0"/>
        <w:keepLines w:val="0"/>
        <w:pageBreakBefore w:val="0"/>
        <w:kinsoku/>
        <w:wordWrap w:val="0"/>
        <w:overflowPunct/>
        <w:topLinePunct w:val="0"/>
        <w:autoSpaceDE/>
        <w:autoSpaceDN/>
        <w:bidi w:val="0"/>
        <w:adjustRightInd w:val="0"/>
        <w:snapToGrid w:val="0"/>
        <w:spacing w:line="440" w:lineRule="exact"/>
        <w:ind w:right="0"/>
        <w:jc w:val="center"/>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w:t>
      </w:r>
    </w:p>
    <w:p>
      <w:pPr>
        <w:keepNext w:val="0"/>
        <w:keepLines w:val="0"/>
        <w:pageBreakBefore w:val="0"/>
        <w:kinsoku/>
        <w:wordWrap w:val="0"/>
        <w:overflowPunct/>
        <w:topLinePunct w:val="0"/>
        <w:autoSpaceDE/>
        <w:autoSpaceDN/>
        <w:bidi w:val="0"/>
        <w:adjustRightInd w:val="0"/>
        <w:snapToGrid w:val="0"/>
        <w:spacing w:line="440" w:lineRule="exact"/>
        <w:ind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  年  月   日</w:t>
      </w:r>
    </w:p>
    <w:p>
      <w:pPr>
        <w:keepNext w:val="0"/>
        <w:keepLines w:val="0"/>
        <w:pageBreakBefore w:val="0"/>
        <w:kinsoku/>
        <w:wordWrap w:val="0"/>
        <w:overflowPunct/>
        <w:topLinePunct w:val="0"/>
        <w:autoSpaceDE/>
        <w:autoSpaceDN/>
        <w:bidi w:val="0"/>
        <w:adjustRightInd w:val="0"/>
        <w:spacing w:line="440" w:lineRule="exact"/>
        <w:ind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napToGrid w:val="0"/>
        <w:spacing w:line="360" w:lineRule="auto"/>
        <w:ind w:firstLine="3666" w:firstLineChars="1100"/>
        <w:rPr>
          <w:rFonts w:hint="eastAsia" w:ascii="仿宋_GB2312" w:hAnsi="仿宋_GB2312" w:eastAsia="仿宋_GB2312" w:cs="仿宋_GB2312"/>
          <w:b/>
          <w:color w:val="auto"/>
          <w:spacing w:val="6"/>
          <w:sz w:val="32"/>
          <w:szCs w:val="32"/>
          <w:highlight w:val="none"/>
        </w:rPr>
      </w:pPr>
    </w:p>
    <w:p>
      <w:pPr>
        <w:widowControl/>
        <w:kinsoku/>
        <w:wordWrap w:val="0"/>
        <w:overflowPunct/>
        <w:topLinePunct w:val="0"/>
        <w:bidi w:val="0"/>
        <w:adjustRightInd/>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br w:type="page"/>
      </w: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5</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rPr>
        <w:t>分包意向协议</w:t>
      </w:r>
    </w:p>
    <w:p>
      <w:pPr>
        <w:pageBreakBefore w:val="0"/>
        <w:widowControl/>
        <w:kinsoku/>
        <w:wordWrap w:val="0"/>
        <w:overflowPunct/>
        <w:topLinePunct w:val="0"/>
        <w:autoSpaceDE/>
        <w:autoSpaceDN/>
        <w:bidi w:val="0"/>
        <w:spacing w:line="440" w:lineRule="exact"/>
        <w:ind w:left="0" w:leftChars="0" w:right="0" w:firstLine="120" w:firstLineChars="5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若成为</w:t>
      </w:r>
      <w:r>
        <w:rPr>
          <w:rFonts w:hint="eastAsia" w:ascii="仿宋_GB2312" w:hAnsi="仿宋_GB2312" w:eastAsia="仿宋_GB2312" w:cs="仿宋_GB2312"/>
          <w:color w:val="auto"/>
          <w:sz w:val="24"/>
          <w:highlight w:val="none"/>
          <w:lang w:eastAsia="zh-CN"/>
        </w:rPr>
        <w:t xml:space="preserve">绍兴艺术学校2025物业管理项目 </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2025-01-0010</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的中标供应商，将依法采取分包方式履行合同。</w:t>
      </w: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rPr>
        <w:t>与</w:t>
      </w:r>
      <w:r>
        <w:rPr>
          <w:rFonts w:hint="eastAsia" w:ascii="仿宋_GB2312" w:hAnsi="仿宋_GB2312" w:eastAsia="仿宋_GB2312" w:cs="仿宋_GB2312"/>
          <w:color w:val="auto"/>
          <w:kern w:val="0"/>
          <w:sz w:val="24"/>
          <w:highlight w:val="none"/>
          <w:u w:val="single"/>
        </w:rPr>
        <w:t>（所有分包供应商名称）</w:t>
      </w:r>
      <w:r>
        <w:rPr>
          <w:rFonts w:hint="eastAsia" w:ascii="仿宋_GB2312" w:hAnsi="仿宋_GB2312" w:eastAsia="仿宋_GB2312" w:cs="仿宋_GB2312"/>
          <w:color w:val="auto"/>
          <w:kern w:val="0"/>
          <w:sz w:val="24"/>
          <w:highlight w:val="none"/>
        </w:rPr>
        <w:t>达成分包意向协议</w:t>
      </w:r>
      <w:r>
        <w:rPr>
          <w:rFonts w:hint="eastAsia" w:ascii="仿宋_GB2312" w:hAnsi="仿宋_GB2312" w:eastAsia="仿宋_GB2312" w:cs="仿宋_GB2312"/>
          <w:color w:val="auto"/>
          <w:kern w:val="0"/>
          <w:sz w:val="24"/>
          <w:highlight w:val="none"/>
          <w:lang w:val="zh-CN"/>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一、分包标的及数量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将</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u w:val="single"/>
        </w:rPr>
        <w:t xml:space="preserve"> XX工作内容   </w:t>
      </w:r>
      <w:r>
        <w:rPr>
          <w:rFonts w:hint="eastAsia" w:ascii="仿宋_GB2312" w:hAnsi="仿宋_GB2312" w:eastAsia="仿宋_GB2312" w:cs="仿宋_GB2312"/>
          <w:color w:val="auto"/>
          <w:sz w:val="24"/>
          <w:highlight w:val="none"/>
        </w:rPr>
        <w:t>分包给</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u w:val="single"/>
        </w:rPr>
        <w:t>（分包供应商2名称），</w:t>
      </w:r>
      <w:r>
        <w:rPr>
          <w:rFonts w:hint="eastAsia" w:ascii="仿宋_GB2312" w:hAnsi="仿宋_GB2312" w:eastAsia="仿宋_GB2312" w:cs="仿宋_GB2312"/>
          <w:color w:val="auto"/>
          <w:kern w:val="0"/>
          <w:sz w:val="24"/>
          <w:highlight w:val="none"/>
          <w:lang w:val="zh-CN"/>
        </w:rPr>
        <w:t>具备承</w:t>
      </w:r>
      <w:r>
        <w:rPr>
          <w:rFonts w:hint="eastAsia" w:ascii="仿宋_GB2312" w:hAnsi="仿宋_GB2312" w:eastAsia="仿宋_GB2312" w:cs="仿宋_GB2312"/>
          <w:color w:val="auto"/>
          <w:kern w:val="0"/>
          <w:sz w:val="24"/>
          <w:highlight w:val="none"/>
        </w:rPr>
        <w:t>担</w:t>
      </w:r>
      <w:r>
        <w:rPr>
          <w:rFonts w:hint="eastAsia" w:ascii="仿宋_GB2312" w:hAnsi="仿宋_GB2312" w:eastAsia="仿宋_GB2312" w:cs="仿宋_GB2312"/>
          <w:color w:val="auto"/>
          <w:kern w:val="0"/>
          <w:sz w:val="24"/>
          <w:highlight w:val="none"/>
          <w:u w:val="single"/>
          <w:lang w:val="zh-CN"/>
        </w:rPr>
        <w:t>XX工作内容</w:t>
      </w:r>
      <w:r>
        <w:rPr>
          <w:rFonts w:hint="eastAsia" w:ascii="仿宋_GB2312" w:hAnsi="仿宋_GB2312" w:eastAsia="仿宋_GB2312" w:cs="仿宋_GB2312"/>
          <w:color w:val="auto"/>
          <w:kern w:val="0"/>
          <w:sz w:val="24"/>
          <w:highlight w:val="none"/>
          <w:lang w:val="zh-CN"/>
        </w:rPr>
        <w:t>相应资质条件且不得再次分包；</w:t>
      </w:r>
    </w:p>
    <w:p>
      <w:pPr>
        <w:pStyle w:val="5"/>
        <w:pageBreakBefore w:val="0"/>
        <w:kinsoku/>
        <w:wordWrap w:val="0"/>
        <w:overflowPunct/>
        <w:topLinePunct w:val="0"/>
        <w:autoSpaceDE/>
        <w:autoSpaceDN/>
        <w:bidi w:val="0"/>
        <w:spacing w:line="440" w:lineRule="exact"/>
        <w:ind w:left="0" w:leftChars="0" w:right="0" w:firstLine="229" w:firstLineChars="95"/>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w:t>
      </w:r>
    </w:p>
    <w:p>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二、分包供应商中小企业合同份额</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kern w:val="0"/>
          <w:sz w:val="24"/>
          <w:highlight w:val="none"/>
          <w:u w:val="single"/>
        </w:rPr>
        <w:t>（分包供应商X,……）提供的服务全部由小微企业承接，</w:t>
      </w:r>
      <w:r>
        <w:rPr>
          <w:rFonts w:hint="eastAsia" w:ascii="仿宋_GB2312" w:hAnsi="仿宋_GB2312" w:eastAsia="仿宋_GB2312" w:cs="仿宋_GB2312"/>
          <w:color w:val="auto"/>
          <w:kern w:val="0"/>
          <w:sz w:val="24"/>
          <w:highlight w:val="none"/>
        </w:rPr>
        <w:t>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highlight w:val="none"/>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pPr>
        <w:pageBreakBefore w:val="0"/>
        <w:kinsoku/>
        <w:wordWrap w:val="0"/>
        <w:overflowPunct/>
        <w:topLinePunct w:val="0"/>
        <w:autoSpaceDE/>
        <w:autoSpaceDN/>
        <w:bidi w:val="0"/>
        <w:spacing w:line="440" w:lineRule="exact"/>
        <w:ind w:left="0" w:leftChars="0" w:right="0" w:firstLine="480" w:firstLineChars="20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要求合同分包形式参加的项目或采购包，供应商按招标文件第一部分招标公告申请人的资格要求中规定的</w:t>
      </w:r>
      <w:r>
        <w:rPr>
          <w:rFonts w:hint="eastAsia" w:ascii="仿宋_GB2312" w:hAnsi="仿宋_GB2312" w:eastAsia="仿宋_GB2312" w:cs="仿宋_GB2312"/>
          <w:b/>
          <w:color w:val="auto"/>
          <w:kern w:val="0"/>
          <w:sz w:val="24"/>
          <w:highlight w:val="none"/>
          <w:lang w:val="zh-CN"/>
        </w:rPr>
        <w:t>分包意向协议</w:t>
      </w:r>
      <w:r>
        <w:rPr>
          <w:rFonts w:hint="eastAsia" w:ascii="仿宋_GB2312" w:hAnsi="仿宋_GB2312" w:eastAsia="仿宋_GB2312" w:cs="仿宋_GB2312"/>
          <w:b/>
          <w:bCs/>
          <w:color w:val="auto"/>
          <w:sz w:val="24"/>
          <w:highlight w:val="none"/>
        </w:rPr>
        <w:t>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三、分包工作履行期限、地点、方式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四、质量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五、价款或者报酬</w:t>
      </w:r>
    </w:p>
    <w:p>
      <w:pPr>
        <w:pageBreakBefore w:val="0"/>
        <w:kinsoku/>
        <w:wordWrap w:val="0"/>
        <w:overflowPunct/>
        <w:topLinePunct w:val="0"/>
        <w:autoSpaceDE/>
        <w:autoSpaceDN/>
        <w:bidi w:val="0"/>
        <w:snapToGrid w:val="0"/>
        <w:spacing w:line="440" w:lineRule="exact"/>
        <w:ind w:left="0" w:leftChars="0" w:right="0" w:firstLine="525" w:firstLineChars="25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600" w:firstLineChars="25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六、违约责任</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七、争议解决的办法</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八、其他</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  。                                           投标人名称(电子签名)：</w:t>
      </w:r>
    </w:p>
    <w:p>
      <w:pPr>
        <w:pageBreakBefore w:val="0"/>
        <w:kinsoku/>
        <w:wordWrap w:val="0"/>
        <w:overflowPunct/>
        <w:topLinePunct w:val="0"/>
        <w:autoSpaceDE/>
        <w:autoSpaceDN/>
        <w:bidi w:val="0"/>
        <w:snapToGrid w:val="0"/>
        <w:spacing w:line="440" w:lineRule="exact"/>
        <w:ind w:left="0" w:leftChars="0"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分包供应商名称(电子签名/公章)：</w:t>
      </w:r>
    </w:p>
    <w:p>
      <w:pPr>
        <w:pageBreakBefore w:val="0"/>
        <w:kinsoku/>
        <w:wordWrap w:val="0"/>
        <w:overflowPunct/>
        <w:topLinePunct w:val="0"/>
        <w:autoSpaceDE/>
        <w:autoSpaceDN/>
        <w:bidi w:val="0"/>
        <w:snapToGrid w:val="0"/>
        <w:spacing w:line="440" w:lineRule="exact"/>
        <w:ind w:left="0" w:leftChars="0" w:right="0" w:firstLine="5760" w:firstLineChars="2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pPr>
        <w:pageBreakBefore w:val="0"/>
        <w:kinsoku/>
        <w:wordWrap w:val="0"/>
        <w:overflowPunct/>
        <w:topLinePunct w:val="0"/>
        <w:autoSpaceDE/>
        <w:autoSpaceDN/>
        <w:bidi w:val="0"/>
        <w:snapToGrid w:val="0"/>
        <w:spacing w:line="440" w:lineRule="exact"/>
        <w:ind w:left="5040" w:leftChars="0" w:right="0" w:hanging="5040" w:hanging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color w:val="auto"/>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6</w:t>
      </w:r>
      <w:r>
        <w:rPr>
          <w:rFonts w:hint="eastAsia" w:ascii="仿宋_GB2312" w:hAnsi="仿宋_GB2312" w:eastAsia="仿宋_GB2312" w:cs="仿宋_GB2312"/>
          <w:b/>
          <w:color w:val="auto"/>
          <w:spacing w:val="6"/>
          <w:sz w:val="32"/>
          <w:szCs w:val="32"/>
          <w:highlight w:val="none"/>
        </w:rPr>
        <w:t>：</w:t>
      </w:r>
      <w:bookmarkStart w:id="161" w:name="OLE_LINK14"/>
      <w:bookmarkStart w:id="162" w:name="OLE_LINK13"/>
      <w:r>
        <w:rPr>
          <w:rFonts w:hint="eastAsia" w:ascii="仿宋_GB2312" w:hAnsi="仿宋_GB2312" w:eastAsia="仿宋_GB2312" w:cs="仿宋_GB2312"/>
          <w:b/>
          <w:color w:val="auto"/>
          <w:spacing w:val="6"/>
          <w:sz w:val="32"/>
          <w:szCs w:val="32"/>
          <w:highlight w:val="none"/>
        </w:rPr>
        <w:t>残疾人福利性单位声明函</w:t>
      </w:r>
    </w:p>
    <w:bookmarkEnd w:id="161"/>
    <w:bookmarkEnd w:id="162"/>
    <w:p>
      <w:pPr>
        <w:kinsoku/>
        <w:wordWrap w:val="0"/>
        <w:overflowPunct/>
        <w:topLinePunct w:val="0"/>
        <w:bidi w:val="0"/>
        <w:spacing w:line="360" w:lineRule="auto"/>
        <w:rPr>
          <w:rFonts w:hint="eastAsia" w:ascii="仿宋_GB2312" w:hAnsi="仿宋_GB2312" w:eastAsia="仿宋_GB2312" w:cs="仿宋_GB2312"/>
          <w:b/>
          <w:color w:val="auto"/>
          <w:spacing w:val="6"/>
          <w:sz w:val="30"/>
          <w:szCs w:val="30"/>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highlight w:val="none"/>
          <w:u w:val="single"/>
          <w:lang w:eastAsia="zh-CN"/>
        </w:rPr>
        <w:t>绍兴艺术学校</w:t>
      </w:r>
      <w:r>
        <w:rPr>
          <w:rFonts w:hint="eastAsia" w:ascii="仿宋_GB2312" w:hAnsi="仿宋_GB2312" w:eastAsia="仿宋_GB2312" w:cs="仿宋_GB2312"/>
          <w:color w:val="auto"/>
          <w:sz w:val="24"/>
          <w:highlight w:val="none"/>
        </w:rPr>
        <w:t>单位的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lang w:eastAsia="zh-CN"/>
        </w:rPr>
        <w:t xml:space="preserve">绍兴艺术学校2025物业管理项目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none"/>
          <w:lang w:val="en-US" w:eastAsia="zh-CN"/>
        </w:rPr>
        <w:t>项目</w:t>
      </w:r>
      <w:r>
        <w:rPr>
          <w:rFonts w:hint="eastAsia" w:ascii="仿宋_GB2312" w:hAnsi="仿宋_GB2312" w:eastAsia="仿宋_GB2312" w:cs="仿宋_GB2312"/>
          <w:color w:val="auto"/>
          <w:sz w:val="24"/>
          <w:highlight w:val="none"/>
        </w:rPr>
        <w:t>采购活动提供本单位制造的货物（由本单位承担工程/提供服务），或者提供其他残疾人福利性单位制造的货物（不包括使用非残疾人福利性单位注册商标的货物）。</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lang w:val="zh-CN"/>
        </w:rPr>
        <w:t>投标人名称（电子签名）</w:t>
      </w:r>
      <w:r>
        <w:rPr>
          <w:rFonts w:hint="eastAsia" w:ascii="仿宋_GB2312" w:hAnsi="仿宋_GB2312" w:eastAsia="仿宋_GB2312" w:cs="仿宋_GB2312"/>
          <w:color w:val="auto"/>
          <w:sz w:val="24"/>
          <w:highlight w:val="none"/>
        </w:rPr>
        <w:t>：</w:t>
      </w:r>
    </w:p>
    <w:p>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  期：</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pStyle w:val="23"/>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w:t>
      </w:r>
      <w:r>
        <w:rPr>
          <w:rFonts w:hint="eastAsia" w:ascii="仿宋_GB2312" w:hAnsi="仿宋_GB2312" w:eastAsia="仿宋_GB2312" w:cs="仿宋_GB2312"/>
          <w:b/>
          <w:color w:val="auto"/>
          <w:kern w:val="0"/>
          <w:sz w:val="32"/>
          <w:szCs w:val="32"/>
          <w:highlight w:val="none"/>
          <w:lang w:val="en-US" w:eastAsia="zh-CN"/>
        </w:rPr>
        <w:t>7</w:t>
      </w:r>
      <w:r>
        <w:rPr>
          <w:rFonts w:hint="eastAsia" w:ascii="仿宋_GB2312" w:hAnsi="仿宋_GB2312" w:eastAsia="仿宋_GB2312" w:cs="仿宋_GB2312"/>
          <w:b/>
          <w:color w:val="auto"/>
          <w:kern w:val="0"/>
          <w:sz w:val="32"/>
          <w:szCs w:val="32"/>
          <w:highlight w:val="none"/>
        </w:rPr>
        <w:t>：中小企业声明函</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u w:val="singl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中小企业声明函（服务）</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本公司（联合体）郑重声明，根据《政府采购促进中小企业发展管理办法》（财库﹝2020﹞46 号）的规定，本公司（联合体）参加 </w:t>
      </w:r>
      <w:r>
        <w:rPr>
          <w:rFonts w:hint="eastAsia" w:ascii="仿宋_GB2312" w:hAnsi="仿宋_GB2312" w:eastAsia="仿宋_GB2312" w:cs="仿宋_GB2312"/>
          <w:color w:val="auto"/>
          <w:sz w:val="24"/>
          <w:highlight w:val="none"/>
          <w:u w:val="single"/>
          <w:lang w:eastAsia="zh-CN"/>
        </w:rPr>
        <w:t>绍兴艺术学校</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 xml:space="preserve">绍兴艺术学校2025物业管理项目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采购活动</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服务全部由符合政策要求的中小企业承接。相关企业（含联合体中的中小企业、签订分包意向协议的中小企业）的具体情况如下：</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 xml:space="preserve"> ；承建（承接）企业为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 xml:space="preserve">属于 </w:t>
      </w:r>
      <w:r>
        <w:rPr>
          <w:rFonts w:hint="eastAsia" w:ascii="仿宋_GB2312" w:hAnsi="仿宋_GB2312" w:eastAsia="仿宋_GB2312" w:cs="仿宋_GB2312"/>
          <w:color w:val="auto"/>
          <w:sz w:val="24"/>
          <w:highlight w:val="none"/>
          <w:u w:val="single"/>
        </w:rPr>
        <w:t xml:space="preserve">（采购文件中明确的所属行业） </w:t>
      </w:r>
      <w:r>
        <w:rPr>
          <w:rFonts w:hint="eastAsia" w:ascii="仿宋_GB2312" w:hAnsi="仿宋_GB2312" w:eastAsia="仿宋_GB2312" w:cs="仿宋_GB2312"/>
          <w:color w:val="auto"/>
          <w:sz w:val="24"/>
          <w:highlight w:val="none"/>
        </w:rPr>
        <w:t xml:space="preserve">；承建（承接）企业为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kinsoku/>
        <w:wordWrap w:val="0"/>
        <w:overflowPunct/>
        <w:topLinePunct w:val="0"/>
        <w:bidi w:val="0"/>
        <w:spacing w:line="360" w:lineRule="auto"/>
        <w:ind w:right="176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投标人名称（电子签名）：</w:t>
      </w:r>
    </w:p>
    <w:p>
      <w:pPr>
        <w:kinsoku/>
        <w:wordWrap w:val="0"/>
        <w:overflowPunct/>
        <w:topLinePunct w:val="0"/>
        <w:bidi w:val="0"/>
        <w:spacing w:line="360" w:lineRule="auto"/>
        <w:ind w:right="1120" w:firstLine="4680" w:firstLineChars="19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 期：</w:t>
      </w:r>
    </w:p>
    <w:p>
      <w:pPr>
        <w:kinsoku/>
        <w:wordWrap w:val="0"/>
        <w:overflowPunct/>
        <w:topLinePunct w:val="0"/>
        <w:bidi w:val="0"/>
        <w:spacing w:line="360" w:lineRule="auto"/>
        <w:ind w:firstLine="310" w:firstLineChars="147"/>
        <w:jc w:val="left"/>
        <w:rPr>
          <w:rFonts w:hint="eastAsia" w:ascii="仿宋_GB2312" w:hAnsi="仿宋_GB2312" w:eastAsia="仿宋_GB2312" w:cs="仿宋_GB2312"/>
          <w:b/>
          <w:color w:val="auto"/>
          <w:szCs w:val="21"/>
          <w:highlight w:val="none"/>
        </w:rPr>
      </w:pPr>
      <w:r>
        <w:rPr>
          <w:rFonts w:hint="eastAsia" w:ascii="仿宋_GB2312" w:hAnsi="仿宋_GB2312" w:eastAsia="仿宋_GB2312" w:cs="仿宋_GB2312"/>
          <w:b/>
          <w:color w:val="auto"/>
          <w:szCs w:val="21"/>
          <w:highlight w:val="none"/>
        </w:rPr>
        <w:t>从业人员、营业收入、资产总额填报上一年度数据，无上一年度数据的新成立企业可不填报。</w:t>
      </w: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注：</w:t>
      </w:r>
    </w:p>
    <w:p>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5"/>
        <w:kinsoku/>
        <w:wordWrap w:val="0"/>
        <w:overflowPunct/>
        <w:topLinePunct w:val="0"/>
        <w:bidi w:val="0"/>
        <w:rPr>
          <w:rFonts w:hint="eastAsia" w:ascii="仿宋_GB2312" w:hAnsi="仿宋_GB2312" w:eastAsia="仿宋_GB2312" w:cs="仿宋_GB2312"/>
          <w:color w:val="auto"/>
          <w:highlight w:val="none"/>
          <w:lang w:val="en-US"/>
        </w:rPr>
      </w:pPr>
    </w:p>
    <w:p>
      <w:pPr>
        <w:pageBreakBefore/>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国家统计局关于印发《统计上大中小微型企业划分办法（2017）》的通知</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各省、自治区、直辖市统计局，新疆生产建设兵团统计局，国务院各有关部门，国家统计局各调查总队：</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wordWrap w:val="0"/>
        <w:overflowPunct/>
        <w:topLinePunct w:val="0"/>
        <w:bidi w:val="0"/>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附件：《统计上大中小微型企业划分办法（2017）》修订说明</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国家统计局  </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2017年12月28日</w:t>
      </w:r>
    </w:p>
    <w:p>
      <w:pPr>
        <w:pStyle w:val="23"/>
        <w:kinsoku/>
        <w:wordWrap w:val="0"/>
        <w:overflowPunct/>
        <w:topLinePunct w:val="0"/>
        <w:bidi w:val="0"/>
        <w:rPr>
          <w:rFonts w:hint="eastAsia" w:ascii="仿宋_GB2312" w:hAnsi="仿宋_GB2312" w:eastAsia="仿宋_GB2312" w:cs="仿宋_GB2312"/>
          <w:color w:val="auto"/>
          <w:highlight w:val="none"/>
          <w:lang w:val="en-US" w:eastAsia="zh-CN"/>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五、企业划分由政府综合统计部门根据统计年报每年确定一次，定报统计原则上不进行调整。</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六、本办法自印发之日起执行，国家统计局2011年印发的《统计上大中小微型企业划分办法》（国统字〔2011〕75号）同时废止。</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附表：统计上大中小微型企业划分标准</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行业名称</w:t>
            </w:r>
          </w:p>
        </w:tc>
        <w:tc>
          <w:tcPr>
            <w:tcW w:w="156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指标名称</w:t>
            </w:r>
          </w:p>
        </w:tc>
        <w:tc>
          <w:tcPr>
            <w:tcW w:w="67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计量单位</w:t>
            </w:r>
          </w:p>
        </w:tc>
        <w:tc>
          <w:tcPr>
            <w:tcW w:w="123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大型</w:t>
            </w:r>
          </w:p>
        </w:tc>
        <w:tc>
          <w:tcPr>
            <w:tcW w:w="189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中型</w:t>
            </w:r>
          </w:p>
        </w:tc>
        <w:tc>
          <w:tcPr>
            <w:tcW w:w="173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小型</w:t>
            </w:r>
          </w:p>
        </w:tc>
        <w:tc>
          <w:tcPr>
            <w:tcW w:w="1203"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农、林、牧、渔业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50≤Y＜500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2000≤Y＜40000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建筑业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Y≥80000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6000≤Y＜80000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300≤Y＜6000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Z≥80000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5000≤Z＜80000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300≤Z＜5000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批发业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20≤X＜200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5≤X＜20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5000≤Y＜40000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零售业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10≤X＜50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100≤Y＜500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交通运输业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200≤Y＜3000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仓储业*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邮政业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住宿业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餐饮业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信息传输业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软件和信息技术服务业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房地产开发经营</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1000≤Y＜200000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2000≤Z＜5000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物业管理</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租赁和商务服务业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8000≤Z＜120000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100≤Z＜8000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其他未列明行业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bl>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说明：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1.大型、中型和小型企业须同时满足所列指标的下限，否则下划一档；微型企业只须满足所列指标中的一项即可。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3.企业划分指标以现行统计制度为准。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（1）从业人员，是指期末从业人员数，没有期末从业人员数的，采用全年平均人员数代替。</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（3）资产总额，采用资产总计代替。</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《统计上大中小微型企业划分办法（2017）》修订说明</w:t>
      </w:r>
    </w:p>
    <w:p>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一、修订背景</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二、修订主要内容</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将交通运输业中包括的“装卸搬运和运输代理业”修改为“多式联运和运输代理业、装卸搬运”。</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中国人民银行中国银行业监督管理委员会</w:t>
      </w: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中国证券监督管理委员会中国保险监督管理委员会</w:t>
      </w: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国家统计局关于印发《金融业企业划型标准规定》的通知</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附件：金融业企业划型标准规定</w:t>
      </w: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金融业企业划型标准规定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二、适用范围。本规定适用于从事《国民经济行业分类》(GB/T4754-2011)中J门类（金融业）活动的企业。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七、标准值的评估和调整。金融业企业划型标准工作组毎五年对划型标准值受经济发展与通货膨胀等因素的响程度进行评估和调整。</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九</w:t>
      </w:r>
      <w:r>
        <w:rPr>
          <w:rFonts w:hint="eastAsia" w:ascii="仿宋_GB2312" w:hAnsi="仿宋_GB2312" w:eastAsia="仿宋_GB2312" w:cs="仿宋_GB2312"/>
          <w:color w:val="auto"/>
          <w:kern w:val="0"/>
          <w:szCs w:val="21"/>
          <w:highlight w:val="none"/>
          <w:lang w:eastAsia="zh-CN"/>
        </w:rPr>
        <w:t>、</w:t>
      </w:r>
      <w:r>
        <w:rPr>
          <w:rFonts w:hint="eastAsia" w:ascii="仿宋_GB2312" w:hAnsi="仿宋_GB2312" w:eastAsia="仿宋_GB2312" w:cs="仿宋_GB2312"/>
          <w:color w:val="auto"/>
          <w:kern w:val="0"/>
          <w:szCs w:val="21"/>
          <w:highlight w:val="none"/>
        </w:rPr>
        <w:t>融资担保公司参照本规定中“除贷款公司、小额贷款公司、典当行以外的其他金融机构”标准划型。</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十、本规定由人民银行会同银监会，证监会、保监会和统计局负责解释。</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十一、本规定自发布之日起实施。</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附：金融业企业划型标准</w:t>
      </w: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w:t>
            </w:r>
          </w:p>
        </w:tc>
        <w:tc>
          <w:tcPr>
            <w:tcW w:w="283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类别</w:t>
            </w:r>
          </w:p>
        </w:tc>
        <w:tc>
          <w:tcPr>
            <w:tcW w:w="60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类型</w:t>
            </w:r>
          </w:p>
        </w:tc>
        <w:tc>
          <w:tcPr>
            <w:tcW w:w="332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货币金融服务</w:t>
            </w: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货币银行服务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银行业存款类金融机构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非货币银行服务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银行业非存款类金融机构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贷款公司、小额贷款公司及典当行</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资本市场服务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证券业金融机构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其他金融业</w:t>
            </w: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金融信托与管理服务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信托公司</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控股公司服务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金融控股公司</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其他未包括的金融业</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除贷款公司、小额贷款公司及典当行以外的其他金融机构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bl>
    <w:p>
      <w:pPr>
        <w:kinsoku/>
        <w:wordWrap w:val="0"/>
        <w:overflowPunct/>
        <w:topLinePunct w:val="0"/>
        <w:bidi w:val="0"/>
        <w:rPr>
          <w:rFonts w:hint="eastAsia" w:ascii="仿宋_GB2312" w:hAnsi="仿宋_GB2312" w:eastAsia="仿宋_GB2312" w:cs="仿宋_GB2312"/>
          <w:color w:val="auto"/>
          <w:sz w:val="24"/>
          <w:highlight w:val="none"/>
        </w:rPr>
      </w:pPr>
    </w:p>
    <w:p>
      <w:pPr>
        <w:kinsoku/>
        <w:wordWrap w:val="0"/>
        <w:overflowPunct/>
        <w:topLinePunct w:val="0"/>
        <w:bidi w:val="0"/>
        <w:ind w:firstLine="420" w:firstLineChars="200"/>
        <w:rPr>
          <w:rFonts w:hint="eastAsia" w:ascii="仿宋_GB2312" w:hAnsi="仿宋_GB2312" w:eastAsia="仿宋_GB2312" w:cs="仿宋_GB2312"/>
          <w:color w:val="auto"/>
          <w:highlight w:val="none"/>
        </w:rPr>
      </w:pPr>
    </w:p>
    <w:p>
      <w:pPr>
        <w:kinsoku/>
        <w:wordWrap w:val="0"/>
        <w:overflowPunct/>
        <w:topLinePunct w:val="0"/>
        <w:bidi w:val="0"/>
        <w:spacing w:line="360" w:lineRule="auto"/>
        <w:ind w:right="420"/>
        <w:rPr>
          <w:rFonts w:hint="eastAsia" w:ascii="仿宋" w:hAnsi="仿宋" w:eastAsia="仿宋" w:cs="仿宋"/>
          <w:color w:val="auto"/>
          <w:highlight w:val="none"/>
        </w:rPr>
      </w:pPr>
    </w:p>
    <w:p>
      <w:pPr>
        <w:kinsoku/>
        <w:wordWrap w:val="0"/>
        <w:overflowPunct/>
        <w:topLinePunct w:val="0"/>
        <w:bidi w:val="0"/>
        <w:spacing w:line="360" w:lineRule="auto"/>
        <w:rPr>
          <w:rFonts w:ascii="宋体" w:hAnsi="宋体" w:cs="宋体"/>
          <w:bCs/>
          <w:color w:val="auto"/>
          <w:sz w:val="24"/>
          <w:highlight w:val="none"/>
        </w:rPr>
      </w:pPr>
    </w:p>
    <w:sectPr>
      <w:footerReference r:id="rId20" w:type="firs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hint="default"/>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招标编号:2025-01-0010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0"/>
      </w:pBdr>
      <w:tabs>
        <w:tab w:val="clear" w:pos="4153"/>
        <w:tab w:val="clear" w:pos="8306"/>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hint="default"/>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招标编号:2025-01-0010</w:t>
    </w:r>
  </w:p>
  <w:p>
    <w:pPr>
      <w:pStyle w:val="42"/>
      <w:pBdr>
        <w:bottom w:val="none" w:color="auto" w:sz="0" w:space="0"/>
      </w:pBdr>
      <w:tabs>
        <w:tab w:val="clear" w:pos="4153"/>
        <w:tab w:val="clear" w:pos="8306"/>
      </w:tab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hint="default" w:ascii="仿宋_GB2312" w:eastAsia="仿宋_GB2312"/>
        <w:b/>
        <w:i/>
        <w:sz w:val="18"/>
        <w:u w:val="single"/>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招标编号:2025-01-0010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3E0DAE7B"/>
    <w:multiLevelType w:val="singleLevel"/>
    <w:tmpl w:val="3E0DAE7B"/>
    <w:lvl w:ilvl="0" w:tentative="0">
      <w:start w:val="1"/>
      <w:numFmt w:val="chineseCounting"/>
      <w:suff w:val="nothing"/>
      <w:lvlText w:val="%1、"/>
      <w:lvlJc w:val="left"/>
      <w:rPr>
        <w:rFonts w:hint="eastAsia"/>
      </w:rPr>
    </w:lvl>
  </w:abstractNum>
  <w:abstractNum w:abstractNumId="3">
    <w:nsid w:val="59AE640D"/>
    <w:multiLevelType w:val="singleLevel"/>
    <w:tmpl w:val="59AE640D"/>
    <w:lvl w:ilvl="0" w:tentative="0">
      <w:start w:val="1"/>
      <w:numFmt w:val="decimal"/>
      <w:suff w:val="nothing"/>
      <w:lvlText w:val="%1."/>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0CC0779"/>
    <w:rsid w:val="01F74BBE"/>
    <w:rsid w:val="035BEF8B"/>
    <w:rsid w:val="0E280EC9"/>
    <w:rsid w:val="0F096B8F"/>
    <w:rsid w:val="0F63063F"/>
    <w:rsid w:val="110F45BD"/>
    <w:rsid w:val="1158774F"/>
    <w:rsid w:val="12464B11"/>
    <w:rsid w:val="15321013"/>
    <w:rsid w:val="16543937"/>
    <w:rsid w:val="18E60774"/>
    <w:rsid w:val="1CF46385"/>
    <w:rsid w:val="1D2F1C3B"/>
    <w:rsid w:val="1F9312CE"/>
    <w:rsid w:val="1FBFFEB0"/>
    <w:rsid w:val="21790939"/>
    <w:rsid w:val="21C23686"/>
    <w:rsid w:val="21C326D6"/>
    <w:rsid w:val="26E12F35"/>
    <w:rsid w:val="275DFFED"/>
    <w:rsid w:val="27936D88"/>
    <w:rsid w:val="28B23A27"/>
    <w:rsid w:val="28E6668A"/>
    <w:rsid w:val="2B2B22B3"/>
    <w:rsid w:val="2C26125D"/>
    <w:rsid w:val="2EFB753F"/>
    <w:rsid w:val="2F0C0A43"/>
    <w:rsid w:val="30CD01D9"/>
    <w:rsid w:val="31EF5C5F"/>
    <w:rsid w:val="32640E8E"/>
    <w:rsid w:val="326F4556"/>
    <w:rsid w:val="34985663"/>
    <w:rsid w:val="34D04EBC"/>
    <w:rsid w:val="3CB51877"/>
    <w:rsid w:val="3D412F02"/>
    <w:rsid w:val="3E6DF6DC"/>
    <w:rsid w:val="3E912469"/>
    <w:rsid w:val="3FCFDA4A"/>
    <w:rsid w:val="40CC3269"/>
    <w:rsid w:val="427E60E8"/>
    <w:rsid w:val="440973C9"/>
    <w:rsid w:val="44940677"/>
    <w:rsid w:val="44B67024"/>
    <w:rsid w:val="471C2176"/>
    <w:rsid w:val="4A9A622B"/>
    <w:rsid w:val="4AB656E6"/>
    <w:rsid w:val="4ABC1CFC"/>
    <w:rsid w:val="4F1636DC"/>
    <w:rsid w:val="4F357B5D"/>
    <w:rsid w:val="4F4B3D85"/>
    <w:rsid w:val="4F981E95"/>
    <w:rsid w:val="526B5E35"/>
    <w:rsid w:val="5B73EE39"/>
    <w:rsid w:val="5CFAC9C4"/>
    <w:rsid w:val="5F561B6F"/>
    <w:rsid w:val="5F57E5CA"/>
    <w:rsid w:val="5FD75EED"/>
    <w:rsid w:val="642E7CA1"/>
    <w:rsid w:val="64AFCBD0"/>
    <w:rsid w:val="65E0560D"/>
    <w:rsid w:val="669C35D3"/>
    <w:rsid w:val="66BB07E1"/>
    <w:rsid w:val="6AFF2A6C"/>
    <w:rsid w:val="6EBAEEF7"/>
    <w:rsid w:val="6F943CEF"/>
    <w:rsid w:val="6FC37AD4"/>
    <w:rsid w:val="702B312B"/>
    <w:rsid w:val="71EA68D7"/>
    <w:rsid w:val="72C57D3D"/>
    <w:rsid w:val="778CFDC4"/>
    <w:rsid w:val="77EDE09C"/>
    <w:rsid w:val="78AD1F79"/>
    <w:rsid w:val="78BB59A6"/>
    <w:rsid w:val="79574D11"/>
    <w:rsid w:val="7DFF3A1B"/>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3"/>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3">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19"/>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3"/>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3"/>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6"/>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3"/>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3"/>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2"/>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2"/>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3"/>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3"/>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2"/>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3"/>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965">
    <w:name w:val="Style 4"/>
    <w:qFormat/>
    <w:uiPriority w:val="0"/>
    <w:pPr>
      <w:spacing w:line="444" w:lineRule="auto"/>
      <w:ind w:firstLine="400"/>
    </w:pPr>
    <w:rPr>
      <w:rFonts w:ascii="宋体" w:hAnsi="宋体" w:eastAsia="宋体" w:cs="宋体"/>
      <w:sz w:val="22"/>
      <w:szCs w:val="2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40152</Words>
  <Characters>42752</Characters>
  <Paragraphs>1943</Paragraphs>
  <TotalTime>4</TotalTime>
  <ScaleCrop>false</ScaleCrop>
  <LinksUpToDate>false</LinksUpToDate>
  <CharactersWithSpaces>50218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市交易中心</cp:lastModifiedBy>
  <cp:lastPrinted>2025-01-20T01:24:00Z</cp:lastPrinted>
  <dcterms:modified xsi:type="dcterms:W3CDTF">2025-01-21T07:08:01Z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