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val="0"/>
        <w:overflowPunct/>
        <w:topLinePunct w:val="0"/>
        <w:autoSpaceDE/>
        <w:autoSpaceDN/>
        <w:bidi w:val="0"/>
        <w:adjustRightInd/>
        <w:snapToGrid/>
        <w:spacing w:line="800" w:lineRule="exact"/>
        <w:jc w:val="center"/>
        <w:textAlignment w:val="auto"/>
        <w:rPr>
          <w:rFonts w:hint="eastAsia" w:ascii="隶书" w:hAnsi="隶书" w:eastAsia="隶书" w:cs="隶书"/>
          <w:b/>
          <w:bCs/>
          <w:color w:val="auto"/>
          <w:sz w:val="56"/>
          <w:szCs w:val="56"/>
          <w:highlight w:val="none"/>
          <w:lang w:eastAsia="zh-CN"/>
        </w:rPr>
      </w:pPr>
      <w:r>
        <w:rPr>
          <w:rFonts w:hint="eastAsia" w:ascii="隶书" w:hAnsi="隶书" w:eastAsia="隶书" w:cs="隶书"/>
          <w:b/>
          <w:bCs/>
          <w:color w:val="auto"/>
          <w:sz w:val="56"/>
          <w:szCs w:val="56"/>
          <w:highlight w:val="none"/>
          <w:lang w:eastAsia="zh-CN"/>
        </w:rPr>
        <w:t>绍兴市水上运动训练中心</w:t>
      </w:r>
    </w:p>
    <w:p>
      <w:pPr>
        <w:keepNext w:val="0"/>
        <w:keepLines w:val="0"/>
        <w:pageBreakBefore w:val="0"/>
        <w:widowControl w:val="0"/>
        <w:kinsoku/>
        <w:wordWrap w:val="0"/>
        <w:overflowPunct/>
        <w:topLinePunct w:val="0"/>
        <w:autoSpaceDE/>
        <w:autoSpaceDN/>
        <w:bidi w:val="0"/>
        <w:adjustRightInd/>
        <w:snapToGrid/>
        <w:spacing w:line="800" w:lineRule="exact"/>
        <w:jc w:val="center"/>
        <w:textAlignment w:val="auto"/>
        <w:rPr>
          <w:rFonts w:hint="eastAsia" w:ascii="隶书" w:hAnsi="隶书" w:eastAsia="隶书" w:cs="隶书"/>
          <w:b/>
          <w:bCs/>
          <w:color w:val="auto"/>
          <w:sz w:val="56"/>
          <w:szCs w:val="56"/>
          <w:highlight w:val="none"/>
          <w:lang w:eastAsia="zh-CN"/>
        </w:rPr>
      </w:pPr>
      <w:r>
        <w:rPr>
          <w:rFonts w:hint="eastAsia" w:ascii="隶书" w:hAnsi="隶书" w:eastAsia="隶书" w:cs="隶书"/>
          <w:b/>
          <w:bCs/>
          <w:color w:val="auto"/>
          <w:sz w:val="56"/>
          <w:szCs w:val="56"/>
          <w:highlight w:val="none"/>
          <w:lang w:eastAsia="zh-CN"/>
        </w:rPr>
        <w:t xml:space="preserve">2025年物业管理服务项目 </w:t>
      </w:r>
    </w:p>
    <w:p>
      <w:pPr>
        <w:kinsoku/>
        <w:wordWrap w:val="0"/>
        <w:overflowPunct/>
        <w:topLinePunct w:val="0"/>
        <w:bidi w:val="0"/>
        <w:jc w:val="center"/>
        <w:outlineLvl w:val="0"/>
        <w:rPr>
          <w:rFonts w:hint="eastAsia" w:ascii="隶书" w:hAnsi="隶书" w:eastAsia="隶书" w:cs="隶书"/>
          <w:b/>
          <w:color w:val="auto"/>
          <w:sz w:val="72"/>
          <w:szCs w:val="72"/>
          <w:highlight w:val="none"/>
        </w:rPr>
      </w:pP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公</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开</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招</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标</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文</w:t>
      </w:r>
    </w:p>
    <w:p>
      <w:pPr>
        <w:kinsoku/>
        <w:wordWrap w:val="0"/>
        <w:overflowPunct/>
        <w:topLinePunct w:val="0"/>
        <w:bidi w:val="0"/>
        <w:jc w:val="center"/>
        <w:outlineLvl w:val="0"/>
        <w:rPr>
          <w:rFonts w:hint="eastAsia" w:ascii="隶书" w:hAnsi="隶书" w:eastAsia="隶书" w:cs="隶书"/>
          <w:color w:val="auto"/>
          <w:sz w:val="44"/>
          <w:highlight w:val="none"/>
        </w:rPr>
      </w:pPr>
      <w:r>
        <w:rPr>
          <w:rFonts w:hint="eastAsia" w:ascii="隶书" w:hAnsi="隶书" w:eastAsia="隶书" w:cs="隶书"/>
          <w:b/>
          <w:color w:val="auto"/>
          <w:sz w:val="72"/>
          <w:szCs w:val="72"/>
          <w:highlight w:val="none"/>
        </w:rPr>
        <w:t>件</w:t>
      </w:r>
    </w:p>
    <w:p>
      <w:pPr>
        <w:kinsoku/>
        <w:wordWrap w:val="0"/>
        <w:overflowPunct/>
        <w:topLinePunct w:val="0"/>
        <w:bidi w:val="0"/>
        <w:adjustRightInd/>
        <w:spacing w:line="360" w:lineRule="auto"/>
        <w:jc w:val="center"/>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（电子招投标）</w:t>
      </w:r>
    </w:p>
    <w:p>
      <w:pPr>
        <w:pStyle w:val="6"/>
        <w:kinsoku/>
        <w:wordWrap w:val="0"/>
        <w:overflowPunct/>
        <w:topLinePunct w:val="0"/>
        <w:bidi w:val="0"/>
        <w:rPr>
          <w:rFonts w:hint="eastAsia" w:ascii="隶书" w:hAnsi="隶书" w:eastAsia="隶书" w:cs="隶书"/>
          <w:b/>
          <w:color w:val="auto"/>
          <w:sz w:val="44"/>
          <w:szCs w:val="44"/>
          <w:highlight w:val="none"/>
        </w:rPr>
      </w:pPr>
    </w:p>
    <w:p>
      <w:pPr>
        <w:kinsoku/>
        <w:wordWrap w:val="0"/>
        <w:overflowPunct/>
        <w:topLinePunct w:val="0"/>
        <w:bidi w:val="0"/>
        <w:rPr>
          <w:rFonts w:hint="eastAsia"/>
          <w:color w:val="auto"/>
          <w:highlight w:val="none"/>
        </w:rPr>
      </w:pPr>
    </w:p>
    <w:p>
      <w:pPr>
        <w:kinsoku/>
        <w:wordWrap w:val="0"/>
        <w:overflowPunct/>
        <w:topLinePunct w:val="0"/>
        <w:bidi w:val="0"/>
        <w:jc w:val="center"/>
        <w:rPr>
          <w:rFonts w:hint="eastAsia" w:ascii="隶书" w:hAnsi="隶书" w:eastAsia="隶书" w:cs="隶书"/>
          <w:b w:val="0"/>
          <w:bCs/>
          <w:color w:val="auto"/>
          <w:sz w:val="28"/>
          <w:szCs w:val="28"/>
          <w:highlight w:val="none"/>
          <w:lang w:eastAsia="zh-CN"/>
        </w:rPr>
      </w:pPr>
      <w:r>
        <w:rPr>
          <w:rFonts w:hint="eastAsia" w:ascii="隶书" w:hAnsi="隶书" w:eastAsia="隶书" w:cs="隶书"/>
          <w:b/>
          <w:color w:val="auto"/>
          <w:sz w:val="44"/>
          <w:szCs w:val="44"/>
          <w:highlight w:val="none"/>
        </w:rPr>
        <w:t xml:space="preserve"> </w:t>
      </w:r>
      <w:r>
        <w:rPr>
          <w:rFonts w:hint="eastAsia" w:ascii="隶书" w:hAnsi="隶书" w:eastAsia="隶书" w:cs="隶书"/>
          <w:b w:val="0"/>
          <w:bCs/>
          <w:color w:val="auto"/>
          <w:sz w:val="28"/>
          <w:szCs w:val="28"/>
          <w:highlight w:val="none"/>
          <w:lang w:eastAsia="zh-CN"/>
        </w:rPr>
        <w:t>招标编号:</w:t>
      </w:r>
      <w:r>
        <w:rPr>
          <w:rFonts w:hint="eastAsia" w:ascii="隶书" w:hAnsi="隶书" w:eastAsia="隶书" w:cs="隶书"/>
          <w:b/>
          <w:bCs w:val="0"/>
          <w:color w:val="auto"/>
          <w:sz w:val="28"/>
          <w:szCs w:val="28"/>
          <w:highlight w:val="none"/>
          <w:lang w:eastAsia="zh-CN"/>
        </w:rPr>
        <w:t>2025-01-0007</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rPr>
              <w:t>采购单</w:t>
            </w:r>
            <w:r>
              <w:rPr>
                <w:rFonts w:hint="eastAsia" w:ascii="隶书" w:hAnsi="隶书" w:eastAsia="隶书" w:cs="隶书"/>
                <w:color w:val="auto"/>
                <w:spacing w:val="1"/>
                <w:kern w:val="0"/>
                <w:sz w:val="28"/>
                <w:szCs w:val="28"/>
                <w:highlight w:val="none"/>
              </w:rPr>
              <w:t>位</w:t>
            </w:r>
            <w:r>
              <w:rPr>
                <w:rFonts w:hint="eastAsia" w:ascii="隶书" w:hAnsi="隶书" w:eastAsia="隶书" w:cs="隶书"/>
                <w:color w:val="auto"/>
                <w:sz w:val="28"/>
                <w:szCs w:val="28"/>
                <w:highlight w:val="none"/>
              </w:rPr>
              <w:t>：</w:t>
            </w:r>
          </w:p>
        </w:tc>
        <w:tc>
          <w:tcPr>
            <w:tcW w:w="5445" w:type="dxa"/>
            <w:vAlign w:val="center"/>
          </w:tcPr>
          <w:p>
            <w:pPr>
              <w:kinsoku/>
              <w:wordWrap w:val="0"/>
              <w:overflowPunct/>
              <w:topLinePunct w:val="0"/>
              <w:bidi w:val="0"/>
              <w:spacing w:line="320" w:lineRule="exact"/>
              <w:outlineLvl w:val="0"/>
              <w:rPr>
                <w:rFonts w:hint="eastAsia" w:ascii="隶书" w:hAnsi="隶书" w:eastAsia="隶书" w:cs="隶书"/>
                <w:color w:val="auto"/>
                <w:sz w:val="28"/>
                <w:szCs w:val="28"/>
                <w:highlight w:val="none"/>
                <w:lang w:eastAsia="zh-CN"/>
              </w:rPr>
            </w:pPr>
            <w:r>
              <w:rPr>
                <w:rFonts w:hint="eastAsia" w:ascii="隶书" w:hAnsi="隶书" w:eastAsia="隶书" w:cs="隶书"/>
                <w:color w:val="auto"/>
                <w:sz w:val="28"/>
                <w:szCs w:val="28"/>
                <w:highlight w:val="none"/>
                <w:lang w:eastAsia="zh-CN"/>
              </w:rPr>
              <w:t>绍兴市水上运动训练中心</w:t>
            </w:r>
          </w:p>
        </w:tc>
      </w:tr>
      <w:tr>
        <w:tblPrEx>
          <w:tblCellMar>
            <w:top w:w="0" w:type="dxa"/>
            <w:left w:w="108" w:type="dxa"/>
            <w:bottom w:w="0" w:type="dxa"/>
            <w:right w:w="108" w:type="dxa"/>
          </w:tblCellMar>
        </w:tblPrEx>
        <w:trPr>
          <w:trHeight w:val="494"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0"/>
                <w:w w:val="100"/>
                <w:kern w:val="0"/>
                <w:sz w:val="28"/>
                <w:szCs w:val="28"/>
                <w:highlight w:val="none"/>
                <w:fitText w:val="1680" w:id="1811156363"/>
              </w:rPr>
              <w:t>采购代理机构</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fitText w:val="1680" w:id="652623389"/>
              </w:rPr>
              <w:t>监督单</w:t>
            </w:r>
            <w:r>
              <w:rPr>
                <w:rFonts w:hint="eastAsia" w:ascii="隶书" w:hAnsi="隶书" w:eastAsia="隶书" w:cs="隶书"/>
                <w:color w:val="auto"/>
                <w:spacing w:val="1"/>
                <w:kern w:val="0"/>
                <w:sz w:val="28"/>
                <w:szCs w:val="28"/>
                <w:highlight w:val="none"/>
                <w:fitText w:val="1680" w:id="652623389"/>
              </w:rPr>
              <w:t>位</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kinsoku/>
              <w:wordWrap w:val="0"/>
              <w:overflowPunct/>
              <w:topLinePunct w:val="0"/>
              <w:bidi w:val="0"/>
              <w:spacing w:after="100" w:afterAutospacing="1" w:line="440" w:lineRule="exact"/>
              <w:rPr>
                <w:rFonts w:hint="eastAsia" w:ascii="隶书" w:hAnsi="隶书" w:eastAsia="隶书" w:cs="隶书"/>
                <w:color w:val="auto"/>
                <w:spacing w:val="1400"/>
                <w:kern w:val="0"/>
                <w:sz w:val="28"/>
                <w:szCs w:val="28"/>
                <w:highlight w:val="none"/>
                <w:fitText w:val="1680" w:id="1"/>
              </w:rPr>
            </w:pP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kinsoku/>
              <w:wordWrap w:val="0"/>
              <w:overflowPunct/>
              <w:topLinePunct w:val="0"/>
              <w:bidi w:val="0"/>
              <w:spacing w:after="100" w:afterAutospacing="1" w:line="440" w:lineRule="exact"/>
              <w:jc w:val="center"/>
              <w:rPr>
                <w:rFonts w:hint="eastAsia" w:ascii="隶书" w:hAnsi="隶书" w:eastAsia="隶书" w:cs="隶书"/>
                <w:color w:val="auto"/>
                <w:sz w:val="28"/>
                <w:szCs w:val="28"/>
                <w:highlight w:val="none"/>
              </w:rPr>
            </w:pPr>
            <w:r>
              <w:rPr>
                <w:rFonts w:hint="eastAsia" w:ascii="隶书" w:hAnsi="隶书" w:eastAsia="隶书" w:cs="隶书"/>
                <w:color w:val="auto"/>
                <w:sz w:val="28"/>
                <w:szCs w:val="28"/>
                <w:highlight w:val="none"/>
              </w:rPr>
              <w:t>二○二</w:t>
            </w:r>
            <w:r>
              <w:rPr>
                <w:rFonts w:hint="eastAsia" w:ascii="隶书" w:hAnsi="隶书" w:eastAsia="隶书" w:cs="隶书"/>
                <w:color w:val="auto"/>
                <w:sz w:val="28"/>
                <w:szCs w:val="28"/>
                <w:highlight w:val="none"/>
                <w:lang w:val="en-US" w:eastAsia="zh-CN"/>
              </w:rPr>
              <w:t>五</w:t>
            </w:r>
            <w:r>
              <w:rPr>
                <w:rFonts w:hint="eastAsia" w:ascii="隶书" w:hAnsi="隶书" w:eastAsia="隶书" w:cs="隶书"/>
                <w:color w:val="auto"/>
                <w:sz w:val="28"/>
                <w:szCs w:val="28"/>
                <w:highlight w:val="none"/>
              </w:rPr>
              <w:t>年</w:t>
            </w:r>
            <w:r>
              <w:rPr>
                <w:rFonts w:hint="eastAsia" w:ascii="隶书" w:hAnsi="隶书" w:eastAsia="隶书" w:cs="隶书"/>
                <w:color w:val="auto"/>
                <w:sz w:val="28"/>
                <w:szCs w:val="28"/>
                <w:highlight w:val="none"/>
                <w:lang w:val="en-US" w:eastAsia="zh-CN"/>
              </w:rPr>
              <w:t>一</w:t>
            </w:r>
            <w:r>
              <w:rPr>
                <w:rFonts w:hint="eastAsia" w:ascii="隶书" w:hAnsi="隶书" w:eastAsia="隶书" w:cs="隶书"/>
                <w:color w:val="auto"/>
                <w:sz w:val="28"/>
                <w:szCs w:val="28"/>
                <w:highlight w:val="none"/>
              </w:rPr>
              <w:t>月</w:t>
            </w:r>
          </w:p>
        </w:tc>
      </w:tr>
    </w:tbl>
    <w:p>
      <w:pPr>
        <w:pStyle w:val="635"/>
        <w:kinsoku/>
        <w:wordWrap w:val="0"/>
        <w:overflowPunct/>
        <w:topLinePunct w:val="0"/>
        <w:bidi w:val="0"/>
        <w:rPr>
          <w:rFonts w:hint="eastAsia" w:ascii="仿宋" w:hAnsi="仿宋" w:eastAsia="仿宋" w:cs="仿宋"/>
          <w:color w:val="auto"/>
          <w:highlight w:val="none"/>
        </w:rPr>
        <w:sectPr>
          <w:headerReference r:id="rId4" w:type="first"/>
          <w:headerReference r:id="rId3" w:type="default"/>
          <w:footerReference r:id="rId5" w:type="default"/>
          <w:footerReference r:id="rId6" w:type="even"/>
          <w:pgSz w:w="11906" w:h="16838"/>
          <w:pgMar w:top="1474" w:right="1814" w:bottom="1474" w:left="1814" w:header="851" w:footer="992" w:gutter="0"/>
          <w:pgNumType w:fmt="decimal" w:start="1"/>
          <w:cols w:space="720" w:num="1"/>
          <w:titlePg/>
          <w:docGrid w:linePitch="312" w:charSpace="0"/>
        </w:sectPr>
      </w:pPr>
    </w:p>
    <w:p>
      <w:pPr>
        <w:pStyle w:val="635"/>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bookmarkStart w:id="0" w:name="_Hlt91233176"/>
      <w:bookmarkEnd w:id="0"/>
      <w:bookmarkStart w:id="1" w:name="_Toc91899869"/>
      <w:r>
        <w:rPr>
          <w:rFonts w:hint="eastAsia" w:ascii="仿宋_GB2312" w:hAnsi="仿宋_GB2312" w:eastAsia="仿宋_GB2312" w:cs="仿宋_GB2312"/>
          <w:b/>
          <w:color w:val="auto"/>
          <w:sz w:val="44"/>
          <w:szCs w:val="44"/>
          <w:highlight w:val="none"/>
        </w:rPr>
        <w:t>目录</w:t>
      </w: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color w:val="auto"/>
          <w:highlight w:val="none"/>
        </w:rPr>
      </w:pP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 xml:space="preserve">第二部分   </w:t>
      </w:r>
      <w:r>
        <w:rPr>
          <w:rFonts w:hint="eastAsia" w:ascii="仿宋_GB2312" w:hAnsi="仿宋_GB2312" w:eastAsia="仿宋_GB2312" w:cs="仿宋_GB2312"/>
          <w:b/>
          <w:color w:val="auto"/>
          <w:sz w:val="36"/>
          <w:szCs w:val="36"/>
          <w:highlight w:val="none"/>
          <w:lang w:val="en-US" w:eastAsia="zh-CN"/>
        </w:rPr>
        <w:t xml:space="preserve"> </w:t>
      </w:r>
      <w:r>
        <w:rPr>
          <w:rFonts w:hint="eastAsia" w:ascii="仿宋_GB2312" w:hAnsi="仿宋_GB2312" w:eastAsia="仿宋_GB2312" w:cs="仿宋_GB2312"/>
          <w:b/>
          <w:color w:val="auto"/>
          <w:sz w:val="36"/>
          <w:szCs w:val="36"/>
          <w:highlight w:val="none"/>
        </w:rPr>
        <w:t>投标须知</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bookmarkEnd w:id="1"/>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sectPr>
          <w:headerReference r:id="rId8" w:type="first"/>
          <w:footerReference r:id="rId10" w:type="first"/>
          <w:headerReference r:id="rId7" w:type="default"/>
          <w:footerReference r:id="rId9" w:type="default"/>
          <w:pgSz w:w="11906" w:h="16838"/>
          <w:pgMar w:top="1474" w:right="1814" w:bottom="1474" w:left="1814" w:header="851" w:footer="992" w:gutter="0"/>
          <w:pgNumType w:fmt="decimal"/>
          <w:cols w:space="720" w:num="1"/>
          <w:titlePg/>
          <w:docGrid w:linePitch="312" w:charSpace="0"/>
        </w:sect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绍兴市水上运动训练中心2025年物业管理服务项目   </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6"/>
          <w:rFonts w:hint="eastAsia" w:ascii="仿宋_GB2312" w:hAnsi="仿宋_GB2312" w:eastAsia="仿宋_GB2312" w:cs="仿宋_GB2312"/>
          <w:snapToGrid/>
          <w:color w:val="auto"/>
          <w:kern w:val="2"/>
          <w:sz w:val="24"/>
          <w:szCs w:val="24"/>
          <w:highlight w:val="none"/>
        </w:rPr>
        <w:t>https://www.zcygov.cn/）获取（下载）招标文件，并于202 年 月 日 点 分</w:t>
      </w:r>
      <w:r>
        <w:rPr>
          <w:rStyle w:val="76"/>
          <w:rFonts w:hint="eastAsia" w:ascii="仿宋_GB2312" w:hAnsi="仿宋_GB2312" w:eastAsia="仿宋_GB2312" w:cs="仿宋_GB2312"/>
          <w:bCs/>
          <w:snapToGrid/>
          <w:color w:val="auto"/>
          <w:kern w:val="2"/>
          <w:sz w:val="24"/>
          <w:szCs w:val="24"/>
          <w:highlight w:val="none"/>
        </w:rPr>
        <w:t>00秒</w:t>
      </w:r>
      <w:r>
        <w:rPr>
          <w:rStyle w:val="76"/>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2025-01-0007</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eastAsia="zh-CN"/>
        </w:rPr>
        <w:t xml:space="preserve">绍兴市水上运动训练中心2025年物业管理服务项目 </w:t>
      </w:r>
      <w:r>
        <w:rPr>
          <w:rFonts w:hint="eastAsia" w:ascii="仿宋_GB2312" w:hAnsi="仿宋_GB2312" w:eastAsia="仿宋_GB2312" w:cs="仿宋_GB2312"/>
          <w:color w:val="auto"/>
          <w:sz w:val="24"/>
          <w:highlight w:val="none"/>
          <w:lang w:val="en-US" w:eastAsia="zh-CN"/>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预算金额（元）：</w:t>
      </w:r>
      <w:r>
        <w:rPr>
          <w:rFonts w:hint="eastAsia" w:ascii="仿宋_GB2312" w:hAnsi="仿宋_GB2312" w:eastAsia="仿宋_GB2312" w:cs="仿宋_GB2312"/>
          <w:b/>
          <w:color w:val="auto"/>
          <w:sz w:val="24"/>
          <w:highlight w:val="none"/>
          <w:lang w:eastAsia="zh-CN"/>
        </w:rPr>
        <w:t>781443</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最高限价（元）：</w:t>
      </w:r>
      <w:r>
        <w:rPr>
          <w:rFonts w:hint="eastAsia" w:ascii="仿宋_GB2312" w:hAnsi="仿宋_GB2312" w:eastAsia="仿宋_GB2312" w:cs="仿宋_GB2312"/>
          <w:b/>
          <w:color w:val="auto"/>
          <w:sz w:val="24"/>
          <w:highlight w:val="none"/>
          <w:lang w:eastAsia="zh-CN"/>
        </w:rPr>
        <w:t>781443</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w:t>
      </w:r>
      <w:r>
        <w:rPr>
          <w:rFonts w:hint="eastAsia" w:ascii="仿宋_GB2312" w:hAnsi="仿宋_GB2312" w:eastAsia="仿宋_GB2312" w:cs="仿宋_GB2312"/>
          <w:bCs/>
          <w:color w:val="auto"/>
          <w:sz w:val="24"/>
          <w:highlight w:val="none"/>
          <w:lang w:eastAsia="zh-CN"/>
        </w:rPr>
        <w:t xml:space="preserve">2025年物业管理服务项目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eastAsia="zh-CN"/>
        </w:rPr>
      </w:pPr>
      <w:r>
        <w:rPr>
          <w:rFonts w:hint="eastAsia" w:ascii="仿宋_GB2312" w:hAnsi="仿宋_GB2312" w:eastAsia="仿宋_GB2312" w:cs="仿宋_GB2312"/>
          <w:bCs/>
          <w:color w:val="auto"/>
          <w:sz w:val="24"/>
          <w:highlight w:val="none"/>
          <w:lang w:val="en-US" w:eastAsia="zh-CN"/>
        </w:rPr>
        <w:t>预算金额：781443</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 简要规格描述或项目基本概况介绍、用途，详见采购文件</w:t>
      </w:r>
      <w:r>
        <w:rPr>
          <w:rFonts w:hint="eastAsia" w:ascii="仿宋_GB2312" w:hAnsi="仿宋_GB2312" w:eastAsia="仿宋_GB2312" w:cs="仿宋_GB2312"/>
          <w:b w:val="0"/>
          <w:bCs/>
          <w:color w:val="auto"/>
          <w:sz w:val="24"/>
          <w:highlight w:val="none"/>
        </w:rPr>
        <w:t>。</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highlight w:val="none"/>
          </w:rPr>
          <w:id w:val="337506595"/>
        </w:sdtPr>
        <w:sdtEndPr>
          <w:rPr>
            <w:rFonts w:hint="eastAsia" w:ascii="仿宋_GB2312" w:hAnsi="仿宋_GB2312" w:eastAsia="仿宋_GB2312" w:cs="仿宋_GB2312"/>
            <w:highlight w:val="none"/>
          </w:rPr>
        </w:sdtEndPr>
        <w:sdtContent>
          <w:r>
            <w:rPr>
              <w:rFonts w:hint="eastAsia" w:ascii="仿宋_GB2312" w:hAnsi="仿宋_GB2312" w:eastAsia="仿宋_GB2312" w:cs="仿宋_GB2312"/>
              <w:highlight w:val="none"/>
            </w:rPr>
            <w:sym w:font="Wingdings" w:char="F0FE"/>
          </w:r>
        </w:sdtContent>
      </w:sdt>
      <w:r>
        <w:rPr>
          <w:rFonts w:hint="eastAsia" w:ascii="仿宋_GB2312" w:hAnsi="仿宋_GB2312" w:eastAsia="仿宋_GB2312" w:cs="仿宋_GB2312"/>
          <w:b/>
          <w:color w:val="auto"/>
          <w:sz w:val="24"/>
          <w:highlight w:val="none"/>
        </w:rPr>
        <w:t>是，</w:t>
      </w:r>
      <w:r>
        <w:rPr>
          <w:rFonts w:hint="eastAsia" w:ascii="仿宋_GB2312" w:hAnsi="仿宋_GB2312" w:eastAsia="仿宋_GB2312" w:cs="仿宋_GB2312"/>
          <w:szCs w:val="24"/>
          <w:highlight w:val="none"/>
        </w:rPr>
        <w:t>☐</w:t>
      </w:r>
      <w:r>
        <w:rPr>
          <w:rFonts w:hint="eastAsia" w:ascii="仿宋_GB2312" w:hAnsi="仿宋_GB2312" w:eastAsia="仿宋_GB2312" w:cs="仿宋_GB2312"/>
          <w:b/>
          <w:color w:val="auto"/>
          <w:sz w:val="24"/>
          <w:highlight w:val="none"/>
        </w:rPr>
        <w:t>否。</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A8"/>
          </w:r>
        </w:sdtContent>
      </w:sdt>
      <w:r>
        <w:rPr>
          <w:rFonts w:hint="eastAsia" w:ascii="仿宋_GB2312" w:hAnsi="仿宋_GB2312" w:eastAsia="仿宋_GB2312" w:cs="仿宋_GB2312"/>
          <w:color w:val="auto"/>
          <w:sz w:val="24"/>
          <w:highlight w:val="none"/>
        </w:rPr>
        <w:t>无；</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sz w:val="24"/>
          <w:highlight w:val="none"/>
        </w:rPr>
        <w:t>服务全部由符合政策要求的中小企业承接，提供中小企业声明函；</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服务全部由符合政策要求的小微企业承接，提供中小企业声明函；</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val="en-US" w:eastAsia="zh-CN"/>
        </w:rPr>
        <w:t>无</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napToGrid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 年 月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 年 月 日 点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 年 月 日 点 分00秒</w:t>
      </w:r>
      <w:r>
        <w:rPr>
          <w:rFonts w:hint="eastAsia" w:ascii="仿宋_GB2312" w:hAnsi="仿宋_GB2312" w:eastAsia="仿宋_GB2312" w:cs="仿宋_GB2312"/>
          <w:bCs/>
          <w:color w:val="auto"/>
          <w:sz w:val="24"/>
          <w:highlight w:val="none"/>
          <w:u w:val="singl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pPr>
        <w:pStyle w:val="6"/>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szCs w:val="24"/>
          <w:highlight w:val="none"/>
        </w:rPr>
      </w:pPr>
      <w:bookmarkStart w:id="5" w:name="_Toc35393806"/>
      <w:bookmarkStart w:id="6" w:name="_Toc28359096"/>
      <w:bookmarkStart w:id="7" w:name="_Toc35393637"/>
      <w:bookmarkStart w:id="8" w:name="_Toc28359019"/>
      <w:r>
        <w:rPr>
          <w:rFonts w:hint="eastAsia" w:ascii="仿宋_GB2312" w:hAnsi="仿宋_GB2312" w:eastAsia="仿宋_GB2312" w:cs="仿宋_GB2312"/>
          <w:color w:val="auto"/>
          <w:sz w:val="24"/>
          <w:szCs w:val="24"/>
          <w:highlight w:val="none"/>
        </w:rPr>
        <w:t>1.采购人信息</w:t>
      </w:r>
      <w:bookmarkEnd w:id="5"/>
      <w:bookmarkEnd w:id="6"/>
      <w:bookmarkEnd w:id="7"/>
      <w:bookmarkEnd w:id="8"/>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名    称：</w:t>
      </w:r>
      <w:r>
        <w:rPr>
          <w:rFonts w:hint="eastAsia" w:ascii="仿宋_GB2312" w:hAnsi="仿宋_GB2312" w:eastAsia="仿宋_GB2312" w:cs="仿宋_GB2312"/>
          <w:color w:val="auto"/>
          <w:sz w:val="24"/>
          <w:highlight w:val="none"/>
          <w:lang w:eastAsia="zh-CN"/>
        </w:rPr>
        <w:t>绍兴市水上运动训练中心</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    址：绍兴市越城区涂山路1号（越城区体育中心内）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    真：0575-85720532</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项目联系人（询问）：王俊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项目联系方式（询问）：0575-85720532</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质疑联系人：胡将伟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 0575-85765592</w:t>
      </w:r>
    </w:p>
    <w:p>
      <w:pPr>
        <w:pStyle w:val="6"/>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bookmarkStart w:id="9" w:name="_Toc35393638"/>
      <w:bookmarkStart w:id="10" w:name="_Toc28359020"/>
      <w:bookmarkStart w:id="11" w:name="_Toc35393807"/>
      <w:bookmarkStart w:id="12" w:name="_Toc28359097"/>
      <w:r>
        <w:rPr>
          <w:rFonts w:hint="eastAsia" w:ascii="仿宋_GB2312" w:hAnsi="仿宋_GB2312" w:eastAsia="仿宋_GB2312" w:cs="仿宋_GB2312"/>
          <w:color w:val="auto"/>
          <w:sz w:val="24"/>
          <w:szCs w:val="24"/>
          <w:highlight w:val="none"/>
        </w:rPr>
        <w:t>2.采购代理机构信息</w:t>
      </w:r>
      <w:bookmarkEnd w:id="9"/>
      <w:bookmarkEnd w:id="10"/>
      <w:bookmarkEnd w:id="11"/>
      <w:bookmarkEnd w:id="12"/>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bookmarkStart w:id="13" w:name="_Toc28359098"/>
      <w:bookmarkStart w:id="14" w:name="_Toc35393639"/>
      <w:bookmarkStart w:id="15" w:name="_Toc35393808"/>
      <w:bookmarkStart w:id="16" w:name="_Toc28359021"/>
      <w:r>
        <w:rPr>
          <w:rFonts w:hint="eastAsia" w:ascii="仿宋_GB2312" w:hAnsi="仿宋_GB2312" w:eastAsia="仿宋_GB2312" w:cs="仿宋_GB2312"/>
          <w:color w:val="auto"/>
          <w:sz w:val="24"/>
          <w:highlight w:val="none"/>
        </w:rPr>
        <w:t>名    称：绍兴市公共资源交易中心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址：绍兴市越城区迪荡新城鼎盛时代大厦431室</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    真：0575-88307029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项目联系人（询问）：黄世杰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项目联系方式（询问）：0575-88307028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质疑联系人：顾梁杰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color w:val="auto"/>
          <w:sz w:val="24"/>
          <w:highlight w:val="none"/>
        </w:rPr>
        <w:t>质疑联系方式：0575-88307026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kern w:val="2"/>
          <w:sz w:val="24"/>
          <w:szCs w:val="24"/>
          <w:highlight w:val="none"/>
          <w:lang w:val="zh-CN" w:eastAsia="zh-CN" w:bidi="ar-SA"/>
        </w:rPr>
        <w:t xml:space="preserve">3. 同级政府采购监督管理部门： </w:t>
      </w:r>
      <w:r>
        <w:rPr>
          <w:rFonts w:hint="eastAsia" w:ascii="仿宋_GB2312" w:hAnsi="仿宋_GB2312" w:eastAsia="仿宋_GB2312" w:cs="仿宋_GB2312"/>
          <w:color w:val="auto"/>
          <w:sz w:val="24"/>
          <w:highlight w:val="none"/>
        </w:rPr>
        <w:t xml:space="preserve">           </w:t>
      </w:r>
    </w:p>
    <w:bookmarkEnd w:id="13"/>
    <w:bookmarkEnd w:id="14"/>
    <w:bookmarkEnd w:id="15"/>
    <w:bookmarkEnd w:id="16"/>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称：绍兴市财政局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址：绍兴市越城区凤林西路151号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真：0575-85209697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 系 人 ：张婷婷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kinsoku/>
        <w:wordWrap w:val="0"/>
        <w:overflowPunct/>
        <w:topLinePunct w:val="0"/>
        <w:bidi w:val="0"/>
        <w:adjustRightInd/>
        <w:jc w:val="left"/>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br w:type="page"/>
      </w: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第二部分</w:t>
      </w:r>
      <w:bookmarkEnd w:id="2"/>
      <w:r>
        <w:rPr>
          <w:rFonts w:hint="eastAsia" w:ascii="仿宋_GB2312" w:hAnsi="仿宋_GB2312" w:eastAsia="仿宋_GB2312" w:cs="仿宋_GB2312"/>
          <w:b/>
          <w:color w:val="auto"/>
          <w:sz w:val="36"/>
          <w:szCs w:val="20"/>
          <w:highlight w:val="none"/>
        </w:rPr>
        <w:t xml:space="preserve"> 投标须知</w:t>
      </w:r>
      <w:bookmarkEnd w:id="3"/>
    </w:p>
    <w:p>
      <w:pPr>
        <w:kinsoku/>
        <w:wordWrap w:val="0"/>
        <w:overflowPunct/>
        <w:topLinePunct w:val="0"/>
        <w:bidi w:val="0"/>
        <w:adjustRightInd/>
        <w:spacing w:line="360" w:lineRule="auto"/>
        <w:ind w:firstLine="3845" w:firstLineChars="1197"/>
        <w:outlineLvl w:val="0"/>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370"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370" w:type="dxa"/>
            <w:gridSpan w:val="2"/>
            <w:vAlign w:val="center"/>
          </w:tcPr>
          <w:p>
            <w:pPr>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分包：</w:t>
            </w:r>
            <w:r>
              <w:rPr>
                <w:rFonts w:hint="eastAsia" w:ascii="仿宋_GB2312" w:hAnsi="仿宋_GB2312" w:eastAsia="仿宋_GB2312" w:cs="仿宋_GB2312"/>
                <w:kern w:val="0"/>
                <w:sz w:val="24"/>
                <w:highlight w:val="none"/>
              </w:rPr>
              <w:t>☐A</w:t>
            </w:r>
            <w:r>
              <w:rPr>
                <w:rFonts w:hint="eastAsia" w:ascii="仿宋_GB2312" w:hAnsi="仿宋_GB2312" w:eastAsia="仿宋_GB2312" w:cs="仿宋_GB2312"/>
                <w:sz w:val="24"/>
                <w:highlight w:val="none"/>
              </w:rPr>
              <w:t>同意将非主体、非关键性的</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工作分包。</w:t>
            </w:r>
          </w:p>
          <w:p>
            <w:pPr>
              <w:keepNext w:val="0"/>
              <w:keepLines w:val="0"/>
              <w:pageBreakBefore w:val="0"/>
              <w:widowControl w:val="0"/>
              <w:kinsoku/>
              <w:wordWrap w:val="0"/>
              <w:overflowPunct/>
              <w:topLinePunct w:val="0"/>
              <w:bidi w:val="0"/>
              <w:adjustRightInd w:val="0"/>
              <w:spacing w:line="440" w:lineRule="exact"/>
              <w:ind w:left="0" w:leftChars="0" w:right="0" w:rightChars="0"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kern w:val="0"/>
                <w:sz w:val="24"/>
                <w:highlight w:val="none"/>
              </w:rPr>
              <w:sym w:font="Wingdings" w:char="F0FE"/>
            </w:r>
            <w:r>
              <w:rPr>
                <w:rFonts w:hint="eastAsia" w:ascii="仿宋_GB2312" w:hAnsi="仿宋_GB2312" w:eastAsia="仿宋_GB2312" w:cs="仿宋_GB2312"/>
                <w:kern w:val="0"/>
                <w:sz w:val="24"/>
                <w:highlight w:val="none"/>
              </w:rPr>
              <w:t>B</w:t>
            </w:r>
            <w:r>
              <w:rPr>
                <w:rFonts w:hint="eastAsia" w:ascii="仿宋_GB2312" w:hAnsi="仿宋_GB2312" w:eastAsia="仿宋_GB2312" w:cs="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370"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开标前答疑会或现场考察：</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09"/>
                <w:showingPlcHdr/>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不组织。</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kern w:val="0"/>
                  <w:sz w:val="24"/>
                  <w:highlight w:val="none"/>
                </w:rPr>
                <w:id w:val="109"/>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t>☐</w:t>
                </w:r>
              </w:sdtContent>
            </w:sdt>
            <w:r>
              <w:rPr>
                <w:rFonts w:hint="eastAsia" w:ascii="仿宋_GB2312" w:hAnsi="仿宋_GB2312" w:eastAsia="仿宋_GB2312" w:cs="仿宋_GB2312"/>
                <w:color w:val="auto"/>
                <w:kern w:val="0"/>
                <w:sz w:val="24"/>
                <w:highlight w:val="none"/>
              </w:rPr>
              <w:t>B组织，</w:t>
            </w:r>
            <w:r>
              <w:rPr>
                <w:rFonts w:hint="eastAsia" w:ascii="仿宋_GB2312" w:hAnsi="仿宋_GB2312" w:eastAsia="仿宋_GB2312" w:cs="仿宋_GB2312"/>
                <w:color w:val="auto"/>
                <w:sz w:val="24"/>
                <w:highlight w:val="none"/>
              </w:rPr>
              <w:t>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09"/>
                <w:showingPlcHdr/>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rPr>
              <w:t>（</w:t>
            </w:r>
            <w:r>
              <w:rPr>
                <w:rFonts w:hint="eastAsia" w:ascii="仿宋_GB2312" w:hAnsi="仿宋_GB2312" w:eastAsia="仿宋_GB2312" w:cs="仿宋_GB2312"/>
                <w:b w:val="0"/>
                <w:bCs w:val="0"/>
                <w:color w:val="auto"/>
                <w:sz w:val="24"/>
                <w:highlight w:val="none"/>
                <w:lang w:val="en-US"/>
              </w:rPr>
              <w:t>8</w:t>
            </w:r>
            <w:r>
              <w:rPr>
                <w:rFonts w:hint="eastAsia" w:ascii="仿宋_GB2312" w:hAnsi="仿宋_GB2312" w:eastAsia="仿宋_GB2312" w:cs="仿宋_GB2312"/>
                <w:b w:val="0"/>
                <w:bCs w:val="0"/>
                <w:color w:val="auto"/>
                <w:sz w:val="24"/>
                <w:highlight w:val="none"/>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370" w:type="dxa"/>
            <w:gridSpan w:val="2"/>
            <w:vAlign w:val="center"/>
          </w:tcPr>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pPr>
              <w:spacing w:line="440" w:lineRule="exact"/>
              <w:rPr>
                <w:rFonts w:hint="eastAsia" w:ascii="仿宋_GB2312" w:hAnsi="仿宋_GB2312" w:eastAsia="仿宋_GB2312" w:cs="仿宋_GB2312"/>
                <w:sz w:val="24"/>
                <w:highlight w:val="none"/>
              </w:rPr>
            </w:pPr>
            <w:sdt>
              <w:sdtPr>
                <w:rPr>
                  <w:rFonts w:hint="eastAsia" w:ascii="仿宋_GB2312" w:hAnsi="仿宋_GB2312" w:eastAsia="仿宋_GB2312" w:cs="仿宋_GB2312"/>
                  <w:kern w:val="0"/>
                  <w:sz w:val="24"/>
                  <w:highlight w:val="none"/>
                </w:rPr>
                <w:id w:val="801731539"/>
              </w:sdtPr>
              <w:sdtEndPr>
                <w:rPr>
                  <w:rFonts w:hint="eastAsia" w:ascii="仿宋_GB2312" w:hAnsi="仿宋_GB2312" w:eastAsia="仿宋_GB2312" w:cs="仿宋_GB2312"/>
                  <w:kern w:val="0"/>
                  <w:sz w:val="24"/>
                  <w:highlight w:val="none"/>
                </w:rPr>
              </w:sdtEndPr>
              <w:sdtContent>
                <w:sdt>
                  <w:sdtPr>
                    <w:rPr>
                      <w:rFonts w:hint="eastAsia" w:ascii="仿宋_GB2312" w:hAnsi="仿宋_GB2312" w:eastAsia="仿宋_GB2312" w:cs="仿宋_GB2312"/>
                      <w:kern w:val="0"/>
                      <w:sz w:val="24"/>
                      <w:highlight w:val="none"/>
                    </w:rPr>
                    <w:id w:val="118"/>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sdtContent>
            </w:sdt>
            <w:r>
              <w:rPr>
                <w:rFonts w:hint="eastAsia" w:ascii="仿宋_GB2312" w:hAnsi="仿宋_GB2312" w:eastAsia="仿宋_GB2312" w:cs="仿宋_GB2312"/>
                <w:kern w:val="0"/>
                <w:sz w:val="24"/>
                <w:highlight w:val="none"/>
              </w:rPr>
              <w:t>A</w:t>
            </w:r>
            <w:r>
              <w:rPr>
                <w:rFonts w:hint="eastAsia" w:ascii="仿宋_GB2312" w:hAnsi="仿宋_GB2312" w:eastAsia="仿宋_GB2312" w:cs="仿宋_GB2312"/>
                <w:sz w:val="24"/>
                <w:highlight w:val="none"/>
              </w:rPr>
              <w:t>无方案讲解演示。</w:t>
            </w:r>
          </w:p>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 xml:space="preserve">20 </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keepNext w:val="0"/>
              <w:keepLines w:val="0"/>
              <w:pageBreakBefore w:val="0"/>
              <w:widowControl w:val="0"/>
              <w:kinsoku/>
              <w:overflowPunct/>
              <w:topLinePunct w:val="0"/>
              <w:autoSpaceDE/>
              <w:autoSpaceDN/>
              <w:bidi w:val="0"/>
              <w:adjustRightInd w:val="0"/>
              <w:spacing w:line="440" w:lineRule="exact"/>
              <w:textAlignment w:val="auto"/>
              <w:rPr>
                <w:rFonts w:hint="eastAsia" w:ascii="仿宋_GB2312" w:hAnsi="仿宋_GB2312" w:eastAsia="仿宋_GB2312" w:cs="仿宋_GB2312"/>
                <w:kern w:val="0"/>
                <w:sz w:val="24"/>
                <w:highlight w:val="none"/>
              </w:rPr>
            </w:pPr>
            <w:sdt>
              <w:sdtPr>
                <w:rPr>
                  <w:rFonts w:hint="eastAsia" w:ascii="仿宋_GB2312" w:hAnsi="仿宋_GB2312" w:eastAsia="仿宋_GB2312" w:cs="仿宋_GB2312"/>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kern w:val="0"/>
                    <w:sz w:val="24"/>
                    <w:highlight w:val="none"/>
                  </w:rPr>
                  <w:sym w:font="Wingdings" w:char="F0FE"/>
                </w:r>
              </w:sdtContent>
            </w:sdt>
            <w:r>
              <w:rPr>
                <w:rFonts w:hint="eastAsia" w:ascii="仿宋_GB2312" w:hAnsi="仿宋_GB2312" w:eastAsia="仿宋_GB2312" w:cs="仿宋_GB2312"/>
                <w:color w:val="auto"/>
                <w:kern w:val="0"/>
                <w:sz w:val="24"/>
                <w:highlight w:val="none"/>
              </w:rPr>
              <w:t>本项目不允许采购进口产品。</w:t>
            </w:r>
          </w:p>
          <w:p>
            <w:pPr>
              <w:keepNext w:val="0"/>
              <w:keepLines w:val="0"/>
              <w:pageBreakBefore w:val="0"/>
              <w:widowControl w:val="0"/>
              <w:kinsoku/>
              <w:wordWrap w:val="0"/>
              <w:overflowPunct/>
              <w:topLinePunct w:val="0"/>
              <w:autoSpaceDE/>
              <w:autoSpaceDN/>
              <w:bidi w:val="0"/>
              <w:adjustRightInd w:val="0"/>
              <w:snapToGrid w:val="0"/>
              <w:spacing w:line="440" w:lineRule="exact"/>
              <w:ind w:left="0" w:leftChars="0" w:right="0" w:rightChars="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☐A货物类，单一产品或核心产品为：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kern w:val="0"/>
                    <w:sz w:val="24"/>
                    <w:highlight w:val="none"/>
                  </w:rPr>
                  <w:sym w:font="Wingdings" w:char="F0FE"/>
                </w:r>
              </w:sdtContent>
            </w:sdt>
            <w:r>
              <w:rPr>
                <w:rFonts w:hint="eastAsia" w:ascii="仿宋_GB2312" w:hAnsi="仿宋_GB2312" w:eastAsia="仿宋_GB2312" w:cs="仿宋_GB2312"/>
                <w:color w:val="auto"/>
                <w:sz w:val="24"/>
                <w:highlight w:val="none"/>
              </w:rPr>
              <w:t>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kern w:val="0"/>
                <w:sz w:val="24"/>
                <w:highlight w:val="none"/>
              </w:rPr>
              <w:t>（1）标的：</w:t>
            </w:r>
            <w:r>
              <w:rPr>
                <w:rFonts w:hint="eastAsia" w:ascii="仿宋_GB2312" w:hAnsi="仿宋_GB2312" w:eastAsia="仿宋_GB2312" w:cs="仿宋_GB2312"/>
                <w:kern w:val="0"/>
                <w:sz w:val="24"/>
                <w:highlight w:val="none"/>
                <w:u w:val="single"/>
              </w:rPr>
              <w:t xml:space="preserve"> 01标 </w:t>
            </w:r>
            <w:r>
              <w:rPr>
                <w:rFonts w:hint="eastAsia" w:ascii="仿宋_GB2312" w:hAnsi="仿宋_GB2312" w:eastAsia="仿宋_GB2312" w:cs="仿宋_GB2312"/>
                <w:kern w:val="0"/>
                <w:sz w:val="24"/>
                <w:highlight w:val="none"/>
              </w:rPr>
              <w:t>，属于</w:t>
            </w:r>
            <w:r>
              <w:rPr>
                <w:rFonts w:hint="eastAsia" w:ascii="仿宋_GB2312" w:hAnsi="仿宋_GB2312" w:eastAsia="仿宋_GB2312" w:cs="仿宋_GB2312"/>
                <w:kern w:val="0"/>
                <w:sz w:val="24"/>
                <w:highlight w:val="none"/>
                <w:u w:val="single"/>
              </w:rPr>
              <w:t xml:space="preserve">  物业管理</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kern w:val="0"/>
                <w:sz w:val="24"/>
                <w:highlight w:val="none"/>
                <w:u w:val="single"/>
              </w:rPr>
              <w:t xml:space="preserve">  </w:t>
            </w:r>
            <w:r>
              <w:rPr>
                <w:rFonts w:hint="eastAsia" w:ascii="仿宋_GB2312" w:hAnsi="仿宋_GB2312" w:eastAsia="仿宋_GB2312" w:cs="仿宋_GB2312"/>
                <w:kern w:val="0"/>
                <w:sz w:val="24"/>
                <w:highlight w:val="none"/>
              </w:rPr>
              <w:t>行业；</w:t>
            </w:r>
            <w:r>
              <w:rPr>
                <w:rFonts w:hint="eastAsia" w:ascii="仿宋_GB2312" w:hAnsi="仿宋_GB2312" w:eastAsia="仿宋_GB2312" w:cs="仿宋_GB231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4</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5</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7</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370" w:type="dxa"/>
            <w:gridSpan w:val="2"/>
            <w:vAlign w:val="center"/>
          </w:tcPr>
          <w:p>
            <w:pPr>
              <w:adjustRightInd w:val="0"/>
              <w:spacing w:line="440" w:lineRule="exact"/>
              <w:rPr>
                <w:rFonts w:hint="eastAsia" w:ascii="仿宋_GB2312" w:hAnsi="仿宋_GB2312" w:eastAsia="仿宋_GB2312" w:cs="仿宋_GB2312"/>
                <w:snapToGrid w:val="0"/>
                <w:kern w:val="28"/>
                <w:sz w:val="24"/>
                <w:highlight w:val="none"/>
              </w:rPr>
            </w:pPr>
            <w:sdt>
              <w:sdtPr>
                <w:rPr>
                  <w:rFonts w:hint="eastAsia" w:ascii="仿宋_GB2312" w:hAnsi="仿宋_GB2312" w:eastAsia="仿宋_GB2312" w:cs="仿宋_GB2312"/>
                  <w:kern w:val="0"/>
                  <w:sz w:val="24"/>
                  <w:szCs w:val="21"/>
                  <w:highlight w:val="none"/>
                </w:rPr>
                <w:id w:val="124"/>
              </w:sdtPr>
              <w:sdtEndPr>
                <w:rPr>
                  <w:rFonts w:hint="eastAsia" w:ascii="仿宋_GB2312" w:hAnsi="仿宋_GB2312" w:eastAsia="仿宋_GB2312" w:cs="仿宋_GB2312"/>
                  <w:kern w:val="0"/>
                  <w:sz w:val="24"/>
                  <w:szCs w:val="21"/>
                  <w:highlight w:val="none"/>
                </w:rPr>
              </w:sdtEndPr>
              <w:sdtContent>
                <w:r>
                  <w:rPr>
                    <w:rFonts w:hint="eastAsia" w:ascii="仿宋_GB2312" w:hAnsi="仿宋_GB2312" w:eastAsia="仿宋_GB2312" w:cs="仿宋_GB2312"/>
                    <w:kern w:val="0"/>
                    <w:sz w:val="24"/>
                    <w:highlight w:val="none"/>
                  </w:rPr>
                  <w:sym w:font="Wingdings" w:char="F0FE"/>
                </w:r>
              </w:sdtContent>
            </w:sdt>
            <w:r>
              <w:rPr>
                <w:rFonts w:hint="eastAsia" w:ascii="仿宋_GB2312" w:hAnsi="仿宋_GB2312" w:eastAsia="仿宋_GB2312" w:cs="仿宋_GB2312"/>
                <w:snapToGrid w:val="0"/>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kern w:val="0"/>
                  <w:sz w:val="24"/>
                  <w:szCs w:val="21"/>
                  <w:highlight w:val="none"/>
                </w:rPr>
                <w:id w:val="125"/>
              </w:sdtPr>
              <w:sdtEndPr>
                <w:rPr>
                  <w:rFonts w:hint="eastAsia" w:ascii="仿宋_GB2312" w:hAnsi="仿宋_GB2312" w:eastAsia="仿宋_GB2312" w:cs="仿宋_GB2312"/>
                  <w:kern w:val="0"/>
                  <w:sz w:val="24"/>
                  <w:szCs w:val="21"/>
                  <w:highlight w:val="none"/>
                </w:rPr>
              </w:sdtEndPr>
              <w:sdtContent>
                <w:r>
                  <w:rPr>
                    <w:rFonts w:hint="eastAsia" w:ascii="仿宋_GB2312" w:hAnsi="仿宋_GB2312" w:eastAsia="仿宋_GB2312" w:cs="仿宋_GB2312"/>
                    <w:kern w:val="0"/>
                    <w:sz w:val="24"/>
                    <w:highlight w:val="none"/>
                  </w:rPr>
                  <w:t>☐</w:t>
                </w:r>
              </w:sdtContent>
            </w:sdt>
            <w:r>
              <w:rPr>
                <w:rFonts w:hint="eastAsia" w:ascii="仿宋_GB2312" w:hAnsi="仿宋_GB2312" w:eastAsia="仿宋_GB2312" w:cs="仿宋_GB2312"/>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jc w:val="center"/>
        </w:trPr>
        <w:tc>
          <w:tcPr>
            <w:tcW w:w="870" w:type="dxa"/>
            <w:vAlign w:val="center"/>
          </w:tcPr>
          <w:p>
            <w:pPr>
              <w:kinsoku/>
              <w:wordWrap w:val="0"/>
              <w:overflowPunct/>
              <w:topLinePunct w:val="0"/>
              <w:bidi w:val="0"/>
              <w:snapToGrid w:val="0"/>
              <w:spacing w:line="336" w:lineRule="auto"/>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18</w:t>
            </w:r>
          </w:p>
        </w:tc>
        <w:tc>
          <w:tcPr>
            <w:tcW w:w="8370" w:type="dxa"/>
            <w:gridSpan w:val="2"/>
            <w:vAlign w:val="center"/>
          </w:tcPr>
          <w:p>
            <w:pPr>
              <w:kinsoku/>
              <w:wordWrap w:val="0"/>
              <w:overflowPunct/>
              <w:topLinePunct w:val="0"/>
              <w:bidi w:val="0"/>
              <w:spacing w:line="336" w:lineRule="auto"/>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b/>
                <w:color w:val="auto"/>
                <w:sz w:val="24"/>
                <w:highlight w:val="none"/>
              </w:rPr>
              <w:t>采购代理服务费：</w:t>
            </w:r>
            <w:r>
              <w:rPr>
                <w:rFonts w:hint="eastAsia" w:ascii="仿宋_GB2312" w:hAnsi="仿宋_GB2312" w:eastAsia="仿宋_GB2312" w:cs="仿宋_GB2312"/>
                <w:b/>
                <w:color w:val="auto"/>
                <w:sz w:val="24"/>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val="0"/>
        <w:overflowPunct/>
        <w:topLinePunct w:val="0"/>
        <w:autoSpaceDE/>
        <w:autoSpaceDN/>
        <w:bidi w:val="0"/>
        <w:adjustRightInd/>
        <w:snapToGrid/>
        <w:spacing w:line="360" w:lineRule="auto"/>
        <w:ind w:left="0"/>
        <w:jc w:val="center"/>
        <w:textAlignment w:val="auto"/>
        <w:outlineLvl w:val="0"/>
        <w:rPr>
          <w:rFonts w:hint="eastAsia" w:ascii="仿宋_GB2312" w:hAnsi="仿宋_GB2312" w:eastAsia="仿宋_GB2312" w:cs="仿宋_GB2312"/>
          <w:b/>
          <w:color w:val="auto"/>
          <w:sz w:val="32"/>
          <w:szCs w:val="32"/>
          <w:highlight w:val="none"/>
        </w:rPr>
      </w:pPr>
      <w:bookmarkStart w:id="17" w:name="_Toc164416483"/>
      <w:bookmarkStart w:id="18" w:name="第三部分"/>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一、总则</w:t>
      </w:r>
    </w:p>
    <w:p>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”系指适用本项目的要求，“☐”系指不适用本项目的要求。</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26"/>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3.投标费用</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“资格文件”、“商务技术文件资料”、</w:t>
      </w:r>
      <w:r>
        <w:rPr>
          <w:rFonts w:hint="eastAsia" w:ascii="仿宋_GB2312" w:hAnsi="仿宋_GB2312" w:eastAsia="仿宋_GB2312" w:cs="仿宋_GB2312"/>
          <w:color w:val="auto"/>
          <w:sz w:val="24"/>
          <w:highlight w:val="none"/>
        </w:rPr>
        <w:t>“报价文件资料”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eastAsia="zh-CN"/>
        </w:rPr>
      </w:pPr>
      <w:r>
        <w:rPr>
          <w:rFonts w:hint="eastAsia" w:ascii="仿宋_GB2312" w:hAnsi="仿宋_GB2312" w:eastAsia="仿宋_GB2312" w:cs="仿宋_GB2312"/>
          <w:b/>
          <w:color w:val="auto"/>
          <w:sz w:val="24"/>
          <w:highlight w:val="none"/>
          <w:lang w:val="zh-CN" w:eastAsia="zh-CN"/>
        </w:rPr>
        <w:t>2.</w:t>
      </w:r>
      <w:r>
        <w:rPr>
          <w:rFonts w:hint="eastAsia" w:ascii="仿宋_GB2312" w:hAnsi="仿宋_GB2312" w:eastAsia="仿宋_GB2312" w:cs="仿宋_GB2312"/>
          <w:b/>
          <w:color w:val="auto"/>
          <w:sz w:val="24"/>
          <w:highlight w:val="none"/>
          <w:lang w:val="en-US" w:eastAsia="zh-CN"/>
        </w:rPr>
        <w:t>2商务技术</w:t>
      </w:r>
      <w:r>
        <w:rPr>
          <w:rFonts w:hint="eastAsia" w:ascii="仿宋_GB2312" w:hAnsi="仿宋_GB2312" w:eastAsia="仿宋_GB2312" w:cs="仿宋_GB2312"/>
          <w:b/>
          <w:color w:val="auto"/>
          <w:sz w:val="24"/>
          <w:highlight w:val="none"/>
          <w:lang w:val="zh-CN" w:eastAsia="zh-CN"/>
        </w:rPr>
        <w:t>文件：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2.2.1投标函；</w:t>
      </w:r>
      <w:r>
        <w:rPr>
          <w:rFonts w:hint="eastAsia" w:ascii="仿宋_GB2312" w:hAnsi="仿宋_GB2312" w:eastAsia="仿宋_GB2312" w:cs="仿宋_GB2312"/>
          <w:color w:val="auto"/>
          <w:sz w:val="24"/>
          <w:highlight w:val="none"/>
          <w:lang w:val="zh-CN" w:eastAsia="zh-CN"/>
        </w:rPr>
        <w:t xml:space="preserve"> </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2.2.2法定代表人授权委托书；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2.2.3法定代表人及其授权代表身份证复印件；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2.2.4授权代表社保证明；</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2.2.5法定代表人身份证明书；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pStyle w:val="3"/>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2.3.1开标一览表（报价表）；</w:t>
      </w:r>
    </w:p>
    <w:p>
      <w:pPr>
        <w:pStyle w:val="3"/>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2.3.2中小企业声明函（如有）；</w:t>
      </w:r>
    </w:p>
    <w:p>
      <w:pPr>
        <w:pStyle w:val="3"/>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2.3.3 残疾人福利性单位声明函（如有）。</w:t>
      </w:r>
    </w:p>
    <w:p>
      <w:pPr>
        <w:pStyle w:val="3"/>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rPr>
        <w:t>3.</w:t>
      </w:r>
      <w:r>
        <w:rPr>
          <w:rFonts w:hint="eastAsia" w:ascii="仿宋_GB2312" w:hAnsi="仿宋_GB2312" w:eastAsia="仿宋_GB2312" w:cs="仿宋_GB2312"/>
          <w:b/>
          <w:bCs/>
          <w:color w:val="auto"/>
          <w:sz w:val="24"/>
          <w:highlight w:val="none"/>
          <w:lang w:val="en-US" w:eastAsia="zh-CN"/>
        </w:rPr>
        <w:t>投标报价</w:t>
      </w:r>
    </w:p>
    <w:p>
      <w:pPr>
        <w:pStyle w:val="3"/>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3.1供应商应按招标文件中《开标一览表》等附表要求填写。</w:t>
      </w:r>
    </w:p>
    <w:p>
      <w:pPr>
        <w:pStyle w:val="3"/>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3.2报价为采购人可以合格使用产品的价格，包括货款、包装、运输、保险、货到就位以及安装、调试、培训、保修及产品知识产权等一切费用。</w:t>
      </w:r>
    </w:p>
    <w:p>
      <w:pPr>
        <w:pStyle w:val="3"/>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3.3招标文件未列明，而供应商认为必需的费用也需列入报价。</w:t>
      </w:r>
    </w:p>
    <w:p>
      <w:pPr>
        <w:pStyle w:val="3"/>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bCs/>
          <w:color w:val="auto"/>
          <w:sz w:val="24"/>
          <w:highlight w:val="none"/>
          <w:lang w:val="en-US" w:eastAsia="zh-CN"/>
        </w:rPr>
        <w:t>3.4投标报价只允许有一个报价，有选择的报价将不予接受（除指定外）</w:t>
      </w:r>
      <w:r>
        <w:rPr>
          <w:rFonts w:hint="eastAsia" w:ascii="仿宋_GB2312" w:hAnsi="仿宋_GB2312" w:eastAsia="仿宋_GB2312" w:cs="仿宋_GB2312"/>
          <w:b/>
          <w:bCs/>
          <w:color w:val="auto"/>
          <w:sz w:val="24"/>
          <w:highlight w:val="none"/>
          <w:lang w:val="en-US"/>
        </w:rPr>
        <w:t>。</w:t>
      </w: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0"/>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19" w:name="_Toc91899903"/>
      <w:r>
        <w:rPr>
          <w:rFonts w:hint="eastAsia" w:ascii="仿宋_GB2312" w:hAnsi="仿宋_GB2312" w:eastAsia="仿宋_GB2312" w:cs="仿宋_GB2312"/>
          <w:b/>
          <w:color w:val="auto"/>
          <w:sz w:val="32"/>
          <w:szCs w:val="32"/>
          <w:highlight w:val="none"/>
        </w:rPr>
        <w:t>四、开标和评标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8"/>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8"/>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8.25 未按招标文件要求提供样品或提供样品不满足采购需求实质性条件的；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rPr>
      </w:pPr>
      <w:r>
        <w:rPr>
          <w:rFonts w:hint="eastAsia" w:ascii="仿宋_GB2312" w:hAnsi="仿宋_GB2312" w:eastAsia="仿宋_GB2312" w:cs="仿宋_GB2312"/>
          <w:b/>
          <w:bCs/>
          <w:color w:val="auto"/>
          <w:sz w:val="24"/>
          <w:highlight w:val="none"/>
        </w:rPr>
        <w:t>8.2</w:t>
      </w:r>
      <w:r>
        <w:rPr>
          <w:rFonts w:hint="eastAsia" w:ascii="仿宋_GB2312" w:hAnsi="仿宋_GB2312" w:eastAsia="仿宋_GB2312" w:cs="仿宋_GB2312"/>
          <w:b/>
          <w:bCs/>
          <w:color w:val="auto"/>
          <w:sz w:val="24"/>
          <w:highlight w:val="none"/>
          <w:lang w:val="en-US"/>
        </w:rPr>
        <w:t>6参与同一个采购包(标段)的供应商存在下列情形之一的其投标(响应)文件无效: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8.26.1</w:t>
      </w:r>
      <w:r>
        <w:rPr>
          <w:rFonts w:hint="eastAsia" w:ascii="仿宋_GB2312" w:hAnsi="仿宋_GB2312" w:eastAsia="仿宋_GB2312" w:cs="仿宋_GB2312"/>
          <w:b w:val="0"/>
          <w:bCs w:val="0"/>
          <w:color w:val="auto"/>
          <w:sz w:val="24"/>
          <w:highlight w:val="none"/>
          <w:lang w:val="en-US"/>
        </w:rPr>
        <w:t>不同供应商的电子投标(响应)文件上传计算机的网卡MAC地址、CPU序列号和硬盘序列号等硬件信息相同的;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8.26.2</w:t>
      </w:r>
      <w:r>
        <w:rPr>
          <w:rFonts w:hint="eastAsia" w:ascii="仿宋_GB2312" w:hAnsi="仿宋_GB2312" w:eastAsia="仿宋_GB2312" w:cs="仿宋_GB2312"/>
          <w:b w:val="0"/>
          <w:bCs w:val="0"/>
          <w:color w:val="auto"/>
          <w:sz w:val="24"/>
          <w:highlight w:val="none"/>
          <w:lang w:val="en-US"/>
        </w:rPr>
        <w:t>上传的电子投标(响应)文件若出现使用本项目其他投标(响应)供应商的数字证书加密的，或者加盖本项目其他投标(响应)供应商的电子印章的;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8.26.3</w:t>
      </w:r>
      <w:r>
        <w:rPr>
          <w:rFonts w:hint="eastAsia" w:ascii="仿宋_GB2312" w:hAnsi="仿宋_GB2312" w:eastAsia="仿宋_GB2312" w:cs="仿宋_GB2312"/>
          <w:b w:val="0"/>
          <w:bCs w:val="0"/>
          <w:color w:val="auto"/>
          <w:sz w:val="24"/>
          <w:highlight w:val="none"/>
          <w:lang w:val="en-US"/>
        </w:rPr>
        <w:t>不同供应商的投标(响应)文件的内容存在三处(含)以上错误一致，且无法合理解释的;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8.26.4</w:t>
      </w:r>
      <w:r>
        <w:rPr>
          <w:rFonts w:hint="eastAsia" w:ascii="仿宋_GB2312" w:hAnsi="仿宋_GB2312" w:eastAsia="仿宋_GB2312" w:cs="仿宋_GB2312"/>
          <w:b w:val="0"/>
          <w:bCs w:val="0"/>
          <w:color w:val="auto"/>
          <w:sz w:val="24"/>
          <w:highlight w:val="none"/>
          <w:lang w:val="en-US"/>
        </w:rPr>
        <w:t>不同供应商联系人为同一人或不同联系人的联系电话一致，且无法合理解释的。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rPr>
        <w:t>7</w:t>
      </w:r>
      <w:r>
        <w:rPr>
          <w:rFonts w:hint="eastAsia" w:ascii="仿宋_GB2312" w:hAnsi="仿宋_GB2312" w:eastAsia="仿宋_GB2312" w:cs="仿宋_GB2312"/>
          <w:b/>
          <w:color w:val="auto"/>
          <w:sz w:val="24"/>
          <w:highlight w:val="none"/>
        </w:rPr>
        <w:t>其他违反法律、法规的情形。</w:t>
      </w:r>
    </w:p>
    <w:p>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19"/>
    <w:p>
      <w:pPr>
        <w:pStyle w:val="34"/>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20" w:name="_Hlt75236101"/>
      <w:bookmarkEnd w:id="20"/>
      <w:bookmarkStart w:id="21" w:name="_Hlt68072990"/>
      <w:bookmarkEnd w:id="21"/>
      <w:bookmarkStart w:id="22" w:name="_Hlt74707468"/>
      <w:bookmarkEnd w:id="22"/>
      <w:bookmarkStart w:id="23" w:name="_Hlt74729768"/>
      <w:bookmarkEnd w:id="23"/>
      <w:bookmarkStart w:id="24" w:name="_Hlt68403820"/>
      <w:bookmarkEnd w:id="24"/>
      <w:bookmarkStart w:id="25" w:name="_Hlt75236011"/>
      <w:bookmarkEnd w:id="25"/>
      <w:bookmarkStart w:id="26" w:name="_Hlt74730295"/>
      <w:bookmarkEnd w:id="26"/>
      <w:bookmarkStart w:id="27" w:name="_Hlt74714665"/>
      <w:bookmarkEnd w:id="27"/>
      <w:bookmarkStart w:id="28" w:name="_Hlt75236290"/>
      <w:bookmarkEnd w:id="28"/>
      <w:bookmarkStart w:id="29" w:name="_Hlt68073093"/>
      <w:bookmarkEnd w:id="29"/>
      <w:bookmarkStart w:id="30" w:name="_Hlt68072998"/>
      <w:bookmarkEnd w:id="30"/>
      <w:bookmarkStart w:id="31" w:name="_Hlt68057669"/>
      <w:bookmarkEnd w:id="31"/>
      <w:bookmarkStart w:id="32" w:name="_Toc81372776"/>
      <w:bookmarkStart w:id="33" w:name="_Toc81372953"/>
      <w:bookmarkStart w:id="34" w:name="_Toc84325929"/>
      <w:r>
        <w:rPr>
          <w:rFonts w:hint="eastAsia" w:ascii="仿宋_GB2312" w:hAnsi="仿宋_GB2312" w:eastAsia="仿宋_GB2312" w:cs="仿宋_GB2312"/>
          <w:b/>
          <w:color w:val="auto"/>
          <w:sz w:val="32"/>
          <w:szCs w:val="32"/>
          <w:highlight w:val="none"/>
        </w:rPr>
        <w:t>五、授予合同</w:t>
      </w:r>
    </w:p>
    <w:bookmarkEnd w:id="32"/>
    <w:bookmarkEnd w:id="33"/>
    <w:bookmarkEnd w:id="34"/>
    <w:p>
      <w:pPr>
        <w:pStyle w:val="18"/>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 供应商询问</w:t>
      </w:r>
    </w:p>
    <w:p>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b w:val="0"/>
          <w:bCs w:val="0"/>
          <w:i w:val="0"/>
          <w:iCs w:val="0"/>
          <w:color w:val="auto"/>
          <w:kern w:val="0"/>
          <w:sz w:val="24"/>
          <w:szCs w:val="24"/>
          <w:highlight w:val="none"/>
          <w:vertAlign w:val="baseline"/>
          <w:lang w:val="en-US" w:eastAsia="zh-CN" w:bidi="ar-SA"/>
        </w:rPr>
        <w:t xml:space="preserve"> </w:t>
      </w: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的，采购代理机构应当告知供应商向采购人提出。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 供应商质疑</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pPr>
        <w:pStyle w:val="2"/>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highlight w:val="none"/>
        </w:rPr>
        <w:sectPr>
          <w:footerReference r:id="rId11" w:type="default"/>
          <w:pgSz w:w="11906" w:h="16838"/>
          <w:pgMar w:top="1474" w:right="1814" w:bottom="1474" w:left="1814" w:header="851" w:footer="992" w:gutter="0"/>
          <w:pgNumType w:fmt="decimal"/>
          <w:cols w:space="720" w:num="1"/>
          <w:docGrid w:linePitch="312" w:charSpace="0"/>
        </w:sectPr>
      </w:pPr>
    </w:p>
    <w:bookmarkEnd w:id="17"/>
    <w:bookmarkEnd w:id="18"/>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bookmarkStart w:id="35" w:name="第四部分"/>
      <w:r>
        <w:rPr>
          <w:rFonts w:hint="eastAsia" w:ascii="仿宋_GB2312" w:hAnsi="仿宋_GB2312" w:eastAsia="仿宋_GB2312" w:cs="仿宋_GB2312"/>
          <w:b/>
          <w:color w:val="auto"/>
          <w:sz w:val="36"/>
          <w:szCs w:val="36"/>
          <w:highlight w:val="none"/>
        </w:rPr>
        <w:t>第三部分   招标项目范围及要求</w:t>
      </w:r>
    </w:p>
    <w:bookmarkEnd w:id="35"/>
    <w:p>
      <w:pPr>
        <w:keepNext w:val="0"/>
        <w:keepLines w:val="0"/>
        <w:pageBreakBefore w:val="0"/>
        <w:widowControl w:val="0"/>
        <w:kinsoku/>
        <w:wordWrap/>
        <w:overflowPunct/>
        <w:topLinePunct w:val="0"/>
        <w:autoSpaceDE/>
        <w:autoSpaceDN/>
        <w:bidi w:val="0"/>
        <w:adjustRightInd w:val="0"/>
        <w:snapToGrid/>
        <w:spacing w:line="360" w:lineRule="auto"/>
        <w:ind w:left="0" w:leftChars="0" w:firstLine="0" w:firstLineChars="0"/>
        <w:jc w:val="left"/>
        <w:textAlignment w:val="auto"/>
        <w:outlineLvl w:val="0"/>
        <w:rPr>
          <w:rFonts w:hint="eastAsia" w:ascii="仿宋_GB2312" w:hAnsi="仿宋_GB2312" w:eastAsia="仿宋_GB2312" w:cs="仿宋_GB2312"/>
          <w:b/>
          <w:color w:val="auto"/>
          <w:sz w:val="36"/>
          <w:szCs w:val="36"/>
          <w:highlight w:val="none"/>
          <w:lang w:eastAsia="zh-CN"/>
        </w:rPr>
      </w:pPr>
      <w:bookmarkStart w:id="36" w:name="第五部分"/>
      <w:bookmarkStart w:id="37" w:name="_Toc86217003"/>
      <w:r>
        <w:rPr>
          <w:rFonts w:hint="eastAsia" w:ascii="仿宋_GB2312" w:hAnsi="仿宋_GB2312" w:eastAsia="仿宋_GB2312" w:cs="仿宋_GB2312"/>
          <w:b/>
          <w:bCs/>
          <w:sz w:val="24"/>
          <w:bdr w:val="single" w:color="auto" w:sz="4" w:space="0"/>
        </w:rPr>
        <w:t>01标</w:t>
      </w:r>
      <w:r>
        <w:rPr>
          <w:rFonts w:hint="eastAsia" w:ascii="仿宋_GB2312" w:hAnsi="仿宋_GB2312" w:eastAsia="仿宋_GB2312" w:cs="仿宋_GB2312"/>
          <w:b/>
          <w:bCs/>
          <w:sz w:val="24"/>
          <w:lang w:eastAsia="zh-CN"/>
        </w:rPr>
        <w:t xml:space="preserve">2025年物业管理服务项目 </w:t>
      </w:r>
    </w:p>
    <w:p>
      <w:pPr>
        <w:pStyle w:val="256"/>
        <w:keepNext w:val="0"/>
        <w:keepLines w:val="0"/>
        <w:pageBreakBefore w:val="0"/>
        <w:kinsoku/>
        <w:wordWrap/>
        <w:overflowPunct/>
        <w:topLinePunct w:val="0"/>
        <w:autoSpaceDE/>
        <w:autoSpaceDN/>
        <w:bidi w:val="0"/>
        <w:adjustRightInd/>
        <w:spacing w:after="0" w:line="312" w:lineRule="auto"/>
        <w:ind w:left="0"/>
        <w:textAlignment w:val="auto"/>
        <w:rPr>
          <w:rFonts w:ascii="仿宋_GB2312" w:hAnsi="仿宋_GB2312" w:eastAsia="仿宋_GB2312" w:cs="仿宋_GB2312"/>
          <w:b/>
          <w:color w:val="000000"/>
          <w:sz w:val="24"/>
          <w:szCs w:val="24"/>
          <w:highlight w:val="none"/>
        </w:rPr>
      </w:pPr>
      <w:r>
        <w:rPr>
          <w:rFonts w:hint="eastAsia" w:ascii="仿宋_GB2312" w:hAnsi="仿宋_GB2312" w:eastAsia="仿宋_GB2312" w:cs="仿宋_GB2312"/>
          <w:b/>
          <w:color w:val="000000"/>
          <w:sz w:val="24"/>
          <w:szCs w:val="24"/>
          <w:highlight w:val="none"/>
        </w:rPr>
        <w:t>一、服务概况及范围</w:t>
      </w:r>
    </w:p>
    <w:p>
      <w:pPr>
        <w:keepNext w:val="0"/>
        <w:keepLines w:val="0"/>
        <w:pageBreakBefore w:val="0"/>
        <w:widowControl/>
        <w:kinsoku/>
        <w:wordWrap/>
        <w:overflowPunct/>
        <w:topLinePunct w:val="0"/>
        <w:autoSpaceDE/>
        <w:autoSpaceDN/>
        <w:bidi w:val="0"/>
        <w:adjustRightInd/>
        <w:spacing w:line="312" w:lineRule="auto"/>
        <w:ind w:firstLine="480" w:firstLineChars="200"/>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kern w:val="0"/>
          <w:sz w:val="24"/>
          <w:highlight w:val="none"/>
        </w:rPr>
        <w:t>绍兴水上运动训练中心</w:t>
      </w:r>
      <w:r>
        <w:rPr>
          <w:rFonts w:hint="eastAsia" w:ascii="仿宋_GB2312" w:hAnsi="仿宋_GB2312" w:eastAsia="仿宋_GB2312" w:cs="仿宋_GB2312"/>
          <w:color w:val="000000"/>
          <w:kern w:val="0"/>
          <w:sz w:val="24"/>
          <w:highlight w:val="none"/>
          <w:u w:val="none"/>
        </w:rPr>
        <w:t>平水校区</w:t>
      </w:r>
      <w:r>
        <w:rPr>
          <w:rFonts w:hint="eastAsia" w:ascii="仿宋_GB2312" w:hAnsi="仿宋_GB2312" w:eastAsia="仿宋_GB2312" w:cs="仿宋_GB2312"/>
          <w:color w:val="000000"/>
          <w:kern w:val="0"/>
          <w:sz w:val="24"/>
          <w:highlight w:val="none"/>
        </w:rPr>
        <w:t>，面积：</w:t>
      </w:r>
      <w:r>
        <w:rPr>
          <w:rFonts w:hint="eastAsia" w:ascii="仿宋_GB2312" w:hAnsi="仿宋_GB2312" w:eastAsia="仿宋_GB2312" w:cs="仿宋_GB2312"/>
          <w:color w:val="000000"/>
          <w:sz w:val="24"/>
          <w:highlight w:val="none"/>
        </w:rPr>
        <w:t>中心占地总面积约为12135平方米，位于柯桥区平水镇平阳村600号，总建筑面积约为9717.03平方米。</w:t>
      </w:r>
    </w:p>
    <w:p>
      <w:pPr>
        <w:keepNext w:val="0"/>
        <w:keepLines w:val="0"/>
        <w:pageBreakBefore w:val="0"/>
        <w:widowControl/>
        <w:kinsoku/>
        <w:wordWrap/>
        <w:overflowPunct/>
        <w:topLinePunct w:val="0"/>
        <w:autoSpaceDE/>
        <w:autoSpaceDN/>
        <w:bidi w:val="0"/>
        <w:adjustRightInd/>
        <w:spacing w:line="312" w:lineRule="auto"/>
        <w:ind w:firstLine="480" w:firstLineChars="200"/>
        <w:textAlignment w:val="auto"/>
        <w:rPr>
          <w:rFonts w:ascii="仿宋_GB2312" w:hAnsi="仿宋_GB2312" w:eastAsia="仿宋_GB2312" w:cs="仿宋_GB2312"/>
          <w:b/>
          <w:color w:val="000000"/>
          <w:sz w:val="24"/>
          <w:highlight w:val="none"/>
        </w:rPr>
      </w:pPr>
      <w:r>
        <w:rPr>
          <w:rFonts w:hint="eastAsia" w:ascii="仿宋_GB2312" w:hAnsi="仿宋_GB2312" w:eastAsia="仿宋_GB2312" w:cs="仿宋_GB2312"/>
          <w:color w:val="000000"/>
          <w:kern w:val="0"/>
          <w:sz w:val="24"/>
          <w:highlight w:val="none"/>
        </w:rPr>
        <w:t>绍兴水上运动训练中心</w:t>
      </w:r>
      <w:r>
        <w:rPr>
          <w:rFonts w:hint="eastAsia" w:ascii="仿宋_GB2312" w:hAnsi="仿宋_GB2312" w:eastAsia="仿宋_GB2312" w:cs="仿宋_GB2312"/>
          <w:color w:val="000000"/>
          <w:kern w:val="0"/>
          <w:sz w:val="24"/>
          <w:highlight w:val="none"/>
          <w:u w:val="none"/>
        </w:rPr>
        <w:t>城东校区</w:t>
      </w:r>
      <w:r>
        <w:rPr>
          <w:rFonts w:hint="eastAsia" w:ascii="仿宋_GB2312" w:hAnsi="仿宋_GB2312" w:eastAsia="仿宋_GB2312" w:cs="仿宋_GB2312"/>
          <w:color w:val="000000"/>
          <w:kern w:val="0"/>
          <w:sz w:val="24"/>
          <w:highlight w:val="none"/>
        </w:rPr>
        <w:t>，面积：</w:t>
      </w:r>
      <w:r>
        <w:rPr>
          <w:rFonts w:hint="eastAsia" w:ascii="仿宋_GB2312" w:hAnsi="仿宋_GB2312" w:eastAsia="仿宋_GB2312" w:cs="仿宋_GB2312"/>
          <w:color w:val="000000"/>
          <w:sz w:val="24"/>
          <w:highlight w:val="none"/>
        </w:rPr>
        <w:t>中心占地总面积约为13487.72平方米，位于越城区涂山路1号（越城区城东体育中心内），总建筑面积约为12728.81平方米。</w:t>
      </w:r>
    </w:p>
    <w:p>
      <w:pPr>
        <w:keepNext w:val="0"/>
        <w:keepLines w:val="0"/>
        <w:pageBreakBefore w:val="0"/>
        <w:widowControl/>
        <w:numPr>
          <w:ilvl w:val="0"/>
          <w:numId w:val="1"/>
        </w:numPr>
        <w:kinsoku/>
        <w:wordWrap/>
        <w:overflowPunct/>
        <w:topLinePunct w:val="0"/>
        <w:autoSpaceDE/>
        <w:autoSpaceDN/>
        <w:bidi w:val="0"/>
        <w:adjustRightInd/>
        <w:spacing w:line="312" w:lineRule="auto"/>
        <w:textAlignment w:val="auto"/>
        <w:rPr>
          <w:rFonts w:hint="eastAsia" w:ascii="仿宋_GB2312" w:hAnsi="仿宋_GB2312" w:eastAsia="仿宋_GB2312" w:cs="仿宋_GB2312"/>
          <w:color w:val="000000"/>
          <w:kern w:val="0"/>
          <w:sz w:val="24"/>
          <w:highlight w:val="none"/>
        </w:rPr>
      </w:pPr>
      <w:r>
        <w:rPr>
          <w:rFonts w:hint="eastAsia" w:ascii="仿宋_GB2312" w:hAnsi="仿宋_GB2312" w:eastAsia="仿宋_GB2312" w:cs="仿宋_GB2312"/>
          <w:b/>
          <w:bCs/>
          <w:color w:val="000000"/>
          <w:sz w:val="24"/>
          <w:highlight w:val="none"/>
        </w:rPr>
        <w:t>服务期限：</w:t>
      </w:r>
      <w:r>
        <w:rPr>
          <w:rFonts w:hint="eastAsia" w:ascii="仿宋_GB2312" w:hAnsi="仿宋_GB2312" w:eastAsia="仿宋_GB2312" w:cs="仿宋_GB2312"/>
          <w:bCs/>
          <w:color w:val="000000"/>
          <w:sz w:val="24"/>
          <w:highlight w:val="none"/>
        </w:rPr>
        <w:t>202</w:t>
      </w:r>
      <w:r>
        <w:rPr>
          <w:rFonts w:hint="eastAsia" w:ascii="仿宋_GB2312" w:hAnsi="仿宋_GB2312" w:eastAsia="仿宋_GB2312" w:cs="仿宋_GB2312"/>
          <w:bCs/>
          <w:color w:val="000000"/>
          <w:sz w:val="24"/>
          <w:highlight w:val="none"/>
          <w:lang w:val="en-US" w:eastAsia="zh-CN"/>
        </w:rPr>
        <w:t>5</w:t>
      </w:r>
      <w:r>
        <w:rPr>
          <w:rFonts w:hint="eastAsia" w:ascii="仿宋_GB2312" w:hAnsi="仿宋_GB2312" w:eastAsia="仿宋_GB2312" w:cs="仿宋_GB2312"/>
          <w:bCs/>
          <w:color w:val="000000"/>
          <w:sz w:val="24"/>
          <w:highlight w:val="none"/>
        </w:rPr>
        <w:t>年1月1日-202</w:t>
      </w:r>
      <w:r>
        <w:rPr>
          <w:rFonts w:hint="eastAsia" w:ascii="仿宋_GB2312" w:hAnsi="仿宋_GB2312" w:eastAsia="仿宋_GB2312" w:cs="仿宋_GB2312"/>
          <w:bCs/>
          <w:color w:val="000000"/>
          <w:sz w:val="24"/>
          <w:highlight w:val="none"/>
          <w:lang w:val="en-US" w:eastAsia="zh-CN"/>
        </w:rPr>
        <w:t>5</w:t>
      </w:r>
      <w:r>
        <w:rPr>
          <w:rFonts w:hint="eastAsia" w:ascii="仿宋_GB2312" w:hAnsi="仿宋_GB2312" w:eastAsia="仿宋_GB2312" w:cs="仿宋_GB2312"/>
          <w:bCs/>
          <w:color w:val="000000"/>
          <w:sz w:val="24"/>
          <w:highlight w:val="none"/>
        </w:rPr>
        <w:t>年12月31日。</w:t>
      </w:r>
      <w:r>
        <w:rPr>
          <w:rFonts w:hint="eastAsia" w:ascii="仿宋_GB2312" w:hAnsi="仿宋_GB2312" w:eastAsia="仿宋_GB2312" w:cs="仿宋_GB2312"/>
          <w:color w:val="000000"/>
          <w:kern w:val="0"/>
          <w:sz w:val="24"/>
          <w:highlight w:val="none"/>
        </w:rPr>
        <w:t>考虑到本项目招标及服务交接与原项目截止时间存在时间差，在服务交接完成前仍由原服务单位提供服务，费用由中标人以本次中标金额按实际服务天数与原服务单位进行结算，费用按天计算，包含在投标报价中。</w:t>
      </w:r>
    </w:p>
    <w:p>
      <w:pPr>
        <w:keepNext w:val="0"/>
        <w:keepLines w:val="0"/>
        <w:pageBreakBefore w:val="0"/>
        <w:numPr>
          <w:ilvl w:val="0"/>
          <w:numId w:val="0"/>
        </w:numPr>
        <w:kinsoku/>
        <w:wordWrap/>
        <w:overflowPunct/>
        <w:topLinePunct w:val="0"/>
        <w:autoSpaceDE/>
        <w:autoSpaceDN/>
        <w:bidi w:val="0"/>
        <w:adjustRightInd/>
        <w:spacing w:line="312" w:lineRule="auto"/>
        <w:textAlignment w:val="auto"/>
        <w:rPr>
          <w:rFonts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sz w:val="24"/>
          <w:highlight w:val="none"/>
        </w:rPr>
        <w:t>三、服务内容及要求</w:t>
      </w:r>
    </w:p>
    <w:p>
      <w:pPr>
        <w:keepNext w:val="0"/>
        <w:keepLines w:val="0"/>
        <w:pageBreakBefore w:val="0"/>
        <w:kinsoku/>
        <w:wordWrap/>
        <w:overflowPunct/>
        <w:topLinePunct w:val="0"/>
        <w:autoSpaceDE/>
        <w:autoSpaceDN/>
        <w:bidi w:val="0"/>
        <w:adjustRightInd/>
        <w:spacing w:line="312" w:lineRule="auto"/>
        <w:ind w:firstLine="482" w:firstLineChars="200"/>
        <w:textAlignment w:val="auto"/>
        <w:rPr>
          <w:rFonts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sz w:val="24"/>
          <w:highlight w:val="none"/>
        </w:rPr>
        <w:t>1.人员配置要求：</w:t>
      </w:r>
    </w:p>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80" w:firstLineChars="200"/>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（1）项目负责人1人，</w:t>
      </w:r>
      <w:r>
        <w:rPr>
          <w:rFonts w:hint="eastAsia" w:ascii="仿宋_GB2312" w:hAnsi="仿宋_GB2312" w:eastAsia="仿宋_GB2312" w:cs="仿宋_GB2312"/>
          <w:color w:val="000000"/>
          <w:sz w:val="24"/>
          <w:highlight w:val="none"/>
          <w:lang w:eastAsia="zh-CN"/>
        </w:rPr>
        <w:t>具有</w:t>
      </w:r>
      <w:r>
        <w:rPr>
          <w:rFonts w:hint="eastAsia" w:ascii="仿宋_GB2312" w:hAnsi="仿宋_GB2312" w:eastAsia="仿宋_GB2312" w:cs="仿宋_GB2312"/>
          <w:color w:val="000000"/>
          <w:sz w:val="24"/>
          <w:highlight w:val="none"/>
        </w:rPr>
        <w:t>大专</w:t>
      </w:r>
      <w:r>
        <w:rPr>
          <w:rFonts w:hint="eastAsia" w:ascii="仿宋_GB2312" w:hAnsi="仿宋_GB2312" w:eastAsia="仿宋_GB2312" w:cs="仿宋_GB2312"/>
          <w:color w:val="000000"/>
          <w:sz w:val="24"/>
          <w:highlight w:val="none"/>
          <w:lang w:eastAsia="zh-CN"/>
        </w:rPr>
        <w:t>及以上</w:t>
      </w:r>
      <w:r>
        <w:rPr>
          <w:rFonts w:hint="eastAsia" w:ascii="仿宋_GB2312" w:hAnsi="仿宋_GB2312" w:eastAsia="仿宋_GB2312" w:cs="仿宋_GB2312"/>
          <w:color w:val="000000"/>
          <w:sz w:val="24"/>
          <w:highlight w:val="none"/>
        </w:rPr>
        <w:t>学历，持有人社部门颁发的建（构）筑物消防员证书或消防设施操作员证书，形象礼仪好，责任心强，服务意识强，负责平水校区物业、城东校区物业的日常工作。</w:t>
      </w:r>
    </w:p>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80" w:firstLineChars="200"/>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（2）平水校区保安员3人（3人翻班8小时岗）；保洁1人，8小时工作制，双休。</w:t>
      </w:r>
    </w:p>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80" w:firstLineChars="200"/>
        <w:textAlignment w:val="auto"/>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（3）城东校区保安员5人（含本项目</w:t>
      </w:r>
      <w:r>
        <w:rPr>
          <w:rFonts w:hint="eastAsia" w:ascii="仿宋_GB2312" w:hAnsi="仿宋_GB2312" w:eastAsia="仿宋_GB2312" w:cs="仿宋_GB2312"/>
          <w:color w:val="000000"/>
          <w:sz w:val="24"/>
          <w:highlight w:val="none"/>
          <w:lang w:eastAsia="zh-CN"/>
        </w:rPr>
        <w:t>两个校区</w:t>
      </w:r>
      <w:r>
        <w:rPr>
          <w:rFonts w:hint="eastAsia" w:ascii="仿宋_GB2312" w:hAnsi="仿宋_GB2312" w:eastAsia="仿宋_GB2312" w:cs="仿宋_GB2312"/>
          <w:color w:val="000000"/>
          <w:sz w:val="24"/>
          <w:highlight w:val="none"/>
        </w:rPr>
        <w:t>保安负责人1人），3人翻班8小时岗，1人长白班；1人专门负责夜间巡逻（工作时间21时30分至次日凌晨5时30分）</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lang w:val="en-US" w:eastAsia="zh-CN"/>
        </w:rPr>
        <w:t>其中</w:t>
      </w:r>
      <w:r>
        <w:rPr>
          <w:rFonts w:hint="eastAsia" w:ascii="仿宋_GB2312" w:hAnsi="仿宋_GB2312" w:eastAsia="仿宋_GB2312" w:cs="仿宋_GB2312"/>
          <w:color w:val="000000"/>
          <w:sz w:val="24"/>
          <w:highlight w:val="none"/>
        </w:rPr>
        <w:t>保安负责人</w:t>
      </w:r>
      <w:r>
        <w:rPr>
          <w:rFonts w:hint="eastAsia" w:ascii="仿宋_GB2312" w:hAnsi="仿宋_GB2312" w:eastAsia="仿宋_GB2312" w:cs="仿宋_GB2312"/>
          <w:color w:val="000000"/>
          <w:sz w:val="24"/>
          <w:highlight w:val="none"/>
          <w:lang w:val="en-US" w:eastAsia="zh-CN"/>
        </w:rPr>
        <w:t>需</w:t>
      </w:r>
      <w:r>
        <w:rPr>
          <w:rFonts w:hint="eastAsia" w:ascii="仿宋_GB2312" w:hAnsi="仿宋_GB2312" w:eastAsia="仿宋_GB2312" w:cs="仿宋_GB2312"/>
          <w:color w:val="000000"/>
          <w:sz w:val="24"/>
          <w:highlight w:val="none"/>
          <w:lang w:eastAsia="zh-CN"/>
        </w:rPr>
        <w:t>具有</w:t>
      </w:r>
      <w:r>
        <w:rPr>
          <w:rFonts w:hint="eastAsia" w:ascii="仿宋_GB2312" w:hAnsi="仿宋_GB2312" w:eastAsia="仿宋_GB2312" w:cs="仿宋_GB2312"/>
          <w:color w:val="000000"/>
          <w:sz w:val="24"/>
          <w:highlight w:val="none"/>
        </w:rPr>
        <w:t>大专</w:t>
      </w:r>
      <w:r>
        <w:rPr>
          <w:rFonts w:hint="eastAsia" w:ascii="仿宋_GB2312" w:hAnsi="仿宋_GB2312" w:eastAsia="仿宋_GB2312" w:cs="仿宋_GB2312"/>
          <w:color w:val="000000"/>
          <w:sz w:val="24"/>
          <w:highlight w:val="none"/>
          <w:lang w:eastAsia="zh-CN"/>
        </w:rPr>
        <w:t>及以上</w:t>
      </w:r>
      <w:r>
        <w:rPr>
          <w:rFonts w:hint="eastAsia" w:ascii="仿宋_GB2312" w:hAnsi="仿宋_GB2312" w:eastAsia="仿宋_GB2312" w:cs="仿宋_GB2312"/>
          <w:color w:val="000000"/>
          <w:sz w:val="24"/>
          <w:highlight w:val="none"/>
        </w:rPr>
        <w:t>学历</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持有人社部门颁发的建（构）筑物消防员证书或消防设施操作员证书；持有人社部门颁发的保安员</w:t>
      </w:r>
      <w:r>
        <w:rPr>
          <w:rFonts w:hint="eastAsia" w:ascii="仿宋_GB2312" w:hAnsi="仿宋_GB2312" w:eastAsia="仿宋_GB2312" w:cs="仿宋_GB2312"/>
          <w:color w:val="000000"/>
          <w:sz w:val="24"/>
          <w:highlight w:val="none"/>
          <w:lang w:eastAsia="zh-CN"/>
        </w:rPr>
        <w:t>二</w:t>
      </w:r>
      <w:r>
        <w:rPr>
          <w:rFonts w:hint="eastAsia" w:ascii="仿宋_GB2312" w:hAnsi="仿宋_GB2312" w:eastAsia="仿宋_GB2312" w:cs="仿宋_GB2312"/>
          <w:color w:val="000000"/>
          <w:sz w:val="24"/>
          <w:highlight w:val="none"/>
        </w:rPr>
        <w:t>级</w:t>
      </w:r>
      <w:r>
        <w:rPr>
          <w:rFonts w:hint="eastAsia" w:ascii="仿宋_GB2312" w:hAnsi="仿宋_GB2312" w:eastAsia="仿宋_GB2312" w:cs="仿宋_GB2312"/>
          <w:color w:val="000000"/>
          <w:sz w:val="24"/>
          <w:highlight w:val="none"/>
          <w:lang w:val="en-US" w:eastAsia="zh-CN"/>
        </w:rPr>
        <w:t>及以上</w:t>
      </w:r>
      <w:r>
        <w:rPr>
          <w:rFonts w:hint="eastAsia" w:ascii="仿宋_GB2312" w:hAnsi="仿宋_GB2312" w:eastAsia="仿宋_GB2312" w:cs="仿宋_GB2312"/>
          <w:color w:val="000000"/>
          <w:sz w:val="24"/>
          <w:highlight w:val="none"/>
        </w:rPr>
        <w:t>证书。日常保洁5人（含本项目</w:t>
      </w:r>
      <w:r>
        <w:rPr>
          <w:rFonts w:hint="eastAsia" w:ascii="仿宋_GB2312" w:hAnsi="仿宋_GB2312" w:eastAsia="仿宋_GB2312" w:cs="仿宋_GB2312"/>
          <w:color w:val="000000"/>
          <w:sz w:val="24"/>
          <w:highlight w:val="none"/>
          <w:lang w:eastAsia="zh-CN"/>
        </w:rPr>
        <w:t>两个校区</w:t>
      </w:r>
      <w:r>
        <w:rPr>
          <w:rFonts w:hint="eastAsia" w:ascii="仿宋_GB2312" w:hAnsi="仿宋_GB2312" w:eastAsia="仿宋_GB2312" w:cs="仿宋_GB2312"/>
          <w:color w:val="000000"/>
          <w:sz w:val="24"/>
          <w:highlight w:val="none"/>
        </w:rPr>
        <w:t>保洁负责人1人），8小时工作制，双休；</w:t>
      </w:r>
      <w:r>
        <w:rPr>
          <w:rFonts w:hint="eastAsia" w:ascii="仿宋_GB2312" w:hAnsi="仿宋_GB2312" w:eastAsia="仿宋_GB2312" w:cs="仿宋_GB2312"/>
          <w:color w:val="000000"/>
          <w:sz w:val="24"/>
          <w:highlight w:val="none"/>
          <w:lang w:eastAsia="zh-CN"/>
        </w:rPr>
        <w:t>玻璃清洁大理石保养</w:t>
      </w:r>
      <w:r>
        <w:rPr>
          <w:rFonts w:hint="eastAsia" w:ascii="仿宋_GB2312" w:hAnsi="仿宋_GB2312" w:eastAsia="仿宋_GB2312" w:cs="仿宋_GB2312"/>
          <w:color w:val="000000"/>
          <w:sz w:val="24"/>
          <w:highlight w:val="none"/>
          <w:lang w:val="en-US" w:eastAsia="zh-CN"/>
        </w:rPr>
        <w:t>(公共区域保洁员PA</w:t>
      </w:r>
      <w:r>
        <w:rPr>
          <w:rFonts w:hint="eastAsia" w:ascii="仿宋_GB2312" w:hAnsi="仿宋_GB2312" w:eastAsia="仿宋_GB2312" w:cs="仿宋_GB2312"/>
          <w:color w:val="000000"/>
          <w:sz w:val="24"/>
          <w:highlight w:val="none"/>
        </w:rPr>
        <w:t>技术工</w:t>
      </w:r>
      <w:r>
        <w:rPr>
          <w:rFonts w:hint="eastAsia" w:ascii="仿宋_GB2312" w:hAnsi="仿宋_GB2312" w:eastAsia="仿宋_GB2312" w:cs="仿宋_GB2312"/>
          <w:color w:val="000000"/>
          <w:sz w:val="24"/>
          <w:highlight w:val="none"/>
          <w:lang w:val="en-US" w:eastAsia="zh-CN"/>
        </w:rPr>
        <w:t>)</w:t>
      </w:r>
      <w:r>
        <w:rPr>
          <w:rFonts w:hint="eastAsia" w:ascii="仿宋_GB2312" w:hAnsi="仿宋_GB2312" w:eastAsia="仿宋_GB2312" w:cs="仿宋_GB2312"/>
          <w:color w:val="000000"/>
          <w:sz w:val="24"/>
          <w:highlight w:val="none"/>
        </w:rPr>
        <w:t>1人，玻璃镜面清洁保养、花岗岩大理石地面镜面处理；地胶板地面清洁保养、地毯清洁保养；配合做好应急工作，8小时工作制，双休。</w:t>
      </w:r>
    </w:p>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80" w:firstLineChars="200"/>
        <w:textAlignment w:val="auto"/>
        <w:rPr>
          <w:rFonts w:hint="eastAsia"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（4）高配管理人员1人，需持有应急管理部门颁发或监制的特种作业操作证（</w:t>
      </w:r>
      <w:r>
        <w:rPr>
          <w:rFonts w:hint="eastAsia" w:ascii="仿宋_GB2312" w:hAnsi="仿宋_GB2312" w:eastAsia="仿宋_GB2312" w:cs="仿宋_GB2312"/>
          <w:color w:val="000000"/>
          <w:sz w:val="24"/>
          <w:highlight w:val="none"/>
        </w:rPr>
        <w:fldChar w:fldCharType="begin"/>
      </w:r>
      <w:r>
        <w:rPr>
          <w:rFonts w:hint="eastAsia" w:ascii="仿宋_GB2312" w:hAnsi="仿宋_GB2312" w:eastAsia="仿宋_GB2312" w:cs="仿宋_GB2312"/>
          <w:color w:val="000000"/>
          <w:sz w:val="24"/>
          <w:highlight w:val="none"/>
        </w:rPr>
        <w:instrText xml:space="preserve"> HYPERLINK "https://baike.baidu.com/item/%E9%AB%98%E5%8E%8B%E7%94%B5/290410?fromModule=lemma_inlink" \t "https://baike.baidu.com/item/%E7%89%B9%E7%A7%8D%E4%BD%9C%E4%B8%9A%E6%93%8D%E4%BD%9C%E8%AF%81/_blank" </w:instrText>
      </w:r>
      <w:r>
        <w:rPr>
          <w:rFonts w:hint="eastAsia" w:ascii="仿宋_GB2312" w:hAnsi="仿宋_GB2312" w:eastAsia="仿宋_GB2312" w:cs="仿宋_GB2312"/>
          <w:color w:val="000000"/>
          <w:sz w:val="24"/>
          <w:highlight w:val="none"/>
        </w:rPr>
        <w:fldChar w:fldCharType="separate"/>
      </w:r>
      <w:r>
        <w:rPr>
          <w:rFonts w:hint="eastAsia" w:ascii="仿宋_GB2312" w:hAnsi="仿宋_GB2312" w:eastAsia="仿宋_GB2312" w:cs="仿宋_GB2312"/>
          <w:color w:val="000000"/>
          <w:sz w:val="24"/>
          <w:highlight w:val="none"/>
        </w:rPr>
        <w:t>高压电</w:t>
      </w:r>
      <w:r>
        <w:rPr>
          <w:rFonts w:hint="eastAsia" w:ascii="仿宋_GB2312" w:hAnsi="仿宋_GB2312" w:eastAsia="仿宋_GB2312" w:cs="仿宋_GB2312"/>
          <w:color w:val="000000"/>
          <w:sz w:val="24"/>
          <w:highlight w:val="none"/>
        </w:rPr>
        <w:fldChar w:fldCharType="end"/>
      </w:r>
      <w:r>
        <w:rPr>
          <w:rFonts w:hint="eastAsia" w:ascii="仿宋_GB2312" w:hAnsi="仿宋_GB2312" w:eastAsia="仿宋_GB2312" w:cs="仿宋_GB2312"/>
          <w:color w:val="000000"/>
          <w:sz w:val="24"/>
          <w:highlight w:val="none"/>
        </w:rPr>
        <w:t>工作业）</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负责平水校区、城东校区配电房的所有工作。</w:t>
      </w:r>
    </w:p>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80" w:firstLineChars="200"/>
        <w:textAlignment w:val="auto"/>
        <w:rPr>
          <w:rFonts w:hint="eastAsia" w:ascii="仿宋_GB2312" w:hAnsi="仿宋_GB2312" w:eastAsia="仿宋_GB2312" w:cs="仿宋_GB2312"/>
          <w:color w:val="000000"/>
          <w:sz w:val="24"/>
          <w:highlight w:val="none"/>
          <w:lang w:val="en-US" w:eastAsia="zh-CN"/>
        </w:rPr>
      </w:pPr>
      <w:r>
        <w:rPr>
          <w:rFonts w:hint="eastAsia" w:ascii="仿宋_GB2312" w:hAnsi="仿宋_GB2312" w:eastAsia="仿宋_GB2312" w:cs="仿宋_GB2312"/>
          <w:color w:val="000000"/>
          <w:sz w:val="24"/>
          <w:highlight w:val="none"/>
        </w:rPr>
        <w:t>（</w:t>
      </w:r>
      <w:r>
        <w:rPr>
          <w:rFonts w:hint="eastAsia" w:ascii="仿宋_GB2312" w:hAnsi="仿宋_GB2312" w:eastAsia="仿宋_GB2312" w:cs="仿宋_GB2312"/>
          <w:color w:val="000000"/>
          <w:sz w:val="24"/>
          <w:highlight w:val="none"/>
          <w:lang w:val="en-US" w:eastAsia="zh-CN"/>
        </w:rPr>
        <w:t>5</w:t>
      </w:r>
      <w:r>
        <w:rPr>
          <w:rFonts w:hint="eastAsia" w:ascii="仿宋_GB2312" w:hAnsi="仿宋_GB2312" w:eastAsia="仿宋_GB2312" w:cs="仿宋_GB2312"/>
          <w:color w:val="000000"/>
          <w:sz w:val="24"/>
          <w:highlight w:val="none"/>
        </w:rPr>
        <w:t>）</w:t>
      </w:r>
      <w:r>
        <w:rPr>
          <w:rFonts w:hint="eastAsia" w:ascii="仿宋_GB2312" w:hAnsi="仿宋_GB2312" w:eastAsia="仿宋_GB2312" w:cs="仿宋_GB2312"/>
          <w:color w:val="000000"/>
          <w:sz w:val="24"/>
          <w:highlight w:val="none"/>
          <w:lang w:val="en-US" w:eastAsia="zh-CN"/>
        </w:rPr>
        <w:t>低压电工</w:t>
      </w:r>
      <w:r>
        <w:rPr>
          <w:rFonts w:hint="eastAsia" w:ascii="仿宋_GB2312" w:hAnsi="仿宋_GB2312" w:eastAsia="仿宋_GB2312" w:cs="仿宋_GB2312"/>
          <w:color w:val="000000"/>
          <w:sz w:val="24"/>
          <w:highlight w:val="none"/>
        </w:rPr>
        <w:t>管理人员1人</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lang w:val="en-US" w:eastAsia="zh-CN"/>
        </w:rPr>
        <w:t>需</w:t>
      </w:r>
      <w:r>
        <w:rPr>
          <w:rFonts w:hint="eastAsia" w:ascii="仿宋_GB2312" w:hAnsi="仿宋_GB2312" w:eastAsia="仿宋_GB2312" w:cs="仿宋_GB2312"/>
          <w:color w:val="000000"/>
          <w:sz w:val="24"/>
          <w:highlight w:val="none"/>
        </w:rPr>
        <w:t>持有应急管理部门颁发或监制的特种作业操作证（</w:t>
      </w:r>
      <w:r>
        <w:rPr>
          <w:rFonts w:hint="eastAsia" w:ascii="仿宋_GB2312" w:hAnsi="仿宋_GB2312" w:eastAsia="仿宋_GB2312" w:cs="仿宋_GB2312"/>
          <w:color w:val="000000"/>
          <w:sz w:val="24"/>
          <w:highlight w:val="none"/>
        </w:rPr>
        <w:fldChar w:fldCharType="begin"/>
      </w:r>
      <w:r>
        <w:rPr>
          <w:rFonts w:hint="eastAsia" w:ascii="仿宋_GB2312" w:hAnsi="仿宋_GB2312" w:eastAsia="仿宋_GB2312" w:cs="仿宋_GB2312"/>
          <w:color w:val="000000"/>
          <w:sz w:val="24"/>
          <w:highlight w:val="none"/>
        </w:rPr>
        <w:instrText xml:space="preserve"> HYPERLINK "https://baike.baidu.com/item/%E9%AB%98%E5%8E%8B%E7%94%B5/290410?fromModule=lemma_inlink" \t "https://baike.baidu.com/item/%E7%89%B9%E7%A7%8D%E4%BD%9C%E4%B8%9A%E6%93%8D%E4%BD%9C%E8%AF%81/_blank" </w:instrText>
      </w:r>
      <w:r>
        <w:rPr>
          <w:rFonts w:hint="eastAsia" w:ascii="仿宋_GB2312" w:hAnsi="仿宋_GB2312" w:eastAsia="仿宋_GB2312" w:cs="仿宋_GB2312"/>
          <w:color w:val="000000"/>
          <w:sz w:val="24"/>
          <w:highlight w:val="none"/>
        </w:rPr>
        <w:fldChar w:fldCharType="separate"/>
      </w:r>
      <w:r>
        <w:rPr>
          <w:rFonts w:hint="eastAsia" w:ascii="仿宋_GB2312" w:hAnsi="仿宋_GB2312" w:eastAsia="仿宋_GB2312" w:cs="仿宋_GB2312"/>
          <w:color w:val="000000"/>
          <w:sz w:val="24"/>
          <w:highlight w:val="none"/>
          <w:lang w:val="en-US" w:eastAsia="zh-CN"/>
        </w:rPr>
        <w:t>低</w:t>
      </w:r>
      <w:r>
        <w:rPr>
          <w:rFonts w:hint="eastAsia" w:ascii="仿宋_GB2312" w:hAnsi="仿宋_GB2312" w:eastAsia="仿宋_GB2312" w:cs="仿宋_GB2312"/>
          <w:color w:val="000000"/>
          <w:sz w:val="24"/>
          <w:highlight w:val="none"/>
        </w:rPr>
        <w:t>压电</w:t>
      </w:r>
      <w:r>
        <w:rPr>
          <w:rFonts w:hint="eastAsia" w:ascii="仿宋_GB2312" w:hAnsi="仿宋_GB2312" w:eastAsia="仿宋_GB2312" w:cs="仿宋_GB2312"/>
          <w:color w:val="000000"/>
          <w:sz w:val="24"/>
          <w:highlight w:val="none"/>
        </w:rPr>
        <w:fldChar w:fldCharType="end"/>
      </w:r>
      <w:r>
        <w:rPr>
          <w:rFonts w:hint="eastAsia" w:ascii="仿宋_GB2312" w:hAnsi="仿宋_GB2312" w:eastAsia="仿宋_GB2312" w:cs="仿宋_GB2312"/>
          <w:color w:val="000000"/>
          <w:sz w:val="24"/>
          <w:highlight w:val="none"/>
        </w:rPr>
        <w:t>工作业）</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负责平水校区、城东校区日常水电维修</w:t>
      </w:r>
      <w:r>
        <w:rPr>
          <w:rFonts w:hint="eastAsia" w:ascii="仿宋_GB2312" w:hAnsi="仿宋_GB2312" w:eastAsia="仿宋_GB2312" w:cs="仿宋_GB2312"/>
          <w:color w:val="000000"/>
          <w:sz w:val="24"/>
          <w:highlight w:val="none"/>
          <w:lang w:val="en-US" w:eastAsia="zh-CN"/>
        </w:rPr>
        <w:t>工作</w:t>
      </w:r>
      <w:r>
        <w:rPr>
          <w:rFonts w:hint="eastAsia" w:ascii="仿宋_GB2312" w:hAnsi="仿宋_GB2312" w:eastAsia="仿宋_GB2312" w:cs="仿宋_GB2312"/>
          <w:color w:val="000000"/>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80" w:firstLineChars="200"/>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w:t>
      </w:r>
      <w:r>
        <w:rPr>
          <w:rFonts w:hint="eastAsia" w:ascii="仿宋_GB2312" w:hAnsi="仿宋_GB2312" w:eastAsia="仿宋_GB2312" w:cs="仿宋_GB2312"/>
          <w:color w:val="000000"/>
          <w:sz w:val="24"/>
          <w:highlight w:val="none"/>
          <w:lang w:val="en-US" w:eastAsia="zh-CN"/>
        </w:rPr>
        <w:t>6</w:t>
      </w:r>
      <w:r>
        <w:rPr>
          <w:rFonts w:hint="eastAsia" w:ascii="仿宋_GB2312" w:hAnsi="仿宋_GB2312" w:eastAsia="仿宋_GB2312" w:cs="仿宋_GB2312"/>
          <w:color w:val="000000"/>
          <w:sz w:val="24"/>
          <w:highlight w:val="none"/>
        </w:rPr>
        <w:t>）绿化员1 人，负责平水校区、城东校区的绿化日常养护与修剪等</w:t>
      </w:r>
      <w:r>
        <w:rPr>
          <w:rFonts w:hint="eastAsia" w:ascii="仿宋_GB2312" w:hAnsi="仿宋_GB2312" w:eastAsia="仿宋_GB2312" w:cs="仿宋_GB2312"/>
          <w:color w:val="000000"/>
          <w:sz w:val="24"/>
          <w:highlight w:val="none"/>
          <w:lang w:eastAsia="zh-CN"/>
        </w:rPr>
        <w:t>。</w:t>
      </w:r>
      <w:r>
        <w:rPr>
          <w:rFonts w:hint="eastAsia" w:ascii="仿宋_GB2312" w:hAnsi="仿宋_GB2312" w:eastAsia="仿宋_GB2312" w:cs="仿宋_GB2312"/>
          <w:color w:val="000000"/>
          <w:sz w:val="24"/>
          <w:highlight w:val="none"/>
        </w:rPr>
        <w:t>工作职责：</w:t>
      </w:r>
      <w:r>
        <w:rPr>
          <w:rFonts w:hint="eastAsia" w:ascii="仿宋_GB2312" w:hAnsi="仿宋_GB2312" w:eastAsia="仿宋_GB2312" w:cs="仿宋_GB2312"/>
          <w:color w:val="000000"/>
          <w:sz w:val="24"/>
          <w:highlight w:val="none"/>
        </w:rPr>
        <w:fldChar w:fldCharType="begin"/>
      </w:r>
      <w:r>
        <w:rPr>
          <w:rFonts w:hint="eastAsia" w:ascii="仿宋_GB2312" w:hAnsi="仿宋_GB2312" w:eastAsia="仿宋_GB2312" w:cs="仿宋_GB2312"/>
          <w:color w:val="000000"/>
          <w:sz w:val="24"/>
          <w:highlight w:val="none"/>
        </w:rPr>
        <w:instrText xml:space="preserve"> = 1 \* GB3 </w:instrText>
      </w:r>
      <w:r>
        <w:rPr>
          <w:rFonts w:hint="eastAsia" w:ascii="仿宋_GB2312" w:hAnsi="仿宋_GB2312" w:eastAsia="仿宋_GB2312" w:cs="仿宋_GB2312"/>
          <w:color w:val="000000"/>
          <w:sz w:val="24"/>
          <w:highlight w:val="none"/>
        </w:rPr>
        <w:fldChar w:fldCharType="separate"/>
      </w:r>
      <w:r>
        <w:rPr>
          <w:rFonts w:hint="eastAsia" w:ascii="仿宋_GB2312" w:hAnsi="仿宋_GB2312" w:eastAsia="仿宋_GB2312" w:cs="仿宋_GB2312"/>
          <w:color w:val="000000"/>
          <w:sz w:val="24"/>
          <w:highlight w:val="none"/>
        </w:rPr>
        <w:t>①</w:t>
      </w:r>
      <w:r>
        <w:rPr>
          <w:rFonts w:hint="eastAsia" w:ascii="仿宋_GB2312" w:hAnsi="仿宋_GB2312" w:eastAsia="仿宋_GB2312" w:cs="仿宋_GB2312"/>
          <w:color w:val="000000"/>
          <w:sz w:val="24"/>
          <w:highlight w:val="none"/>
        </w:rPr>
        <w:fldChar w:fldCharType="end"/>
      </w:r>
      <w:r>
        <w:rPr>
          <w:rFonts w:hint="eastAsia" w:ascii="仿宋_GB2312" w:hAnsi="仿宋_GB2312" w:eastAsia="仿宋_GB2312" w:cs="仿宋_GB2312"/>
          <w:color w:val="000000"/>
          <w:sz w:val="24"/>
          <w:highlight w:val="none"/>
        </w:rPr>
        <w:t>维护甲方室内、室外的绿化</w:t>
      </w:r>
      <w:r>
        <w:rPr>
          <w:rFonts w:hint="eastAsia" w:ascii="仿宋_GB2312" w:hAnsi="仿宋_GB2312" w:eastAsia="仿宋_GB2312" w:cs="仿宋_GB2312"/>
          <w:color w:val="000000"/>
          <w:sz w:val="24"/>
          <w:highlight w:val="none"/>
        </w:rPr>
        <w:fldChar w:fldCharType="begin"/>
      </w:r>
      <w:r>
        <w:rPr>
          <w:rFonts w:hint="eastAsia" w:ascii="仿宋_GB2312" w:hAnsi="仿宋_GB2312" w:eastAsia="仿宋_GB2312" w:cs="仿宋_GB2312"/>
          <w:color w:val="000000"/>
          <w:sz w:val="24"/>
          <w:highlight w:val="none"/>
        </w:rPr>
        <w:instrText xml:space="preserve"> = 2 \* GB3 </w:instrText>
      </w:r>
      <w:r>
        <w:rPr>
          <w:rFonts w:hint="eastAsia" w:ascii="仿宋_GB2312" w:hAnsi="仿宋_GB2312" w:eastAsia="仿宋_GB2312" w:cs="仿宋_GB2312"/>
          <w:color w:val="000000"/>
          <w:sz w:val="24"/>
          <w:highlight w:val="none"/>
        </w:rPr>
        <w:fldChar w:fldCharType="separate"/>
      </w:r>
      <w:r>
        <w:rPr>
          <w:rFonts w:hint="eastAsia" w:ascii="仿宋_GB2312" w:hAnsi="仿宋_GB2312" w:eastAsia="仿宋_GB2312" w:cs="仿宋_GB2312"/>
          <w:color w:val="000000"/>
          <w:sz w:val="24"/>
          <w:highlight w:val="none"/>
        </w:rPr>
        <w:t>②</w:t>
      </w:r>
      <w:r>
        <w:rPr>
          <w:rFonts w:hint="eastAsia" w:ascii="仿宋_GB2312" w:hAnsi="仿宋_GB2312" w:eastAsia="仿宋_GB2312" w:cs="仿宋_GB2312"/>
          <w:color w:val="000000"/>
          <w:sz w:val="24"/>
          <w:highlight w:val="none"/>
        </w:rPr>
        <w:fldChar w:fldCharType="end"/>
      </w:r>
      <w:r>
        <w:rPr>
          <w:rFonts w:hint="eastAsia" w:ascii="仿宋_GB2312" w:hAnsi="仿宋_GB2312" w:eastAsia="仿宋_GB2312" w:cs="仿宋_GB2312"/>
          <w:color w:val="000000"/>
          <w:sz w:val="24"/>
          <w:highlight w:val="none"/>
        </w:rPr>
        <w:t>垃圾清理</w:t>
      </w:r>
      <w:r>
        <w:rPr>
          <w:rFonts w:hint="eastAsia" w:ascii="仿宋_GB2312" w:hAnsi="仿宋_GB2312" w:eastAsia="仿宋_GB2312" w:cs="仿宋_GB2312"/>
          <w:color w:val="000000"/>
          <w:sz w:val="24"/>
          <w:highlight w:val="none"/>
        </w:rPr>
        <w:fldChar w:fldCharType="begin"/>
      </w:r>
      <w:r>
        <w:rPr>
          <w:rFonts w:hint="eastAsia" w:ascii="仿宋_GB2312" w:hAnsi="仿宋_GB2312" w:eastAsia="仿宋_GB2312" w:cs="仿宋_GB2312"/>
          <w:color w:val="000000"/>
          <w:sz w:val="24"/>
          <w:highlight w:val="none"/>
        </w:rPr>
        <w:instrText xml:space="preserve"> = 3 \* GB3 </w:instrText>
      </w:r>
      <w:r>
        <w:rPr>
          <w:rFonts w:hint="eastAsia" w:ascii="仿宋_GB2312" w:hAnsi="仿宋_GB2312" w:eastAsia="仿宋_GB2312" w:cs="仿宋_GB2312"/>
          <w:color w:val="000000"/>
          <w:sz w:val="24"/>
          <w:highlight w:val="none"/>
        </w:rPr>
        <w:fldChar w:fldCharType="separate"/>
      </w:r>
      <w:r>
        <w:rPr>
          <w:rFonts w:hint="eastAsia" w:ascii="仿宋_GB2312" w:hAnsi="仿宋_GB2312" w:eastAsia="仿宋_GB2312" w:cs="仿宋_GB2312"/>
          <w:color w:val="000000"/>
          <w:sz w:val="24"/>
          <w:highlight w:val="none"/>
        </w:rPr>
        <w:t>③</w:t>
      </w:r>
      <w:r>
        <w:rPr>
          <w:rFonts w:hint="eastAsia" w:ascii="仿宋_GB2312" w:hAnsi="仿宋_GB2312" w:eastAsia="仿宋_GB2312" w:cs="仿宋_GB2312"/>
          <w:color w:val="000000"/>
          <w:sz w:val="24"/>
          <w:highlight w:val="none"/>
        </w:rPr>
        <w:fldChar w:fldCharType="end"/>
      </w:r>
      <w:r>
        <w:rPr>
          <w:rFonts w:hint="eastAsia" w:ascii="仿宋_GB2312" w:hAnsi="仿宋_GB2312" w:eastAsia="仿宋_GB2312" w:cs="仿宋_GB2312"/>
          <w:color w:val="000000"/>
          <w:sz w:val="24"/>
          <w:highlight w:val="none"/>
        </w:rPr>
        <w:t>配置以下工具：绿篱修剪机、草坪修理机、松土用的锄头、浇水壶、200米浇水皮管、绿化修剪刀等工具。</w:t>
      </w:r>
      <w:r>
        <w:rPr>
          <w:rFonts w:hint="eastAsia" w:ascii="仿宋_GB2312" w:hAnsi="仿宋_GB2312" w:eastAsia="仿宋_GB2312" w:cs="仿宋_GB2312"/>
          <w:color w:val="000000"/>
          <w:sz w:val="24"/>
          <w:highlight w:val="none"/>
        </w:rPr>
        <w:br w:type="textWrapping"/>
      </w:r>
      <w:r>
        <w:rPr>
          <w:rFonts w:hint="eastAsia" w:ascii="仿宋_GB2312" w:hAnsi="仿宋_GB2312" w:eastAsia="仿宋_GB2312" w:cs="仿宋_GB2312"/>
          <w:color w:val="000000"/>
          <w:sz w:val="24"/>
          <w:highlight w:val="none"/>
        </w:rPr>
        <w:t xml:space="preserve">    （</w:t>
      </w:r>
      <w:r>
        <w:rPr>
          <w:rFonts w:hint="eastAsia" w:ascii="仿宋_GB2312" w:hAnsi="仿宋_GB2312" w:eastAsia="仿宋_GB2312" w:cs="仿宋_GB2312"/>
          <w:color w:val="000000"/>
          <w:sz w:val="24"/>
          <w:highlight w:val="none"/>
          <w:lang w:val="en-US" w:eastAsia="zh-CN"/>
        </w:rPr>
        <w:t>7</w:t>
      </w:r>
      <w:r>
        <w:rPr>
          <w:rFonts w:hint="eastAsia" w:ascii="仿宋_GB2312" w:hAnsi="仿宋_GB2312" w:eastAsia="仿宋_GB2312" w:cs="仿宋_GB2312"/>
          <w:color w:val="000000"/>
          <w:sz w:val="24"/>
          <w:highlight w:val="none"/>
        </w:rPr>
        <w:t>）消防设施专业服务人员1人，工程设备维护人员1人，</w:t>
      </w:r>
      <w:r>
        <w:rPr>
          <w:rFonts w:hint="eastAsia" w:ascii="仿宋_GB2312" w:hAnsi="仿宋_GB2312" w:eastAsia="仿宋_GB2312" w:cs="仿宋_GB2312"/>
          <w:color w:val="000000"/>
          <w:sz w:val="24"/>
          <w:highlight w:val="none"/>
          <w:lang w:val="en-US" w:eastAsia="zh-CN"/>
        </w:rPr>
        <w:t>工作职责：</w:t>
      </w:r>
      <w:r>
        <w:rPr>
          <w:rFonts w:hint="eastAsia" w:ascii="仿宋_GB2312" w:hAnsi="仿宋_GB2312" w:eastAsia="仿宋_GB2312" w:cs="仿宋_GB2312"/>
          <w:color w:val="000000"/>
          <w:sz w:val="24"/>
          <w:highlight w:val="none"/>
        </w:rPr>
        <w:fldChar w:fldCharType="begin"/>
      </w:r>
      <w:r>
        <w:rPr>
          <w:rFonts w:hint="eastAsia" w:ascii="仿宋_GB2312" w:hAnsi="仿宋_GB2312" w:eastAsia="仿宋_GB2312" w:cs="仿宋_GB2312"/>
          <w:color w:val="000000"/>
          <w:sz w:val="24"/>
          <w:highlight w:val="none"/>
        </w:rPr>
        <w:instrText xml:space="preserve"> = 1 \* GB3 </w:instrText>
      </w:r>
      <w:r>
        <w:rPr>
          <w:rFonts w:hint="eastAsia" w:ascii="仿宋_GB2312" w:hAnsi="仿宋_GB2312" w:eastAsia="仿宋_GB2312" w:cs="仿宋_GB2312"/>
          <w:color w:val="000000"/>
          <w:sz w:val="24"/>
          <w:highlight w:val="none"/>
        </w:rPr>
        <w:fldChar w:fldCharType="separate"/>
      </w:r>
      <w:r>
        <w:rPr>
          <w:rFonts w:hint="eastAsia" w:ascii="仿宋_GB2312" w:hAnsi="仿宋_GB2312" w:eastAsia="仿宋_GB2312" w:cs="仿宋_GB2312"/>
          <w:color w:val="000000"/>
          <w:sz w:val="24"/>
          <w:highlight w:val="none"/>
        </w:rPr>
        <w:t>①</w:t>
      </w:r>
      <w:r>
        <w:rPr>
          <w:rFonts w:hint="eastAsia" w:ascii="仿宋_GB2312" w:hAnsi="仿宋_GB2312" w:eastAsia="仿宋_GB2312" w:cs="仿宋_GB2312"/>
          <w:color w:val="000000"/>
          <w:sz w:val="24"/>
          <w:highlight w:val="none"/>
        </w:rPr>
        <w:fldChar w:fldCharType="end"/>
      </w:r>
      <w:r>
        <w:rPr>
          <w:rFonts w:hint="eastAsia" w:ascii="仿宋_GB2312" w:hAnsi="仿宋_GB2312" w:eastAsia="仿宋_GB2312" w:cs="仿宋_GB2312"/>
          <w:color w:val="000000"/>
          <w:sz w:val="24"/>
          <w:highlight w:val="none"/>
        </w:rPr>
        <w:t>负责平水校区、城东校区日常维修；</w:t>
      </w:r>
      <w:r>
        <w:rPr>
          <w:rFonts w:hint="eastAsia" w:ascii="仿宋_GB2312" w:hAnsi="仿宋_GB2312" w:eastAsia="仿宋_GB2312" w:cs="仿宋_GB2312"/>
          <w:color w:val="000000"/>
          <w:sz w:val="24"/>
          <w:highlight w:val="none"/>
        </w:rPr>
        <w:fldChar w:fldCharType="begin"/>
      </w:r>
      <w:r>
        <w:rPr>
          <w:rFonts w:hint="eastAsia" w:ascii="仿宋_GB2312" w:hAnsi="仿宋_GB2312" w:eastAsia="仿宋_GB2312" w:cs="仿宋_GB2312"/>
          <w:color w:val="000000"/>
          <w:sz w:val="24"/>
          <w:highlight w:val="none"/>
        </w:rPr>
        <w:instrText xml:space="preserve"> = 2 \* GB3 </w:instrText>
      </w:r>
      <w:r>
        <w:rPr>
          <w:rFonts w:hint="eastAsia" w:ascii="仿宋_GB2312" w:hAnsi="仿宋_GB2312" w:eastAsia="仿宋_GB2312" w:cs="仿宋_GB2312"/>
          <w:color w:val="000000"/>
          <w:sz w:val="24"/>
          <w:highlight w:val="none"/>
        </w:rPr>
        <w:fldChar w:fldCharType="separate"/>
      </w:r>
      <w:r>
        <w:rPr>
          <w:rFonts w:hint="eastAsia" w:ascii="仿宋_GB2312" w:hAnsi="仿宋_GB2312" w:eastAsia="仿宋_GB2312" w:cs="仿宋_GB2312"/>
          <w:color w:val="000000"/>
          <w:sz w:val="24"/>
          <w:highlight w:val="none"/>
        </w:rPr>
        <w:t>②</w:t>
      </w:r>
      <w:r>
        <w:rPr>
          <w:rFonts w:hint="eastAsia" w:ascii="仿宋_GB2312" w:hAnsi="仿宋_GB2312" w:eastAsia="仿宋_GB2312" w:cs="仿宋_GB2312"/>
          <w:color w:val="000000"/>
          <w:sz w:val="24"/>
          <w:highlight w:val="none"/>
        </w:rPr>
        <w:fldChar w:fldCharType="end"/>
      </w:r>
      <w:r>
        <w:rPr>
          <w:rFonts w:hint="eastAsia" w:ascii="仿宋_GB2312" w:hAnsi="仿宋_GB2312" w:eastAsia="仿宋_GB2312" w:cs="仿宋_GB2312"/>
          <w:color w:val="000000"/>
          <w:sz w:val="24"/>
          <w:highlight w:val="none"/>
        </w:rPr>
        <w:t>在平水校区、城东校区做好勤查勤检预防为主的日常工作。</w:t>
      </w:r>
    </w:p>
    <w:p>
      <w:pPr>
        <w:pStyle w:val="41"/>
        <w:keepNext w:val="0"/>
        <w:keepLines w:val="0"/>
        <w:pageBreakBefore w:val="0"/>
        <w:widowControl w:val="0"/>
        <w:kinsoku/>
        <w:wordWrap/>
        <w:overflowPunct/>
        <w:topLinePunct w:val="0"/>
        <w:autoSpaceDE/>
        <w:autoSpaceDN/>
        <w:bidi w:val="0"/>
        <w:adjustRightInd/>
        <w:snapToGrid w:val="0"/>
        <w:spacing w:line="312" w:lineRule="auto"/>
        <w:ind w:firstLine="482" w:firstLineChars="200"/>
        <w:textAlignment w:val="auto"/>
        <w:rPr>
          <w:rFonts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sz w:val="24"/>
          <w:szCs w:val="24"/>
          <w:highlight w:val="none"/>
        </w:rPr>
        <w:t>2.保洁服务要求：</w:t>
      </w:r>
    </w:p>
    <w:p>
      <w:pPr>
        <w:keepNext w:val="0"/>
        <w:keepLines w:val="0"/>
        <w:pageBreakBefore w:val="0"/>
        <w:kinsoku/>
        <w:wordWrap/>
        <w:overflowPunct/>
        <w:topLinePunct w:val="0"/>
        <w:autoSpaceDE/>
        <w:autoSpaceDN/>
        <w:bidi w:val="0"/>
        <w:adjustRightInd/>
        <w:spacing w:line="312" w:lineRule="auto"/>
        <w:ind w:firstLine="480" w:firstLineChars="200"/>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门厅玻璃、窗户、整洁明亮；大厅、走廊、楼梯、地面、课桌椅等，无杂物纸屑、烟蒂；洗手间、开水房清洁干燥，无异味；下水道畅通，无堵塞渗漏；垃圾箱、公共卫生间整洁卫生；天台、屋顶无垃圾、积水。</w:t>
      </w:r>
    </w:p>
    <w:p>
      <w:pPr>
        <w:keepNext w:val="0"/>
        <w:keepLines w:val="0"/>
        <w:pageBreakBefore w:val="0"/>
        <w:kinsoku/>
        <w:wordWrap/>
        <w:overflowPunct/>
        <w:topLinePunct w:val="0"/>
        <w:autoSpaceDE/>
        <w:autoSpaceDN/>
        <w:bidi w:val="0"/>
        <w:adjustRightInd/>
        <w:spacing w:line="312" w:lineRule="auto"/>
        <w:ind w:firstLine="480" w:firstLineChars="200"/>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（2）户外：广场、篮球场及所有道路等区域干净，无碎渣土、垃圾及枯草落叶，排水沟渠无堵塞。</w:t>
      </w:r>
    </w:p>
    <w:p>
      <w:pPr>
        <w:keepNext w:val="0"/>
        <w:keepLines w:val="0"/>
        <w:pageBreakBefore w:val="0"/>
        <w:kinsoku/>
        <w:wordWrap/>
        <w:overflowPunct/>
        <w:topLinePunct w:val="0"/>
        <w:autoSpaceDE/>
        <w:autoSpaceDN/>
        <w:bidi w:val="0"/>
        <w:adjustRightInd/>
        <w:spacing w:line="312" w:lineRule="auto"/>
        <w:ind w:firstLine="480" w:firstLineChars="200"/>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工作时间及保洁次数：以不影响正常办公为前提，合理安排工作时间。原则上每天七点半清洁人员到岗到位，傍晚下班时间与采购人职工同步，学校开学期间保证室内外卫生整洁；加强卫生巡查，发现杂物及时清除，实行全天候保洁。公共部位每天至少拖洗一至两次，定期消毒除味。综合楼、行政楼、学生宿舍每天保洁两次以上，训练楼、教学楼、浴室等，每天保洁一次以上。</w:t>
      </w:r>
    </w:p>
    <w:p>
      <w:pPr>
        <w:pStyle w:val="41"/>
        <w:keepNext w:val="0"/>
        <w:keepLines w:val="0"/>
        <w:pageBreakBefore w:val="0"/>
        <w:widowControl w:val="0"/>
        <w:kinsoku/>
        <w:wordWrap/>
        <w:overflowPunct/>
        <w:topLinePunct w:val="0"/>
        <w:autoSpaceDE/>
        <w:autoSpaceDN/>
        <w:bidi w:val="0"/>
        <w:adjustRightInd/>
        <w:snapToGrid w:val="0"/>
        <w:spacing w:line="312" w:lineRule="auto"/>
        <w:ind w:firstLine="482" w:firstLineChars="200"/>
        <w:textAlignment w:val="auto"/>
        <w:rPr>
          <w:rFonts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sz w:val="24"/>
          <w:szCs w:val="24"/>
          <w:highlight w:val="none"/>
        </w:rPr>
        <w:t>3.保安服务要求：</w:t>
      </w:r>
    </w:p>
    <w:p>
      <w:pPr>
        <w:pStyle w:val="965"/>
        <w:keepNext w:val="0"/>
        <w:keepLines w:val="0"/>
        <w:pageBreakBefore w:val="0"/>
        <w:tabs>
          <w:tab w:val="left" w:pos="1112"/>
        </w:tabs>
        <w:kinsoku/>
        <w:wordWrap/>
        <w:overflowPunct/>
        <w:topLinePunct w:val="0"/>
        <w:autoSpaceDE/>
        <w:autoSpaceDN/>
        <w:bidi w:val="0"/>
        <w:adjustRightInd/>
        <w:spacing w:line="312" w:lineRule="auto"/>
        <w:ind w:firstLine="480" w:firstLineChars="2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（1）</w:t>
      </w:r>
      <w:r>
        <w:rPr>
          <w:rFonts w:hint="eastAsia" w:ascii="仿宋_GB2312" w:hAnsi="仿宋_GB2312" w:eastAsia="仿宋_GB2312" w:cs="仿宋_GB2312"/>
          <w:color w:val="000000"/>
          <w:kern w:val="2"/>
          <w:sz w:val="24"/>
          <w:szCs w:val="24"/>
          <w:highlight w:val="none"/>
          <w:lang w:val="en-US" w:bidi="ar-SA"/>
        </w:rPr>
        <w:t>安全保卫:物业24小时值班；对车辆、外来人员按学校规定进行管理、检查。落实各种安全管理规定、制度，及时按校方规定对各种问题、事件进行处置。</w:t>
      </w:r>
    </w:p>
    <w:p>
      <w:pPr>
        <w:pStyle w:val="965"/>
        <w:keepNext w:val="0"/>
        <w:keepLines w:val="0"/>
        <w:pageBreakBefore w:val="0"/>
        <w:tabs>
          <w:tab w:val="left" w:pos="1363"/>
        </w:tabs>
        <w:kinsoku/>
        <w:wordWrap/>
        <w:overflowPunct/>
        <w:topLinePunct w:val="0"/>
        <w:autoSpaceDE/>
        <w:autoSpaceDN/>
        <w:bidi w:val="0"/>
        <w:adjustRightInd/>
        <w:spacing w:line="312" w:lineRule="auto"/>
        <w:ind w:firstLine="480" w:firstLineChars="2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z w:val="24"/>
          <w:szCs w:val="24"/>
          <w:highlight w:val="none"/>
          <w:lang w:val="en-US"/>
        </w:rPr>
        <w:t>2</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kern w:val="2"/>
          <w:sz w:val="24"/>
          <w:szCs w:val="24"/>
          <w:highlight w:val="none"/>
          <w:lang w:val="en-US" w:bidi="ar-SA"/>
        </w:rPr>
        <w:t>做好24小时值班和记录、报告、处置制度，严格责任，把安防等工作落到实处。</w:t>
      </w:r>
    </w:p>
    <w:p>
      <w:pPr>
        <w:pStyle w:val="965"/>
        <w:keepNext w:val="0"/>
        <w:keepLines w:val="0"/>
        <w:pageBreakBefore w:val="0"/>
        <w:tabs>
          <w:tab w:val="left" w:pos="1371"/>
        </w:tabs>
        <w:kinsoku/>
        <w:wordWrap/>
        <w:overflowPunct/>
        <w:topLinePunct w:val="0"/>
        <w:autoSpaceDE/>
        <w:autoSpaceDN/>
        <w:bidi w:val="0"/>
        <w:adjustRightInd/>
        <w:spacing w:line="312" w:lineRule="auto"/>
        <w:ind w:firstLine="480" w:firstLineChars="2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z w:val="24"/>
          <w:szCs w:val="24"/>
          <w:highlight w:val="none"/>
          <w:lang w:val="en-US"/>
        </w:rPr>
        <w:t>3</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kern w:val="2"/>
          <w:sz w:val="24"/>
          <w:szCs w:val="24"/>
          <w:highlight w:val="none"/>
          <w:lang w:val="en-US" w:bidi="ar-SA"/>
        </w:rPr>
        <w:t>按消防法和采购人的消防制度，每天做到日常巡查与重大检查相结合，保证服务区域的消防安全。</w:t>
      </w:r>
    </w:p>
    <w:p>
      <w:pPr>
        <w:pStyle w:val="965"/>
        <w:keepNext w:val="0"/>
        <w:keepLines w:val="0"/>
        <w:pageBreakBefore w:val="0"/>
        <w:kinsoku/>
        <w:wordWrap/>
        <w:overflowPunct/>
        <w:topLinePunct w:val="0"/>
        <w:autoSpaceDE/>
        <w:autoSpaceDN/>
        <w:bidi w:val="0"/>
        <w:adjustRightInd/>
        <w:spacing w:line="312" w:lineRule="auto"/>
        <w:ind w:firstLine="480" w:firstLineChars="2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z w:val="24"/>
          <w:szCs w:val="24"/>
          <w:highlight w:val="none"/>
          <w:lang w:val="en-US"/>
        </w:rPr>
        <w:t>4</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kern w:val="2"/>
          <w:sz w:val="24"/>
          <w:szCs w:val="24"/>
          <w:highlight w:val="none"/>
          <w:lang w:val="en-US" w:bidi="ar-SA"/>
        </w:rPr>
        <w:t>做好开学前与新生报到准备工作，以及与有关部门的配合工作时，要做好消防、安全保卫等工作。</w:t>
      </w:r>
    </w:p>
    <w:p>
      <w:pPr>
        <w:pStyle w:val="965"/>
        <w:keepNext w:val="0"/>
        <w:keepLines w:val="0"/>
        <w:pageBreakBefore w:val="0"/>
        <w:tabs>
          <w:tab w:val="left" w:pos="1414"/>
        </w:tabs>
        <w:kinsoku/>
        <w:wordWrap/>
        <w:overflowPunct/>
        <w:topLinePunct w:val="0"/>
        <w:autoSpaceDE/>
        <w:autoSpaceDN/>
        <w:bidi w:val="0"/>
        <w:adjustRightInd/>
        <w:spacing w:line="312" w:lineRule="auto"/>
        <w:ind w:firstLine="480" w:firstLineChars="2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z w:val="24"/>
          <w:szCs w:val="24"/>
          <w:highlight w:val="none"/>
          <w:lang w:val="en-US"/>
        </w:rPr>
        <w:t>5</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kern w:val="2"/>
          <w:sz w:val="24"/>
          <w:szCs w:val="24"/>
          <w:highlight w:val="none"/>
          <w:lang w:val="en-US" w:bidi="ar-SA"/>
        </w:rPr>
        <w:t>负责报刊杂志分发，快递的签收，分发等。</w:t>
      </w:r>
    </w:p>
    <w:p>
      <w:pPr>
        <w:pStyle w:val="965"/>
        <w:keepNext w:val="0"/>
        <w:keepLines w:val="0"/>
        <w:pageBreakBefore w:val="0"/>
        <w:tabs>
          <w:tab w:val="left" w:pos="1414"/>
        </w:tabs>
        <w:kinsoku/>
        <w:wordWrap/>
        <w:overflowPunct/>
        <w:topLinePunct w:val="0"/>
        <w:autoSpaceDE/>
        <w:autoSpaceDN/>
        <w:bidi w:val="0"/>
        <w:adjustRightInd/>
        <w:spacing w:line="312" w:lineRule="auto"/>
        <w:ind w:firstLine="480" w:firstLineChars="2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z w:val="24"/>
          <w:szCs w:val="24"/>
          <w:highlight w:val="none"/>
          <w:lang w:val="en-US"/>
        </w:rPr>
        <w:t>6</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kern w:val="2"/>
          <w:sz w:val="24"/>
          <w:szCs w:val="24"/>
          <w:highlight w:val="none"/>
          <w:lang w:val="en-US" w:bidi="ar-SA"/>
        </w:rPr>
        <w:t>做好应急突发事件的处置。</w:t>
      </w:r>
    </w:p>
    <w:p>
      <w:pPr>
        <w:pStyle w:val="965"/>
        <w:keepNext w:val="0"/>
        <w:keepLines w:val="0"/>
        <w:pageBreakBefore w:val="0"/>
        <w:tabs>
          <w:tab w:val="left" w:pos="1409"/>
        </w:tabs>
        <w:kinsoku/>
        <w:wordWrap/>
        <w:overflowPunct/>
        <w:topLinePunct w:val="0"/>
        <w:autoSpaceDE/>
        <w:autoSpaceDN/>
        <w:bidi w:val="0"/>
        <w:adjustRightInd/>
        <w:spacing w:line="312" w:lineRule="auto"/>
        <w:ind w:firstLine="480" w:firstLineChars="2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z w:val="24"/>
          <w:szCs w:val="24"/>
          <w:highlight w:val="none"/>
          <w:lang w:val="en-US"/>
        </w:rPr>
        <w:t>7</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kern w:val="2"/>
          <w:sz w:val="24"/>
          <w:szCs w:val="24"/>
          <w:highlight w:val="none"/>
          <w:lang w:val="en-US" w:bidi="ar-SA"/>
        </w:rPr>
        <w:t>机动车和非机动车有秩序驶入校区，禁止门口车辆乱停放。</w:t>
      </w:r>
    </w:p>
    <w:p>
      <w:pPr>
        <w:pStyle w:val="965"/>
        <w:keepNext w:val="0"/>
        <w:keepLines w:val="0"/>
        <w:pageBreakBefore w:val="0"/>
        <w:tabs>
          <w:tab w:val="left" w:pos="1409"/>
        </w:tabs>
        <w:kinsoku/>
        <w:wordWrap/>
        <w:overflowPunct/>
        <w:topLinePunct w:val="0"/>
        <w:autoSpaceDE/>
        <w:autoSpaceDN/>
        <w:bidi w:val="0"/>
        <w:adjustRightInd/>
        <w:spacing w:line="312" w:lineRule="auto"/>
        <w:ind w:firstLine="480" w:firstLineChars="2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z w:val="24"/>
          <w:szCs w:val="24"/>
          <w:highlight w:val="none"/>
          <w:lang w:val="en-US"/>
        </w:rPr>
        <w:t>8</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kern w:val="2"/>
          <w:sz w:val="24"/>
          <w:szCs w:val="24"/>
          <w:highlight w:val="none"/>
          <w:lang w:val="en-US" w:bidi="ar-SA"/>
        </w:rPr>
        <w:t>其他属于安全保卫范围内的工作及采购人临时交办的任务。</w:t>
      </w:r>
    </w:p>
    <w:p>
      <w:pPr>
        <w:pStyle w:val="965"/>
        <w:keepNext w:val="0"/>
        <w:keepLines w:val="0"/>
        <w:pageBreakBefore w:val="0"/>
        <w:tabs>
          <w:tab w:val="left" w:pos="1409"/>
        </w:tabs>
        <w:kinsoku/>
        <w:wordWrap/>
        <w:overflowPunct/>
        <w:topLinePunct w:val="0"/>
        <w:autoSpaceDE/>
        <w:autoSpaceDN/>
        <w:bidi w:val="0"/>
        <w:adjustRightInd/>
        <w:spacing w:line="312" w:lineRule="auto"/>
        <w:ind w:firstLine="480" w:firstLineChars="2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z w:val="24"/>
          <w:szCs w:val="24"/>
          <w:highlight w:val="none"/>
          <w:lang w:val="en-US"/>
        </w:rPr>
        <w:t>9</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kern w:val="2"/>
          <w:sz w:val="24"/>
          <w:szCs w:val="24"/>
          <w:highlight w:val="none"/>
          <w:lang w:val="en-US" w:bidi="ar-SA"/>
        </w:rPr>
        <w:t>成立安全工作领导小组和工作小组，在领导小组统一组织安排下开展工作，并分别明确工作职责和任务。</w:t>
      </w:r>
    </w:p>
    <w:p>
      <w:pPr>
        <w:pStyle w:val="965"/>
        <w:keepNext w:val="0"/>
        <w:keepLines w:val="0"/>
        <w:pageBreakBefore w:val="0"/>
        <w:tabs>
          <w:tab w:val="left" w:pos="1409"/>
        </w:tabs>
        <w:kinsoku/>
        <w:wordWrap/>
        <w:overflowPunct/>
        <w:topLinePunct w:val="0"/>
        <w:autoSpaceDE/>
        <w:autoSpaceDN/>
        <w:bidi w:val="0"/>
        <w:adjustRightInd/>
        <w:spacing w:line="312" w:lineRule="auto"/>
        <w:ind w:firstLine="480" w:firstLineChars="2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（1</w:t>
      </w:r>
      <w:r>
        <w:rPr>
          <w:rFonts w:hint="eastAsia" w:ascii="仿宋_GB2312" w:hAnsi="仿宋_GB2312" w:eastAsia="仿宋_GB2312" w:cs="仿宋_GB2312"/>
          <w:color w:val="000000"/>
          <w:sz w:val="24"/>
          <w:szCs w:val="24"/>
          <w:highlight w:val="none"/>
          <w:lang w:val="en-US"/>
        </w:rPr>
        <w:t>0</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kern w:val="2"/>
          <w:sz w:val="24"/>
          <w:szCs w:val="24"/>
          <w:highlight w:val="none"/>
          <w:lang w:val="en-US" w:bidi="ar-SA"/>
        </w:rPr>
        <w:t>负责服务范围内治安安全及消防安全，确保交通流畅以及秩序队伍的管理等。</w:t>
      </w:r>
    </w:p>
    <w:p>
      <w:pPr>
        <w:pStyle w:val="965"/>
        <w:keepNext w:val="0"/>
        <w:keepLines w:val="0"/>
        <w:pageBreakBefore w:val="0"/>
        <w:tabs>
          <w:tab w:val="left" w:pos="1409"/>
        </w:tabs>
        <w:kinsoku/>
        <w:wordWrap/>
        <w:overflowPunct/>
        <w:topLinePunct w:val="0"/>
        <w:autoSpaceDE/>
        <w:autoSpaceDN/>
        <w:bidi w:val="0"/>
        <w:adjustRightInd/>
        <w:spacing w:line="312" w:lineRule="auto"/>
        <w:ind w:firstLine="480" w:firstLineChars="2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（1</w:t>
      </w:r>
      <w:r>
        <w:rPr>
          <w:rFonts w:hint="eastAsia" w:ascii="仿宋_GB2312" w:hAnsi="仿宋_GB2312" w:eastAsia="仿宋_GB2312" w:cs="仿宋_GB2312"/>
          <w:color w:val="000000"/>
          <w:sz w:val="24"/>
          <w:szCs w:val="24"/>
          <w:highlight w:val="none"/>
          <w:lang w:val="en-US"/>
        </w:rPr>
        <w:t>1</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kern w:val="2"/>
          <w:sz w:val="24"/>
          <w:szCs w:val="24"/>
          <w:highlight w:val="none"/>
          <w:lang w:val="en-US" w:bidi="ar-SA"/>
        </w:rPr>
        <w:t>对消防、治安安全及能耗情况实施监控，消除事故隐患，确保安全。</w:t>
      </w:r>
    </w:p>
    <w:p>
      <w:pPr>
        <w:pStyle w:val="965"/>
        <w:keepNext w:val="0"/>
        <w:keepLines w:val="0"/>
        <w:pageBreakBefore w:val="0"/>
        <w:tabs>
          <w:tab w:val="left" w:pos="1409"/>
        </w:tabs>
        <w:kinsoku/>
        <w:wordWrap/>
        <w:overflowPunct/>
        <w:topLinePunct w:val="0"/>
        <w:autoSpaceDE/>
        <w:autoSpaceDN/>
        <w:bidi w:val="0"/>
        <w:adjustRightInd/>
        <w:spacing w:line="312" w:lineRule="auto"/>
        <w:ind w:firstLine="480" w:firstLineChars="2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（1</w:t>
      </w:r>
      <w:r>
        <w:rPr>
          <w:rFonts w:hint="eastAsia" w:ascii="仿宋_GB2312" w:hAnsi="仿宋_GB2312" w:eastAsia="仿宋_GB2312" w:cs="仿宋_GB2312"/>
          <w:color w:val="000000"/>
          <w:sz w:val="24"/>
          <w:szCs w:val="24"/>
          <w:highlight w:val="none"/>
          <w:lang w:val="en-US"/>
        </w:rPr>
        <w:t>2</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kern w:val="2"/>
          <w:sz w:val="24"/>
          <w:szCs w:val="24"/>
          <w:highlight w:val="none"/>
          <w:lang w:val="en-US" w:bidi="ar-SA"/>
        </w:rPr>
        <w:t xml:space="preserve">负责项目的治安、装修、车辆停放、消防设施设备检查、交通疏导等，确保项目无重大治安、消防责任事故。                        </w:t>
      </w:r>
    </w:p>
    <w:p>
      <w:pPr>
        <w:pStyle w:val="965"/>
        <w:keepNext w:val="0"/>
        <w:keepLines w:val="0"/>
        <w:pageBreakBefore w:val="0"/>
        <w:widowControl/>
        <w:kinsoku/>
        <w:wordWrap/>
        <w:overflowPunct/>
        <w:topLinePunct w:val="0"/>
        <w:autoSpaceDE/>
        <w:autoSpaceDN/>
        <w:bidi w:val="0"/>
        <w:adjustRightInd/>
        <w:snapToGrid/>
        <w:spacing w:line="312" w:lineRule="auto"/>
        <w:ind w:firstLine="482" w:firstLineChars="200"/>
        <w:textAlignment w:val="auto"/>
        <w:rPr>
          <w:rFonts w:ascii="仿宋_GB2312" w:hAnsi="仿宋_GB2312" w:eastAsia="仿宋_GB2312" w:cs="仿宋_GB2312"/>
          <w:b/>
          <w:bCs/>
          <w:color w:val="000000"/>
          <w:kern w:val="2"/>
          <w:sz w:val="24"/>
          <w:szCs w:val="24"/>
          <w:highlight w:val="none"/>
          <w:lang w:val="en-US" w:bidi="ar-SA"/>
        </w:rPr>
      </w:pPr>
      <w:r>
        <w:rPr>
          <w:rFonts w:hint="eastAsia" w:ascii="仿宋_GB2312" w:hAnsi="仿宋_GB2312" w:eastAsia="仿宋_GB2312" w:cs="仿宋_GB2312"/>
          <w:b/>
          <w:bCs/>
          <w:color w:val="000000"/>
          <w:kern w:val="2"/>
          <w:sz w:val="24"/>
          <w:szCs w:val="24"/>
          <w:highlight w:val="none"/>
          <w:lang w:val="en-US" w:bidi="ar-SA"/>
        </w:rPr>
        <w:t>4.队伍建设与管理要求：</w:t>
      </w:r>
    </w:p>
    <w:p>
      <w:pPr>
        <w:pStyle w:val="965"/>
        <w:keepNext w:val="0"/>
        <w:keepLines w:val="0"/>
        <w:pageBreakBefore w:val="0"/>
        <w:kinsoku/>
        <w:wordWrap/>
        <w:overflowPunct/>
        <w:topLinePunct w:val="0"/>
        <w:autoSpaceDE/>
        <w:autoSpaceDN/>
        <w:bidi w:val="0"/>
        <w:adjustRightInd/>
        <w:spacing w:line="312" w:lineRule="auto"/>
        <w:ind w:firstLine="500"/>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（1）</w:t>
      </w:r>
      <w:r>
        <w:rPr>
          <w:rFonts w:hint="eastAsia" w:ascii="仿宋_GB2312" w:hAnsi="仿宋_GB2312" w:eastAsia="仿宋_GB2312" w:cs="仿宋_GB2312"/>
          <w:color w:val="000000"/>
          <w:kern w:val="2"/>
          <w:sz w:val="24"/>
          <w:szCs w:val="24"/>
          <w:highlight w:val="none"/>
          <w:lang w:val="en-US" w:bidi="ar-SA"/>
        </w:rPr>
        <w:t>采购人负责提供进驻保安人员值勤所需的安防器材及装备。</w:t>
      </w:r>
    </w:p>
    <w:p>
      <w:pPr>
        <w:pStyle w:val="965"/>
        <w:keepNext w:val="0"/>
        <w:keepLines w:val="0"/>
        <w:pageBreakBefore w:val="0"/>
        <w:kinsoku/>
        <w:wordWrap/>
        <w:overflowPunct/>
        <w:topLinePunct w:val="0"/>
        <w:autoSpaceDE/>
        <w:autoSpaceDN/>
        <w:bidi w:val="0"/>
        <w:adjustRightInd/>
        <w:spacing w:line="312" w:lineRule="auto"/>
        <w:ind w:firstLine="5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z w:val="24"/>
          <w:szCs w:val="24"/>
          <w:highlight w:val="none"/>
          <w:lang w:val="en-US"/>
        </w:rPr>
        <w:t>2</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kern w:val="2"/>
          <w:sz w:val="24"/>
          <w:szCs w:val="24"/>
          <w:highlight w:val="none"/>
          <w:lang w:val="en-US" w:bidi="ar-SA"/>
        </w:rPr>
        <w:t>从安全实际出发，经常性开展在岗人员业务培训和紧急预案演练。</w:t>
      </w:r>
    </w:p>
    <w:p>
      <w:pPr>
        <w:pStyle w:val="965"/>
        <w:keepNext w:val="0"/>
        <w:keepLines w:val="0"/>
        <w:pageBreakBefore w:val="0"/>
        <w:kinsoku/>
        <w:wordWrap/>
        <w:overflowPunct/>
        <w:topLinePunct w:val="0"/>
        <w:autoSpaceDE/>
        <w:autoSpaceDN/>
        <w:bidi w:val="0"/>
        <w:adjustRightInd/>
        <w:spacing w:line="312" w:lineRule="auto"/>
        <w:ind w:firstLine="5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z w:val="24"/>
          <w:szCs w:val="24"/>
          <w:highlight w:val="none"/>
          <w:lang w:val="en-US"/>
        </w:rPr>
        <w:t>3</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kern w:val="2"/>
          <w:sz w:val="24"/>
          <w:szCs w:val="24"/>
          <w:highlight w:val="none"/>
          <w:lang w:val="en-US" w:bidi="ar-SA"/>
        </w:rPr>
        <w:t>内部管理体制健全，管理到位，分工合理。</w:t>
      </w:r>
    </w:p>
    <w:p>
      <w:pPr>
        <w:pStyle w:val="965"/>
        <w:keepNext w:val="0"/>
        <w:keepLines w:val="0"/>
        <w:pageBreakBefore w:val="0"/>
        <w:kinsoku/>
        <w:wordWrap/>
        <w:overflowPunct/>
        <w:topLinePunct w:val="0"/>
        <w:autoSpaceDE/>
        <w:autoSpaceDN/>
        <w:bidi w:val="0"/>
        <w:adjustRightInd/>
        <w:spacing w:line="312" w:lineRule="auto"/>
        <w:ind w:firstLine="5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z w:val="24"/>
          <w:szCs w:val="24"/>
          <w:highlight w:val="none"/>
          <w:lang w:val="en-US"/>
        </w:rPr>
        <w:t>4</w:t>
      </w:r>
      <w:r>
        <w:rPr>
          <w:rFonts w:hint="eastAsia" w:ascii="仿宋_GB2312" w:hAnsi="仿宋_GB2312" w:eastAsia="仿宋_GB2312" w:cs="仿宋_GB2312"/>
          <w:color w:val="000000"/>
          <w:sz w:val="24"/>
          <w:szCs w:val="24"/>
          <w:highlight w:val="none"/>
        </w:rPr>
        <w:t>）中标人</w:t>
      </w:r>
      <w:r>
        <w:rPr>
          <w:rFonts w:hint="eastAsia" w:ascii="仿宋_GB2312" w:hAnsi="仿宋_GB2312" w:eastAsia="仿宋_GB2312" w:cs="仿宋_GB2312"/>
          <w:color w:val="000000"/>
          <w:kern w:val="2"/>
          <w:sz w:val="24"/>
          <w:szCs w:val="24"/>
          <w:highlight w:val="none"/>
          <w:lang w:val="en-US" w:bidi="ar-SA"/>
        </w:rPr>
        <w:t>必须采取切实有效措施保持队伍的稳定，严格控制非违纪人员轮换岗比例，确保服务质量不因人员变动而受影响。</w:t>
      </w:r>
    </w:p>
    <w:p>
      <w:pPr>
        <w:pStyle w:val="965"/>
        <w:keepNext w:val="0"/>
        <w:keepLines w:val="0"/>
        <w:pageBreakBefore w:val="0"/>
        <w:kinsoku/>
        <w:wordWrap/>
        <w:overflowPunct/>
        <w:topLinePunct w:val="0"/>
        <w:autoSpaceDE/>
        <w:autoSpaceDN/>
        <w:bidi w:val="0"/>
        <w:adjustRightInd/>
        <w:spacing w:line="312" w:lineRule="auto"/>
        <w:ind w:firstLine="5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z w:val="24"/>
          <w:szCs w:val="24"/>
          <w:highlight w:val="none"/>
          <w:lang w:val="en-US"/>
        </w:rPr>
        <w:t>5</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kern w:val="2"/>
          <w:sz w:val="24"/>
          <w:szCs w:val="24"/>
          <w:highlight w:val="none"/>
          <w:lang w:val="en-US" w:bidi="ar-SA"/>
        </w:rPr>
        <w:t>保安人员应聘、录用、离职等档案需管理规范，手续齐全，相应资料必须报采购人物业部备案，禁止离职人员进入非开放区域。</w:t>
      </w:r>
    </w:p>
    <w:p>
      <w:pPr>
        <w:pStyle w:val="965"/>
        <w:keepNext w:val="0"/>
        <w:keepLines w:val="0"/>
        <w:pageBreakBefore w:val="0"/>
        <w:widowControl/>
        <w:kinsoku/>
        <w:wordWrap/>
        <w:overflowPunct/>
        <w:topLinePunct w:val="0"/>
        <w:autoSpaceDE/>
        <w:autoSpaceDN/>
        <w:bidi w:val="0"/>
        <w:adjustRightInd/>
        <w:snapToGrid/>
        <w:spacing w:line="312" w:lineRule="auto"/>
        <w:ind w:firstLine="482" w:firstLineChars="200"/>
        <w:jc w:val="both"/>
        <w:textAlignment w:val="auto"/>
        <w:rPr>
          <w:rFonts w:ascii="仿宋_GB2312" w:hAnsi="仿宋_GB2312" w:eastAsia="仿宋_GB2312" w:cs="仿宋_GB2312"/>
          <w:b/>
          <w:bCs/>
          <w:color w:val="000000"/>
          <w:kern w:val="2"/>
          <w:sz w:val="24"/>
          <w:szCs w:val="24"/>
          <w:highlight w:val="none"/>
          <w:lang w:val="en-US" w:bidi="ar-SA"/>
        </w:rPr>
      </w:pPr>
      <w:r>
        <w:rPr>
          <w:rFonts w:hint="eastAsia" w:ascii="仿宋_GB2312" w:hAnsi="仿宋_GB2312" w:eastAsia="仿宋_GB2312" w:cs="仿宋_GB2312"/>
          <w:b/>
          <w:bCs/>
          <w:color w:val="000000"/>
          <w:kern w:val="2"/>
          <w:sz w:val="24"/>
          <w:szCs w:val="24"/>
          <w:highlight w:val="none"/>
          <w:lang w:val="en-US" w:bidi="ar-SA"/>
        </w:rPr>
        <w:t>5.总体人员素质要求：</w:t>
      </w:r>
    </w:p>
    <w:p>
      <w:pPr>
        <w:pStyle w:val="965"/>
        <w:keepNext w:val="0"/>
        <w:keepLines w:val="0"/>
        <w:pageBreakBefore w:val="0"/>
        <w:kinsoku/>
        <w:wordWrap/>
        <w:overflowPunct/>
        <w:topLinePunct w:val="0"/>
        <w:autoSpaceDE/>
        <w:autoSpaceDN/>
        <w:bidi w:val="0"/>
        <w:adjustRightInd/>
        <w:spacing w:line="312" w:lineRule="auto"/>
        <w:ind w:firstLine="5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（1）</w:t>
      </w:r>
      <w:r>
        <w:rPr>
          <w:rFonts w:hint="eastAsia" w:ascii="仿宋_GB2312" w:hAnsi="仿宋_GB2312" w:eastAsia="仿宋_GB2312" w:cs="仿宋_GB2312"/>
          <w:color w:val="000000"/>
          <w:kern w:val="2"/>
          <w:sz w:val="24"/>
          <w:szCs w:val="24"/>
          <w:highlight w:val="none"/>
          <w:lang w:val="en-US" w:bidi="ar-SA"/>
        </w:rPr>
        <w:t>从业人员应知法，懂法，守法，依法办事，必须严格遵守从业规范, 模范遵守中心安全管理规定。</w:t>
      </w:r>
    </w:p>
    <w:p>
      <w:pPr>
        <w:pStyle w:val="965"/>
        <w:keepNext w:val="0"/>
        <w:keepLines w:val="0"/>
        <w:pageBreakBefore w:val="0"/>
        <w:kinsoku/>
        <w:wordWrap/>
        <w:overflowPunct/>
        <w:topLinePunct w:val="0"/>
        <w:autoSpaceDE/>
        <w:autoSpaceDN/>
        <w:bidi w:val="0"/>
        <w:adjustRightInd/>
        <w:spacing w:line="312" w:lineRule="auto"/>
        <w:ind w:firstLine="5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z w:val="24"/>
          <w:szCs w:val="24"/>
          <w:highlight w:val="none"/>
          <w:lang w:val="en-US"/>
        </w:rPr>
        <w:t>2</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kern w:val="2"/>
          <w:sz w:val="24"/>
          <w:szCs w:val="24"/>
          <w:highlight w:val="none"/>
          <w:lang w:val="en-US" w:bidi="ar-SA"/>
        </w:rPr>
        <w:t>保安负责人应有较高的政治思想素养和业务水平，有较强的组织协调能力，受过专门的保安业务培训。</w:t>
      </w:r>
    </w:p>
    <w:p>
      <w:pPr>
        <w:pStyle w:val="965"/>
        <w:keepNext w:val="0"/>
        <w:keepLines w:val="0"/>
        <w:pageBreakBefore w:val="0"/>
        <w:tabs>
          <w:tab w:val="left" w:pos="1361"/>
        </w:tabs>
        <w:kinsoku/>
        <w:wordWrap/>
        <w:overflowPunct/>
        <w:topLinePunct w:val="0"/>
        <w:autoSpaceDE/>
        <w:autoSpaceDN/>
        <w:bidi w:val="0"/>
        <w:adjustRightInd/>
        <w:spacing w:line="312" w:lineRule="auto"/>
        <w:ind w:firstLine="480" w:firstLineChars="2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z w:val="24"/>
          <w:szCs w:val="24"/>
          <w:highlight w:val="none"/>
          <w:lang w:val="en-US"/>
        </w:rPr>
        <w:t>3</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kern w:val="2"/>
          <w:sz w:val="24"/>
          <w:szCs w:val="24"/>
          <w:highlight w:val="none"/>
          <w:lang w:val="en-US" w:bidi="ar-SA"/>
        </w:rPr>
        <w:t>所聘用的保安人员有吃苦耐劳的精神和高度的责任感，受过专门岗前培训，熟知管理规定，严格履行岗位职责，善于发现各类问题，具备一定的管理经验和处理突发事件能力。当班人员要有处置突发事件的经验和能力。</w:t>
      </w:r>
    </w:p>
    <w:p>
      <w:pPr>
        <w:pStyle w:val="965"/>
        <w:keepNext w:val="0"/>
        <w:keepLines w:val="0"/>
        <w:pageBreakBefore w:val="0"/>
        <w:tabs>
          <w:tab w:val="left" w:pos="1851"/>
        </w:tabs>
        <w:kinsoku/>
        <w:wordWrap/>
        <w:overflowPunct/>
        <w:topLinePunct w:val="0"/>
        <w:autoSpaceDE/>
        <w:autoSpaceDN/>
        <w:bidi w:val="0"/>
        <w:adjustRightInd/>
        <w:spacing w:line="312" w:lineRule="auto"/>
        <w:ind w:firstLine="480" w:firstLineChars="200"/>
        <w:jc w:val="both"/>
        <w:textAlignment w:val="auto"/>
        <w:rPr>
          <w:rFonts w:ascii="仿宋_GB2312" w:hAnsi="仿宋_GB2312" w:eastAsia="仿宋_GB2312" w:cs="仿宋_GB2312"/>
          <w:color w:val="000000"/>
          <w:sz w:val="24"/>
          <w:szCs w:val="24"/>
          <w:highlight w:val="none"/>
          <w:lang w:val="en-US"/>
        </w:rPr>
      </w:pP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z w:val="24"/>
          <w:szCs w:val="24"/>
          <w:highlight w:val="none"/>
          <w:lang w:val="en-US"/>
        </w:rPr>
        <w:t>4</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kern w:val="2"/>
          <w:sz w:val="24"/>
          <w:szCs w:val="24"/>
          <w:highlight w:val="none"/>
          <w:lang w:val="en-US" w:bidi="ar-SA"/>
        </w:rPr>
        <w:t>中标人对员工的疾病和人身安全负责。</w:t>
      </w:r>
    </w:p>
    <w:p>
      <w:pPr>
        <w:pStyle w:val="965"/>
        <w:keepNext w:val="0"/>
        <w:keepLines w:val="0"/>
        <w:pageBreakBefore w:val="0"/>
        <w:widowControl w:val="0"/>
        <w:kinsoku/>
        <w:wordWrap/>
        <w:overflowPunct/>
        <w:topLinePunct w:val="0"/>
        <w:autoSpaceDE/>
        <w:autoSpaceDN/>
        <w:bidi w:val="0"/>
        <w:adjustRightInd/>
        <w:snapToGrid/>
        <w:spacing w:line="312" w:lineRule="auto"/>
        <w:ind w:firstLine="482" w:firstLineChars="200"/>
        <w:jc w:val="both"/>
        <w:textAlignment w:val="auto"/>
        <w:rPr>
          <w:rFonts w:ascii="仿宋_GB2312" w:hAnsi="仿宋_GB2312" w:eastAsia="仿宋_GB2312" w:cs="仿宋_GB2312"/>
          <w:b/>
          <w:bCs/>
          <w:color w:val="000000"/>
          <w:kern w:val="2"/>
          <w:sz w:val="24"/>
          <w:szCs w:val="24"/>
          <w:highlight w:val="none"/>
          <w:lang w:val="en-US" w:bidi="ar-SA"/>
        </w:rPr>
      </w:pPr>
      <w:r>
        <w:rPr>
          <w:rFonts w:hint="eastAsia" w:ascii="仿宋_GB2312" w:hAnsi="仿宋_GB2312" w:eastAsia="仿宋_GB2312" w:cs="仿宋_GB2312"/>
          <w:b/>
          <w:bCs/>
          <w:color w:val="000000"/>
          <w:kern w:val="2"/>
          <w:sz w:val="24"/>
          <w:szCs w:val="24"/>
          <w:highlight w:val="none"/>
          <w:lang w:val="en-US" w:bidi="ar-SA"/>
        </w:rPr>
        <w:t>6.绿化养护要求</w:t>
      </w:r>
    </w:p>
    <w:p>
      <w:pPr>
        <w:pStyle w:val="965"/>
        <w:keepNext w:val="0"/>
        <w:keepLines w:val="0"/>
        <w:pageBreakBefore w:val="0"/>
        <w:kinsoku/>
        <w:wordWrap/>
        <w:overflowPunct/>
        <w:topLinePunct w:val="0"/>
        <w:autoSpaceDE/>
        <w:autoSpaceDN/>
        <w:bidi w:val="0"/>
        <w:adjustRightInd/>
        <w:spacing w:line="312" w:lineRule="auto"/>
        <w:ind w:firstLine="480" w:firstLineChars="2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kern w:val="2"/>
          <w:sz w:val="24"/>
          <w:szCs w:val="24"/>
          <w:highlight w:val="none"/>
          <w:lang w:val="en-US" w:bidi="ar-SA"/>
        </w:rPr>
        <w:t>服务范围内所有绿化，包括草坪、灌木、乔木等。</w:t>
      </w:r>
    </w:p>
    <w:p>
      <w:pPr>
        <w:pStyle w:val="965"/>
        <w:keepNext w:val="0"/>
        <w:keepLines w:val="0"/>
        <w:pageBreakBefore w:val="0"/>
        <w:tabs>
          <w:tab w:val="left" w:pos="1067"/>
        </w:tabs>
        <w:kinsoku/>
        <w:wordWrap/>
        <w:overflowPunct/>
        <w:topLinePunct w:val="0"/>
        <w:autoSpaceDE/>
        <w:autoSpaceDN/>
        <w:bidi w:val="0"/>
        <w:adjustRightInd/>
        <w:spacing w:line="312" w:lineRule="auto"/>
        <w:ind w:firstLine="480" w:firstLineChars="2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（1）</w:t>
      </w:r>
      <w:r>
        <w:rPr>
          <w:rFonts w:hint="eastAsia" w:ascii="仿宋_GB2312" w:hAnsi="仿宋_GB2312" w:eastAsia="仿宋_GB2312" w:cs="仿宋_GB2312"/>
          <w:color w:val="000000"/>
          <w:kern w:val="2"/>
          <w:sz w:val="24"/>
          <w:szCs w:val="24"/>
          <w:highlight w:val="none"/>
          <w:lang w:val="en-US" w:bidi="ar-SA"/>
        </w:rPr>
        <w:t>养护好草坪：日常修剪、清理杂草，保持全年绿化养护标准化。</w:t>
      </w:r>
    </w:p>
    <w:p>
      <w:pPr>
        <w:pStyle w:val="965"/>
        <w:keepNext w:val="0"/>
        <w:keepLines w:val="0"/>
        <w:pageBreakBefore w:val="0"/>
        <w:tabs>
          <w:tab w:val="left" w:pos="1066"/>
        </w:tabs>
        <w:kinsoku/>
        <w:wordWrap/>
        <w:overflowPunct/>
        <w:topLinePunct w:val="0"/>
        <w:autoSpaceDE/>
        <w:autoSpaceDN/>
        <w:bidi w:val="0"/>
        <w:adjustRightInd/>
        <w:spacing w:line="312" w:lineRule="auto"/>
        <w:ind w:firstLine="480" w:firstLineChars="2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z w:val="24"/>
          <w:szCs w:val="24"/>
          <w:highlight w:val="none"/>
          <w:lang w:val="en-US"/>
        </w:rPr>
        <w:t>2</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kern w:val="2"/>
          <w:sz w:val="24"/>
          <w:szCs w:val="24"/>
          <w:highlight w:val="none"/>
          <w:lang w:val="en-US" w:bidi="ar-SA"/>
        </w:rPr>
        <w:t>树木的养护和清理：适时修剪，及时清理，对遇病虫害树木要及时救治, 如确因病虫害或意外事故造成树木枯死等的，应及时清理死亡苗木，残枝修剪并进行补种。</w:t>
      </w:r>
    </w:p>
    <w:p>
      <w:pPr>
        <w:pStyle w:val="965"/>
        <w:keepNext w:val="0"/>
        <w:keepLines w:val="0"/>
        <w:pageBreakBefore w:val="0"/>
        <w:tabs>
          <w:tab w:val="left" w:pos="1083"/>
        </w:tabs>
        <w:kinsoku/>
        <w:wordWrap/>
        <w:overflowPunct/>
        <w:topLinePunct w:val="0"/>
        <w:autoSpaceDE/>
        <w:autoSpaceDN/>
        <w:bidi w:val="0"/>
        <w:adjustRightInd/>
        <w:spacing w:after="60" w:line="312" w:lineRule="auto"/>
        <w:ind w:firstLine="480" w:firstLineChars="200"/>
        <w:jc w:val="both"/>
        <w:textAlignment w:val="auto"/>
        <w:rPr>
          <w:rFonts w:ascii="仿宋_GB2312" w:hAnsi="仿宋_GB2312" w:eastAsia="仿宋_GB2312" w:cs="仿宋_GB2312"/>
          <w:color w:val="000000"/>
          <w:kern w:val="2"/>
          <w:sz w:val="24"/>
          <w:szCs w:val="24"/>
          <w:highlight w:val="none"/>
          <w:lang w:val="en-US" w:bidi="ar-SA"/>
        </w:rPr>
      </w:pP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z w:val="24"/>
          <w:szCs w:val="24"/>
          <w:highlight w:val="none"/>
          <w:lang w:val="en-US"/>
        </w:rPr>
        <w:t>3</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kern w:val="2"/>
          <w:sz w:val="24"/>
          <w:szCs w:val="24"/>
          <w:highlight w:val="none"/>
          <w:lang w:val="en-US" w:bidi="ar-SA"/>
        </w:rPr>
        <w:t>对需要支撑的树木，投标人应按照城管、园林部门的要求进行支撑，不得自行其是。</w:t>
      </w:r>
    </w:p>
    <w:p>
      <w:pPr>
        <w:keepNext w:val="0"/>
        <w:keepLines w:val="0"/>
        <w:pageBreakBefore w:val="0"/>
        <w:kinsoku/>
        <w:wordWrap/>
        <w:overflowPunct/>
        <w:topLinePunct w:val="0"/>
        <w:autoSpaceDE/>
        <w:autoSpaceDN/>
        <w:bidi w:val="0"/>
        <w:adjustRightInd/>
        <w:spacing w:line="312" w:lineRule="auto"/>
        <w:ind w:firstLine="480" w:firstLineChars="200"/>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（4）保持绿化地带的美观、整洁。</w:t>
      </w:r>
    </w:p>
    <w:p>
      <w:pPr>
        <w:keepNext w:val="0"/>
        <w:keepLines w:val="0"/>
        <w:pageBreakBefore w:val="0"/>
        <w:kinsoku/>
        <w:wordWrap/>
        <w:overflowPunct/>
        <w:topLinePunct w:val="0"/>
        <w:autoSpaceDE/>
        <w:autoSpaceDN/>
        <w:bidi w:val="0"/>
        <w:adjustRightInd/>
        <w:spacing w:line="312" w:lineRule="auto"/>
        <w:ind w:firstLine="480" w:firstLineChars="200"/>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（5）两个校区绿化做好平时日常修剪、养护等工作的同时，每季一次大修剪；每年两次对病虫害预防喷药（安排在假期）。</w:t>
      </w:r>
    </w:p>
    <w:p>
      <w:pPr>
        <w:pStyle w:val="965"/>
        <w:keepNext w:val="0"/>
        <w:keepLines w:val="0"/>
        <w:pageBreakBefore w:val="0"/>
        <w:widowControl/>
        <w:tabs>
          <w:tab w:val="left" w:pos="1083"/>
        </w:tabs>
        <w:kinsoku/>
        <w:wordWrap/>
        <w:overflowPunct/>
        <w:topLinePunct w:val="0"/>
        <w:autoSpaceDE/>
        <w:autoSpaceDN/>
        <w:bidi w:val="0"/>
        <w:adjustRightInd/>
        <w:snapToGrid/>
        <w:spacing w:after="60" w:line="312" w:lineRule="auto"/>
        <w:ind w:firstLine="482" w:firstLineChars="200"/>
        <w:jc w:val="both"/>
        <w:textAlignment w:val="auto"/>
        <w:rPr>
          <w:rFonts w:ascii="仿宋_GB2312" w:hAnsi="仿宋_GB2312" w:eastAsia="仿宋_GB2312" w:cs="仿宋_GB2312"/>
          <w:b/>
          <w:bCs/>
          <w:color w:val="000000"/>
          <w:sz w:val="24"/>
          <w:szCs w:val="24"/>
          <w:highlight w:val="none"/>
          <w:lang w:val="en-US"/>
        </w:rPr>
      </w:pPr>
      <w:r>
        <w:rPr>
          <w:rFonts w:hint="eastAsia" w:ascii="仿宋_GB2312" w:hAnsi="仿宋_GB2312" w:eastAsia="仿宋_GB2312" w:cs="仿宋_GB2312"/>
          <w:b/>
          <w:bCs/>
          <w:color w:val="000000"/>
          <w:sz w:val="24"/>
          <w:szCs w:val="24"/>
          <w:highlight w:val="none"/>
          <w:lang w:val="en-US"/>
        </w:rPr>
        <w:t>7.</w:t>
      </w:r>
      <w:r>
        <w:rPr>
          <w:rFonts w:hint="eastAsia" w:ascii="仿宋_GB2312" w:hAnsi="仿宋_GB2312" w:eastAsia="仿宋_GB2312" w:cs="仿宋_GB2312"/>
          <w:b/>
          <w:bCs/>
          <w:color w:val="000000"/>
          <w:sz w:val="24"/>
          <w:szCs w:val="24"/>
          <w:highlight w:val="none"/>
        </w:rPr>
        <w:t>工程服务</w:t>
      </w:r>
      <w:r>
        <w:rPr>
          <w:rFonts w:hint="eastAsia" w:ascii="仿宋_GB2312" w:hAnsi="仿宋_GB2312" w:eastAsia="仿宋_GB2312" w:cs="仿宋_GB2312"/>
          <w:b/>
          <w:bCs/>
          <w:color w:val="000000"/>
          <w:sz w:val="24"/>
          <w:szCs w:val="24"/>
          <w:highlight w:val="none"/>
          <w:lang w:val="en-US"/>
        </w:rPr>
        <w:t>要求：</w:t>
      </w:r>
    </w:p>
    <w:p>
      <w:pPr>
        <w:keepNext w:val="0"/>
        <w:keepLines w:val="0"/>
        <w:pageBreakBefore w:val="0"/>
        <w:widowControl/>
        <w:kinsoku/>
        <w:wordWrap/>
        <w:overflowPunct/>
        <w:topLinePunct w:val="0"/>
        <w:autoSpaceDE/>
        <w:autoSpaceDN/>
        <w:bidi w:val="0"/>
        <w:adjustRightInd/>
        <w:spacing w:line="312" w:lineRule="auto"/>
        <w:ind w:firstLine="480" w:firstLineChars="200"/>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（1）服务内容：</w:t>
      </w:r>
    </w:p>
    <w:p>
      <w:pPr>
        <w:keepNext w:val="0"/>
        <w:keepLines w:val="0"/>
        <w:pageBreakBefore w:val="0"/>
        <w:widowControl/>
        <w:kinsoku/>
        <w:wordWrap/>
        <w:overflowPunct/>
        <w:topLinePunct w:val="0"/>
        <w:autoSpaceDE/>
        <w:autoSpaceDN/>
        <w:bidi w:val="0"/>
        <w:adjustRightInd/>
        <w:spacing w:line="312" w:lineRule="auto"/>
        <w:ind w:firstLine="480" w:firstLineChars="200"/>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中心内设施日常维修服务，包括水、电、门窗、门锁、用电设备、防水层、外墙面和污水管、雨水管、废水管、空凋设备、照明、防盗、消防、电信、网络、强电、弱电等的日常维修、养护和管理（不包含场馆房屋及设备设施大、中型维修、更新、改造等费用）。</w:t>
      </w:r>
    </w:p>
    <w:p>
      <w:pPr>
        <w:pStyle w:val="965"/>
        <w:keepNext w:val="0"/>
        <w:keepLines w:val="0"/>
        <w:pageBreakBefore w:val="0"/>
        <w:tabs>
          <w:tab w:val="left" w:pos="1126"/>
        </w:tabs>
        <w:kinsoku/>
        <w:wordWrap/>
        <w:overflowPunct/>
        <w:topLinePunct w:val="0"/>
        <w:autoSpaceDE/>
        <w:autoSpaceDN/>
        <w:bidi w:val="0"/>
        <w:adjustRightInd/>
        <w:spacing w:line="312" w:lineRule="auto"/>
        <w:ind w:firstLine="480" w:firstLineChars="200"/>
        <w:textAlignment w:val="auto"/>
        <w:rPr>
          <w:rFonts w:ascii="仿宋_GB2312" w:hAnsi="仿宋_GB2312" w:eastAsia="仿宋_GB2312" w:cs="仿宋_GB2312"/>
          <w:color w:val="000000"/>
          <w:sz w:val="24"/>
          <w:szCs w:val="24"/>
          <w:highlight w:val="none"/>
          <w:lang w:val="en-US"/>
        </w:rPr>
      </w:pP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z w:val="24"/>
          <w:szCs w:val="24"/>
          <w:highlight w:val="none"/>
          <w:lang w:val="en-US"/>
        </w:rPr>
        <w:t>2</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z w:val="24"/>
          <w:szCs w:val="24"/>
          <w:highlight w:val="none"/>
          <w:lang w:val="en-US"/>
        </w:rPr>
        <w:t>服务约定</w:t>
      </w:r>
    </w:p>
    <w:p>
      <w:pPr>
        <w:pStyle w:val="965"/>
        <w:keepNext w:val="0"/>
        <w:keepLines w:val="0"/>
        <w:pageBreakBefore w:val="0"/>
        <w:tabs>
          <w:tab w:val="left" w:pos="1126"/>
        </w:tabs>
        <w:kinsoku/>
        <w:wordWrap/>
        <w:overflowPunct/>
        <w:topLinePunct w:val="0"/>
        <w:autoSpaceDE/>
        <w:autoSpaceDN/>
        <w:bidi w:val="0"/>
        <w:adjustRightInd/>
        <w:spacing w:line="312" w:lineRule="auto"/>
        <w:textAlignment w:val="auto"/>
        <w:rPr>
          <w:rFonts w:ascii="仿宋_GB2312" w:hAnsi="仿宋_GB2312" w:eastAsia="仿宋_GB2312" w:cs="仿宋_GB2312"/>
          <w:color w:val="000000"/>
          <w:sz w:val="24"/>
          <w:szCs w:val="24"/>
          <w:highlight w:val="none"/>
          <w:lang w:val="en-US"/>
        </w:rPr>
      </w:pPr>
      <w:r>
        <w:rPr>
          <w:rFonts w:hint="eastAsia" w:ascii="仿宋_GB2312" w:hAnsi="仿宋_GB2312" w:eastAsia="仿宋_GB2312" w:cs="仿宋_GB2312"/>
          <w:color w:val="000000"/>
          <w:sz w:val="24"/>
          <w:szCs w:val="24"/>
          <w:highlight w:val="none"/>
          <w:lang w:val="en-US"/>
        </w:rPr>
        <w:t xml:space="preserve"> 工作时间</w:t>
      </w:r>
      <w:r>
        <w:rPr>
          <w:rFonts w:hint="eastAsia" w:ascii="仿宋_GB2312" w:hAnsi="仿宋_GB2312" w:eastAsia="仿宋_GB2312" w:cs="仿宋_GB2312"/>
          <w:color w:val="000000"/>
          <w:kern w:val="2"/>
          <w:sz w:val="24"/>
          <w:szCs w:val="24"/>
          <w:highlight w:val="none"/>
          <w:lang w:val="en-US" w:bidi="ar-SA"/>
        </w:rPr>
        <w:t>维修在接电话15分钟内赶到现场，做到急修及时排除，一般修理在半个工作日内完成。维修材料、配件由采购人承担。</w:t>
      </w:r>
    </w:p>
    <w:p>
      <w:pPr>
        <w:keepNext w:val="0"/>
        <w:keepLines w:val="0"/>
        <w:pageBreakBefore w:val="0"/>
        <w:numPr>
          <w:ilvl w:val="0"/>
          <w:numId w:val="1"/>
        </w:numPr>
        <w:kinsoku/>
        <w:wordWrap/>
        <w:overflowPunct/>
        <w:topLinePunct w:val="0"/>
        <w:autoSpaceDE/>
        <w:autoSpaceDN/>
        <w:bidi w:val="0"/>
        <w:adjustRightInd/>
        <w:spacing w:line="312" w:lineRule="auto"/>
        <w:textAlignment w:val="auto"/>
        <w:rPr>
          <w:rFonts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sz w:val="24"/>
          <w:highlight w:val="none"/>
        </w:rPr>
        <w:t>付款方式：</w:t>
      </w:r>
    </w:p>
    <w:p>
      <w:pPr>
        <w:keepNext w:val="0"/>
        <w:keepLines w:val="0"/>
        <w:pageBreakBefore w:val="0"/>
        <w:kinsoku/>
        <w:wordWrap/>
        <w:overflowPunct/>
        <w:topLinePunct w:val="0"/>
        <w:autoSpaceDE/>
        <w:autoSpaceDN/>
        <w:bidi w:val="0"/>
        <w:adjustRightInd/>
        <w:spacing w:line="312" w:lineRule="auto"/>
        <w:ind w:firstLine="540" w:firstLineChars="200"/>
        <w:textAlignment w:val="auto"/>
        <w:rPr>
          <w:rFonts w:ascii="仿宋_GB2312" w:hAnsi="仿宋_GB2312" w:eastAsia="仿宋_GB2312" w:cs="仿宋_GB2312"/>
          <w:color w:val="000000"/>
          <w:spacing w:val="15"/>
          <w:sz w:val="24"/>
          <w:highlight w:val="none"/>
          <w:shd w:val="clear" w:color="auto" w:fill="FFFFFF"/>
        </w:rPr>
      </w:pPr>
      <w:r>
        <w:rPr>
          <w:rFonts w:hint="eastAsia" w:ascii="仿宋_GB2312" w:hAnsi="仿宋_GB2312" w:eastAsia="仿宋_GB2312" w:cs="仿宋_GB2312"/>
          <w:color w:val="000000"/>
          <w:spacing w:val="15"/>
          <w:sz w:val="24"/>
          <w:highlight w:val="none"/>
          <w:shd w:val="clear" w:color="auto" w:fill="FFFFFF"/>
        </w:rPr>
        <w:t>按《浙江省财政厅关于进一步发挥政府采购政策 功能全力推动经济稳进提质的通知》（浙财采监〔2022〕3号）等文件要求执行，具体付款方式由双方协商后在合同中明确。</w:t>
      </w:r>
    </w:p>
    <w:p>
      <w:pPr>
        <w:keepNext w:val="0"/>
        <w:keepLines w:val="0"/>
        <w:pageBreakBefore w:val="0"/>
        <w:kinsoku/>
        <w:wordWrap/>
        <w:overflowPunct/>
        <w:topLinePunct w:val="0"/>
        <w:autoSpaceDE/>
        <w:autoSpaceDN/>
        <w:bidi w:val="0"/>
        <w:adjustRightInd/>
        <w:snapToGrid w:val="0"/>
        <w:spacing w:line="312" w:lineRule="auto"/>
        <w:ind w:firstLine="480" w:firstLineChars="200"/>
        <w:jc w:val="left"/>
        <w:textAlignment w:val="auto"/>
        <w:rPr>
          <w:rFonts w:ascii="仿宋_GB2312" w:hAnsi="仿宋_GB2312" w:eastAsia="仿宋_GB2312" w:cs="仿宋_GB2312"/>
          <w:b/>
          <w:bCs/>
          <w:color w:val="000000"/>
          <w:sz w:val="24"/>
          <w:highlight w:val="none"/>
        </w:rPr>
      </w:pPr>
      <w:r>
        <w:rPr>
          <w:rFonts w:hint="eastAsia" w:ascii="仿宋_GB2312" w:hAnsi="仿宋_GB2312" w:eastAsia="仿宋_GB2312" w:cs="仿宋_GB2312"/>
          <w:color w:val="000000"/>
          <w:sz w:val="24"/>
          <w:highlight w:val="none"/>
        </w:rPr>
        <w:t>根据考核情况，采购人按季度支付服务费用，采购人应随付款进度及时提供正式发票。</w:t>
      </w:r>
    </w:p>
    <w:p>
      <w:pPr>
        <w:keepNext w:val="0"/>
        <w:keepLines w:val="0"/>
        <w:pageBreakBefore w:val="0"/>
        <w:kinsoku/>
        <w:wordWrap/>
        <w:overflowPunct/>
        <w:topLinePunct w:val="0"/>
        <w:autoSpaceDE/>
        <w:autoSpaceDN/>
        <w:bidi w:val="0"/>
        <w:adjustRightInd/>
        <w:spacing w:line="312" w:lineRule="auto"/>
        <w:textAlignment w:val="auto"/>
        <w:rPr>
          <w:rFonts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sz w:val="24"/>
          <w:highlight w:val="none"/>
          <w:lang w:val="en-US" w:eastAsia="zh-CN"/>
        </w:rPr>
        <w:t>四</w:t>
      </w:r>
      <w:r>
        <w:rPr>
          <w:rFonts w:hint="eastAsia" w:ascii="仿宋_GB2312" w:hAnsi="仿宋_GB2312" w:eastAsia="仿宋_GB2312" w:cs="仿宋_GB2312"/>
          <w:b/>
          <w:bCs/>
          <w:color w:val="000000"/>
          <w:sz w:val="24"/>
          <w:highlight w:val="none"/>
        </w:rPr>
        <w:t>、交接要求：</w:t>
      </w:r>
    </w:p>
    <w:p>
      <w:pPr>
        <w:keepNext w:val="0"/>
        <w:keepLines w:val="0"/>
        <w:pageBreakBefore w:val="0"/>
        <w:kinsoku/>
        <w:wordWrap/>
        <w:overflowPunct/>
        <w:topLinePunct w:val="0"/>
        <w:autoSpaceDE/>
        <w:autoSpaceDN/>
        <w:bidi w:val="0"/>
        <w:adjustRightInd/>
        <w:snapToGrid w:val="0"/>
        <w:spacing w:line="312" w:lineRule="auto"/>
        <w:ind w:firstLine="480" w:firstLineChars="200"/>
        <w:textAlignment w:val="auto"/>
        <w:rPr>
          <w:rFonts w:ascii="仿宋_GB2312" w:hAnsi="仿宋_GB2312" w:eastAsia="仿宋_GB2312" w:cs="仿宋_GB2312"/>
          <w:color w:val="000000"/>
          <w:kern w:val="0"/>
          <w:sz w:val="24"/>
          <w:highlight w:val="none"/>
          <w:lang w:val="zh-CN"/>
        </w:rPr>
      </w:pPr>
      <w:r>
        <w:rPr>
          <w:rFonts w:hint="eastAsia" w:ascii="仿宋_GB2312" w:hAnsi="仿宋_GB2312" w:eastAsia="仿宋_GB2312" w:cs="仿宋_GB2312"/>
          <w:color w:val="000000"/>
          <w:kern w:val="0"/>
          <w:sz w:val="24"/>
          <w:highlight w:val="none"/>
          <w:lang w:val="zh-CN"/>
        </w:rPr>
        <w:t>中标人需要与原服务单位供应商做好衔接工作，在15个工作日内交接完毕，不得无故拖延。</w:t>
      </w:r>
    </w:p>
    <w:p>
      <w:pPr>
        <w:keepNext w:val="0"/>
        <w:keepLines w:val="0"/>
        <w:pageBreakBefore w:val="0"/>
        <w:kinsoku/>
        <w:wordWrap/>
        <w:overflowPunct/>
        <w:topLinePunct w:val="0"/>
        <w:autoSpaceDE/>
        <w:autoSpaceDN/>
        <w:bidi w:val="0"/>
        <w:adjustRightInd/>
        <w:spacing w:line="312" w:lineRule="auto"/>
        <w:textAlignment w:val="auto"/>
        <w:rPr>
          <w:rFonts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sz w:val="24"/>
          <w:highlight w:val="none"/>
          <w:lang w:val="en-US" w:eastAsia="zh-CN"/>
        </w:rPr>
        <w:t>五</w:t>
      </w:r>
      <w:r>
        <w:rPr>
          <w:rFonts w:hint="eastAsia" w:ascii="仿宋_GB2312" w:hAnsi="仿宋_GB2312" w:eastAsia="仿宋_GB2312" w:cs="仿宋_GB2312"/>
          <w:b/>
          <w:bCs/>
          <w:color w:val="000000"/>
          <w:sz w:val="24"/>
          <w:highlight w:val="none"/>
        </w:rPr>
        <w:t>、考核办法：</w:t>
      </w:r>
    </w:p>
    <w:p>
      <w:pPr>
        <w:keepNext w:val="0"/>
        <w:keepLines w:val="0"/>
        <w:pageBreakBefore w:val="0"/>
        <w:kinsoku/>
        <w:wordWrap/>
        <w:overflowPunct/>
        <w:topLinePunct w:val="0"/>
        <w:autoSpaceDE/>
        <w:autoSpaceDN/>
        <w:bidi w:val="0"/>
        <w:adjustRightInd/>
        <w:spacing w:line="312" w:lineRule="auto"/>
        <w:ind w:firstLine="480" w:firstLineChars="200"/>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合同期内采购人对投标人的服务质量按季度进行考核。服务验收考核标准作为季度验收和结算依据，考核时，共100分，考核90分及以上，按100%结算费用给付；考核90分以下时，根据考核情况以90分为基准，每减1分为扣减每季度结算价的0.1%。每出现一次重大管理问题，按照2000元/次标准进行扣罚；每出现一次服务质量投诉，按照500元/次标准进行扣罚；每季度考核每出现一项服务质量不达标，按照200元/次标准进行扣罚。</w:t>
      </w:r>
    </w:p>
    <w:p>
      <w:pPr>
        <w:keepNext w:val="0"/>
        <w:keepLines w:val="0"/>
        <w:pageBreakBefore w:val="0"/>
        <w:kinsoku/>
        <w:wordWrap/>
        <w:overflowPunct/>
        <w:topLinePunct w:val="0"/>
        <w:autoSpaceDE/>
        <w:autoSpaceDN/>
        <w:bidi w:val="0"/>
        <w:adjustRightInd/>
        <w:spacing w:line="312" w:lineRule="auto"/>
        <w:ind w:firstLine="480" w:firstLineChars="200"/>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附季度考核表：</w:t>
      </w: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b/>
          <w:color w:val="000000"/>
          <w:sz w:val="24"/>
          <w:highlight w:val="none"/>
        </w:rPr>
        <w:t>物业管理季检查考评表</w:t>
      </w:r>
    </w:p>
    <w:tbl>
      <w:tblPr>
        <w:tblStyle w:val="62"/>
        <w:tblW w:w="0" w:type="auto"/>
        <w:tblInd w:w="-417" w:type="dxa"/>
        <w:tblLayout w:type="fixed"/>
        <w:tblCellMar>
          <w:top w:w="0" w:type="dxa"/>
          <w:left w:w="108" w:type="dxa"/>
          <w:bottom w:w="0" w:type="dxa"/>
          <w:right w:w="108" w:type="dxa"/>
        </w:tblCellMar>
      </w:tblPr>
      <w:tblGrid>
        <w:gridCol w:w="705"/>
        <w:gridCol w:w="4350"/>
        <w:gridCol w:w="726"/>
        <w:gridCol w:w="3369"/>
        <w:gridCol w:w="615"/>
      </w:tblGrid>
      <w:tr>
        <w:tblPrEx>
          <w:tblCellMar>
            <w:top w:w="0" w:type="dxa"/>
            <w:left w:w="108" w:type="dxa"/>
            <w:bottom w:w="0" w:type="dxa"/>
            <w:right w:w="108" w:type="dxa"/>
          </w:tblCellMar>
        </w:tblPrEx>
        <w:trPr>
          <w:trHeight w:val="70" w:hRule="atLeast"/>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项目</w:t>
            </w:r>
          </w:p>
        </w:tc>
        <w:tc>
          <w:tcPr>
            <w:tcW w:w="435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内    容</w:t>
            </w:r>
          </w:p>
        </w:tc>
        <w:tc>
          <w:tcPr>
            <w:tcW w:w="726"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分值</w:t>
            </w:r>
          </w:p>
        </w:tc>
        <w:tc>
          <w:tcPr>
            <w:tcW w:w="336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扣分标准</w:t>
            </w:r>
          </w:p>
        </w:tc>
        <w:tc>
          <w:tcPr>
            <w:tcW w:w="615"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得分</w:t>
            </w:r>
          </w:p>
        </w:tc>
      </w:tr>
      <w:tr>
        <w:tblPrEx>
          <w:tblCellMar>
            <w:top w:w="0" w:type="dxa"/>
            <w:left w:w="108" w:type="dxa"/>
            <w:bottom w:w="0" w:type="dxa"/>
            <w:right w:w="108" w:type="dxa"/>
          </w:tblCellMar>
        </w:tblPrEx>
        <w:trPr>
          <w:trHeight w:val="677" w:hRule="atLeast"/>
        </w:trPr>
        <w:tc>
          <w:tcPr>
            <w:tcW w:w="705" w:type="dxa"/>
            <w:vMerge w:val="restart"/>
            <w:tcBorders>
              <w:top w:val="nil"/>
              <w:left w:val="single" w:color="auto" w:sz="4" w:space="0"/>
              <w:bottom w:val="nil"/>
              <w:right w:val="single" w:color="auto" w:sz="4" w:space="0"/>
            </w:tcBorders>
            <w:noWrap w:val="0"/>
            <w:textDirection w:val="tbRlV"/>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整体管理</w:t>
            </w: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物业人员须符合配置的素质要求，每月不能超过两名人员离职。</w:t>
            </w:r>
          </w:p>
        </w:tc>
        <w:tc>
          <w:tcPr>
            <w:tcW w:w="726" w:type="dxa"/>
            <w:vMerge w:val="restart"/>
            <w:tcBorders>
              <w:top w:val="nil"/>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20</w:t>
            </w: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缺1人扣2分，不符合要求，每人次扣1分。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437" w:hRule="atLeast"/>
        </w:trPr>
        <w:tc>
          <w:tcPr>
            <w:tcW w:w="705" w:type="dxa"/>
            <w:vMerge w:val="continue"/>
            <w:tcBorders>
              <w:top w:val="nil"/>
              <w:left w:val="single" w:color="auto" w:sz="4" w:space="0"/>
              <w:bottom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各岗位人员的培训及考核。</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缺少培训1次扣1分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437" w:hRule="atLeast"/>
        </w:trPr>
        <w:tc>
          <w:tcPr>
            <w:tcW w:w="705" w:type="dxa"/>
            <w:vMerge w:val="continue"/>
            <w:tcBorders>
              <w:top w:val="nil"/>
              <w:left w:val="single" w:color="auto" w:sz="4" w:space="0"/>
              <w:bottom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各岗位间人员的综合协调，工作执行力</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未及时执行或调度不到位扣1-2分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437" w:hRule="atLeast"/>
        </w:trPr>
        <w:tc>
          <w:tcPr>
            <w:tcW w:w="705" w:type="dxa"/>
            <w:vMerge w:val="continue"/>
            <w:tcBorders>
              <w:top w:val="nil"/>
              <w:left w:val="single" w:color="auto" w:sz="4" w:space="0"/>
              <w:bottom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检查问题及时整改落实情况。</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未及时整改扣1-2分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642" w:hRule="atLeast"/>
        </w:trPr>
        <w:tc>
          <w:tcPr>
            <w:tcW w:w="705" w:type="dxa"/>
            <w:vMerge w:val="continue"/>
            <w:tcBorders>
              <w:top w:val="nil"/>
              <w:left w:val="single" w:color="auto" w:sz="4" w:space="0"/>
              <w:bottom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客户对管理服务工作的满意度。无粗话、无和业主单位工作人员争吵的行为、无投诉。着工装、佩戴工牌。</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1项不符扣1分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884" w:hRule="atLeast"/>
        </w:trPr>
        <w:tc>
          <w:tcPr>
            <w:tcW w:w="705" w:type="dxa"/>
            <w:vMerge w:val="continue"/>
            <w:tcBorders>
              <w:top w:val="nil"/>
              <w:left w:val="single" w:color="auto" w:sz="4" w:space="0"/>
              <w:bottom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着装整洁，仪表端庄、精神饱满；服务规范，礼貌、主动热情。</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1项不符扣1分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654" w:hRule="atLeast"/>
        </w:trPr>
        <w:tc>
          <w:tcPr>
            <w:tcW w:w="705" w:type="dxa"/>
            <w:vMerge w:val="continue"/>
            <w:tcBorders>
              <w:top w:val="nil"/>
              <w:left w:val="single" w:color="auto" w:sz="4" w:space="0"/>
              <w:bottom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各种记录完整。工作安排记录、设备台账记录、日常检查记录。</w:t>
            </w:r>
          </w:p>
        </w:tc>
        <w:tc>
          <w:tcPr>
            <w:tcW w:w="726" w:type="dxa"/>
            <w:vMerge w:val="continue"/>
            <w:tcBorders>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缺1次记录扣1分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816" w:hRule="atLeast"/>
        </w:trPr>
        <w:tc>
          <w:tcPr>
            <w:tcW w:w="705" w:type="dxa"/>
            <w:vMerge w:val="restart"/>
            <w:tcBorders>
              <w:top w:val="single" w:color="auto" w:sz="4" w:space="0"/>
              <w:left w:val="single" w:color="auto" w:sz="4" w:space="0"/>
              <w:bottom w:val="single" w:color="000000" w:sz="4" w:space="0"/>
              <w:right w:val="single" w:color="auto" w:sz="4" w:space="0"/>
            </w:tcBorders>
            <w:noWrap w:val="0"/>
            <w:textDirection w:val="tbRlV"/>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保安消控管理</w:t>
            </w: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保安人员熟悉区域环境，文明执勤。实行24小时值班，在岗在位并做好值勤记录。</w:t>
            </w:r>
          </w:p>
        </w:tc>
        <w:tc>
          <w:tcPr>
            <w:tcW w:w="726" w:type="dxa"/>
            <w:vMerge w:val="restart"/>
            <w:tcBorders>
              <w:top w:val="nil"/>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35</w:t>
            </w: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没有记录扣2分，记录不清楚扣1分，脱岗每次扣2分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580" w:hRule="atLeast"/>
        </w:trPr>
        <w:tc>
          <w:tcPr>
            <w:tcW w:w="70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上班时间着装整齐，言行举止文明，门岗姿态规范，手势标准，无穿便装上班现象。</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1项不符扣1分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810" w:hRule="atLeast"/>
        </w:trPr>
        <w:tc>
          <w:tcPr>
            <w:tcW w:w="70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收发的报刊和包裹。收到的报刊及时准确投转送给相关处室；挂号信、包裹、急件等即时联系收件人取件。</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报刊、信件等积压0分，包裹积压扣1-2分，相关急件未及时通知扣2分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786" w:hRule="atLeast"/>
        </w:trPr>
        <w:tc>
          <w:tcPr>
            <w:tcW w:w="70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上班时间不做与工作无关的事，严禁打瞌睡、喝酒、抽烟、嬉戏打闹、玩手机等不良现象；门卫环境卫生清洁。</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1项不符扣1分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590" w:hRule="atLeast"/>
        </w:trPr>
        <w:tc>
          <w:tcPr>
            <w:tcW w:w="70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对各种车辆、车位管理有序，指挥车辆的停放规范到位，无堵塞交通现象。</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1项不符扣1分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615" w:hRule="atLeast"/>
        </w:trPr>
        <w:tc>
          <w:tcPr>
            <w:tcW w:w="70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做好各出入口及大门的管理，门卫对进出人员、车辆要及时做好登记。</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1项不符扣1分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585" w:hRule="atLeast"/>
        </w:trPr>
        <w:tc>
          <w:tcPr>
            <w:tcW w:w="70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装备完好，交接班程序规范，附有完整的交接班记录；做好来客来车登记。</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没有交接班记录0分，记录不清楚扣1-2分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990" w:hRule="atLeast"/>
        </w:trPr>
        <w:tc>
          <w:tcPr>
            <w:tcW w:w="70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熟练操作监控消防设备，每日做好监控记录。发生报警后，必须及时到达现场并通知上级领导；发生故障，及时反馈给业主。</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故障不报扣1分，报警不到扣1分，不会操作扣1分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585" w:hRule="atLeast"/>
        </w:trPr>
        <w:tc>
          <w:tcPr>
            <w:tcW w:w="70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消防栓、灭火器、泵房、通风柜定期巡查，有记录封条，定时巡查消防通道是否畅通，有无火灾安全隐患。</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记录不清楚扣1-2分，消防通道堵塞扣1分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570" w:hRule="atLeast"/>
        </w:trPr>
        <w:tc>
          <w:tcPr>
            <w:tcW w:w="70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对外机及温度进行监视和登记，发现异常情况及时报告。</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没有记录0分，工作不符合要求或记录不全扣1分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465" w:hRule="atLeast"/>
        </w:trPr>
        <w:tc>
          <w:tcPr>
            <w:tcW w:w="70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无因管理责任导致的盗窃事件发生。</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发生盗窃事件酌情扣10-20分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390" w:hRule="atLeast"/>
        </w:trPr>
        <w:tc>
          <w:tcPr>
            <w:tcW w:w="70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无因管理责任导致的消防等安全事件发生。</w:t>
            </w:r>
          </w:p>
        </w:tc>
        <w:tc>
          <w:tcPr>
            <w:tcW w:w="726" w:type="dxa"/>
            <w:vMerge w:val="continue"/>
            <w:tcBorders>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发生消防事件酌情扣10-20分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435" w:hRule="atLeast"/>
        </w:trPr>
        <w:tc>
          <w:tcPr>
            <w:tcW w:w="705" w:type="dxa"/>
            <w:vMerge w:val="restart"/>
            <w:tcBorders>
              <w:top w:val="nil"/>
              <w:left w:val="single" w:color="auto" w:sz="4" w:space="0"/>
              <w:bottom w:val="single" w:color="000000" w:sz="4" w:space="0"/>
              <w:right w:val="single" w:color="auto" w:sz="4" w:space="0"/>
            </w:tcBorders>
            <w:noWrap w:val="0"/>
            <w:textDirection w:val="tbRlV"/>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保洁管理</w:t>
            </w: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保洁人员着装整洁，精神饱满。</w:t>
            </w:r>
          </w:p>
        </w:tc>
        <w:tc>
          <w:tcPr>
            <w:tcW w:w="726" w:type="dxa"/>
            <w:vMerge w:val="restart"/>
            <w:tcBorders>
              <w:top w:val="nil"/>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25</w:t>
            </w: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1项不符扣1分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435" w:hRule="atLeast"/>
        </w:trPr>
        <w:tc>
          <w:tcPr>
            <w:tcW w:w="70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环卫设施齐全，摆放合理。</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1项不符扣1分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873" w:hRule="atLeast"/>
        </w:trPr>
        <w:tc>
          <w:tcPr>
            <w:tcW w:w="70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公共区域和办公区域保持清洁，每天至少打扫1次，巡查2次，无乱贴乱画，无占用和堆放杂物现象；地面无纸屑、烟头等废弃物。</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1项不符扣1分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674" w:hRule="atLeast"/>
        </w:trPr>
        <w:tc>
          <w:tcPr>
            <w:tcW w:w="70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卫生间清洁、无异味，洗手台、镜子无污水、污迹。</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有异味扣1分，有污水污迹扣1分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459" w:hRule="atLeast"/>
        </w:trPr>
        <w:tc>
          <w:tcPr>
            <w:tcW w:w="70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垃圾收集、清理及时干净、做到日产日清。</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垃圾乱堆扣1分、清理不干净扣1分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429" w:hRule="atLeast"/>
        </w:trPr>
        <w:tc>
          <w:tcPr>
            <w:tcW w:w="70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会议室保持清洁，桌椅摆放有序，桌面无尘。</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桌椅不整齐扣1分，有灰尘扣2分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612" w:hRule="atLeast"/>
        </w:trPr>
        <w:tc>
          <w:tcPr>
            <w:tcW w:w="70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地面、屋内、楼梯、电梯等无灰尘、无蜘蛛网等，屋顶、浴室、雨棚玻璃清洁。</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1项不符扣1分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465" w:hRule="atLeast"/>
        </w:trPr>
        <w:tc>
          <w:tcPr>
            <w:tcW w:w="70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做好全院的灭蚊灭虫灭鼠工作。</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没做1项扣1分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606" w:hRule="atLeast"/>
        </w:trPr>
        <w:tc>
          <w:tcPr>
            <w:tcW w:w="70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发现管阀跑、冒、滴、漏现象及时联系后勤部。有潮湿或漏水现象，及时做好防滑警示。</w:t>
            </w:r>
          </w:p>
        </w:tc>
        <w:tc>
          <w:tcPr>
            <w:tcW w:w="726" w:type="dxa"/>
            <w:vMerge w:val="continue"/>
            <w:tcBorders>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发现1处扣1分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886" w:hRule="atLeast"/>
        </w:trPr>
        <w:tc>
          <w:tcPr>
            <w:tcW w:w="705" w:type="dxa"/>
            <w:vMerge w:val="restart"/>
            <w:tcBorders>
              <w:top w:val="nil"/>
              <w:left w:val="single" w:color="auto" w:sz="4" w:space="0"/>
              <w:bottom w:val="single" w:color="auto" w:sz="4" w:space="0"/>
              <w:right w:val="single" w:color="auto" w:sz="4" w:space="0"/>
            </w:tcBorders>
            <w:noWrap w:val="0"/>
            <w:textDirection w:val="tbRlV"/>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维护管理</w:t>
            </w: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按照岗位职责，每周至少一次巡查本物业的设施设备并制定养护计划及运行记录；发现问题及时处理。</w:t>
            </w:r>
          </w:p>
        </w:tc>
        <w:tc>
          <w:tcPr>
            <w:tcW w:w="726" w:type="dxa"/>
            <w:vMerge w:val="restart"/>
            <w:tcBorders>
              <w:top w:val="nil"/>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10</w:t>
            </w: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没有巡查0分，没有记录扣3分，记录不清楚扣1-2分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558" w:hRule="atLeast"/>
        </w:trPr>
        <w:tc>
          <w:tcPr>
            <w:tcW w:w="70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定时对室内外排污系统管道疏浚。</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不符合要求的，每项次扣1分。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474" w:hRule="atLeast"/>
        </w:trPr>
        <w:tc>
          <w:tcPr>
            <w:tcW w:w="70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按要求及时准备会议室，适时开关门窗、空调、照明。</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1项不符扣0.5分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421" w:hRule="atLeast"/>
        </w:trPr>
        <w:tc>
          <w:tcPr>
            <w:tcW w:w="70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按要求做好垃圾分类工作。</w:t>
            </w:r>
          </w:p>
        </w:tc>
        <w:tc>
          <w:tcPr>
            <w:tcW w:w="726" w:type="dxa"/>
            <w:vMerge w:val="continue"/>
            <w:tcBorders>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不符合要求的每项次扣1分。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860" w:hRule="atLeast"/>
        </w:trPr>
        <w:tc>
          <w:tcPr>
            <w:tcW w:w="705" w:type="dxa"/>
            <w:vMerge w:val="restart"/>
            <w:tcBorders>
              <w:top w:val="nil"/>
              <w:left w:val="single" w:color="auto" w:sz="4" w:space="0"/>
              <w:right w:val="single" w:color="auto" w:sz="4" w:space="0"/>
            </w:tcBorders>
            <w:noWrap w:val="0"/>
            <w:textDirection w:val="tbRlV"/>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场外及绿化管理</w:t>
            </w: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场外道路、绿化带、公共区域保持清洁，每天打扫1次，巡查一次，无占用和堆放杂物现象。</w:t>
            </w:r>
          </w:p>
        </w:tc>
        <w:tc>
          <w:tcPr>
            <w:tcW w:w="726" w:type="dxa"/>
            <w:vMerge w:val="restart"/>
            <w:tcBorders>
              <w:top w:val="nil"/>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w:t>
            </w: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不符合要求的每项次扣1分。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r>
      <w:tr>
        <w:tblPrEx>
          <w:tblCellMar>
            <w:top w:w="0" w:type="dxa"/>
            <w:left w:w="108" w:type="dxa"/>
            <w:bottom w:w="0" w:type="dxa"/>
            <w:right w:w="108" w:type="dxa"/>
          </w:tblCellMar>
        </w:tblPrEx>
        <w:trPr>
          <w:trHeight w:val="569" w:hRule="atLeast"/>
        </w:trPr>
        <w:tc>
          <w:tcPr>
            <w:tcW w:w="705" w:type="dxa"/>
            <w:vMerge w:val="continue"/>
            <w:tcBorders>
              <w:left w:val="single" w:color="auto" w:sz="4" w:space="0"/>
              <w:bottom w:val="single" w:color="auto" w:sz="4" w:space="0"/>
              <w:right w:val="single" w:color="auto" w:sz="4" w:space="0"/>
            </w:tcBorders>
            <w:noWrap w:val="0"/>
            <w:textDirection w:val="tbRlV"/>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及时修剪、养护好室内外绿植，保持校园内无杂草、无枯枝。</w:t>
            </w:r>
          </w:p>
        </w:tc>
        <w:tc>
          <w:tcPr>
            <w:tcW w:w="726" w:type="dxa"/>
            <w:vMerge w:val="continue"/>
            <w:tcBorders>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修剪不及时的，扣1分；养护不到位的，扣1分。</w:t>
            </w: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r>
      <w:tr>
        <w:tblPrEx>
          <w:tblCellMar>
            <w:top w:w="0" w:type="dxa"/>
            <w:left w:w="108" w:type="dxa"/>
            <w:bottom w:w="0" w:type="dxa"/>
            <w:right w:w="108" w:type="dxa"/>
          </w:tblCellMar>
        </w:tblPrEx>
        <w:trPr>
          <w:trHeight w:val="454" w:hRule="atLeast"/>
        </w:trPr>
        <w:tc>
          <w:tcPr>
            <w:tcW w:w="705" w:type="dxa"/>
            <w:vMerge w:val="restart"/>
            <w:tcBorders>
              <w:top w:val="single" w:color="auto" w:sz="4" w:space="0"/>
              <w:left w:val="single" w:color="auto" w:sz="4" w:space="0"/>
              <w:right w:val="single" w:color="auto" w:sz="4" w:space="0"/>
            </w:tcBorders>
            <w:noWrap w:val="0"/>
            <w:textDirection w:val="tbRlV"/>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其他</w:t>
            </w:r>
          </w:p>
        </w:tc>
        <w:tc>
          <w:tcPr>
            <w:tcW w:w="435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做好职责范围内的其它工作</w:t>
            </w:r>
          </w:p>
        </w:tc>
        <w:tc>
          <w:tcPr>
            <w:tcW w:w="726" w:type="dxa"/>
            <w:vMerge w:val="restart"/>
            <w:tcBorders>
              <w:top w:val="single" w:color="auto" w:sz="4" w:space="0"/>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5</w:t>
            </w:r>
          </w:p>
        </w:tc>
        <w:tc>
          <w:tcPr>
            <w:tcW w:w="336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未尽到职责的每项次扣1分</w:t>
            </w:r>
          </w:p>
        </w:tc>
        <w:tc>
          <w:tcPr>
            <w:tcW w:w="615"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r>
      <w:tr>
        <w:tblPrEx>
          <w:tblCellMar>
            <w:top w:w="0" w:type="dxa"/>
            <w:left w:w="108" w:type="dxa"/>
            <w:bottom w:w="0" w:type="dxa"/>
            <w:right w:w="108" w:type="dxa"/>
          </w:tblCellMar>
        </w:tblPrEx>
        <w:trPr>
          <w:trHeight w:val="449" w:hRule="atLeast"/>
        </w:trPr>
        <w:tc>
          <w:tcPr>
            <w:tcW w:w="705" w:type="dxa"/>
            <w:vMerge w:val="continue"/>
            <w:tcBorders>
              <w:left w:val="single" w:color="auto" w:sz="4" w:space="0"/>
              <w:right w:val="single" w:color="auto" w:sz="4" w:space="0"/>
            </w:tcBorders>
            <w:noWrap w:val="0"/>
            <w:textDirection w:val="tbRlV"/>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组织完成业主交待的各项工作。</w:t>
            </w:r>
          </w:p>
        </w:tc>
        <w:tc>
          <w:tcPr>
            <w:tcW w:w="726" w:type="dxa"/>
            <w:vMerge w:val="continue"/>
            <w:tcBorders>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未执行或未完成的每项次扣1分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r>
      <w:tr>
        <w:tblPrEx>
          <w:tblCellMar>
            <w:top w:w="0" w:type="dxa"/>
            <w:left w:w="108" w:type="dxa"/>
            <w:bottom w:w="0" w:type="dxa"/>
            <w:right w:w="108" w:type="dxa"/>
          </w:tblCellMar>
        </w:tblPrEx>
        <w:trPr>
          <w:trHeight w:val="1493" w:hRule="atLeast"/>
        </w:trPr>
        <w:tc>
          <w:tcPr>
            <w:tcW w:w="705" w:type="dxa"/>
            <w:vMerge w:val="continue"/>
            <w:tcBorders>
              <w:left w:val="single" w:color="auto" w:sz="4" w:space="0"/>
              <w:bottom w:val="single" w:color="auto" w:sz="4" w:space="0"/>
              <w:right w:val="single" w:color="auto" w:sz="4" w:space="0"/>
            </w:tcBorders>
            <w:noWrap w:val="0"/>
            <w:textDirection w:val="tbRlV"/>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工作人员遵守业主相关制度，在业主单位不得用电器或明火制作饭菜。</w:t>
            </w:r>
          </w:p>
        </w:tc>
        <w:tc>
          <w:tcPr>
            <w:tcW w:w="726" w:type="dxa"/>
            <w:vMerge w:val="continue"/>
            <w:tcBorders>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每违规1项次扣1分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r>
      <w:tr>
        <w:tblPrEx>
          <w:tblCellMar>
            <w:top w:w="0" w:type="dxa"/>
            <w:left w:w="108" w:type="dxa"/>
            <w:bottom w:w="0" w:type="dxa"/>
            <w:right w:w="108" w:type="dxa"/>
          </w:tblCellMar>
        </w:tblPrEx>
        <w:trPr>
          <w:trHeight w:val="574" w:hRule="atLeast"/>
        </w:trPr>
        <w:tc>
          <w:tcPr>
            <w:tcW w:w="705" w:type="dxa"/>
            <w:vMerge w:val="restart"/>
            <w:tcBorders>
              <w:top w:val="single" w:color="auto" w:sz="4" w:space="0"/>
              <w:left w:val="single" w:color="auto" w:sz="4" w:space="0"/>
              <w:bottom w:val="single" w:color="000000" w:sz="4" w:space="0"/>
              <w:right w:val="single" w:color="auto" w:sz="4" w:space="0"/>
            </w:tcBorders>
            <w:noWrap w:val="0"/>
            <w:textDirection w:val="tbRlV"/>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加分项</w:t>
            </w:r>
          </w:p>
        </w:tc>
        <w:tc>
          <w:tcPr>
            <w:tcW w:w="435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配合完成较大的本职工作以外的事情且较好的。有其他优异表现的。</w:t>
            </w:r>
          </w:p>
        </w:tc>
        <w:tc>
          <w:tcPr>
            <w:tcW w:w="726" w:type="dxa"/>
            <w:vMerge w:val="restart"/>
            <w:tcBorders>
              <w:top w:val="nil"/>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10</w:t>
            </w: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每有一项突出事迹，加1-3分。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624" w:hRule="atLeast"/>
        </w:trPr>
        <w:tc>
          <w:tcPr>
            <w:tcW w:w="70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4350"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为保护业主生命和财产，表现英勇，或发现重大隐患，避免事故的。</w:t>
            </w:r>
          </w:p>
        </w:tc>
        <w:tc>
          <w:tcPr>
            <w:tcW w:w="726" w:type="dxa"/>
            <w:vMerge w:val="continue"/>
            <w:tcBorders>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p>
        </w:tc>
        <w:tc>
          <w:tcPr>
            <w:tcW w:w="3369"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每有一项突出事迹，加1-3分。</w:t>
            </w:r>
          </w:p>
        </w:tc>
        <w:tc>
          <w:tcPr>
            <w:tcW w:w="615"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　</w:t>
            </w:r>
          </w:p>
        </w:tc>
      </w:tr>
      <w:tr>
        <w:tblPrEx>
          <w:tblCellMar>
            <w:top w:w="0" w:type="dxa"/>
            <w:left w:w="108" w:type="dxa"/>
            <w:bottom w:w="0" w:type="dxa"/>
            <w:right w:w="108" w:type="dxa"/>
          </w:tblCellMar>
        </w:tblPrEx>
        <w:trPr>
          <w:trHeight w:val="624" w:hRule="atLeast"/>
        </w:trPr>
        <w:tc>
          <w:tcPr>
            <w:tcW w:w="705" w:type="dxa"/>
            <w:tcBorders>
              <w:top w:val="nil"/>
              <w:left w:val="single" w:color="auto" w:sz="4" w:space="0"/>
              <w:bottom w:val="single" w:color="000000"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一票否决</w:t>
            </w:r>
          </w:p>
        </w:tc>
        <w:tc>
          <w:tcPr>
            <w:tcW w:w="9060" w:type="dxa"/>
            <w:gridSpan w:val="4"/>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12" w:lineRule="auto"/>
              <w:jc w:val="center"/>
              <w:textAlignment w:val="auto"/>
              <w:rPr>
                <w:rFonts w:ascii="仿宋_GB2312" w:hAnsi="仿宋_GB2312" w:eastAsia="仿宋_GB2312" w:cs="仿宋_GB2312"/>
                <w:color w:val="000000"/>
                <w:sz w:val="24"/>
                <w:highlight w:val="none"/>
              </w:rPr>
            </w:pPr>
            <w:r>
              <w:rPr>
                <w:rFonts w:hint="eastAsia" w:ascii="仿宋_GB2312" w:hAnsi="仿宋_GB2312" w:eastAsia="仿宋_GB2312" w:cs="仿宋_GB2312"/>
                <w:color w:val="000000"/>
                <w:sz w:val="24"/>
                <w:highlight w:val="none"/>
              </w:rPr>
              <w:t>管理责任导致的刑事、猥亵案件发生；消防安全事故发生</w:t>
            </w:r>
          </w:p>
        </w:tc>
      </w:tr>
    </w:tbl>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w:t>
      </w:r>
      <w:r>
        <w:rPr>
          <w:rFonts w:hint="eastAsia" w:ascii="仿宋_GB2312" w:hAnsi="仿宋_GB2312" w:eastAsia="仿宋_GB2312" w:cs="仿宋_GB2312"/>
          <w:b/>
          <w:color w:val="auto"/>
          <w:sz w:val="36"/>
          <w:szCs w:val="36"/>
          <w:highlight w:val="none"/>
          <w:lang w:eastAsia="zh-CN"/>
        </w:rPr>
        <w:t>四</w:t>
      </w:r>
      <w:r>
        <w:rPr>
          <w:rFonts w:hint="eastAsia" w:ascii="仿宋_GB2312" w:hAnsi="仿宋_GB2312" w:eastAsia="仿宋_GB2312" w:cs="仿宋_GB2312"/>
          <w:b/>
          <w:color w:val="auto"/>
          <w:sz w:val="36"/>
          <w:szCs w:val="36"/>
          <w:highlight w:val="none"/>
        </w:rPr>
        <w:t>部分 拟签订的合同文本</w:t>
      </w:r>
    </w:p>
    <w:p>
      <w:pPr>
        <w:kinsoku/>
        <w:wordWrap w:val="0"/>
        <w:overflowPunct/>
        <w:topLinePunct w:val="0"/>
        <w:bidi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合同编号：</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80" w:lineRule="auto"/>
        <w:jc w:val="center"/>
        <w:rPr>
          <w:rFonts w:hint="eastAsia" w:ascii="仿宋_GB2312" w:hAnsi="仿宋_GB2312" w:eastAsia="仿宋_GB2312" w:cs="仿宋_GB2312"/>
          <w:b/>
          <w:color w:val="auto"/>
          <w:sz w:val="28"/>
          <w:szCs w:val="28"/>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政府采购合同参考范本</w:t>
      </w:r>
    </w:p>
    <w:p>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（服务类）</w:t>
      </w:r>
    </w:p>
    <w:p>
      <w:pPr>
        <w:pStyle w:val="700"/>
        <w:kinsoku/>
        <w:wordWrap w:val="0"/>
        <w:overflowPunct/>
        <w:topLinePunct w:val="0"/>
        <w:bidi w:val="0"/>
        <w:ind w:firstLine="2843" w:firstLineChars="118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第一部分 合同书</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pStyle w:val="6"/>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r>
        <w:rPr>
          <w:rFonts w:hint="eastAsia" w:ascii="仿宋_GB2312" w:hAnsi="仿宋_GB2312" w:eastAsia="仿宋_GB2312" w:cs="仿宋_GB2312"/>
          <w:color w:val="auto"/>
          <w:sz w:val="24"/>
          <w:highlight w:val="none"/>
          <w:u w:val="single"/>
        </w:rPr>
        <w:t xml:space="preserve">                                   </w:t>
      </w:r>
    </w:p>
    <w:p>
      <w:pPr>
        <w:pStyle w:val="597"/>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pPr>
        <w:pStyle w:val="597"/>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pPr>
        <w:kinsoku/>
        <w:wordWrap w:val="0"/>
        <w:overflowPunct/>
        <w:topLinePunct w:val="0"/>
        <w:bidi w:val="0"/>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甲方：</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乙方：</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签订地：</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签订日期：</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sectPr>
          <w:pgSz w:w="11907" w:h="16840"/>
          <w:pgMar w:top="1474" w:right="1814" w:bottom="1474" w:left="1814" w:header="851" w:footer="851" w:gutter="0"/>
          <w:pgNumType w:fmt="decimal"/>
          <w:cols w:space="720" w:num="1"/>
        </w:sectPr>
      </w:pPr>
    </w:p>
    <w:p>
      <w:pPr>
        <w:kinsoku/>
        <w:wordWrap w:val="0"/>
        <w:overflowPunct/>
        <w:topLinePunct w:val="0"/>
        <w:bidi w:val="0"/>
        <w:rPr>
          <w:rFonts w:hint="eastAsia" w:ascii="仿宋_GB2312" w:hAnsi="仿宋_GB2312" w:eastAsia="仿宋_GB2312" w:cs="仿宋_GB2312"/>
          <w:b/>
          <w:color w:val="auto"/>
          <w:sz w:val="24"/>
          <w:highlight w:val="none"/>
        </w:rPr>
      </w:pP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年</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月</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日</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绍兴市水上运动训练中心</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以</w:t>
      </w:r>
      <w:r>
        <w:rPr>
          <w:rFonts w:hint="eastAsia" w:ascii="仿宋_GB2312" w:hAnsi="仿宋_GB2312" w:eastAsia="仿宋_GB2312" w:cs="仿宋_GB2312"/>
          <w:color w:val="auto"/>
          <w:sz w:val="24"/>
          <w:highlight w:val="none"/>
          <w:u w:val="single"/>
        </w:rPr>
        <w:t xml:space="preserve">   （政府采购方式）  </w:t>
      </w:r>
      <w:r>
        <w:rPr>
          <w:rFonts w:hint="eastAsia" w:ascii="仿宋_GB2312" w:hAnsi="仿宋_GB2312" w:eastAsia="仿宋_GB2312" w:cs="仿宋_GB2312"/>
          <w:color w:val="auto"/>
          <w:sz w:val="24"/>
          <w:highlight w:val="none"/>
        </w:rPr>
        <w:t>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 xml:space="preserve">绍兴市水上运动训练中心2025年物业管理服务项目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项目进行了采购。经</w:t>
      </w:r>
      <w:r>
        <w:rPr>
          <w:rFonts w:hint="eastAsia" w:ascii="仿宋_GB2312" w:hAnsi="仿宋_GB2312" w:eastAsia="仿宋_GB2312" w:cs="仿宋_GB2312"/>
          <w:color w:val="auto"/>
          <w:sz w:val="24"/>
          <w:highlight w:val="none"/>
          <w:u w:val="single"/>
        </w:rPr>
        <w:t xml:space="preserve">   （相关评定主体名称）   </w:t>
      </w:r>
      <w:r>
        <w:rPr>
          <w:rFonts w:hint="eastAsia" w:ascii="仿宋_GB2312" w:hAnsi="仿宋_GB2312" w:eastAsia="仿宋_GB2312" w:cs="仿宋_GB2312"/>
          <w:color w:val="auto"/>
          <w:sz w:val="24"/>
          <w:highlight w:val="none"/>
        </w:rPr>
        <w:t>评定，</w:t>
      </w:r>
      <w:r>
        <w:rPr>
          <w:rFonts w:hint="eastAsia" w:ascii="仿宋_GB2312" w:hAnsi="仿宋_GB2312" w:eastAsia="仿宋_GB2312" w:cs="仿宋_GB2312"/>
          <w:color w:val="auto"/>
          <w:sz w:val="24"/>
          <w:highlight w:val="none"/>
          <w:u w:val="single"/>
        </w:rPr>
        <w:t xml:space="preserve">   （中标或者成交供应商名称） </w:t>
      </w:r>
      <w:r>
        <w:rPr>
          <w:rFonts w:hint="eastAsia" w:ascii="仿宋_GB2312" w:hAnsi="仿宋_GB2312" w:eastAsia="仿宋_GB2312" w:cs="仿宋_GB2312"/>
          <w:color w:val="auto"/>
          <w:sz w:val="24"/>
          <w:highlight w:val="none"/>
        </w:rPr>
        <w:t>为该项目中标或者成交供应商。现于中标或者成交通知书发出之日起</w:t>
      </w:r>
      <w:r>
        <w:rPr>
          <w:rFonts w:hint="eastAsia" w:ascii="仿宋_GB2312" w:hAnsi="仿宋_GB2312" w:eastAsia="仿宋_GB2312" w:cs="仿宋_GB2312"/>
          <w:color w:val="auto"/>
          <w:sz w:val="24"/>
          <w:highlight w:val="none"/>
          <w:lang w:val="en-US" w:eastAsia="zh-CN"/>
        </w:rPr>
        <w:t>30</w:t>
      </w:r>
      <w:r>
        <w:rPr>
          <w:rFonts w:hint="eastAsia" w:ascii="仿宋_GB2312" w:hAnsi="仿宋_GB2312" w:eastAsia="仿宋_GB2312" w:cs="仿宋_GB2312"/>
          <w:color w:val="auto"/>
          <w:sz w:val="24"/>
          <w:highlight w:val="none"/>
        </w:rPr>
        <w:t>日内，按照采购文件确定的事项签订本合同。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绍兴市水上运动训练中心</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lang w:val="zh-CN"/>
        </w:rPr>
        <w:t>(以下简称：甲方)和</w:t>
      </w:r>
      <w:r>
        <w:rPr>
          <w:rFonts w:hint="eastAsia" w:ascii="仿宋_GB2312" w:hAnsi="仿宋_GB2312" w:eastAsia="仿宋_GB2312" w:cs="仿宋_GB2312"/>
          <w:color w:val="auto"/>
          <w:sz w:val="24"/>
          <w:highlight w:val="none"/>
          <w:u w:val="single"/>
        </w:rPr>
        <w:t xml:space="preserve">   （中或者成交标供应商名称）   </w:t>
      </w:r>
      <w:r>
        <w:rPr>
          <w:rFonts w:hint="eastAsia" w:ascii="仿宋_GB2312" w:hAnsi="仿宋_GB2312" w:eastAsia="仿宋_GB2312" w:cs="仿宋_GB2312"/>
          <w:color w:val="auto"/>
          <w:sz w:val="24"/>
          <w:highlight w:val="none"/>
          <w:lang w:val="zh-CN"/>
        </w:rPr>
        <w:t>(以下简称：乙方)协商一致，约定以下合同</w:t>
      </w:r>
      <w:r>
        <w:rPr>
          <w:rFonts w:hint="eastAsia" w:ascii="仿宋_GB2312" w:hAnsi="仿宋_GB2312" w:eastAsia="仿宋_GB2312" w:cs="仿宋_GB2312"/>
          <w:color w:val="auto"/>
          <w:sz w:val="24"/>
          <w:highlight w:val="none"/>
        </w:rPr>
        <w:t>条款，以兹共同遵守、全面履行。</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rPr>
      </w:pPr>
      <w:bookmarkStart w:id="38" w:name="_Toc19273"/>
      <w:bookmarkStart w:id="39" w:name="_Toc28855"/>
      <w:bookmarkStart w:id="40" w:name="_Toc20421"/>
      <w:bookmarkStart w:id="41" w:name="_Toc22967"/>
      <w:bookmarkStart w:id="42" w:name="_Toc15367"/>
      <w:r>
        <w:rPr>
          <w:rFonts w:hint="eastAsia" w:ascii="仿宋_GB2312" w:hAnsi="仿宋_GB2312" w:eastAsia="仿宋_GB2312" w:cs="仿宋_GB2312"/>
          <w:b/>
          <w:color w:val="auto"/>
          <w:sz w:val="24"/>
          <w:highlight w:val="none"/>
        </w:rPr>
        <w:t>1.1 合同组成部分</w:t>
      </w:r>
      <w:bookmarkEnd w:id="38"/>
      <w:bookmarkEnd w:id="39"/>
      <w:bookmarkEnd w:id="40"/>
      <w:bookmarkEnd w:id="41"/>
      <w:bookmarkEnd w:id="42"/>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1.1.1 本合同及其补充合同、变更协议；</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1.1.2 中标或者成交通知书；</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1.1.3 投标或者响应文件（含澄清或者说明文件）；</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1.1.4 采购文件（含澄清或者修改文件）；</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1.1.5 其他相关采购文件。</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43" w:name="_Toc2918"/>
      <w:bookmarkStart w:id="44" w:name="_Toc22185"/>
      <w:bookmarkStart w:id="45" w:name="_Toc6311"/>
      <w:bookmarkStart w:id="46" w:name="_Toc6773"/>
      <w:bookmarkStart w:id="47" w:name="_Toc18585"/>
      <w:r>
        <w:rPr>
          <w:rFonts w:hint="eastAsia" w:ascii="仿宋_GB2312" w:hAnsi="仿宋_GB2312" w:eastAsia="仿宋_GB2312" w:cs="仿宋_GB2312"/>
          <w:b/>
          <w:color w:val="auto"/>
          <w:sz w:val="24"/>
          <w:highlight w:val="none"/>
        </w:rPr>
        <w:t>1.2 标的</w:t>
      </w:r>
      <w:bookmarkEnd w:id="43"/>
      <w:bookmarkEnd w:id="44"/>
      <w:bookmarkEnd w:id="45"/>
      <w:bookmarkEnd w:id="46"/>
      <w:bookmarkEnd w:id="47"/>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1.2.1 服务内容：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1.2.2 服务标准：</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1.2.3 技术保障：</w:t>
      </w:r>
      <w:r>
        <w:rPr>
          <w:rFonts w:hint="eastAsia" w:ascii="仿宋_GB2312" w:hAnsi="仿宋_GB2312" w:eastAsia="仿宋_GB2312" w:cs="仿宋_GB2312"/>
          <w:color w:val="auto"/>
          <w:sz w:val="24"/>
          <w:highlight w:val="none"/>
          <w:u w:val="single"/>
        </w:rPr>
        <w:t>　　　　　　　　　                      　      ；</w:t>
      </w:r>
    </w:p>
    <w:p>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1.2.4 服务人员组成：</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1.2.5合同</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（是/否）涉及货物。若涉及货物的，则：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bookmarkStart w:id="48" w:name="_Toc1386"/>
      <w:bookmarkStart w:id="49" w:name="_Toc5635"/>
      <w:bookmarkStart w:id="50" w:name="_Toc21124"/>
      <w:bookmarkStart w:id="51" w:name="_Toc4929"/>
      <w:bookmarkStart w:id="52" w:name="_Toc13918"/>
      <w:r>
        <w:rPr>
          <w:rFonts w:hint="eastAsia" w:ascii="仿宋_GB2312" w:hAnsi="仿宋_GB2312" w:eastAsia="仿宋_GB2312" w:cs="仿宋_GB2312"/>
          <w:color w:val="auto"/>
          <w:sz w:val="24"/>
          <w:highlight w:val="none"/>
        </w:rPr>
        <w:t>1.2.5.1 货物名称、品牌、规格型号、花色：</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1.2.5.2 货物数量：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1.2.5.3 货物质量：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1.3 价款</w:t>
      </w:r>
      <w:bookmarkEnd w:id="48"/>
      <w:bookmarkEnd w:id="49"/>
      <w:bookmarkEnd w:id="50"/>
      <w:bookmarkEnd w:id="51"/>
      <w:bookmarkEnd w:id="52"/>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本项目采用以下第</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条款规定的计价方式计价。</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1.3.1总价合同，本合同总价（含税）为：￥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分项名称</w:t>
            </w: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总价</w:t>
            </w:r>
          </w:p>
        </w:tc>
        <w:tc>
          <w:tcPr>
            <w:tcW w:w="2552" w:type="dxa"/>
            <w:vAlign w:val="center"/>
          </w:tcPr>
          <w:p>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bl>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53" w:name="_Toc14993"/>
      <w:bookmarkStart w:id="54" w:name="_Toc30158"/>
      <w:bookmarkStart w:id="55" w:name="_Toc3654"/>
      <w:bookmarkStart w:id="56" w:name="_Toc26916"/>
      <w:bookmarkStart w:id="57" w:name="_Toc30506"/>
      <w:r>
        <w:rPr>
          <w:rFonts w:hint="eastAsia" w:ascii="仿宋_GB2312" w:hAnsi="仿宋_GB2312" w:eastAsia="仿宋_GB2312" w:cs="仿宋_GB2312"/>
          <w:bCs/>
          <w:color w:val="auto"/>
          <w:sz w:val="24"/>
          <w:highlight w:val="none"/>
        </w:rPr>
        <w:t>1.3.2单价合同，本合同单价（含税）标准为：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。服务工作量的计量方式为：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。单价合同，在合同履行期间内，根据实际完成的工作量据实结算，但结算总价上限不得超过预算金额或者双方确定的金额￥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pPr>
        <w:pStyle w:val="6"/>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lang w:val="en-US"/>
        </w:rPr>
        <w:t>1.3.3其他计价方式：</w:t>
      </w:r>
      <w:r>
        <w:rPr>
          <w:rFonts w:hint="eastAsia" w:ascii="仿宋_GB2312" w:hAnsi="仿宋_GB2312" w:eastAsia="仿宋_GB2312" w:cs="仿宋_GB2312"/>
          <w:b w:val="0"/>
          <w:bCs w:val="0"/>
          <w:color w:val="auto"/>
          <w:sz w:val="24"/>
          <w:highlight w:val="none"/>
          <w:u w:val="single"/>
          <w:lang w:val="en-US"/>
        </w:rPr>
        <w:t xml:space="preserve">                   </w:t>
      </w:r>
      <w:r>
        <w:rPr>
          <w:rFonts w:hint="eastAsia" w:ascii="仿宋_GB2312" w:hAnsi="仿宋_GB2312" w:eastAsia="仿宋_GB2312" w:cs="仿宋_GB2312"/>
          <w:b w:val="0"/>
          <w:bCs w:val="0"/>
          <w:color w:val="auto"/>
          <w:sz w:val="24"/>
          <w:highlight w:val="none"/>
        </w:rPr>
        <w:t>。</w:t>
      </w:r>
    </w:p>
    <w:bookmarkEnd w:id="53"/>
    <w:bookmarkEnd w:id="54"/>
    <w:bookmarkEnd w:id="55"/>
    <w:bookmarkEnd w:id="56"/>
    <w:bookmarkEnd w:id="57"/>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color w:val="auto"/>
          <w:highlight w:val="none"/>
        </w:rPr>
      </w:pPr>
      <w:bookmarkStart w:id="58" w:name="_Toc1814"/>
      <w:bookmarkStart w:id="59" w:name="_Toc10340"/>
      <w:bookmarkStart w:id="60" w:name="_Toc22618"/>
      <w:bookmarkStart w:id="61" w:name="_Toc11108"/>
      <w:bookmarkStart w:id="62" w:name="_Toc3625"/>
      <w:bookmarkStart w:id="63" w:name="_Toc8772"/>
      <w:bookmarkStart w:id="64" w:name="_Toc31421"/>
      <w:bookmarkStart w:id="65" w:name="_Toc4760"/>
      <w:r>
        <w:rPr>
          <w:rFonts w:hint="eastAsia" w:ascii="仿宋_GB2312" w:hAnsi="仿宋_GB2312" w:eastAsia="仿宋_GB2312" w:cs="仿宋_GB2312"/>
          <w:b/>
          <w:color w:val="auto"/>
          <w:highlight w:val="none"/>
        </w:rPr>
        <w:t>1.4履约保证金</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乙方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（是/否）需要支付履约保证金。若需要支付履约保证金的，则：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1.4.1履约保证金的比例为合同金额的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1.4.2履约保证金支付方式详见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Style w:val="6"/>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1.4.4甲方在项目验收结束后及时退还履约保证金。甲方在项目通过验收之日起</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%计算，最高限额为本合同履约保证金的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 xml:space="preserve"> %。</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w:t>
      </w:r>
      <w:bookmarkEnd w:id="58"/>
      <w:bookmarkEnd w:id="59"/>
      <w:bookmarkEnd w:id="60"/>
      <w:r>
        <w:rPr>
          <w:rFonts w:hint="eastAsia" w:ascii="仿宋_GB2312" w:hAnsi="仿宋_GB2312" w:eastAsia="仿宋_GB2312" w:cs="仿宋_GB2312"/>
          <w:b/>
          <w:color w:val="auto"/>
          <w:sz w:val="24"/>
          <w:highlight w:val="none"/>
        </w:rPr>
        <w:t>预付款</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甲方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（是/否）需要支付预付款。若需要支付预付款的，则：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1.5.1预付款比例、支付方式、时间详见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1.5.2预付款的扣回方式详见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rPr>
        <w:t>1.5.3预付款的担保措施详见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1.6资金支付</w:t>
      </w:r>
    </w:p>
    <w:p>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1.6.1甲方应严格履行合同，及时组织验收，验收合格后及时将合同款支付完毕。对于满足合同约定支付条件的，甲方自收到发票后</w:t>
      </w:r>
      <w:r>
        <w:rPr>
          <w:rFonts w:hint="eastAsia" w:ascii="仿宋_GB2312" w:hAnsi="仿宋_GB2312" w:eastAsia="仿宋_GB2312" w:cs="仿宋_GB2312"/>
          <w:color w:val="auto"/>
          <w:highlight w:val="none"/>
          <w:lang w:val="en-US" w:eastAsia="zh-CN"/>
        </w:rPr>
        <w:t>7</w:t>
      </w:r>
      <w:r>
        <w:rPr>
          <w:rFonts w:hint="eastAsia" w:ascii="仿宋_GB2312" w:hAnsi="仿宋_GB2312" w:eastAsia="仿宋_GB2312" w:cs="仿宋_GB2312"/>
          <w:color w:val="auto"/>
          <w:highlight w:val="none"/>
        </w:rPr>
        <w:t>个工作日内将资金支付到合同约定的乙方账户，有条件的甲方可以即时支付。甲方不得以机构变动、人员更替、政策调整、单位放假等为由延迟付款。</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1.6.2资金支付的方式、时间和条件详见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1.7 履行期限、地点和方式</w:t>
      </w:r>
      <w:bookmarkEnd w:id="61"/>
      <w:bookmarkEnd w:id="62"/>
      <w:bookmarkEnd w:id="63"/>
      <w:bookmarkEnd w:id="64"/>
      <w:bookmarkEnd w:id="65"/>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1.7.1 服务交付（实施）的时间（期限）：</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 服务交付（实施）的地点（地域范围）：</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 服务交付（实施）的方式：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bCs/>
          <w:color w:val="auto"/>
          <w:sz w:val="24"/>
          <w:highlight w:val="none"/>
        </w:rPr>
      </w:pPr>
      <w:bookmarkStart w:id="66" w:name="_Toc8586"/>
      <w:bookmarkStart w:id="67" w:name="_Toc3079"/>
      <w:bookmarkStart w:id="68" w:name="_Toc5698"/>
      <w:bookmarkStart w:id="69" w:name="_Toc2375"/>
      <w:bookmarkStart w:id="70" w:name="_Toc24662"/>
      <w:r>
        <w:rPr>
          <w:rFonts w:hint="eastAsia" w:ascii="仿宋_GB2312" w:hAnsi="仿宋_GB2312" w:eastAsia="仿宋_GB2312" w:cs="仿宋_GB2312"/>
          <w:bCs/>
          <w:color w:val="auto"/>
          <w:sz w:val="24"/>
          <w:highlight w:val="none"/>
        </w:rPr>
        <w:t>1.7.4若服务涉及货物的，则货物的：</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1.7.4.1 交付期限：详见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 交付地点：</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 交付方式：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1.8违约责任</w:t>
      </w:r>
      <w:bookmarkEnd w:id="66"/>
      <w:bookmarkEnd w:id="67"/>
      <w:bookmarkEnd w:id="68"/>
      <w:bookmarkEnd w:id="69"/>
      <w:bookmarkEnd w:id="70"/>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%；迟延履行的违约金计算数额达到前述最高限额之日起，甲方有权在要求乙方支付违约金的同时，书面通知乙方解除本合同；</w:t>
      </w:r>
    </w:p>
    <w:p>
      <w:pPr>
        <w:pStyle w:val="6"/>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b w:val="0"/>
          <w:bCs w:val="0"/>
          <w:color w:val="auto"/>
          <w:sz w:val="24"/>
          <w:szCs w:val="24"/>
          <w:highlight w:val="none"/>
          <w:lang w:val="en-US"/>
        </w:rPr>
      </w:pPr>
      <w:r>
        <w:rPr>
          <w:rFonts w:hint="eastAsia" w:ascii="仿宋_GB2312" w:hAnsi="仿宋_GB2312" w:eastAsia="仿宋_GB2312" w:cs="仿宋_GB2312"/>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%计算，最高限额为本合同总价的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%；迟延付款的违约金计算数额达到前述最高限额之日起，乙方有权在要求甲方支付违约金的同时，书面通知甲方解除本合同；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71" w:name="_Toc18683"/>
      <w:bookmarkStart w:id="72" w:name="_Toc32454"/>
      <w:bookmarkStart w:id="73" w:name="_Toc9497"/>
      <w:bookmarkStart w:id="74" w:name="_Toc26807"/>
      <w:bookmarkStart w:id="75" w:name="_Toc30329"/>
      <w:r>
        <w:rPr>
          <w:rFonts w:hint="eastAsia" w:ascii="仿宋_GB2312" w:hAnsi="仿宋_GB2312" w:eastAsia="仿宋_GB2312" w:cs="仿宋_GB2312"/>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1.8.7违约责任</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另有约定的，从其约定。</w:t>
      </w:r>
    </w:p>
    <w:bookmarkEnd w:id="71"/>
    <w:bookmarkEnd w:id="72"/>
    <w:bookmarkEnd w:id="73"/>
    <w:bookmarkEnd w:id="74"/>
    <w:bookmarkEnd w:id="75"/>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76" w:name="_Toc16021"/>
      <w:bookmarkStart w:id="77" w:name="_Toc28375"/>
      <w:bookmarkStart w:id="78" w:name="_Toc15583"/>
      <w:r>
        <w:rPr>
          <w:rFonts w:hint="eastAsia" w:ascii="仿宋_GB2312" w:hAnsi="仿宋_GB2312" w:eastAsia="仿宋_GB2312" w:cs="仿宋_GB2312"/>
          <w:b/>
          <w:color w:val="auto"/>
          <w:sz w:val="24"/>
          <w:highlight w:val="none"/>
        </w:rPr>
        <w:t>1.9合同争议的解决</w:t>
      </w:r>
      <w:bookmarkEnd w:id="76"/>
      <w:bookmarkEnd w:id="77"/>
      <w:bookmarkEnd w:id="78"/>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本合同履行过程中发生的任何争议，双方当事人均可通过和解或者调解解决；不愿和解、调解或者和解、调解不成的，将争议提交绍兴仲裁委员会仲裁。</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79" w:name="_Toc11173"/>
      <w:bookmarkStart w:id="80" w:name="_Toc7245"/>
      <w:bookmarkStart w:id="81" w:name="_Toc15322"/>
      <w:r>
        <w:rPr>
          <w:rFonts w:hint="eastAsia" w:ascii="仿宋_GB2312" w:hAnsi="仿宋_GB2312" w:eastAsia="仿宋_GB2312" w:cs="仿宋_GB2312"/>
          <w:b/>
          <w:color w:val="auto"/>
          <w:sz w:val="24"/>
          <w:highlight w:val="none"/>
        </w:rPr>
        <w:t>2.0 合同生效</w:t>
      </w:r>
      <w:bookmarkEnd w:id="79"/>
      <w:bookmarkEnd w:id="80"/>
      <w:bookmarkEnd w:id="81"/>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本合同自双方当事人盖章签字时生效。</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b/>
          <w:color w:val="auto"/>
          <w:sz w:val="24"/>
          <w:highlight w:val="none"/>
          <w:lang w:val="zh-CN"/>
        </w:rPr>
        <w:t>甲方</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b/>
          <w:color w:val="auto"/>
          <w:sz w:val="24"/>
          <w:highlight w:val="none"/>
          <w:lang w:val="zh-CN"/>
        </w:rPr>
        <w:t xml:space="preserve">      乙方</w:t>
      </w:r>
      <w:r>
        <w:rPr>
          <w:rFonts w:hint="eastAsia" w:ascii="仿宋_GB2312" w:hAnsi="仿宋_GB2312" w:eastAsia="仿宋_GB2312" w:cs="仿宋_GB2312"/>
          <w:color w:val="auto"/>
          <w:sz w:val="24"/>
          <w:highlight w:val="none"/>
          <w:lang w:val="zh-CN"/>
        </w:rPr>
        <w:t>：</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统一社会信用代码：                       统一社会信用代码或身份证号码：</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住所：                                   住所：</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法定代表人或                             法定代表人或</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授权代表（签字）：                       授权代表（签字）: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联系人：                                 联系人：</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约定送达地址：                           约定送达地址：</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邮政编码：                               邮政编码：</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电话:                                    电话: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传真:                                    传真:</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电子邮箱：                               电子邮箱：</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开户银行：                               开户银行：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开户名称：                               开户名称：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开户账号：</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color w:val="auto"/>
          <w:sz w:val="24"/>
          <w:highlight w:val="none"/>
        </w:rPr>
        <w:t>开户账号：</w:t>
      </w:r>
    </w:p>
    <w:p>
      <w:pPr>
        <w:widowControl/>
        <w:kinsoku/>
        <w:wordWrap w:val="0"/>
        <w:overflowPunct/>
        <w:topLinePunct w:val="0"/>
        <w:bidi w:val="0"/>
        <w:adjustRightInd/>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highlight w:val="none"/>
        </w:rPr>
        <w:br w:type="page"/>
      </w:r>
    </w:p>
    <w:p>
      <w:pPr>
        <w:pStyle w:val="700"/>
        <w:kinsoku/>
        <w:wordWrap w:val="0"/>
        <w:overflowPunct/>
        <w:topLinePunct w:val="0"/>
        <w:bidi w:val="0"/>
        <w:spacing w:line="560" w:lineRule="exact"/>
        <w:ind w:firstLine="482"/>
        <w:jc w:val="center"/>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第二部分 合同一般条款</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82" w:name="_Toc5228"/>
      <w:bookmarkStart w:id="83" w:name="_Toc25079"/>
      <w:bookmarkStart w:id="84" w:name="_Toc14021"/>
      <w:bookmarkStart w:id="85" w:name="_Toc31297"/>
      <w:bookmarkStart w:id="86" w:name="_Toc19680"/>
      <w:r>
        <w:rPr>
          <w:rFonts w:hint="eastAsia" w:ascii="仿宋_GB2312" w:hAnsi="仿宋_GB2312" w:eastAsia="仿宋_GB2312" w:cs="仿宋_GB2312"/>
          <w:b/>
          <w:color w:val="auto"/>
          <w:sz w:val="24"/>
          <w:highlight w:val="none"/>
        </w:rPr>
        <w:t>2.1 定义</w:t>
      </w:r>
      <w:bookmarkEnd w:id="82"/>
      <w:bookmarkEnd w:id="83"/>
      <w:bookmarkEnd w:id="84"/>
      <w:bookmarkEnd w:id="85"/>
      <w:bookmarkEnd w:id="86"/>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本合同中的下列词语应按以下内容进行解释：</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 “合同”系指采购人和中标或成交供应商签订的载明双方当事人所达成的协议，并包括所有的附件、附录和构成合同的其他文件。</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 “合同价”系指根据合同约定，中标或成交供应商在完全履行合同义务后，采购人应支付给中标或成交供应商的价格。</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 “甲方”系指与中标或成交供应商签署合同的采购人；采购人委托采购代理机构代表其与乙方签订合同的，采购人的授权委托书作为合同附件。</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2.1.6 “现场”系指合同约定提供服务的地点。</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87" w:name="_Toc16752"/>
      <w:bookmarkStart w:id="88" w:name="_Toc31402"/>
      <w:bookmarkStart w:id="89" w:name="_Toc3769"/>
      <w:bookmarkStart w:id="90" w:name="_Toc19539"/>
      <w:bookmarkStart w:id="91" w:name="_Toc23289"/>
      <w:r>
        <w:rPr>
          <w:rFonts w:hint="eastAsia" w:ascii="仿宋_GB2312" w:hAnsi="仿宋_GB2312" w:eastAsia="仿宋_GB2312" w:cs="仿宋_GB2312"/>
          <w:b/>
          <w:color w:val="auto"/>
          <w:sz w:val="24"/>
          <w:highlight w:val="none"/>
        </w:rPr>
        <w:t>2.2 技术规范</w:t>
      </w:r>
      <w:bookmarkEnd w:id="87"/>
      <w:bookmarkEnd w:id="88"/>
      <w:bookmarkEnd w:id="89"/>
      <w:bookmarkEnd w:id="90"/>
      <w:bookmarkEnd w:id="91"/>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2" w:name="_Toc9161"/>
      <w:bookmarkStart w:id="93" w:name="_Toc4133"/>
      <w:bookmarkStart w:id="94" w:name="_Toc12412"/>
      <w:bookmarkStart w:id="95" w:name="_Toc27945"/>
      <w:bookmarkStart w:id="96" w:name="_Toc13673"/>
      <w:r>
        <w:rPr>
          <w:rFonts w:hint="eastAsia" w:ascii="仿宋_GB2312" w:hAnsi="仿宋_GB2312" w:eastAsia="仿宋_GB2312" w:cs="仿宋_GB2312"/>
          <w:b/>
          <w:color w:val="auto"/>
          <w:sz w:val="24"/>
          <w:highlight w:val="none"/>
        </w:rPr>
        <w:t>2.3 知识产权</w:t>
      </w:r>
      <w:bookmarkEnd w:id="92"/>
      <w:bookmarkEnd w:id="93"/>
      <w:bookmarkEnd w:id="94"/>
      <w:bookmarkEnd w:id="95"/>
      <w:bookmarkEnd w:id="96"/>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 合同涉及技术成果的归属和收益的分成办法的，详见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2.4 履约检查和问题反馈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2.4.2 合同履行期间，甲方有权将履行过程中出现的问题反馈给乙方，双方当事人应以书面形式约定需要完善和改进的内容。</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7" w:name="_Toc32670"/>
      <w:bookmarkStart w:id="98" w:name="_Toc15447"/>
      <w:bookmarkStart w:id="99" w:name="_Toc31233"/>
      <w:bookmarkStart w:id="100" w:name="_Toc22011"/>
      <w:bookmarkStart w:id="101" w:name="_Toc26555"/>
      <w:r>
        <w:rPr>
          <w:rFonts w:hint="eastAsia" w:ascii="仿宋_GB2312" w:hAnsi="仿宋_GB2312" w:eastAsia="仿宋_GB2312" w:cs="仿宋_GB2312"/>
          <w:b/>
          <w:color w:val="auto"/>
          <w:sz w:val="24"/>
          <w:highlight w:val="none"/>
        </w:rPr>
        <w:t>2.5 结算方式和付款条件</w:t>
      </w:r>
      <w:bookmarkEnd w:id="97"/>
      <w:bookmarkEnd w:id="98"/>
      <w:bookmarkEnd w:id="99"/>
      <w:bookmarkEnd w:id="100"/>
      <w:bookmarkEnd w:id="101"/>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2" w:name="_Toc30507"/>
      <w:bookmarkStart w:id="103" w:name="_Toc13154"/>
      <w:bookmarkStart w:id="104" w:name="_Toc16163"/>
      <w:bookmarkStart w:id="105" w:name="_Toc18990"/>
      <w:bookmarkStart w:id="106" w:name="_Toc13467"/>
      <w:r>
        <w:rPr>
          <w:rFonts w:hint="eastAsia" w:ascii="仿宋_GB2312" w:hAnsi="仿宋_GB2312" w:eastAsia="仿宋_GB2312" w:cs="仿宋_GB2312"/>
          <w:b/>
          <w:color w:val="auto"/>
          <w:sz w:val="24"/>
          <w:highlight w:val="none"/>
        </w:rPr>
        <w:t>2.6 技术资料和保密义务</w:t>
      </w:r>
      <w:bookmarkEnd w:id="102"/>
      <w:bookmarkEnd w:id="103"/>
      <w:bookmarkEnd w:id="104"/>
      <w:bookmarkEnd w:id="105"/>
      <w:bookmarkEnd w:id="106"/>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2.6.1 乙方有权依据合同约定和项目需要，向甲方了解有关情况，调阅有关资料等，甲方应予积极配合；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2.6.2 乙方有义务妥善保管和保护由甲方提供的前款信息和资料等；</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7" w:name="_Toc19069"/>
      <w:r>
        <w:rPr>
          <w:rFonts w:hint="eastAsia" w:ascii="仿宋_GB2312" w:hAnsi="仿宋_GB2312" w:eastAsia="仿宋_GB2312" w:cs="仿宋_GB2312"/>
          <w:b/>
          <w:color w:val="auto"/>
          <w:sz w:val="24"/>
          <w:highlight w:val="none"/>
        </w:rPr>
        <w:t>2.7 质量保证</w:t>
      </w:r>
      <w:bookmarkEnd w:id="107"/>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2.7.1 乙方应建立和完善履行合同的内部质量保证体系，并提供相关内部规章制度给甲方，以便甲方进行监督检查；</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2.7.2 乙方应保证履行合同的人员数量和素质、软件和硬件设备的配置、场地、环境和设施等满足全面履行合同的要求，并应接受甲方的监督检查。</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8" w:name="_Toc22267"/>
      <w:r>
        <w:rPr>
          <w:rFonts w:hint="eastAsia" w:ascii="仿宋_GB2312" w:hAnsi="仿宋_GB2312" w:eastAsia="仿宋_GB2312" w:cs="仿宋_GB2312"/>
          <w:b/>
          <w:color w:val="auto"/>
          <w:sz w:val="24"/>
          <w:highlight w:val="none"/>
        </w:rPr>
        <w:t>2.8 延迟履行</w:t>
      </w:r>
      <w:bookmarkEnd w:id="108"/>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9" w:name="_Toc10611"/>
      <w:r>
        <w:rPr>
          <w:rFonts w:hint="eastAsia" w:ascii="仿宋_GB2312" w:hAnsi="仿宋_GB2312" w:eastAsia="仿宋_GB2312" w:cs="仿宋_GB2312"/>
          <w:b/>
          <w:color w:val="auto"/>
          <w:sz w:val="24"/>
          <w:highlight w:val="none"/>
        </w:rPr>
        <w:t>2.9 合同变更</w:t>
      </w:r>
      <w:bookmarkEnd w:id="109"/>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0" w:name="_Toc21830"/>
      <w:bookmarkStart w:id="111" w:name="_Toc26689"/>
      <w:bookmarkStart w:id="112" w:name="_Toc42"/>
      <w:bookmarkStart w:id="113" w:name="_Toc23368"/>
      <w:bookmarkStart w:id="114" w:name="_Toc10663"/>
      <w:r>
        <w:rPr>
          <w:rFonts w:hint="eastAsia" w:ascii="仿宋_GB2312" w:hAnsi="仿宋_GB2312" w:eastAsia="仿宋_GB2312" w:cs="仿宋_GB2312"/>
          <w:b/>
          <w:color w:val="auto"/>
          <w:sz w:val="24"/>
          <w:highlight w:val="none"/>
        </w:rPr>
        <w:t>2.10 合同转让和分包</w:t>
      </w:r>
      <w:bookmarkEnd w:id="110"/>
      <w:bookmarkEnd w:id="111"/>
      <w:bookmarkEnd w:id="112"/>
      <w:bookmarkEnd w:id="113"/>
      <w:bookmarkEnd w:id="114"/>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5" w:name="_Toc26633"/>
      <w:bookmarkStart w:id="116" w:name="_Toc4720"/>
      <w:bookmarkStart w:id="117" w:name="_Toc14371"/>
      <w:bookmarkStart w:id="118" w:name="_Toc25571"/>
      <w:bookmarkStart w:id="119" w:name="_Toc32494"/>
      <w:r>
        <w:rPr>
          <w:rFonts w:hint="eastAsia" w:ascii="仿宋_GB2312" w:hAnsi="仿宋_GB2312" w:eastAsia="仿宋_GB2312" w:cs="仿宋_GB2312"/>
          <w:b/>
          <w:color w:val="auto"/>
          <w:sz w:val="24"/>
          <w:highlight w:val="none"/>
        </w:rPr>
        <w:t>2.11 不可抗力</w:t>
      </w:r>
      <w:bookmarkEnd w:id="115"/>
      <w:bookmarkEnd w:id="116"/>
      <w:bookmarkEnd w:id="117"/>
      <w:bookmarkEnd w:id="118"/>
      <w:bookmarkEnd w:id="119"/>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2.11.1如果任何一方遭遇法律规定的不可抗力，致使合同履行受阻时，履行合同的期限应予延长，延长的期限应相当于不可抗力所影响的时间；</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2.11.2 因不可抗力致使不能实现合同目的的，当事人可以解除合同；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 因不可抗力致使合同有变更必要的，双方当事人应在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约定时间内以书面形式变更合同；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2.11.4受不可抗力影响的一方在不可抗力发生后，应在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约定时间内以书面形式通知对方当事人，并在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约定时间内，将有关部门出具的证明文件送达对方当事人。</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0" w:name="_Toc23854"/>
      <w:bookmarkStart w:id="121" w:name="_Toc14115"/>
      <w:bookmarkStart w:id="122" w:name="_Toc25783"/>
      <w:bookmarkStart w:id="123" w:name="_Toc3638"/>
      <w:bookmarkStart w:id="124" w:name="_Toc24465"/>
      <w:r>
        <w:rPr>
          <w:rFonts w:hint="eastAsia" w:ascii="仿宋_GB2312" w:hAnsi="仿宋_GB2312" w:eastAsia="仿宋_GB2312" w:cs="仿宋_GB2312"/>
          <w:b/>
          <w:color w:val="auto"/>
          <w:sz w:val="24"/>
          <w:highlight w:val="none"/>
        </w:rPr>
        <w:t>2.12 税费</w:t>
      </w:r>
      <w:bookmarkEnd w:id="120"/>
      <w:bookmarkEnd w:id="121"/>
      <w:bookmarkEnd w:id="122"/>
      <w:bookmarkEnd w:id="123"/>
      <w:bookmarkEnd w:id="124"/>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与合同有关的一切税费，均按照中华人民共和国法律的相关规定缴纳。</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5" w:name="_Toc26883"/>
      <w:bookmarkStart w:id="126" w:name="_Toc14814"/>
      <w:bookmarkStart w:id="127" w:name="_Toc25525"/>
      <w:bookmarkStart w:id="128" w:name="_Toc7315"/>
      <w:bookmarkStart w:id="129" w:name="_Toc30105"/>
      <w:r>
        <w:rPr>
          <w:rFonts w:hint="eastAsia" w:ascii="仿宋_GB2312" w:hAnsi="仿宋_GB2312" w:eastAsia="仿宋_GB2312" w:cs="仿宋_GB2312"/>
          <w:b/>
          <w:color w:val="auto"/>
          <w:sz w:val="24"/>
          <w:highlight w:val="none"/>
        </w:rPr>
        <w:t>2.13 乙方破产</w:t>
      </w:r>
      <w:bookmarkEnd w:id="125"/>
      <w:bookmarkEnd w:id="126"/>
      <w:bookmarkEnd w:id="127"/>
      <w:bookmarkEnd w:id="128"/>
      <w:bookmarkEnd w:id="129"/>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0" w:name="_Toc2016"/>
      <w:bookmarkStart w:id="131" w:name="_Toc1123"/>
      <w:bookmarkStart w:id="132" w:name="_Toc23323"/>
      <w:r>
        <w:rPr>
          <w:rFonts w:hint="eastAsia" w:ascii="仿宋_GB2312" w:hAnsi="仿宋_GB2312" w:eastAsia="仿宋_GB2312" w:cs="仿宋_GB2312"/>
          <w:b/>
          <w:color w:val="auto"/>
          <w:sz w:val="24"/>
          <w:highlight w:val="none"/>
        </w:rPr>
        <w:t>2.14 合同中止、终止</w:t>
      </w:r>
      <w:bookmarkEnd w:id="130"/>
      <w:bookmarkEnd w:id="131"/>
      <w:bookmarkEnd w:id="132"/>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2.14.1 双方当事人不得擅自中止或者终止合同；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3" w:name="_Toc1969"/>
      <w:bookmarkStart w:id="134" w:name="_Toc14525"/>
      <w:bookmarkStart w:id="135" w:name="_Toc17363"/>
      <w:r>
        <w:rPr>
          <w:rFonts w:hint="eastAsia" w:ascii="仿宋_GB2312" w:hAnsi="仿宋_GB2312" w:eastAsia="仿宋_GB2312" w:cs="仿宋_GB2312"/>
          <w:b/>
          <w:color w:val="auto"/>
          <w:sz w:val="24"/>
          <w:highlight w:val="none"/>
        </w:rPr>
        <w:t>2.15 检验和验收</w:t>
      </w:r>
      <w:bookmarkEnd w:id="133"/>
      <w:bookmarkEnd w:id="134"/>
      <w:bookmarkEnd w:id="135"/>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 乙方按照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的约定，定期提交服务报告，甲方按照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的约定进行定期验收；</w:t>
      </w:r>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 检验和验收标准、程序等具体内容以及前述验收书的效力详见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i/>
          <w:color w:val="auto"/>
          <w:sz w:val="24"/>
          <w:highlight w:val="none"/>
        </w:rPr>
        <w:t>。</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6" w:name="_Toc25198"/>
      <w:bookmarkStart w:id="137" w:name="_Toc12666"/>
      <w:bookmarkStart w:id="138" w:name="_Toc31892"/>
      <w:bookmarkStart w:id="139" w:name="_Toc2308"/>
      <w:bookmarkStart w:id="140" w:name="_Toc9808"/>
      <w:r>
        <w:rPr>
          <w:rFonts w:hint="eastAsia" w:ascii="仿宋_GB2312" w:hAnsi="仿宋_GB2312" w:eastAsia="仿宋_GB2312" w:cs="仿宋_GB2312"/>
          <w:b/>
          <w:color w:val="auto"/>
          <w:sz w:val="24"/>
          <w:highlight w:val="none"/>
        </w:rPr>
        <w:t>2.16 通知和送达</w:t>
      </w:r>
      <w:bookmarkEnd w:id="136"/>
      <w:bookmarkEnd w:id="137"/>
      <w:bookmarkEnd w:id="138"/>
      <w:bookmarkEnd w:id="139"/>
      <w:bookmarkEnd w:id="140"/>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bookmarkStart w:id="141" w:name="_Toc18401"/>
      <w:bookmarkStart w:id="142" w:name="_Toc27674"/>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 xml:space="preserve">.1任何一方因履行合同而以合同第一部分尾部所列明的传真或电子邮件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发出的所有通知、文件、材料，均视为已向对方当事人送达；任何一方变更上述送达方式或者地址的，应于</w:t>
      </w:r>
      <w:r>
        <w:rPr>
          <w:rFonts w:hint="eastAsia" w:ascii="仿宋_GB2312" w:hAnsi="仿宋_GB2312" w:eastAsia="仿宋_GB2312" w:cs="仿宋_GB2312"/>
          <w:color w:val="auto"/>
          <w:sz w:val="24"/>
          <w:highlight w:val="none"/>
          <w:u w:val="single"/>
        </w:rPr>
        <w:t>3</w:t>
      </w:r>
      <w:r>
        <w:rPr>
          <w:rFonts w:hint="eastAsia" w:ascii="仿宋_GB2312" w:hAnsi="仿宋_GB2312" w:eastAsia="仿宋_GB2312" w:cs="仿宋_GB2312"/>
          <w:color w:val="auto"/>
          <w:sz w:val="24"/>
          <w:highlight w:val="none"/>
        </w:rPr>
        <w:t>个工作日内书面通知对方当事人，在对方当事人收到有关变更通知之前，变更前的约定送达方式或者地址仍视为有效。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43" w:name="_Toc12254"/>
      <w:bookmarkStart w:id="144" w:name="_Toc28906"/>
      <w:bookmarkStart w:id="145" w:name="_Toc27644"/>
      <w:bookmarkStart w:id="146" w:name="_Toc20808"/>
      <w:bookmarkStart w:id="147" w:name="_Toc5063"/>
      <w:r>
        <w:rPr>
          <w:rFonts w:hint="eastAsia" w:ascii="仿宋_GB2312" w:hAnsi="仿宋_GB2312" w:eastAsia="仿宋_GB2312" w:cs="仿宋_GB2312"/>
          <w:b/>
          <w:color w:val="auto"/>
          <w:sz w:val="24"/>
          <w:highlight w:val="none"/>
        </w:rPr>
        <w:t>2.17 合同使用的文字和适用的法律</w:t>
      </w:r>
      <w:bookmarkEnd w:id="143"/>
      <w:bookmarkEnd w:id="144"/>
      <w:bookmarkEnd w:id="145"/>
      <w:bookmarkEnd w:id="146"/>
      <w:bookmarkEnd w:id="147"/>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2.17.1 合同使用汉语书就、变更和解释；</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2.17.2 合同适用中华人民共和国法律。</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48" w:name="_Toc18540"/>
      <w:bookmarkStart w:id="149" w:name="_Toc30599"/>
      <w:bookmarkStart w:id="150" w:name="_Toc4355"/>
      <w:r>
        <w:rPr>
          <w:rFonts w:hint="eastAsia" w:ascii="仿宋_GB2312" w:hAnsi="仿宋_GB2312" w:eastAsia="仿宋_GB2312" w:cs="仿宋_GB2312"/>
          <w:b/>
          <w:color w:val="auto"/>
          <w:sz w:val="24"/>
          <w:highlight w:val="none"/>
        </w:rPr>
        <w:t>2.18 计量单位</w:t>
      </w:r>
      <w:bookmarkEnd w:id="148"/>
      <w:bookmarkEnd w:id="149"/>
      <w:bookmarkEnd w:id="150"/>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除技术规范中另有规定外,合同的计量单位均使用国家法定计量单位。</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51" w:name="_Toc279701263"/>
      <w:bookmarkStart w:id="152" w:name="_Toc18567"/>
      <w:bookmarkStart w:id="153" w:name="_Toc12773"/>
      <w:bookmarkStart w:id="154" w:name="_Toc259093692"/>
      <w:bookmarkStart w:id="155" w:name="_Toc10330"/>
      <w:bookmarkStart w:id="156" w:name="_Toc487900373"/>
      <w:r>
        <w:rPr>
          <w:rFonts w:hint="eastAsia" w:ascii="仿宋_GB2312" w:hAnsi="仿宋_GB2312" w:eastAsia="仿宋_GB2312" w:cs="仿宋_GB2312"/>
          <w:b/>
          <w:color w:val="auto"/>
          <w:sz w:val="24"/>
          <w:highlight w:val="none"/>
        </w:rPr>
        <w:t>2.19 合同使用的文字和适用的法律</w:t>
      </w:r>
      <w:bookmarkEnd w:id="151"/>
      <w:bookmarkEnd w:id="152"/>
      <w:bookmarkEnd w:id="153"/>
      <w:bookmarkEnd w:id="154"/>
      <w:bookmarkEnd w:id="155"/>
      <w:bookmarkEnd w:id="156"/>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2.19.1 合同使用汉语书就、变更和解释；</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2.19.2 合同适用中华人民共和国法律。</w:t>
      </w:r>
    </w:p>
    <w:p>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en-US" w:eastAsia="zh-CN"/>
        </w:rPr>
        <w:t>20</w:t>
      </w:r>
      <w:r>
        <w:rPr>
          <w:rFonts w:hint="eastAsia" w:ascii="仿宋_GB2312" w:hAnsi="仿宋_GB2312" w:eastAsia="仿宋_GB2312" w:cs="仿宋_GB2312"/>
          <w:b/>
          <w:color w:val="auto"/>
          <w:sz w:val="24"/>
          <w:highlight w:val="none"/>
        </w:rPr>
        <w:t>合同份数</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合同份数按</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规定，每份均具有同等法律效力。</w:t>
      </w:r>
    </w:p>
    <w:p>
      <w:pPr>
        <w:keepNext w:val="0"/>
        <w:keepLines w:val="0"/>
        <w:pageBreakBefore w:val="0"/>
        <w:widowControl w:val="0"/>
        <w:kinsoku/>
        <w:wordWrap w:val="0"/>
        <w:overflowPunct/>
        <w:topLinePunct w:val="0"/>
        <w:autoSpaceDE/>
        <w:autoSpaceDN/>
        <w:bidi w:val="0"/>
        <w:adjustRightInd w:val="0"/>
        <w:snapToGrid/>
        <w:spacing w:line="440" w:lineRule="atLeast"/>
        <w:ind w:firstLine="420" w:firstLineChars="200"/>
        <w:jc w:val="center"/>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highlight w:val="none"/>
        </w:rPr>
        <w:br w:type="page"/>
      </w:r>
      <w:bookmarkStart w:id="157" w:name="_Toc331685784"/>
      <w:r>
        <w:rPr>
          <w:rFonts w:hint="eastAsia" w:ascii="仿宋_GB2312" w:hAnsi="仿宋_GB2312" w:eastAsia="仿宋_GB2312" w:cs="仿宋_GB2312"/>
          <w:b/>
          <w:color w:val="auto"/>
          <w:sz w:val="24"/>
          <w:highlight w:val="none"/>
        </w:rPr>
        <w:t xml:space="preserve"> </w:t>
      </w:r>
      <w:bookmarkEnd w:id="157"/>
      <w:r>
        <w:rPr>
          <w:rFonts w:hint="eastAsia" w:ascii="仿宋_GB2312" w:hAnsi="仿宋_GB2312" w:eastAsia="仿宋_GB2312" w:cs="仿宋_GB2312"/>
          <w:b/>
          <w:color w:val="auto"/>
          <w:kern w:val="2"/>
          <w:sz w:val="24"/>
          <w:szCs w:val="24"/>
          <w:highlight w:val="none"/>
          <w:lang w:val="en-US" w:eastAsia="zh-CN" w:bidi="ar-SA"/>
        </w:rPr>
        <w:t>第三部分  合同专用条款</w:t>
      </w:r>
    </w:p>
    <w:p>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条款号</w:t>
            </w:r>
          </w:p>
        </w:tc>
        <w:tc>
          <w:tcPr>
            <w:tcW w:w="8149"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1.5.1 </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1.5.3 </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1.8.7</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w:t>
            </w:r>
          </w:p>
        </w:tc>
        <w:tc>
          <w:tcPr>
            <w:tcW w:w="8149" w:type="dxa"/>
            <w:vAlign w:val="center"/>
          </w:tcPr>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w:t>
            </w:r>
          </w:p>
        </w:tc>
        <w:tc>
          <w:tcPr>
            <w:tcW w:w="8149" w:type="dxa"/>
            <w:vAlign w:val="center"/>
          </w:tcPr>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2.11.4 </w:t>
            </w:r>
          </w:p>
        </w:tc>
        <w:tc>
          <w:tcPr>
            <w:tcW w:w="8149"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wordWrap w:val="0"/>
              <w:overflowPunct/>
              <w:topLinePunct w:val="0"/>
              <w:bidi w:val="0"/>
              <w:spacing w:line="360" w:lineRule="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20</w:t>
            </w:r>
          </w:p>
        </w:tc>
        <w:tc>
          <w:tcPr>
            <w:tcW w:w="8149"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left="-420" w:leftChars="-200" w:right="-420" w:rightChars="-200" w:firstLine="480" w:firstLineChars="200"/>
        <w:jc w:val="center"/>
        <w:outlineLvl w:val="0"/>
        <w:rPr>
          <w:rFonts w:hint="eastAsia" w:ascii="仿宋_GB2312" w:hAnsi="仿宋_GB2312" w:eastAsia="仿宋_GB2312" w:cs="仿宋_GB2312"/>
          <w:color w:val="auto"/>
          <w:sz w:val="24"/>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pPr>
        <w:pStyle w:val="2"/>
        <w:rPr>
          <w:rFonts w:hint="eastAsia"/>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w:t>
      </w:r>
      <w:r>
        <w:rPr>
          <w:rFonts w:hint="eastAsia" w:ascii="仿宋_GB2312" w:hAnsi="仿宋_GB2312" w:eastAsia="仿宋_GB2312" w:cs="仿宋_GB2312"/>
          <w:color w:val="auto"/>
          <w:sz w:val="24"/>
          <w:highlight w:val="none"/>
          <w:u w:val="single"/>
          <w:lang w:val="en-US" w:eastAsia="zh-CN"/>
        </w:rPr>
        <w:t xml:space="preserve"> 70</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u w:val="single"/>
          <w:lang w:val="en-US" w:eastAsia="zh-CN"/>
        </w:rPr>
        <w:t xml:space="preserve"> 30 </w:t>
      </w:r>
      <w:r>
        <w:rPr>
          <w:rFonts w:hint="eastAsia" w:ascii="仿宋_GB2312" w:hAnsi="仿宋_GB2312" w:eastAsia="仿宋_GB2312" w:cs="仿宋_GB2312"/>
          <w:color w:val="auto"/>
          <w:sz w:val="24"/>
          <w:highlight w:val="none"/>
        </w:rPr>
        <w:t>分。评分依下述所列为评标打分依据，分值如下（计算分值时，按其算术平均值保留小数2位）。</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bCs/>
          <w:iCs/>
          <w:color w:val="auto"/>
          <w:sz w:val="24"/>
          <w:highlight w:val="none"/>
        </w:rPr>
        <w:t>2.1商务技术分（</w:t>
      </w:r>
      <w:r>
        <w:rPr>
          <w:rFonts w:hint="eastAsia" w:ascii="仿宋_GB2312" w:hAnsi="仿宋_GB2312" w:eastAsia="仿宋_GB2312" w:cs="仿宋_GB2312"/>
          <w:b/>
          <w:bCs/>
          <w:iCs/>
          <w:color w:val="auto"/>
          <w:sz w:val="24"/>
          <w:highlight w:val="none"/>
          <w:u w:val="single"/>
          <w:lang w:val="en-US" w:eastAsia="zh-CN"/>
        </w:rPr>
        <w:t xml:space="preserve"> 70 </w:t>
      </w:r>
      <w:r>
        <w:rPr>
          <w:rFonts w:hint="eastAsia" w:ascii="仿宋_GB2312" w:hAnsi="仿宋_GB2312" w:eastAsia="仿宋_GB2312" w:cs="仿宋_GB2312"/>
          <w:b/>
          <w:bCs/>
          <w:iCs/>
          <w:color w:val="auto"/>
          <w:sz w:val="24"/>
          <w:highlight w:val="none"/>
        </w:rPr>
        <w:t>分）</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13"/>
        <w:gridCol w:w="641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jc w:val="center"/>
        </w:trPr>
        <w:tc>
          <w:tcPr>
            <w:tcW w:w="811" w:type="dxa"/>
            <w:noWrap w:val="0"/>
            <w:vAlign w:val="center"/>
          </w:tcPr>
          <w:p>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序号</w:t>
            </w:r>
          </w:p>
        </w:tc>
        <w:tc>
          <w:tcPr>
            <w:tcW w:w="1413" w:type="dxa"/>
            <w:noWrap w:val="0"/>
            <w:vAlign w:val="center"/>
          </w:tcPr>
          <w:p>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评分项</w:t>
            </w:r>
          </w:p>
        </w:tc>
        <w:tc>
          <w:tcPr>
            <w:tcW w:w="6416" w:type="dxa"/>
            <w:noWrap w:val="0"/>
            <w:vAlign w:val="center"/>
          </w:tcPr>
          <w:p>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评审依据及标准</w:t>
            </w:r>
          </w:p>
        </w:tc>
        <w:tc>
          <w:tcPr>
            <w:tcW w:w="786" w:type="dxa"/>
            <w:noWrap w:val="0"/>
            <w:vAlign w:val="center"/>
          </w:tcPr>
          <w:p>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811"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仿宋_GB2312" w:hAnsi="宋体" w:eastAsia="仿宋_GB2312"/>
                <w:bCs/>
                <w:iCs/>
                <w:sz w:val="24"/>
              </w:rPr>
            </w:pPr>
            <w:r>
              <w:rPr>
                <w:rFonts w:hint="eastAsia" w:ascii="仿宋_GB2312" w:hAnsi="宋体" w:eastAsia="仿宋_GB2312"/>
                <w:bCs/>
                <w:iCs/>
                <w:sz w:val="24"/>
              </w:rPr>
              <w:t>1</w:t>
            </w:r>
          </w:p>
        </w:tc>
        <w:tc>
          <w:tcPr>
            <w:tcW w:w="1413"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jc w:val="center"/>
              <w:textAlignment w:val="auto"/>
              <w:rPr>
                <w:rFonts w:ascii="仿宋_GB2312" w:eastAsia="仿宋_GB2312"/>
                <w:color w:val="000000"/>
                <w:sz w:val="24"/>
              </w:rPr>
            </w:pPr>
            <w:r>
              <w:rPr>
                <w:rFonts w:hint="eastAsia" w:ascii="仿宋_GB2312" w:eastAsia="仿宋_GB2312"/>
                <w:color w:val="000000"/>
                <w:sz w:val="24"/>
              </w:rPr>
              <w:t>管理体系</w:t>
            </w:r>
          </w:p>
          <w:p>
            <w:pPr>
              <w:keepNext w:val="0"/>
              <w:keepLines w:val="0"/>
              <w:pageBreakBefore w:val="0"/>
              <w:kinsoku/>
              <w:wordWrap/>
              <w:overflowPunct/>
              <w:topLinePunct w:val="0"/>
              <w:autoSpaceDE/>
              <w:autoSpaceDN/>
              <w:bidi w:val="0"/>
              <w:adjustRightInd/>
              <w:spacing w:line="400" w:lineRule="exact"/>
              <w:ind w:left="-92" w:leftChars="-44" w:right="-107" w:rightChars="-51"/>
              <w:jc w:val="center"/>
              <w:textAlignment w:val="auto"/>
              <w:rPr>
                <w:rFonts w:ascii="仿宋_GB2312" w:eastAsia="仿宋_GB2312"/>
                <w:color w:val="000000"/>
                <w:sz w:val="24"/>
              </w:rPr>
            </w:pPr>
            <w:r>
              <w:rPr>
                <w:rFonts w:hint="eastAsia" w:ascii="仿宋_GB2312" w:eastAsia="仿宋_GB2312"/>
                <w:color w:val="000000"/>
                <w:sz w:val="24"/>
              </w:rPr>
              <w:t>认证</w:t>
            </w:r>
          </w:p>
        </w:tc>
        <w:tc>
          <w:tcPr>
            <w:tcW w:w="6416"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ascii="仿宋_GB2312" w:eastAsia="仿宋_GB2312"/>
                <w:color w:val="000000"/>
                <w:sz w:val="24"/>
              </w:rPr>
            </w:pPr>
            <w:r>
              <w:rPr>
                <w:rFonts w:hint="eastAsia" w:ascii="仿宋_GB2312" w:eastAsia="仿宋_GB2312"/>
                <w:color w:val="000000"/>
                <w:sz w:val="24"/>
              </w:rPr>
              <w:t>根据投标人企业认证证书情况进行打分，提供相关证明并加盖投标人公章。(本项分值设置为3,2,1,0.5,0分)</w:t>
            </w:r>
          </w:p>
        </w:tc>
        <w:tc>
          <w:tcPr>
            <w:tcW w:w="786"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仿宋_GB2312" w:hAnsi="宋体" w:eastAsia="仿宋_GB2312"/>
                <w:bCs/>
                <w:iCs/>
                <w:sz w:val="24"/>
              </w:rPr>
            </w:pPr>
            <w:r>
              <w:rPr>
                <w:rFonts w:hint="eastAsia" w:ascii="仿宋_GB2312" w:hAnsi="宋体" w:eastAsia="仿宋_GB2312"/>
                <w:bCs/>
                <w:iCs/>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811"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仿宋_GB2312" w:hAnsi="宋体" w:eastAsia="仿宋_GB2312"/>
                <w:bCs/>
                <w:iCs/>
                <w:sz w:val="24"/>
              </w:rPr>
            </w:pPr>
            <w:r>
              <w:rPr>
                <w:rFonts w:hint="eastAsia" w:ascii="仿宋_GB2312" w:hAnsi="宋体" w:eastAsia="仿宋_GB2312"/>
                <w:bCs/>
                <w:iCs/>
                <w:sz w:val="24"/>
              </w:rPr>
              <w:t>2</w:t>
            </w:r>
          </w:p>
        </w:tc>
        <w:tc>
          <w:tcPr>
            <w:tcW w:w="1413"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jc w:val="center"/>
              <w:textAlignment w:val="auto"/>
              <w:rPr>
                <w:rFonts w:hint="eastAsia" w:ascii="仿宋_GB2312" w:hAnsi="Times New Roman" w:eastAsia="仿宋_GB2312" w:cs="Times New Roman"/>
                <w:color w:val="000000"/>
                <w:sz w:val="24"/>
              </w:rPr>
            </w:pPr>
            <w:r>
              <w:rPr>
                <w:rFonts w:hint="eastAsia" w:ascii="仿宋_GB2312" w:hAnsi="Times New Roman" w:eastAsia="仿宋_GB2312" w:cs="Times New Roman"/>
                <w:color w:val="000000"/>
                <w:sz w:val="24"/>
              </w:rPr>
              <w:t>业绩案例</w:t>
            </w:r>
          </w:p>
        </w:tc>
        <w:tc>
          <w:tcPr>
            <w:tcW w:w="6416"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hint="eastAsia" w:ascii="仿宋_GB2312" w:hAnsi="Times New Roman" w:eastAsia="仿宋_GB2312" w:cs="Times New Roman"/>
                <w:color w:val="000000"/>
                <w:sz w:val="24"/>
              </w:rPr>
            </w:pPr>
            <w:r>
              <w:rPr>
                <w:rFonts w:hint="eastAsia" w:ascii="仿宋_GB2312" w:hAnsi="Times New Roman" w:eastAsia="仿宋_GB2312" w:cs="Times New Roman"/>
                <w:color w:val="000000"/>
                <w:sz w:val="24"/>
              </w:rPr>
              <w:t>投标人自2022年1月1日以来（以合同签订时间为准）完成的同类案例，每有一个得1分，满分2分。</w:t>
            </w:r>
            <w:r>
              <w:rPr>
                <w:rFonts w:hint="eastAsia" w:ascii="仿宋_GB2312" w:hAnsi="Times New Roman" w:eastAsia="仿宋_GB2312" w:cs="Times New Roman"/>
                <w:color w:val="000000"/>
                <w:sz w:val="24"/>
              </w:rPr>
              <w:br w:type="textWrapping"/>
            </w:r>
            <w:r>
              <w:rPr>
                <w:rFonts w:hint="eastAsia" w:ascii="仿宋_GB2312" w:hAnsi="Times New Roman" w:eastAsia="仿宋_GB2312" w:cs="Times New Roman"/>
                <w:color w:val="000000"/>
                <w:sz w:val="24"/>
              </w:rPr>
              <w:t>注：每个案例提供合同并加盖投标人公章。</w:t>
            </w:r>
          </w:p>
        </w:tc>
        <w:tc>
          <w:tcPr>
            <w:tcW w:w="786"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仿宋_GB2312" w:hAnsi="宋体" w:eastAsia="仿宋_GB2312"/>
                <w:bCs/>
                <w:iCs/>
                <w:sz w:val="24"/>
              </w:rPr>
            </w:pPr>
            <w:r>
              <w:rPr>
                <w:rFonts w:hint="eastAsia" w:ascii="仿宋_GB2312" w:hAnsi="宋体" w:eastAsia="仿宋_GB2312"/>
                <w:bCs/>
                <w:iCs/>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仿宋_GB2312" w:hAnsi="宋体" w:eastAsia="仿宋_GB2312"/>
                <w:bCs/>
                <w:iCs/>
                <w:sz w:val="24"/>
              </w:rPr>
            </w:pPr>
            <w:r>
              <w:rPr>
                <w:rFonts w:hint="eastAsia" w:ascii="仿宋_GB2312" w:hAnsi="宋体" w:eastAsia="仿宋_GB2312"/>
                <w:bCs/>
                <w:iCs/>
                <w:sz w:val="24"/>
              </w:rPr>
              <w:t>3</w:t>
            </w:r>
          </w:p>
        </w:tc>
        <w:tc>
          <w:tcPr>
            <w:tcW w:w="1413"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jc w:val="center"/>
              <w:textAlignment w:val="auto"/>
              <w:rPr>
                <w:rFonts w:ascii="仿宋_GB2312" w:eastAsia="仿宋_GB2312"/>
                <w:color w:val="000000"/>
                <w:sz w:val="24"/>
              </w:rPr>
            </w:pPr>
            <w:r>
              <w:rPr>
                <w:rFonts w:hint="eastAsia" w:ascii="仿宋_GB2312" w:eastAsia="仿宋_GB2312"/>
                <w:color w:val="000000"/>
                <w:sz w:val="24"/>
              </w:rPr>
              <w:t>主要人员综合素质</w:t>
            </w:r>
          </w:p>
        </w:tc>
        <w:tc>
          <w:tcPr>
            <w:tcW w:w="6416"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ascii="仿宋_GB2312" w:eastAsia="仿宋_GB2312"/>
                <w:color w:val="000000"/>
                <w:sz w:val="24"/>
              </w:rPr>
            </w:pPr>
            <w:r>
              <w:rPr>
                <w:rFonts w:hint="eastAsia" w:ascii="仿宋_GB2312" w:eastAsia="仿宋_GB2312"/>
                <w:color w:val="000000"/>
                <w:sz w:val="24"/>
              </w:rPr>
              <w:t>一、拟派项目负责人：</w:t>
            </w:r>
          </w:p>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ascii="仿宋_GB2312" w:eastAsia="仿宋_GB2312"/>
                <w:color w:val="000000"/>
                <w:sz w:val="24"/>
              </w:rPr>
            </w:pPr>
            <w:r>
              <w:rPr>
                <w:rFonts w:hint="eastAsia" w:ascii="仿宋_GB2312" w:eastAsia="仿宋_GB2312"/>
                <w:color w:val="000000"/>
                <w:sz w:val="24"/>
              </w:rPr>
              <w:t>（1）具有</w:t>
            </w:r>
            <w:r>
              <w:rPr>
                <w:rFonts w:hint="eastAsia" w:ascii="仿宋_GB2312" w:eastAsia="仿宋_GB2312"/>
                <w:color w:val="000000"/>
                <w:sz w:val="24"/>
                <w:lang w:eastAsia="zh-CN"/>
              </w:rPr>
              <w:t>大专</w:t>
            </w:r>
            <w:r>
              <w:rPr>
                <w:rFonts w:hint="eastAsia" w:ascii="仿宋_GB2312" w:eastAsia="仿宋_GB2312"/>
                <w:color w:val="000000"/>
                <w:sz w:val="24"/>
                <w:lang w:val="en-US" w:eastAsia="zh-CN"/>
              </w:rPr>
              <w:t>及以上</w:t>
            </w:r>
            <w:r>
              <w:rPr>
                <w:rFonts w:hint="eastAsia" w:ascii="仿宋_GB2312" w:eastAsia="仿宋_GB2312"/>
                <w:color w:val="000000"/>
                <w:sz w:val="24"/>
              </w:rPr>
              <w:t>学历，得2分；</w:t>
            </w:r>
          </w:p>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ascii="仿宋_GB2312" w:eastAsia="仿宋_GB2312"/>
                <w:color w:val="000000"/>
                <w:sz w:val="24"/>
              </w:rPr>
            </w:pPr>
            <w:r>
              <w:rPr>
                <w:rFonts w:hint="eastAsia" w:ascii="仿宋_GB2312" w:eastAsia="仿宋_GB2312"/>
                <w:color w:val="000000"/>
                <w:sz w:val="24"/>
              </w:rPr>
              <w:t>（2）持有人社部门颁发的建（构）筑物消防员证书或消防设施操作员证书，得2分；</w:t>
            </w:r>
          </w:p>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hint="eastAsia"/>
                <w:lang w:eastAsia="zh-CN"/>
              </w:rPr>
            </w:pPr>
            <w:r>
              <w:rPr>
                <w:rFonts w:hint="eastAsia" w:ascii="仿宋_GB2312" w:eastAsia="仿宋_GB2312"/>
                <w:color w:val="000000"/>
                <w:sz w:val="24"/>
              </w:rPr>
              <w:t>二、拟派保安负责人</w:t>
            </w:r>
            <w:r>
              <w:rPr>
                <w:rFonts w:hint="eastAsia"/>
                <w:lang w:eastAsia="zh-CN"/>
              </w:rPr>
              <w:t>：</w:t>
            </w:r>
          </w:p>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hint="default" w:ascii="仿宋_GB2312" w:eastAsia="仿宋_GB2312"/>
                <w:color w:val="000000"/>
                <w:sz w:val="24"/>
                <w:lang w:val="en-US" w:eastAsia="zh-CN"/>
              </w:rPr>
            </w:pPr>
            <w:r>
              <w:rPr>
                <w:rFonts w:hint="eastAsia" w:ascii="仿宋_GB2312" w:eastAsia="仿宋_GB2312"/>
                <w:color w:val="000000"/>
                <w:sz w:val="24"/>
              </w:rPr>
              <w:t>（1）具有</w:t>
            </w:r>
            <w:r>
              <w:rPr>
                <w:rFonts w:hint="eastAsia" w:ascii="仿宋_GB2312" w:eastAsia="仿宋_GB2312"/>
                <w:color w:val="000000"/>
                <w:sz w:val="24"/>
                <w:lang w:eastAsia="zh-CN"/>
              </w:rPr>
              <w:t>大专</w:t>
            </w:r>
            <w:r>
              <w:rPr>
                <w:rFonts w:hint="eastAsia" w:ascii="仿宋_GB2312" w:eastAsia="仿宋_GB2312"/>
                <w:color w:val="000000"/>
                <w:sz w:val="24"/>
                <w:lang w:val="en-US" w:eastAsia="zh-CN"/>
              </w:rPr>
              <w:t>及以上</w:t>
            </w:r>
            <w:r>
              <w:rPr>
                <w:rFonts w:hint="eastAsia" w:ascii="仿宋_GB2312" w:eastAsia="仿宋_GB2312"/>
                <w:color w:val="000000"/>
                <w:sz w:val="24"/>
              </w:rPr>
              <w:t>学历，</w:t>
            </w:r>
            <w:r>
              <w:rPr>
                <w:rFonts w:hint="eastAsia" w:ascii="仿宋_GB2312" w:eastAsia="仿宋_GB2312"/>
                <w:color w:val="000000"/>
                <w:sz w:val="24"/>
                <w:lang w:val="en-US" w:eastAsia="zh-CN"/>
              </w:rPr>
              <w:t>得2分；</w:t>
            </w:r>
          </w:p>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ascii="仿宋_GB2312" w:eastAsia="仿宋_GB2312"/>
                <w:color w:val="000000"/>
                <w:sz w:val="24"/>
              </w:rPr>
            </w:pPr>
            <w:r>
              <w:rPr>
                <w:rFonts w:hint="eastAsia" w:ascii="仿宋_GB2312" w:eastAsia="仿宋_GB2312"/>
                <w:color w:val="000000"/>
                <w:sz w:val="24"/>
                <w:lang w:eastAsia="zh-CN"/>
              </w:rPr>
              <w:t>（</w:t>
            </w:r>
            <w:r>
              <w:rPr>
                <w:rFonts w:hint="eastAsia" w:ascii="仿宋_GB2312" w:eastAsia="仿宋_GB2312"/>
                <w:color w:val="000000"/>
                <w:sz w:val="24"/>
                <w:lang w:val="en-US" w:eastAsia="zh-CN"/>
              </w:rPr>
              <w:t>2</w:t>
            </w:r>
            <w:r>
              <w:rPr>
                <w:rFonts w:hint="eastAsia" w:ascii="仿宋_GB2312" w:eastAsia="仿宋_GB2312"/>
                <w:color w:val="000000"/>
                <w:sz w:val="24"/>
                <w:lang w:eastAsia="zh-CN"/>
              </w:rPr>
              <w:t>）持</w:t>
            </w:r>
            <w:r>
              <w:rPr>
                <w:rFonts w:hint="eastAsia" w:ascii="仿宋_GB2312" w:eastAsia="仿宋_GB2312"/>
                <w:color w:val="000000"/>
                <w:sz w:val="24"/>
              </w:rPr>
              <w:t>有人社部门颁发的建（构）筑物消防员证书或消防设施操作员证书，得2分；</w:t>
            </w:r>
          </w:p>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ascii="仿宋_GB2312" w:eastAsia="仿宋_GB2312"/>
                <w:color w:val="000000"/>
                <w:sz w:val="24"/>
                <w:highlight w:val="green"/>
              </w:rPr>
            </w:pPr>
            <w:r>
              <w:rPr>
                <w:rFonts w:hint="eastAsia" w:ascii="仿宋_GB2312" w:eastAsia="仿宋_GB2312"/>
                <w:color w:val="000000"/>
                <w:sz w:val="24"/>
              </w:rPr>
              <w:t>（</w:t>
            </w:r>
            <w:r>
              <w:rPr>
                <w:rFonts w:hint="eastAsia" w:ascii="仿宋_GB2312" w:eastAsia="仿宋_GB2312"/>
                <w:color w:val="000000"/>
                <w:sz w:val="24"/>
                <w:lang w:val="en-US" w:eastAsia="zh-CN"/>
              </w:rPr>
              <w:t>3</w:t>
            </w:r>
            <w:r>
              <w:rPr>
                <w:rFonts w:hint="eastAsia" w:ascii="仿宋_GB2312" w:eastAsia="仿宋_GB2312"/>
                <w:color w:val="000000"/>
                <w:sz w:val="24"/>
              </w:rPr>
              <w:t>）持有人社部门颁发的保安员</w:t>
            </w:r>
            <w:r>
              <w:rPr>
                <w:rFonts w:hint="eastAsia" w:ascii="仿宋_GB2312" w:eastAsia="仿宋_GB2312"/>
                <w:color w:val="000000"/>
                <w:sz w:val="24"/>
                <w:highlight w:val="none"/>
                <w:lang w:eastAsia="zh-CN"/>
              </w:rPr>
              <w:t>二</w:t>
            </w:r>
            <w:r>
              <w:rPr>
                <w:rFonts w:hint="eastAsia" w:ascii="仿宋_GB2312" w:eastAsia="仿宋_GB2312"/>
                <w:color w:val="000000"/>
                <w:sz w:val="24"/>
                <w:highlight w:val="none"/>
              </w:rPr>
              <w:t>级</w:t>
            </w:r>
            <w:r>
              <w:rPr>
                <w:rFonts w:hint="eastAsia" w:ascii="仿宋_GB2312" w:eastAsia="仿宋_GB2312"/>
                <w:color w:val="000000"/>
                <w:sz w:val="24"/>
                <w:highlight w:val="none"/>
                <w:lang w:val="en-US" w:eastAsia="zh-CN"/>
              </w:rPr>
              <w:t>及以上</w:t>
            </w:r>
            <w:r>
              <w:rPr>
                <w:rFonts w:hint="eastAsia" w:ascii="仿宋_GB2312" w:eastAsia="仿宋_GB2312"/>
                <w:color w:val="000000"/>
                <w:sz w:val="24"/>
                <w:highlight w:val="none"/>
              </w:rPr>
              <w:t>证书，得2分；</w:t>
            </w:r>
          </w:p>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ascii="仿宋_GB2312" w:eastAsia="仿宋_GB2312"/>
                <w:color w:val="000000"/>
                <w:sz w:val="24"/>
              </w:rPr>
            </w:pPr>
            <w:r>
              <w:rPr>
                <w:rFonts w:hint="eastAsia" w:ascii="仿宋_GB2312" w:eastAsia="仿宋_GB2312"/>
                <w:color w:val="000000"/>
                <w:sz w:val="24"/>
              </w:rPr>
              <w:t>三</w:t>
            </w:r>
            <w:r>
              <w:rPr>
                <w:rFonts w:hint="eastAsia" w:ascii="仿宋_GB2312" w:eastAsia="仿宋_GB2312"/>
                <w:color w:val="000000"/>
                <w:sz w:val="24"/>
                <w:lang w:eastAsia="zh-CN"/>
              </w:rPr>
              <w:t>、</w:t>
            </w:r>
            <w:r>
              <w:rPr>
                <w:rFonts w:hint="eastAsia" w:ascii="仿宋_GB2312" w:eastAsia="仿宋_GB2312"/>
                <w:color w:val="000000"/>
                <w:sz w:val="24"/>
              </w:rPr>
              <w:t>拟派高配管理人员持有应急管理部门颁发或监制的特种作业操作证（</w:t>
            </w:r>
            <w:r>
              <w:fldChar w:fldCharType="begin"/>
            </w:r>
            <w:r>
              <w:instrText xml:space="preserve"> HYPERLINK "https://baike.baidu.com/item/%E9%AB%98%E5%8E%8B%E7%94%B5/290410?fromModule=lemma_inlink" \t "https://baike.baidu.com/item/%E7%89%B9%E7%A7%8D%E4%BD%9C%E4%B8%9A%E6%93%8D%E4%BD%9C%E8%AF%81/_blank" </w:instrText>
            </w:r>
            <w:r>
              <w:fldChar w:fldCharType="separate"/>
            </w:r>
            <w:r>
              <w:rPr>
                <w:rFonts w:hint="eastAsia" w:ascii="仿宋_GB2312" w:eastAsia="仿宋_GB2312"/>
                <w:color w:val="000000"/>
                <w:sz w:val="24"/>
              </w:rPr>
              <w:t>高压电</w:t>
            </w:r>
            <w:r>
              <w:rPr>
                <w:rFonts w:hint="eastAsia" w:ascii="仿宋_GB2312" w:eastAsia="仿宋_GB2312"/>
                <w:color w:val="000000"/>
                <w:sz w:val="24"/>
              </w:rPr>
              <w:fldChar w:fldCharType="end"/>
            </w:r>
            <w:r>
              <w:rPr>
                <w:rFonts w:hint="eastAsia" w:ascii="仿宋_GB2312" w:eastAsia="仿宋_GB2312"/>
                <w:color w:val="000000"/>
                <w:sz w:val="24"/>
              </w:rPr>
              <w:t>工作业），得2分；</w:t>
            </w:r>
          </w:p>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ascii="仿宋_GB2312" w:eastAsia="仿宋_GB2312"/>
                <w:color w:val="000000"/>
                <w:sz w:val="24"/>
              </w:rPr>
            </w:pPr>
            <w:r>
              <w:rPr>
                <w:rFonts w:hint="eastAsia" w:ascii="仿宋_GB2312" w:eastAsia="仿宋_GB2312"/>
                <w:color w:val="000000"/>
                <w:sz w:val="24"/>
                <w:lang w:val="en-US" w:eastAsia="zh-CN"/>
              </w:rPr>
              <w:t>四</w:t>
            </w:r>
            <w:r>
              <w:rPr>
                <w:rFonts w:hint="eastAsia" w:ascii="仿宋_GB2312" w:eastAsia="仿宋_GB2312"/>
                <w:color w:val="000000"/>
                <w:sz w:val="24"/>
                <w:lang w:eastAsia="zh-CN"/>
              </w:rPr>
              <w:t>、</w:t>
            </w:r>
            <w:r>
              <w:rPr>
                <w:rFonts w:hint="eastAsia" w:ascii="仿宋_GB2312" w:eastAsia="仿宋_GB2312"/>
                <w:color w:val="000000"/>
                <w:sz w:val="24"/>
              </w:rPr>
              <w:t>拟派</w:t>
            </w:r>
            <w:r>
              <w:rPr>
                <w:rFonts w:hint="eastAsia" w:ascii="仿宋_GB2312" w:eastAsia="仿宋_GB2312"/>
                <w:color w:val="000000"/>
                <w:sz w:val="24"/>
                <w:lang w:val="en-US" w:eastAsia="zh-CN"/>
              </w:rPr>
              <w:t>低压电工</w:t>
            </w:r>
            <w:r>
              <w:rPr>
                <w:rFonts w:hint="eastAsia" w:ascii="仿宋_GB2312" w:eastAsia="仿宋_GB2312"/>
                <w:color w:val="000000"/>
                <w:sz w:val="24"/>
              </w:rPr>
              <w:t>管理人员持有应急管理部门颁发或监制的特种作业操作证（</w:t>
            </w:r>
            <w:r>
              <w:fldChar w:fldCharType="begin"/>
            </w:r>
            <w:r>
              <w:instrText xml:space="preserve"> HYPERLINK "https://baike.baidu.com/item/%E9%AB%98%E5%8E%8B%E7%94%B5/290410?fromModule=lemma_inlink" \t "https://baike.baidu.com/item/%E7%89%B9%E7%A7%8D%E4%BD%9C%E4%B8%9A%E6%93%8D%E4%BD%9C%E8%AF%81/_blank" </w:instrText>
            </w:r>
            <w:r>
              <w:fldChar w:fldCharType="separate"/>
            </w:r>
            <w:r>
              <w:rPr>
                <w:rFonts w:hint="eastAsia" w:ascii="仿宋_GB2312" w:eastAsia="仿宋_GB2312"/>
                <w:color w:val="000000"/>
                <w:sz w:val="24"/>
                <w:lang w:val="en-US" w:eastAsia="zh-CN"/>
              </w:rPr>
              <w:t>低</w:t>
            </w:r>
            <w:r>
              <w:rPr>
                <w:rFonts w:hint="eastAsia" w:ascii="仿宋_GB2312" w:eastAsia="仿宋_GB2312"/>
                <w:color w:val="000000"/>
                <w:sz w:val="24"/>
              </w:rPr>
              <w:t>压电</w:t>
            </w:r>
            <w:r>
              <w:rPr>
                <w:rFonts w:hint="eastAsia" w:ascii="仿宋_GB2312" w:eastAsia="仿宋_GB2312"/>
                <w:color w:val="000000"/>
                <w:sz w:val="24"/>
              </w:rPr>
              <w:fldChar w:fldCharType="end"/>
            </w:r>
            <w:r>
              <w:rPr>
                <w:rFonts w:hint="eastAsia" w:ascii="仿宋_GB2312" w:eastAsia="仿宋_GB2312"/>
                <w:color w:val="000000"/>
                <w:sz w:val="24"/>
              </w:rPr>
              <w:t>工作业），得2分。</w:t>
            </w:r>
          </w:p>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ascii="仿宋_GB2312" w:eastAsia="仿宋_GB2312"/>
                <w:color w:val="000000"/>
                <w:sz w:val="24"/>
              </w:rPr>
            </w:pPr>
            <w:r>
              <w:rPr>
                <w:rFonts w:hint="eastAsia" w:ascii="仿宋_GB2312" w:eastAsia="仿宋_GB2312"/>
                <w:color w:val="000000"/>
                <w:sz w:val="24"/>
              </w:rPr>
              <w:t>注：以上人员不得兼任，提供以上相关人员本单位的社保证明材料及相关证书材料复印件并加盖投标人公章,否则不得分</w:t>
            </w:r>
            <w:bookmarkStart w:id="163" w:name="_GoBack"/>
            <w:bookmarkEnd w:id="163"/>
            <w:r>
              <w:rPr>
                <w:rFonts w:hint="eastAsia" w:ascii="仿宋_GB2312" w:eastAsia="仿宋_GB2312"/>
                <w:color w:val="000000"/>
                <w:sz w:val="24"/>
              </w:rPr>
              <w:t>。</w:t>
            </w:r>
          </w:p>
        </w:tc>
        <w:tc>
          <w:tcPr>
            <w:tcW w:w="786"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仿宋_GB2312" w:hAnsi="宋体" w:eastAsia="仿宋_GB2312"/>
                <w:bCs/>
                <w:iCs/>
                <w:sz w:val="24"/>
                <w:lang w:val="en-US" w:eastAsia="zh-CN"/>
              </w:rPr>
            </w:pPr>
            <w:r>
              <w:rPr>
                <w:rFonts w:hint="eastAsia" w:ascii="仿宋_GB2312" w:hAnsi="宋体" w:eastAsia="仿宋_GB2312"/>
                <w:bCs/>
                <w:iCs/>
                <w:sz w:val="24"/>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仿宋_GB2312" w:hAnsi="宋体" w:eastAsia="仿宋_GB2312"/>
                <w:bCs/>
                <w:iCs/>
                <w:sz w:val="24"/>
              </w:rPr>
            </w:pPr>
            <w:r>
              <w:rPr>
                <w:rFonts w:hint="eastAsia" w:ascii="仿宋_GB2312" w:hAnsi="宋体" w:eastAsia="仿宋_GB2312"/>
                <w:bCs/>
                <w:iCs/>
                <w:sz w:val="24"/>
              </w:rPr>
              <w:t>4</w:t>
            </w:r>
          </w:p>
        </w:tc>
        <w:tc>
          <w:tcPr>
            <w:tcW w:w="1413"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仿宋_GB2312" w:hAnsi="宋体" w:eastAsia="仿宋_GB2312"/>
                <w:bCs/>
                <w:iCs/>
                <w:sz w:val="24"/>
              </w:rPr>
            </w:pPr>
            <w:r>
              <w:rPr>
                <w:rFonts w:hint="eastAsia" w:ascii="仿宋_GB2312" w:eastAsia="仿宋_GB2312"/>
                <w:color w:val="000000"/>
                <w:sz w:val="24"/>
              </w:rPr>
              <w:t>综合管理方案</w:t>
            </w:r>
          </w:p>
        </w:tc>
        <w:tc>
          <w:tcPr>
            <w:tcW w:w="6416"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hint="eastAsia" w:ascii="仿宋_GB2312" w:eastAsia="仿宋_GB2312"/>
                <w:color w:val="000000"/>
                <w:sz w:val="24"/>
              </w:rPr>
            </w:pPr>
            <w:r>
              <w:rPr>
                <w:rFonts w:hint="eastAsia" w:ascii="仿宋_GB2312" w:eastAsia="仿宋_GB2312"/>
                <w:color w:val="000000"/>
                <w:sz w:val="24"/>
              </w:rPr>
              <w:t>投标人提供全面的综合管理方案，包含但不限于物业现状分析、总体管理、服务指标及措施等。</w:t>
            </w:r>
          </w:p>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ascii="仿宋_GB2312" w:hAnsi="宋体" w:eastAsia="仿宋_GB2312"/>
                <w:bCs/>
                <w:iCs/>
                <w:sz w:val="24"/>
              </w:rPr>
            </w:pPr>
            <w:r>
              <w:rPr>
                <w:rFonts w:hint="eastAsia" w:ascii="仿宋_GB2312" w:eastAsia="仿宋_GB2312"/>
                <w:color w:val="000000"/>
                <w:sz w:val="24"/>
              </w:rPr>
              <w:t>(本项分值设置为5,4,3,2,1,0.5,0分)</w:t>
            </w:r>
          </w:p>
        </w:tc>
        <w:tc>
          <w:tcPr>
            <w:tcW w:w="786"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eastAsia" w:ascii="仿宋_GB2312" w:hAnsi="宋体" w:eastAsia="仿宋_GB2312"/>
                <w:bCs/>
                <w:iCs/>
                <w:sz w:val="24"/>
              </w:rPr>
            </w:pPr>
            <w:r>
              <w:rPr>
                <w:rFonts w:hint="eastAsia" w:ascii="仿宋_GB2312" w:hAnsi="宋体" w:eastAsia="仿宋_GB2312"/>
                <w:bCs/>
                <w:iCs/>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11"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仿宋_GB2312" w:hAnsi="宋体" w:eastAsia="仿宋_GB2312"/>
                <w:bCs/>
                <w:iCs/>
                <w:sz w:val="24"/>
              </w:rPr>
            </w:pPr>
            <w:r>
              <w:rPr>
                <w:rFonts w:hint="eastAsia" w:ascii="仿宋_GB2312" w:hAnsi="宋体" w:eastAsia="仿宋_GB2312"/>
                <w:bCs/>
                <w:iCs/>
                <w:sz w:val="24"/>
              </w:rPr>
              <w:t>5</w:t>
            </w:r>
          </w:p>
        </w:tc>
        <w:tc>
          <w:tcPr>
            <w:tcW w:w="1413"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仿宋_GB2312" w:hAnsi="宋体" w:eastAsia="仿宋_GB2312"/>
                <w:bCs/>
                <w:iCs/>
                <w:sz w:val="24"/>
              </w:rPr>
            </w:pPr>
            <w:r>
              <w:rPr>
                <w:rFonts w:hint="eastAsia" w:ascii="仿宋_GB2312" w:eastAsia="仿宋_GB2312"/>
                <w:color w:val="000000"/>
                <w:sz w:val="24"/>
              </w:rPr>
              <w:t>设备投入方案</w:t>
            </w:r>
          </w:p>
        </w:tc>
        <w:tc>
          <w:tcPr>
            <w:tcW w:w="6416" w:type="dxa"/>
            <w:noWrap w:val="0"/>
            <w:vAlign w:val="center"/>
          </w:tcPr>
          <w:p>
            <w:pPr>
              <w:keepNext w:val="0"/>
              <w:keepLines w:val="0"/>
              <w:pageBreakBefore w:val="0"/>
              <w:kinsoku/>
              <w:wordWrap/>
              <w:overflowPunct/>
              <w:topLinePunct w:val="0"/>
              <w:autoSpaceDE/>
              <w:autoSpaceDN/>
              <w:bidi w:val="0"/>
              <w:adjustRightInd/>
              <w:spacing w:line="400" w:lineRule="exact"/>
              <w:ind w:right="-107" w:rightChars="-51"/>
              <w:textAlignment w:val="auto"/>
              <w:rPr>
                <w:rFonts w:ascii="仿宋_GB2312" w:hAnsi="宋体" w:eastAsia="仿宋_GB2312"/>
                <w:bCs/>
                <w:iCs/>
                <w:sz w:val="24"/>
              </w:rPr>
            </w:pPr>
            <w:r>
              <w:rPr>
                <w:rFonts w:hint="eastAsia" w:ascii="仿宋_GB2312" w:eastAsia="仿宋_GB2312"/>
                <w:color w:val="000000"/>
                <w:sz w:val="24"/>
              </w:rPr>
              <w:t>投标人提供投入项目所需物资设备保障方案，包括但不限于技术装备、物资清单</w:t>
            </w:r>
            <w:r>
              <w:rPr>
                <w:rFonts w:hint="eastAsia" w:ascii="仿宋_GB2312" w:eastAsia="仿宋_GB2312"/>
                <w:color w:val="000000"/>
                <w:sz w:val="24"/>
                <w:highlight w:val="none"/>
              </w:rPr>
              <w:t>、保安巡逻交通工具、保</w:t>
            </w:r>
            <w:r>
              <w:rPr>
                <w:rFonts w:hint="eastAsia" w:ascii="仿宋_GB2312" w:eastAsia="仿宋_GB2312"/>
                <w:color w:val="000000"/>
                <w:sz w:val="24"/>
              </w:rPr>
              <w:t>洁清洁工具等内容。(本项分值设置为5,4,3,2,1,0.5,0分)</w:t>
            </w:r>
          </w:p>
        </w:tc>
        <w:tc>
          <w:tcPr>
            <w:tcW w:w="786"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eastAsia" w:ascii="仿宋_GB2312" w:hAnsi="宋体" w:eastAsia="仿宋_GB2312"/>
                <w:bCs/>
                <w:iCs/>
                <w:sz w:val="24"/>
              </w:rPr>
            </w:pPr>
            <w:r>
              <w:rPr>
                <w:rFonts w:hint="eastAsia" w:ascii="仿宋_GB2312" w:hAnsi="宋体" w:eastAsia="仿宋_GB2312"/>
                <w:bCs/>
                <w:iCs/>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仿宋_GB2312" w:hAnsi="宋体" w:eastAsia="仿宋_GB2312"/>
                <w:bCs/>
                <w:iCs/>
                <w:sz w:val="24"/>
              </w:rPr>
            </w:pPr>
            <w:r>
              <w:rPr>
                <w:rFonts w:hint="eastAsia" w:ascii="仿宋_GB2312" w:hAnsi="宋体" w:eastAsia="仿宋_GB2312"/>
                <w:bCs/>
                <w:iCs/>
                <w:sz w:val="24"/>
              </w:rPr>
              <w:t>6</w:t>
            </w:r>
          </w:p>
        </w:tc>
        <w:tc>
          <w:tcPr>
            <w:tcW w:w="1413"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仿宋_GB2312" w:hAnsi="宋体" w:eastAsia="仿宋_GB2312"/>
                <w:bCs/>
                <w:iCs/>
                <w:sz w:val="24"/>
              </w:rPr>
            </w:pPr>
            <w:r>
              <w:rPr>
                <w:rFonts w:hint="eastAsia" w:ascii="仿宋_GB2312" w:eastAsia="仿宋_GB2312"/>
                <w:color w:val="000000"/>
                <w:sz w:val="24"/>
              </w:rPr>
              <w:t>员工培训</w:t>
            </w:r>
          </w:p>
        </w:tc>
        <w:tc>
          <w:tcPr>
            <w:tcW w:w="6416"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hint="eastAsia" w:ascii="仿宋_GB2312" w:eastAsia="仿宋_GB2312"/>
                <w:color w:val="000000"/>
                <w:sz w:val="24"/>
              </w:rPr>
            </w:pPr>
            <w:r>
              <w:rPr>
                <w:rFonts w:hint="eastAsia" w:ascii="仿宋_GB2312" w:eastAsia="仿宋_GB2312"/>
                <w:color w:val="000000"/>
                <w:sz w:val="24"/>
              </w:rPr>
              <w:t>投标人提供完备的培训与管理方案，包括但不限于培训场地、培训师资、培训制度、培训内容等。</w:t>
            </w:r>
          </w:p>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ascii="仿宋_GB2312" w:hAnsi="宋体" w:eastAsia="仿宋_GB2312"/>
                <w:bCs/>
                <w:iCs/>
                <w:sz w:val="24"/>
              </w:rPr>
            </w:pPr>
            <w:r>
              <w:rPr>
                <w:rFonts w:hint="eastAsia" w:ascii="仿宋_GB2312" w:eastAsia="仿宋_GB2312"/>
                <w:color w:val="000000"/>
                <w:sz w:val="24"/>
              </w:rPr>
              <w:t>(本项分值设置为5,4,3,2,1,0.5,0分)</w:t>
            </w:r>
          </w:p>
        </w:tc>
        <w:tc>
          <w:tcPr>
            <w:tcW w:w="786"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eastAsia" w:ascii="仿宋_GB2312" w:hAnsi="宋体" w:eastAsia="仿宋_GB2312"/>
                <w:bCs/>
                <w:iCs/>
                <w:sz w:val="24"/>
              </w:rPr>
            </w:pPr>
            <w:r>
              <w:rPr>
                <w:rFonts w:hint="eastAsia" w:ascii="仿宋_GB2312" w:hAnsi="宋体" w:eastAsia="仿宋_GB2312"/>
                <w:bCs/>
                <w:iCs/>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仿宋_GB2312" w:hAnsi="宋体" w:eastAsia="仿宋_GB2312"/>
                <w:bCs/>
                <w:iCs/>
                <w:sz w:val="24"/>
              </w:rPr>
            </w:pPr>
            <w:r>
              <w:rPr>
                <w:rFonts w:hint="eastAsia" w:ascii="仿宋_GB2312" w:hAnsi="宋体" w:eastAsia="仿宋_GB2312"/>
                <w:bCs/>
                <w:iCs/>
                <w:sz w:val="24"/>
              </w:rPr>
              <w:t>7</w:t>
            </w:r>
          </w:p>
        </w:tc>
        <w:tc>
          <w:tcPr>
            <w:tcW w:w="1413"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仿宋_GB2312" w:hAnsi="宋体" w:eastAsia="仿宋_GB2312"/>
                <w:bCs/>
                <w:iCs/>
                <w:sz w:val="24"/>
              </w:rPr>
            </w:pPr>
            <w:r>
              <w:rPr>
                <w:rFonts w:hint="eastAsia" w:ascii="仿宋_GB2312" w:eastAsia="仿宋_GB2312"/>
                <w:color w:val="000000"/>
                <w:sz w:val="24"/>
              </w:rPr>
              <w:t>保洁服务方案</w:t>
            </w:r>
          </w:p>
        </w:tc>
        <w:tc>
          <w:tcPr>
            <w:tcW w:w="6416"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ascii="仿宋_GB2312" w:hAnsi="宋体" w:eastAsia="仿宋_GB2312"/>
                <w:bCs/>
                <w:iCs/>
                <w:sz w:val="24"/>
              </w:rPr>
            </w:pPr>
            <w:r>
              <w:rPr>
                <w:rFonts w:hint="eastAsia" w:ascii="仿宋_GB2312" w:eastAsia="仿宋_GB2312"/>
                <w:color w:val="000000"/>
                <w:sz w:val="24"/>
              </w:rPr>
              <w:t>投标人提供各类场景下的卫生保洁服务方案，包括但不限于具备详细的人员分工和质量要求</w:t>
            </w:r>
            <w:r>
              <w:rPr>
                <w:rFonts w:hint="eastAsia" w:ascii="仿宋_GB2312" w:eastAsia="仿宋_GB2312"/>
                <w:color w:val="000000"/>
                <w:sz w:val="24"/>
                <w:lang w:eastAsia="zh-CN"/>
              </w:rPr>
              <w:t>、</w:t>
            </w:r>
            <w:r>
              <w:rPr>
                <w:rFonts w:hint="eastAsia" w:ascii="仿宋_GB2312" w:hAnsi="仿宋_GB2312" w:eastAsia="仿宋_GB2312" w:cs="仿宋_GB2312"/>
                <w:kern w:val="0"/>
                <w:sz w:val="24"/>
                <w:szCs w:val="24"/>
              </w:rPr>
              <w:t>公共区域及设施的保洁方案；灭“四害”消杀</w:t>
            </w:r>
            <w:r>
              <w:rPr>
                <w:rFonts w:hint="eastAsia" w:ascii="仿宋_GB2312" w:eastAsia="仿宋_GB2312"/>
                <w:color w:val="000000"/>
                <w:sz w:val="24"/>
              </w:rPr>
              <w:t>等。(本项分值设置为5,4,3,2,1,0.5,0分)</w:t>
            </w:r>
          </w:p>
        </w:tc>
        <w:tc>
          <w:tcPr>
            <w:tcW w:w="786"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eastAsia" w:ascii="仿宋_GB2312" w:hAnsi="宋体" w:eastAsia="仿宋_GB2312"/>
                <w:bCs/>
                <w:iCs/>
                <w:sz w:val="24"/>
              </w:rPr>
            </w:pPr>
            <w:r>
              <w:rPr>
                <w:rFonts w:hint="eastAsia" w:ascii="仿宋_GB2312" w:hAnsi="宋体" w:eastAsia="仿宋_GB2312"/>
                <w:bCs/>
                <w:iCs/>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11"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仿宋_GB2312" w:hAnsi="宋体" w:eastAsia="仿宋_GB2312"/>
                <w:bCs/>
                <w:iCs/>
                <w:sz w:val="24"/>
              </w:rPr>
            </w:pPr>
            <w:r>
              <w:rPr>
                <w:rFonts w:hint="eastAsia" w:ascii="仿宋_GB2312" w:hAnsi="宋体" w:eastAsia="仿宋_GB2312"/>
                <w:bCs/>
                <w:iCs/>
                <w:sz w:val="24"/>
              </w:rPr>
              <w:t>8</w:t>
            </w:r>
          </w:p>
        </w:tc>
        <w:tc>
          <w:tcPr>
            <w:tcW w:w="1413"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仿宋_GB2312" w:hAnsi="宋体" w:eastAsia="仿宋_GB2312"/>
                <w:bCs/>
                <w:iCs/>
                <w:sz w:val="24"/>
              </w:rPr>
            </w:pPr>
            <w:r>
              <w:rPr>
                <w:rFonts w:hint="eastAsia" w:ascii="仿宋_GB2312" w:eastAsia="仿宋_GB2312"/>
                <w:color w:val="000000"/>
                <w:sz w:val="24"/>
              </w:rPr>
              <w:t>保安服务方案</w:t>
            </w:r>
          </w:p>
        </w:tc>
        <w:tc>
          <w:tcPr>
            <w:tcW w:w="6416"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ascii="仿宋_GB2312" w:hAnsi="宋体" w:eastAsia="仿宋_GB2312"/>
                <w:bCs/>
                <w:iCs/>
                <w:sz w:val="24"/>
              </w:rPr>
            </w:pPr>
            <w:r>
              <w:rPr>
                <w:rFonts w:hint="eastAsia" w:ascii="仿宋_GB2312" w:eastAsia="仿宋_GB2312"/>
                <w:color w:val="000000"/>
                <w:sz w:val="24"/>
              </w:rPr>
              <w:t>投标人提供完善的安全保安服务方案，包括但不限于门岗、巡逻、消防、监控、车辆管理、快递管控、重大活动保障、各类突发事件处置流程等。(本项分值设置为5,4,3,2,1,0.5,0分)</w:t>
            </w:r>
          </w:p>
        </w:tc>
        <w:tc>
          <w:tcPr>
            <w:tcW w:w="786"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eastAsia" w:ascii="仿宋_GB2312" w:hAnsi="宋体" w:eastAsia="仿宋_GB2312"/>
                <w:bCs/>
                <w:iCs/>
                <w:sz w:val="24"/>
              </w:rPr>
            </w:pPr>
            <w:r>
              <w:rPr>
                <w:rFonts w:hint="eastAsia" w:ascii="仿宋_GB2312" w:hAnsi="宋体" w:eastAsia="仿宋_GB2312"/>
                <w:bCs/>
                <w:iCs/>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11"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仿宋_GB2312" w:hAnsi="宋体" w:eastAsia="仿宋_GB2312"/>
                <w:bCs/>
                <w:iCs/>
                <w:sz w:val="24"/>
              </w:rPr>
            </w:pPr>
            <w:r>
              <w:rPr>
                <w:rFonts w:hint="eastAsia" w:ascii="仿宋_GB2312" w:hAnsi="宋体" w:eastAsia="仿宋_GB2312"/>
                <w:bCs/>
                <w:iCs/>
                <w:sz w:val="24"/>
              </w:rPr>
              <w:t>9</w:t>
            </w:r>
          </w:p>
        </w:tc>
        <w:tc>
          <w:tcPr>
            <w:tcW w:w="1413"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仿宋_GB2312" w:hAnsi="宋体" w:eastAsia="仿宋_GB2312"/>
                <w:bCs/>
                <w:iCs/>
                <w:sz w:val="24"/>
              </w:rPr>
            </w:pPr>
            <w:r>
              <w:rPr>
                <w:rFonts w:hint="eastAsia" w:ascii="仿宋_GB2312" w:hAnsi="宋体" w:eastAsia="仿宋_GB2312"/>
                <w:bCs/>
                <w:iCs/>
                <w:sz w:val="24"/>
              </w:rPr>
              <w:t>紧急事件处理方案</w:t>
            </w:r>
          </w:p>
        </w:tc>
        <w:tc>
          <w:tcPr>
            <w:tcW w:w="6416" w:type="dxa"/>
            <w:noWrap w:val="0"/>
            <w:vAlign w:val="center"/>
          </w:tcPr>
          <w:p>
            <w:pPr>
              <w:keepNext w:val="0"/>
              <w:keepLines w:val="0"/>
              <w:pageBreakBefore w:val="0"/>
              <w:kinsoku/>
              <w:wordWrap/>
              <w:overflowPunct/>
              <w:topLinePunct w:val="0"/>
              <w:autoSpaceDE/>
              <w:autoSpaceDN/>
              <w:bidi w:val="0"/>
              <w:adjustRightInd/>
              <w:spacing w:line="400" w:lineRule="exact"/>
              <w:jc w:val="left"/>
              <w:textAlignment w:val="auto"/>
              <w:rPr>
                <w:rFonts w:ascii="仿宋_GB2312" w:hAnsi="宋体" w:eastAsia="仿宋_GB2312"/>
                <w:bCs/>
                <w:iCs/>
                <w:sz w:val="24"/>
              </w:rPr>
            </w:pPr>
            <w:r>
              <w:rPr>
                <w:rFonts w:hint="eastAsia" w:ascii="仿宋_GB2312" w:hAnsi="宋体" w:eastAsia="仿宋_GB2312"/>
                <w:bCs/>
                <w:iCs/>
                <w:sz w:val="24"/>
              </w:rPr>
              <w:t>投标人提供紧急事件处理方案，包括但不限于重大活动应急保障，电梯困人，雨雪天气，火灾等。</w:t>
            </w:r>
            <w:r>
              <w:rPr>
                <w:rFonts w:hint="eastAsia" w:ascii="仿宋_GB2312" w:eastAsia="仿宋_GB2312"/>
                <w:color w:val="000000"/>
                <w:sz w:val="24"/>
              </w:rPr>
              <w:t>(本项分值设置为5,4,3,2,1,0.5,0分)</w:t>
            </w:r>
          </w:p>
        </w:tc>
        <w:tc>
          <w:tcPr>
            <w:tcW w:w="786"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eastAsia" w:ascii="仿宋_GB2312" w:hAnsi="宋体" w:eastAsia="仿宋_GB2312"/>
                <w:bCs/>
                <w:iCs/>
                <w:sz w:val="24"/>
              </w:rPr>
            </w:pPr>
            <w:r>
              <w:rPr>
                <w:rFonts w:hint="eastAsia" w:ascii="仿宋_GB2312" w:hAnsi="宋体" w:eastAsia="仿宋_GB2312"/>
                <w:bCs/>
                <w:iCs/>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仿宋_GB2312" w:hAnsi="宋体" w:eastAsia="仿宋_GB2312"/>
                <w:bCs/>
                <w:iCs/>
                <w:sz w:val="24"/>
              </w:rPr>
            </w:pPr>
            <w:r>
              <w:rPr>
                <w:rFonts w:hint="eastAsia" w:ascii="仿宋_GB2312" w:hAnsi="宋体" w:eastAsia="仿宋_GB2312"/>
                <w:bCs/>
                <w:iCs/>
                <w:sz w:val="24"/>
              </w:rPr>
              <w:t>10</w:t>
            </w:r>
          </w:p>
        </w:tc>
        <w:tc>
          <w:tcPr>
            <w:tcW w:w="1413"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jc w:val="center"/>
              <w:textAlignment w:val="auto"/>
              <w:rPr>
                <w:rFonts w:ascii="仿宋_GB2312" w:eastAsia="仿宋_GB2312"/>
                <w:color w:val="000000"/>
                <w:sz w:val="24"/>
              </w:rPr>
            </w:pPr>
            <w:r>
              <w:rPr>
                <w:rFonts w:hint="eastAsia" w:ascii="仿宋_GB2312" w:eastAsia="仿宋_GB2312"/>
                <w:color w:val="000000"/>
                <w:sz w:val="24"/>
              </w:rPr>
              <w:t>项目组织管理机构情况</w:t>
            </w:r>
          </w:p>
        </w:tc>
        <w:tc>
          <w:tcPr>
            <w:tcW w:w="6416"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ascii="仿宋_GB2312" w:eastAsia="仿宋_GB2312"/>
                <w:color w:val="000000"/>
                <w:sz w:val="24"/>
              </w:rPr>
            </w:pPr>
            <w:r>
              <w:rPr>
                <w:rFonts w:hint="eastAsia" w:ascii="仿宋_GB2312" w:eastAsia="仿宋_GB2312"/>
                <w:color w:val="000000"/>
                <w:sz w:val="24"/>
              </w:rPr>
              <w:t>投标人提供项目组织管理机构情况，包括但不限于岗位分配合理性、团队人员配置数量、人员的业务素质等。(本项分值设置为5,4,3,2,1,0.5,0分)</w:t>
            </w:r>
          </w:p>
        </w:tc>
        <w:tc>
          <w:tcPr>
            <w:tcW w:w="786"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jc w:val="center"/>
              <w:textAlignment w:val="auto"/>
              <w:rPr>
                <w:rFonts w:hint="eastAsia" w:ascii="仿宋_GB2312" w:eastAsia="仿宋_GB2312"/>
                <w:sz w:val="24"/>
              </w:rPr>
            </w:pPr>
            <w:r>
              <w:rPr>
                <w:rFonts w:hint="eastAsia" w:ascii="仿宋_GB2312" w:eastAsia="仿宋_GB2312"/>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811"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仿宋_GB2312" w:hAnsi="宋体" w:eastAsia="仿宋_GB2312"/>
                <w:bCs/>
                <w:iCs/>
                <w:sz w:val="24"/>
              </w:rPr>
            </w:pPr>
            <w:r>
              <w:rPr>
                <w:rFonts w:hint="eastAsia" w:ascii="仿宋_GB2312" w:hAnsi="宋体" w:eastAsia="仿宋_GB2312"/>
                <w:bCs/>
                <w:iCs/>
                <w:sz w:val="24"/>
              </w:rPr>
              <w:t>11</w:t>
            </w:r>
          </w:p>
        </w:tc>
        <w:tc>
          <w:tcPr>
            <w:tcW w:w="1413"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jc w:val="center"/>
              <w:textAlignment w:val="auto"/>
              <w:rPr>
                <w:rFonts w:ascii="仿宋_GB2312" w:eastAsia="仿宋_GB2312"/>
                <w:color w:val="000000"/>
                <w:sz w:val="24"/>
              </w:rPr>
            </w:pPr>
            <w:r>
              <w:rPr>
                <w:rFonts w:hint="eastAsia" w:ascii="仿宋_GB2312" w:eastAsia="仿宋_GB2312"/>
                <w:color w:val="000000"/>
                <w:sz w:val="24"/>
              </w:rPr>
              <w:t>其他服务承诺</w:t>
            </w:r>
          </w:p>
        </w:tc>
        <w:tc>
          <w:tcPr>
            <w:tcW w:w="6416"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ascii="仿宋_GB2312" w:eastAsia="仿宋_GB2312"/>
                <w:color w:val="000000"/>
                <w:sz w:val="24"/>
              </w:rPr>
            </w:pPr>
            <w:r>
              <w:rPr>
                <w:rFonts w:hint="eastAsia" w:ascii="仿宋_GB2312" w:eastAsia="仿宋_GB2312"/>
                <w:color w:val="000000"/>
                <w:sz w:val="24"/>
              </w:rPr>
              <w:t>投标人提供在本项目已述服务内容外的服务承诺，包括但不限于重大活动秩序维护、重大会议会务接待等。(本项分值设置为5,4,3,2,1,0.5,0分)</w:t>
            </w:r>
          </w:p>
        </w:tc>
        <w:tc>
          <w:tcPr>
            <w:tcW w:w="786"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jc w:val="center"/>
              <w:textAlignment w:val="auto"/>
              <w:rPr>
                <w:rFonts w:hint="eastAsia" w:ascii="仿宋_GB2312" w:eastAsia="仿宋_GB2312"/>
                <w:sz w:val="24"/>
              </w:rPr>
            </w:pPr>
            <w:r>
              <w:rPr>
                <w:rFonts w:hint="eastAsia" w:ascii="仿宋_GB2312" w:eastAsia="仿宋_GB2312"/>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仿宋_GB2312" w:hAnsi="宋体" w:eastAsia="仿宋_GB2312"/>
                <w:bCs/>
                <w:iCs/>
                <w:sz w:val="24"/>
              </w:rPr>
            </w:pPr>
            <w:r>
              <w:rPr>
                <w:rFonts w:hint="eastAsia" w:ascii="仿宋_GB2312" w:hAnsi="宋体" w:eastAsia="仿宋_GB2312"/>
                <w:bCs/>
                <w:iCs/>
                <w:sz w:val="24"/>
              </w:rPr>
              <w:t>12</w:t>
            </w:r>
          </w:p>
        </w:tc>
        <w:tc>
          <w:tcPr>
            <w:tcW w:w="1413"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jc w:val="center"/>
              <w:textAlignment w:val="auto"/>
              <w:rPr>
                <w:rFonts w:ascii="仿宋_GB2312" w:eastAsia="仿宋_GB2312"/>
                <w:color w:val="000000"/>
                <w:sz w:val="24"/>
              </w:rPr>
            </w:pPr>
            <w:r>
              <w:rPr>
                <w:rFonts w:hint="eastAsia" w:ascii="仿宋_GB2312" w:eastAsia="仿宋_GB2312"/>
                <w:color w:val="000000"/>
                <w:sz w:val="24"/>
              </w:rPr>
              <w:t>稳定员工队伍的措施</w:t>
            </w:r>
          </w:p>
        </w:tc>
        <w:tc>
          <w:tcPr>
            <w:tcW w:w="6416"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ascii="仿宋_GB2312" w:eastAsia="仿宋_GB2312"/>
                <w:color w:val="000000"/>
                <w:sz w:val="24"/>
              </w:rPr>
            </w:pPr>
            <w:r>
              <w:rPr>
                <w:rFonts w:hint="eastAsia" w:ascii="仿宋_GB2312" w:eastAsia="仿宋_GB2312"/>
                <w:color w:val="000000"/>
                <w:sz w:val="24"/>
              </w:rPr>
              <w:t>投标人提供稳定员工队伍的措施，包括但不限于员工福利待遇、工会福利、激励措施、培训晋升等方面。(本项分值设置为4,3,2,1,0.5,0分)</w:t>
            </w:r>
          </w:p>
        </w:tc>
        <w:tc>
          <w:tcPr>
            <w:tcW w:w="786"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jc w:val="center"/>
              <w:textAlignment w:val="auto"/>
              <w:rPr>
                <w:rFonts w:hint="eastAsia" w:ascii="仿宋_GB2312" w:eastAsia="仿宋_GB2312"/>
                <w:sz w:val="24"/>
                <w:lang w:eastAsia="zh-CN"/>
              </w:rPr>
            </w:pPr>
            <w:r>
              <w:rPr>
                <w:rFonts w:hint="eastAsia" w:ascii="仿宋_GB2312" w:eastAsia="仿宋_GB2312"/>
                <w:sz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仿宋_GB2312" w:hAnsi="宋体" w:eastAsia="仿宋_GB2312"/>
                <w:bCs/>
                <w:iCs/>
                <w:sz w:val="24"/>
              </w:rPr>
            </w:pPr>
            <w:r>
              <w:rPr>
                <w:rFonts w:hint="eastAsia" w:ascii="仿宋_GB2312" w:hAnsi="宋体" w:eastAsia="仿宋_GB2312"/>
                <w:bCs/>
                <w:iCs/>
                <w:sz w:val="24"/>
              </w:rPr>
              <w:t>13</w:t>
            </w:r>
          </w:p>
        </w:tc>
        <w:tc>
          <w:tcPr>
            <w:tcW w:w="1413"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jc w:val="center"/>
              <w:textAlignment w:val="auto"/>
              <w:rPr>
                <w:rFonts w:ascii="仿宋_GB2312" w:eastAsia="仿宋_GB2312"/>
                <w:color w:val="000000"/>
                <w:sz w:val="24"/>
              </w:rPr>
            </w:pPr>
            <w:r>
              <w:rPr>
                <w:rFonts w:hint="eastAsia" w:ascii="仿宋_GB2312" w:eastAsia="仿宋_GB2312"/>
                <w:color w:val="000000"/>
                <w:sz w:val="24"/>
              </w:rPr>
              <w:t>交接方案</w:t>
            </w:r>
          </w:p>
        </w:tc>
        <w:tc>
          <w:tcPr>
            <w:tcW w:w="6416"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ascii="仿宋_GB2312" w:eastAsia="仿宋_GB2312"/>
                <w:color w:val="000000"/>
                <w:sz w:val="24"/>
              </w:rPr>
            </w:pPr>
            <w:r>
              <w:rPr>
                <w:rFonts w:hint="eastAsia" w:ascii="仿宋_GB2312" w:eastAsia="仿宋_GB2312"/>
                <w:color w:val="000000"/>
                <w:sz w:val="24"/>
              </w:rPr>
              <w:t>投标人提供交接方案，包括但不限于人员安置、工作移交、设备盘点交接、提前对接等。(本项分值设置为4,3,2,1,0.5,0分)</w:t>
            </w:r>
          </w:p>
        </w:tc>
        <w:tc>
          <w:tcPr>
            <w:tcW w:w="786"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jc w:val="center"/>
              <w:textAlignment w:val="auto"/>
              <w:rPr>
                <w:rFonts w:hint="eastAsia" w:ascii="仿宋_GB2312" w:eastAsia="仿宋_GB2312"/>
                <w:sz w:val="24"/>
                <w:lang w:eastAsia="zh-CN"/>
              </w:rPr>
            </w:pPr>
            <w:r>
              <w:rPr>
                <w:rFonts w:hint="eastAsia" w:ascii="仿宋_GB2312" w:eastAsia="仿宋_GB2312"/>
                <w:sz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noWrap w:val="0"/>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ascii="仿宋_GB2312" w:hAnsi="宋体" w:eastAsia="仿宋_GB2312"/>
                <w:bCs/>
                <w:iCs/>
                <w:sz w:val="24"/>
              </w:rPr>
            </w:pPr>
            <w:r>
              <w:rPr>
                <w:rFonts w:hint="eastAsia" w:ascii="仿宋_GB2312" w:hAnsi="宋体" w:eastAsia="仿宋_GB2312"/>
                <w:bCs/>
                <w:iCs/>
                <w:sz w:val="24"/>
              </w:rPr>
              <w:t>14</w:t>
            </w:r>
          </w:p>
        </w:tc>
        <w:tc>
          <w:tcPr>
            <w:tcW w:w="1413"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jc w:val="center"/>
              <w:textAlignment w:val="auto"/>
              <w:rPr>
                <w:rFonts w:ascii="仿宋_GB2312" w:eastAsia="仿宋_GB2312"/>
                <w:color w:val="000000"/>
                <w:sz w:val="24"/>
              </w:rPr>
            </w:pPr>
            <w:r>
              <w:rPr>
                <w:rFonts w:hint="eastAsia" w:ascii="仿宋_GB2312" w:eastAsia="仿宋_GB2312"/>
                <w:color w:val="000000"/>
                <w:sz w:val="24"/>
              </w:rPr>
              <w:t>垃圾分类方案</w:t>
            </w:r>
          </w:p>
        </w:tc>
        <w:tc>
          <w:tcPr>
            <w:tcW w:w="6416"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textAlignment w:val="auto"/>
              <w:rPr>
                <w:rFonts w:ascii="仿宋_GB2312" w:eastAsia="仿宋_GB2312"/>
                <w:color w:val="000000"/>
                <w:sz w:val="24"/>
              </w:rPr>
            </w:pPr>
            <w:r>
              <w:rPr>
                <w:rFonts w:hint="eastAsia" w:ascii="仿宋_GB2312" w:eastAsia="仿宋_GB2312"/>
                <w:color w:val="000000"/>
                <w:sz w:val="24"/>
              </w:rPr>
              <w:t>投标人提供垃圾分类方案，包括但不限于详细的人员分工和质量要求以及垃圾分类和回收管理、废弃物清理、垃圾运输处理等。(本项分值设置为3,2,1,0.5,0分)</w:t>
            </w:r>
          </w:p>
        </w:tc>
        <w:tc>
          <w:tcPr>
            <w:tcW w:w="786" w:type="dxa"/>
            <w:noWrap w:val="0"/>
            <w:vAlign w:val="center"/>
          </w:tcPr>
          <w:p>
            <w:pPr>
              <w:keepNext w:val="0"/>
              <w:keepLines w:val="0"/>
              <w:pageBreakBefore w:val="0"/>
              <w:kinsoku/>
              <w:wordWrap/>
              <w:overflowPunct/>
              <w:topLinePunct w:val="0"/>
              <w:autoSpaceDE/>
              <w:autoSpaceDN/>
              <w:bidi w:val="0"/>
              <w:adjustRightInd/>
              <w:spacing w:line="400" w:lineRule="exact"/>
              <w:ind w:left="-92" w:leftChars="-44" w:right="-107" w:rightChars="-51"/>
              <w:jc w:val="center"/>
              <w:textAlignment w:val="auto"/>
              <w:rPr>
                <w:rFonts w:hint="eastAsia" w:ascii="仿宋_GB2312" w:eastAsia="仿宋_GB2312"/>
                <w:sz w:val="24"/>
              </w:rPr>
            </w:pPr>
            <w:r>
              <w:rPr>
                <w:rFonts w:hint="eastAsia" w:ascii="仿宋_GB2312" w:eastAsia="仿宋_GB2312"/>
                <w:sz w:val="24"/>
              </w:rPr>
              <w:t>3</w:t>
            </w:r>
          </w:p>
        </w:tc>
      </w:tr>
    </w:tbl>
    <w:p>
      <w:pPr>
        <w:keepNext w:val="0"/>
        <w:keepLines w:val="0"/>
        <w:pageBreakBefore w:val="0"/>
        <w:kinsoku/>
        <w:wordWrap w:val="0"/>
        <w:overflowPunct/>
        <w:topLinePunct w:val="0"/>
        <w:bidi w:val="0"/>
        <w:adjustRightInd w:val="0"/>
        <w:snapToGrid w:val="0"/>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0"/>
          <w:szCs w:val="20"/>
          <w:highlight w:val="none"/>
          <w:shd w:val="clear" w:color="auto" w:fill="FFFFFF"/>
        </w:rPr>
        <w:t> </w:t>
      </w:r>
      <w:r>
        <w:rPr>
          <w:rFonts w:hint="eastAsia" w:ascii="仿宋_GB2312" w:hAnsi="仿宋_GB2312" w:eastAsia="仿宋_GB2312" w:cs="仿宋_GB2312"/>
          <w:b/>
          <w:color w:val="auto"/>
          <w:sz w:val="24"/>
          <w:highlight w:val="none"/>
        </w:rPr>
        <w:t>备注：</w:t>
      </w:r>
      <w:r>
        <w:rPr>
          <w:rFonts w:hint="eastAsia" w:ascii="仿宋_GB2312" w:hAnsi="仿宋_GB2312" w:eastAsia="仿宋_GB2312" w:cs="仿宋_GB2312"/>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b/>
          <w:bCs/>
          <w:iCs/>
          <w:color w:val="auto"/>
          <w:sz w:val="24"/>
          <w:highlight w:val="none"/>
          <w:u w:val="none"/>
          <w:lang w:val="en-US" w:eastAsia="zh-CN"/>
        </w:rPr>
        <w:t>30</w:t>
      </w:r>
      <w:r>
        <w:rPr>
          <w:rFonts w:hint="eastAsia" w:ascii="仿宋_GB2312" w:hAnsi="仿宋_GB2312" w:eastAsia="仿宋_GB2312" w:cs="仿宋_GB2312"/>
          <w:b/>
          <w:bCs/>
          <w:iCs/>
          <w:color w:val="auto"/>
          <w:sz w:val="24"/>
          <w:highlight w:val="none"/>
        </w:rPr>
        <w:t>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u w:val="none"/>
          <w:lang w:val="en-US" w:eastAsia="zh-CN"/>
        </w:rPr>
      </w:pPr>
      <w:r>
        <w:rPr>
          <w:rFonts w:hint="eastAsia" w:ascii="仿宋_GB2312" w:hAnsi="仿宋_GB2312" w:eastAsia="仿宋_GB2312" w:cs="仿宋_GB2312"/>
          <w:bCs/>
          <w:iCs/>
          <w:color w:val="auto"/>
          <w:sz w:val="24"/>
          <w:highlight w:val="none"/>
        </w:rPr>
        <w:t>即：投标报价得分=(评标基准价／投标报价)×</w:t>
      </w:r>
      <w:r>
        <w:rPr>
          <w:rFonts w:hint="eastAsia" w:ascii="仿宋_GB2312" w:hAnsi="仿宋_GB2312" w:eastAsia="仿宋_GB2312" w:cs="仿宋_GB2312"/>
          <w:bCs/>
          <w:iCs/>
          <w:color w:val="auto"/>
          <w:sz w:val="24"/>
          <w:highlight w:val="none"/>
          <w:u w:val="none"/>
          <w:lang w:val="en-US" w:eastAsia="zh-CN"/>
        </w:rPr>
        <w:t>30</w:t>
      </w:r>
    </w:p>
    <w:p>
      <w:pPr>
        <w:pStyle w:val="2"/>
        <w:rPr>
          <w:rFonts w:hint="eastAsia"/>
          <w:lang w:val="en-US" w:eastAsia="zh-CN"/>
        </w:rPr>
      </w:pPr>
    </w:p>
    <w:p>
      <w:pPr>
        <w:pStyle w:val="26"/>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26"/>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26"/>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26"/>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26"/>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26"/>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26"/>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26"/>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widowControl/>
        <w:kinsoku/>
        <w:wordWrap w:val="0"/>
        <w:overflowPunct/>
        <w:topLinePunct w:val="0"/>
        <w:bidi w:val="0"/>
        <w:adjustRightInd/>
        <w:jc w:val="center"/>
        <w:rPr>
          <w:rFonts w:hint="eastAsia" w:ascii="仿宋_GB2312" w:hAnsi="仿宋_GB2312" w:eastAsia="仿宋_GB2312" w:cs="仿宋_GB2312"/>
          <w:b/>
          <w:color w:val="auto"/>
          <w:sz w:val="36"/>
          <w:szCs w:val="20"/>
          <w:highlight w:val="none"/>
        </w:rPr>
      </w:pPr>
    </w:p>
    <w:p>
      <w:pPr>
        <w:pStyle w:val="2"/>
        <w:kinsoku/>
        <w:wordWrap w:val="0"/>
        <w:overflowPunct/>
        <w:topLinePunct w:val="0"/>
        <w:bidi w:val="0"/>
        <w:rPr>
          <w:rFonts w:hint="eastAsia" w:ascii="仿宋_GB2312" w:hAnsi="仿宋_GB2312" w:eastAsia="仿宋_GB2312" w:cs="仿宋_GB2312"/>
          <w:b/>
          <w:color w:val="auto"/>
          <w:sz w:val="36"/>
          <w:szCs w:val="20"/>
          <w:highlight w:val="none"/>
        </w:rPr>
      </w:pPr>
    </w:p>
    <w:p>
      <w:pPr>
        <w:pStyle w:val="3"/>
        <w:kinsoku/>
        <w:wordWrap w:val="0"/>
        <w:overflowPunct/>
        <w:topLinePunct w:val="0"/>
        <w:bidi w:val="0"/>
        <w:rPr>
          <w:rFonts w:hint="eastAsia" w:ascii="仿宋_GB2312" w:hAnsi="仿宋_GB2312" w:eastAsia="仿宋_GB2312" w:cs="仿宋_GB2312"/>
          <w:b/>
          <w:color w:val="auto"/>
          <w:sz w:val="36"/>
          <w:szCs w:val="20"/>
          <w:highlight w:val="none"/>
        </w:rPr>
      </w:pPr>
    </w:p>
    <w:p>
      <w:pPr>
        <w:kinsoku/>
        <w:wordWrap w:val="0"/>
        <w:overflowPunct/>
        <w:topLinePunct w:val="0"/>
        <w:bidi w:val="0"/>
        <w:rPr>
          <w:rFonts w:hint="eastAsia" w:ascii="仿宋_GB2312" w:hAnsi="仿宋_GB2312" w:eastAsia="仿宋_GB2312" w:cs="仿宋_GB2312"/>
          <w:b/>
          <w:color w:val="auto"/>
          <w:sz w:val="36"/>
          <w:szCs w:val="20"/>
          <w:highlight w:val="none"/>
        </w:rPr>
      </w:pPr>
    </w:p>
    <w:p>
      <w:pPr>
        <w:pStyle w:val="2"/>
        <w:kinsoku/>
        <w:wordWrap w:val="0"/>
        <w:overflowPunct/>
        <w:topLinePunct w:val="0"/>
        <w:bidi w:val="0"/>
        <w:rPr>
          <w:rFonts w:hint="eastAsia" w:ascii="仿宋_GB2312" w:hAnsi="仿宋_GB2312" w:eastAsia="仿宋_GB2312" w:cs="仿宋_GB2312"/>
          <w:b/>
          <w:color w:val="auto"/>
          <w:sz w:val="36"/>
          <w:szCs w:val="20"/>
          <w:highlight w:val="none"/>
        </w:rPr>
      </w:pPr>
    </w:p>
    <w:p>
      <w:pPr>
        <w:pStyle w:val="3"/>
        <w:kinsoku/>
        <w:wordWrap w:val="0"/>
        <w:overflowPunct/>
        <w:topLinePunct w:val="0"/>
        <w:bidi w:val="0"/>
        <w:rPr>
          <w:rFonts w:hint="eastAsia" w:ascii="仿宋_GB2312" w:hAnsi="仿宋_GB2312" w:eastAsia="仿宋_GB2312" w:cs="仿宋_GB2312"/>
          <w:b/>
          <w:color w:val="auto"/>
          <w:sz w:val="36"/>
          <w:szCs w:val="20"/>
          <w:highlight w:val="none"/>
        </w:rPr>
      </w:pPr>
    </w:p>
    <w:p>
      <w:pPr>
        <w:kinsoku/>
        <w:wordWrap w:val="0"/>
        <w:overflowPunct/>
        <w:topLinePunct w:val="0"/>
        <w:bidi w:val="0"/>
        <w:rPr>
          <w:rFonts w:hint="eastAsia" w:ascii="仿宋_GB2312" w:hAnsi="仿宋_GB2312" w:eastAsia="仿宋_GB2312" w:cs="仿宋_GB2312"/>
          <w:b/>
          <w:color w:val="auto"/>
          <w:sz w:val="36"/>
          <w:szCs w:val="20"/>
          <w:highlight w:val="none"/>
        </w:rPr>
      </w:pPr>
    </w:p>
    <w:p>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bookmarkEnd w:id="36"/>
      <w:r>
        <w:rPr>
          <w:rFonts w:hint="eastAsia" w:ascii="仿宋_GB2312" w:hAnsi="仿宋_GB2312" w:eastAsia="仿宋_GB2312" w:cs="仿宋_GB2312"/>
          <w:b/>
          <w:color w:val="auto"/>
          <w:sz w:val="36"/>
          <w:szCs w:val="20"/>
          <w:highlight w:val="none"/>
        </w:rPr>
        <w:t xml:space="preserve"> </w:t>
      </w:r>
      <w:bookmarkEnd w:id="37"/>
      <w:r>
        <w:rPr>
          <w:rFonts w:hint="eastAsia" w:ascii="仿宋_GB2312" w:hAnsi="仿宋_GB2312" w:eastAsia="仿宋_GB2312" w:cs="仿宋_GB2312"/>
          <w:b/>
          <w:color w:val="auto"/>
          <w:sz w:val="36"/>
          <w:szCs w:val="20"/>
          <w:highlight w:val="none"/>
        </w:rPr>
        <w:t>投标文件及其附件格式</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pPr>
        <w:pStyle w:val="2"/>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lang w:eastAsia="zh-CN"/>
        </w:rPr>
        <w:t>分包协议</w:t>
      </w:r>
      <w:r>
        <w:rPr>
          <w:rFonts w:hint="eastAsia" w:ascii="仿宋_GB2312" w:hAnsi="仿宋_GB2312" w:eastAsia="仿宋_GB2312" w:cs="仿宋_GB2312"/>
          <w:color w:val="auto"/>
          <w:sz w:val="24"/>
          <w:highlight w:val="none"/>
        </w:rPr>
        <w:t>………………………………………………………………（页码）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）落实政府采购政策需满足的资格要求………………………………（页码）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）本项目的特定资格要求………………………………………………（页码）</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kern w:val="0"/>
          <w:sz w:val="24"/>
          <w:highlight w:val="none"/>
        </w:rPr>
        <w:br w:type="page"/>
      </w:r>
      <w:r>
        <w:rPr>
          <w:rFonts w:hint="eastAsia" w:ascii="仿宋_GB2312" w:hAnsi="仿宋_GB2312" w:eastAsia="仿宋_GB2312" w:cs="仿宋_GB2312"/>
          <w:b/>
          <w:color w:val="auto"/>
          <w:kern w:val="0"/>
          <w:sz w:val="32"/>
          <w:szCs w:val="32"/>
          <w:highlight w:val="none"/>
        </w:rPr>
        <w:t xml:space="preserve">  一、 符合参加政府采购活动应当具备的一般条件的承诺函</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绍兴市水上运动训练中心</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lang w:eastAsia="zh-CN"/>
        </w:rPr>
        <w:t xml:space="preserve">绍兴市水上运动训练中心2025年物业管理服务项目 </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2025-01-0007</w:t>
      </w:r>
      <w:r>
        <w:rPr>
          <w:rFonts w:hint="eastAsia" w:ascii="仿宋_GB2312" w:hAnsi="仿宋_GB2312" w:eastAsia="仿宋_GB2312" w:cs="仿宋_GB2312"/>
          <w:color w:val="auto"/>
          <w:sz w:val="24"/>
          <w:highlight w:val="none"/>
        </w:rPr>
        <w:t>】政府采购活动，郑重承诺：</w:t>
      </w:r>
    </w:p>
    <w:p>
      <w:pPr>
        <w:kinsoku/>
        <w:wordWrap w:val="0"/>
        <w:overflowPunct/>
        <w:topLinePunct w:val="0"/>
        <w:bidi w:val="0"/>
        <w:snapToGrid w:val="0"/>
        <w:spacing w:line="360" w:lineRule="auto"/>
        <w:ind w:firstLine="360" w:firstLineChars="1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（二）未被信用中国（www.creditchina.gov.cn)、中国政府采购网（www.ccgp.gov.cn）列入失信被执行人、重大税收违法案件当事人名单、政府采购严重违法失信行为记录名单。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pPr>
        <w:kinsoku/>
        <w:wordWrap w:val="0"/>
        <w:overflowPunct/>
        <w:topLinePunct w:val="0"/>
        <w:bidi w:val="0"/>
        <w:snapToGrid w:val="0"/>
        <w:spacing w:line="360" w:lineRule="auto"/>
        <w:ind w:firstLine="5520" w:firstLineChars="23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pPr>
        <w:widowControl/>
        <w:kinsoku/>
        <w:wordWrap w:val="0"/>
        <w:overflowPunct/>
        <w:topLinePunct w:val="0"/>
        <w:bidi w:val="0"/>
        <w:spacing w:line="360" w:lineRule="auto"/>
        <w:ind w:firstLine="643" w:firstLineChars="20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二、联合协议（如有）</w:t>
      </w:r>
    </w:p>
    <w:p>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三、分包意向协议（如有）</w:t>
      </w:r>
    </w:p>
    <w:p>
      <w:pPr>
        <w:widowControl/>
        <w:kinsoku/>
        <w:wordWrap w:val="0"/>
        <w:overflowPunct/>
        <w:topLinePunct w:val="0"/>
        <w:bidi w:val="0"/>
        <w:spacing w:line="360" w:lineRule="auto"/>
        <w:ind w:firstLine="361" w:firstLineChars="1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四</w:t>
      </w:r>
      <w:r>
        <w:rPr>
          <w:rFonts w:hint="eastAsia" w:ascii="仿宋_GB2312" w:hAnsi="仿宋_GB2312" w:eastAsia="仿宋_GB2312" w:cs="仿宋_GB2312"/>
          <w:b/>
          <w:color w:val="auto"/>
          <w:kern w:val="0"/>
          <w:sz w:val="32"/>
          <w:szCs w:val="32"/>
          <w:highlight w:val="none"/>
        </w:rPr>
        <w:t>、落实政府采购政策需满足的资格要求</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pPr>
        <w:kinsoku/>
        <w:wordWrap w:val="0"/>
        <w:overflowPunct/>
        <w:topLinePunct w:val="0"/>
        <w:bidi w:val="0"/>
        <w:snapToGrid w:val="0"/>
        <w:spacing w:before="50" w:after="50"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.专门面向中小企业，服务全部由符合政策要求的中小企业（或小微企业）承接的，提供相应的中小企业声明函（附件7）。 </w:t>
      </w:r>
    </w:p>
    <w:p>
      <w:pPr>
        <w:widowControl/>
        <w:kinsoku/>
        <w:wordWrap w:val="0"/>
        <w:overflowPunct/>
        <w:topLinePunct w:val="0"/>
        <w:bidi w:val="0"/>
        <w:spacing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pPr>
        <w:kinsoku/>
        <w:wordWrap w:val="0"/>
        <w:overflowPunct/>
        <w:topLinePunct w:val="0"/>
        <w:bidi w:val="0"/>
        <w:spacing w:line="360" w:lineRule="auto"/>
        <w:ind w:firstLine="482"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p>
    <w:p>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五</w:t>
      </w:r>
      <w:r>
        <w:rPr>
          <w:rFonts w:hint="eastAsia" w:ascii="仿宋_GB2312" w:hAnsi="仿宋_GB2312" w:eastAsia="仿宋_GB2312" w:cs="仿宋_GB2312"/>
          <w:b/>
          <w:color w:val="auto"/>
          <w:kern w:val="0"/>
          <w:sz w:val="32"/>
          <w:szCs w:val="32"/>
          <w:highlight w:val="none"/>
        </w:rPr>
        <w:t>、本项目的特定资格要求</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24"/>
          <w:highlight w:val="none"/>
        </w:rPr>
      </w:pPr>
    </w:p>
    <w:p>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4"/>
          <w:highlight w:val="none"/>
        </w:rPr>
      </w:pPr>
    </w:p>
    <w:p>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pPr>
        <w:pStyle w:val="904"/>
        <w:numPr>
          <w:ilvl w:val="0"/>
          <w:numId w:val="2"/>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投标函</w:t>
      </w:r>
      <w:r>
        <w:rPr>
          <w:rFonts w:hint="eastAsia" w:ascii="仿宋_GB2312" w:hAnsi="仿宋_GB2312" w:eastAsia="仿宋_GB2312" w:cs="仿宋_GB2312"/>
          <w:color w:val="auto"/>
          <w:highlight w:val="none"/>
        </w:rPr>
        <w:t>…………………………………………………………………………（页码）</w:t>
      </w:r>
    </w:p>
    <w:p>
      <w:pPr>
        <w:pStyle w:val="904"/>
        <w:numPr>
          <w:ilvl w:val="0"/>
          <w:numId w:val="2"/>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rPr>
        <w:t>法定代表人授权委托书</w:t>
      </w:r>
      <w:r>
        <w:rPr>
          <w:rFonts w:hint="eastAsia" w:ascii="仿宋_GB2312" w:hAnsi="仿宋_GB2312" w:eastAsia="仿宋_GB2312" w:cs="仿宋_GB2312"/>
          <w:color w:val="auto"/>
          <w:highlight w:val="none"/>
        </w:rPr>
        <w:t xml:space="preserve"> …………………………………………………… （页码）</w:t>
      </w:r>
    </w:p>
    <w:p>
      <w:pPr>
        <w:pStyle w:val="904"/>
        <w:numPr>
          <w:ilvl w:val="0"/>
          <w:numId w:val="2"/>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法定代表人及其授权代表身份证复印件……………………………………（页码）</w:t>
      </w:r>
    </w:p>
    <w:p>
      <w:pPr>
        <w:pStyle w:val="904"/>
        <w:numPr>
          <w:ilvl w:val="0"/>
          <w:numId w:val="2"/>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lang w:val="en-US" w:eastAsia="zh-CN"/>
        </w:rPr>
        <w:t>授权代表社保证明</w:t>
      </w:r>
      <w:r>
        <w:rPr>
          <w:rFonts w:hint="eastAsia" w:ascii="仿宋_GB2312" w:hAnsi="仿宋_GB2312" w:eastAsia="仿宋_GB2312" w:cs="仿宋_GB2312"/>
          <w:color w:val="auto"/>
          <w:highlight w:val="none"/>
        </w:rPr>
        <w:t>……………………………………………………………（页码）</w:t>
      </w:r>
    </w:p>
    <w:p>
      <w:pPr>
        <w:pStyle w:val="904"/>
        <w:numPr>
          <w:ilvl w:val="0"/>
          <w:numId w:val="2"/>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法定代表人身份证明书………………………………………………………（页码）</w:t>
      </w:r>
    </w:p>
    <w:p>
      <w:pPr>
        <w:pStyle w:val="904"/>
        <w:numPr>
          <w:ilvl w:val="0"/>
          <w:numId w:val="2"/>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商务技术</w:t>
      </w:r>
      <w:r>
        <w:rPr>
          <w:rFonts w:hint="eastAsia" w:ascii="仿宋_GB2312" w:hAnsi="仿宋_GB2312" w:eastAsia="仿宋_GB2312" w:cs="仿宋_GB2312"/>
          <w:color w:val="auto"/>
          <w:highlight w:val="none"/>
          <w:lang w:eastAsia="zh-CN"/>
        </w:rPr>
        <w:t>偏离表</w:t>
      </w:r>
      <w:r>
        <w:rPr>
          <w:rFonts w:hint="eastAsia" w:ascii="仿宋_GB2312" w:hAnsi="仿宋_GB2312" w:eastAsia="仿宋_GB2312" w:cs="仿宋_GB2312"/>
          <w:color w:val="auto"/>
          <w:highlight w:val="none"/>
        </w:rPr>
        <w:t>………………………………………………………………（页码）</w:t>
      </w:r>
    </w:p>
    <w:p>
      <w:pPr>
        <w:pStyle w:val="904"/>
        <w:numPr>
          <w:ilvl w:val="0"/>
          <w:numId w:val="2"/>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政府采购供应商廉洁自律承诺书</w:t>
      </w:r>
      <w:r>
        <w:rPr>
          <w:rFonts w:hint="eastAsia" w:ascii="仿宋_GB2312" w:hAnsi="仿宋_GB2312" w:eastAsia="仿宋_GB2312" w:cs="仿宋_GB2312"/>
          <w:color w:val="auto"/>
          <w:highlight w:val="none"/>
        </w:rPr>
        <w:t>……………………………………………（页码）</w:t>
      </w:r>
    </w:p>
    <w:p>
      <w:pPr>
        <w:kinsoku/>
        <w:wordWrap w:val="0"/>
        <w:overflowPunct/>
        <w:topLinePunct w:val="0"/>
        <w:bidi w:val="0"/>
        <w:adjustRightInd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sz w:val="24"/>
          <w:highlight w:val="none"/>
        </w:rPr>
        <w:t>（页码）</w:t>
      </w:r>
    </w:p>
    <w:p>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368" w:rightChars="-175"/>
        <w:jc w:val="both"/>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both"/>
        <w:rPr>
          <w:rFonts w:hint="eastAsia" w:ascii="仿宋_GB2312" w:hAnsi="仿宋_GB2312" w:eastAsia="仿宋_GB2312" w:cs="仿宋_GB2312"/>
          <w:b/>
          <w:color w:val="auto"/>
          <w:kern w:val="0"/>
          <w:sz w:val="32"/>
          <w:szCs w:val="32"/>
          <w:highlight w:val="none"/>
          <w:lang w:val="zh-CN"/>
        </w:rPr>
      </w:pPr>
    </w:p>
    <w:p>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szCs w:val="24"/>
          <w:u w:val="single"/>
          <w:lang w:eastAsia="zh-CN"/>
        </w:rPr>
        <w:t>绍兴市水上运动训练中心</w:t>
      </w:r>
      <w:r>
        <w:rPr>
          <w:rFonts w:hint="eastAsia" w:ascii="仿宋_GB2312" w:hAnsi="仿宋_GB2312" w:eastAsia="仿宋_GB2312" w:cs="仿宋_GB2312"/>
          <w:szCs w:val="24"/>
          <w:u w:val="single"/>
        </w:rPr>
        <w:t>、绍兴市公共资源交易中心</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根据贵方招标文件（</w:t>
      </w:r>
      <w:r>
        <w:rPr>
          <w:rFonts w:hint="eastAsia" w:ascii="仿宋_GB2312" w:hAnsi="仿宋_GB2312" w:eastAsia="仿宋_GB2312" w:cs="仿宋_GB2312"/>
          <w:b/>
          <w:color w:val="auto"/>
          <w:sz w:val="24"/>
          <w:szCs w:val="24"/>
          <w:highlight w:val="none"/>
          <w:u w:val="single"/>
        </w:rPr>
        <w:t>填写招标编号：</w:t>
      </w:r>
      <w:r>
        <w:rPr>
          <w:rFonts w:hint="eastAsia" w:ascii="仿宋_GB2312" w:hAnsi="仿宋_GB2312" w:eastAsia="仿宋_GB2312" w:cs="仿宋_GB2312"/>
          <w:color w:val="auto"/>
          <w:sz w:val="24"/>
          <w:szCs w:val="24"/>
          <w:highlight w:val="none"/>
        </w:rPr>
        <w:t>）的要求，正式授权</w:t>
      </w:r>
      <w:r>
        <w:rPr>
          <w:rFonts w:hint="eastAsia" w:ascii="仿宋_GB2312" w:hAnsi="仿宋_GB2312" w:eastAsia="仿宋_GB2312" w:cs="仿宋_GB2312"/>
          <w:b/>
          <w:color w:val="auto"/>
          <w:sz w:val="24"/>
          <w:szCs w:val="24"/>
          <w:highlight w:val="none"/>
          <w:u w:val="single"/>
        </w:rPr>
        <w:t>（全权代表姓名    、单位    、职务   ）</w:t>
      </w:r>
      <w:r>
        <w:rPr>
          <w:rFonts w:hint="eastAsia" w:ascii="仿宋_GB2312" w:hAnsi="仿宋_GB2312" w:eastAsia="仿宋_GB2312" w:cs="仿宋_GB2312"/>
          <w:color w:val="auto"/>
          <w:sz w:val="24"/>
          <w:szCs w:val="24"/>
          <w:highlight w:val="none"/>
        </w:rPr>
        <w:t>代表投标人</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b/>
          <w:color w:val="auto"/>
          <w:sz w:val="24"/>
          <w:szCs w:val="24"/>
          <w:highlight w:val="none"/>
          <w:u w:val="single"/>
        </w:rPr>
        <w:t xml:space="preserve">填写单位    、地址   </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rPr>
        <w:t>提交投标文件。</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我方已完全明白招标文件的所有条款要求，兹声明同意如下：</w:t>
      </w:r>
    </w:p>
    <w:p>
      <w:pPr>
        <w:pStyle w:val="16"/>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1.我方同意在投标人</w:t>
      </w:r>
      <w:r>
        <w:rPr>
          <w:rFonts w:hint="eastAsia" w:ascii="仿宋_GB2312" w:hAnsi="仿宋_GB2312" w:eastAsia="仿宋_GB2312" w:cs="仿宋_GB2312"/>
          <w:color w:val="auto"/>
          <w:kern w:val="44"/>
          <w:sz w:val="24"/>
          <w:szCs w:val="24"/>
          <w:highlight w:val="none"/>
        </w:rPr>
        <w:t>须知</w:t>
      </w:r>
      <w:r>
        <w:rPr>
          <w:rFonts w:hint="eastAsia" w:ascii="仿宋_GB2312" w:hAnsi="仿宋_GB2312" w:eastAsia="仿宋_GB2312" w:cs="仿宋_GB2312"/>
          <w:color w:val="auto"/>
          <w:sz w:val="24"/>
          <w:szCs w:val="24"/>
          <w:highlight w:val="none"/>
        </w:rPr>
        <w:t>规定的开标日期起遵守本投标文件中的承诺且在投标有效期满之前均具有约束力。</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2.我方承诺已经具备《中华人民共和国政府采购法》中规定的参加政府采购活动的供应商应当具备的条件。</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_GB2312" w:hAnsi="仿宋_GB2312" w:eastAsia="仿宋_GB2312" w:cs="仿宋_GB2312"/>
          <w:color w:val="auto"/>
          <w:sz w:val="24"/>
          <w:szCs w:val="24"/>
          <w:highlight w:val="none"/>
          <w:lang w:eastAsia="zh-CN"/>
        </w:rPr>
        <w:t>采购代理机构</w:t>
      </w:r>
      <w:r>
        <w:rPr>
          <w:rFonts w:hint="eastAsia" w:ascii="仿宋_GB2312" w:hAnsi="仿宋_GB2312" w:eastAsia="仿宋_GB2312" w:cs="仿宋_GB2312"/>
          <w:color w:val="auto"/>
          <w:sz w:val="24"/>
          <w:szCs w:val="24"/>
          <w:highlight w:val="none"/>
        </w:rPr>
        <w:t>提供可能另外要求的与投标有关的任何数据或资料。</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4.我方理解贵方将不受你们所收到的最低报价的约束。</w:t>
      </w:r>
    </w:p>
    <w:p>
      <w:pPr>
        <w:pStyle w:val="16"/>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5.本投标自开标之日（投标截止之日）起90天内有效。</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a)提供虚假材料谋取中标、成交的；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b)采取不正当手段诋毁、排挤其他供应商的；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c)与采购人、其它供应商或者采购代理机构恶意串通的；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d)向采购人、采购代理机构行贿或者提供其他不正当利益的；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e)在招标采购过程中与采购人进行协商谈判的；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f)拒绝有关部门监督检查或提供虚假情况的。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供应商有前款第a)至e)项情形之一的，中标、成交无效。</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　　　　　　　　　　　　　　　邮政编码：</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电话：                              传真：</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开户银行：                          帐号：</w:t>
      </w:r>
    </w:p>
    <w:p>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法定代表人或其授权代表(签字或盖章)：</w:t>
      </w: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color w:val="auto"/>
          <w:sz w:val="24"/>
          <w:szCs w:val="24"/>
          <w:highlight w:val="none"/>
        </w:rPr>
      </w:pP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szCs w:val="24"/>
          <w:highlight w:val="none"/>
        </w:rPr>
        <w:t xml:space="preserve">投标人(电子签章)：　　　　　　　　　日期：  </w:t>
      </w: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二</w:t>
      </w: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pPr>
        <w:kinsoku/>
        <w:wordWrap w:val="0"/>
        <w:overflowPunct/>
        <w:topLinePunct w:val="0"/>
        <w:bidi w:val="0"/>
        <w:jc w:val="center"/>
        <w:rPr>
          <w:rFonts w:hint="eastAsia" w:ascii="仿宋_GB2312" w:hAnsi="仿宋_GB2312" w:eastAsia="仿宋_GB2312" w:cs="仿宋_GB2312"/>
          <w:b/>
          <w:color w:val="auto"/>
          <w:sz w:val="24"/>
          <w:highlight w:val="none"/>
        </w:rPr>
      </w:pP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lang w:val="en-US" w:eastAsia="zh-CN"/>
        </w:rPr>
        <w:t xml:space="preserve"> 绍兴市水上运动训练中心、绍兴市公共资源交易中心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绍兴市水上运动训练中心2025年物业管理服务项目 （招标编号:2025-01-0007）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ind w:firstLine="5280" w:firstLineChars="2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pPr>
        <w:kinsoku/>
        <w:wordWrap w:val="0"/>
        <w:overflowPunct/>
        <w:topLinePunct w:val="0"/>
        <w:bidi w:val="0"/>
        <w:ind w:firstLine="4920" w:firstLineChars="2050"/>
        <w:jc w:val="left"/>
        <w:rPr>
          <w:rFonts w:hint="eastAsia" w:ascii="仿宋_GB2312" w:hAnsi="仿宋_GB2312" w:eastAsia="仿宋_GB2312" w:cs="仿宋_GB2312"/>
          <w:color w:val="auto"/>
          <w:sz w:val="24"/>
          <w:highlight w:val="none"/>
        </w:rPr>
      </w:pP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pPr>
        <w:kinsoku/>
        <w:wordWrap w:val="0"/>
        <w:overflowPunct/>
        <w:topLinePunct w:val="0"/>
        <w:bidi w:val="0"/>
        <w:jc w:val="center"/>
        <w:rPr>
          <w:rFonts w:hint="eastAsia" w:ascii="仿宋_GB2312" w:hAnsi="仿宋_GB2312" w:eastAsia="仿宋_GB2312" w:cs="仿宋_GB2312"/>
          <w:b/>
          <w:color w:val="auto"/>
          <w:sz w:val="24"/>
          <w:highlight w:val="none"/>
        </w:rPr>
      </w:pP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lang w:val="en-US" w:eastAsia="zh-CN"/>
        </w:rPr>
        <w:t xml:space="preserve"> 绍兴市水上运动训练中心、绍兴市公共资源交易中心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绍兴市水上运动训练中心2025年物业管理服务项目 （招标编号:2025-01-0007）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三、授权代表社保证明（复印件）</w:t>
      </w:r>
    </w:p>
    <w:p>
      <w:pPr>
        <w:kinsoku/>
        <w:wordWrap w:val="0"/>
        <w:overflowPunct/>
        <w:topLinePunct w:val="0"/>
        <w:bidi w:val="0"/>
        <w:spacing w:line="800" w:lineRule="exact"/>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四</w:t>
      </w:r>
      <w:r>
        <w:rPr>
          <w:rFonts w:hint="eastAsia" w:ascii="仿宋_GB2312" w:hAnsi="仿宋_GB2312" w:eastAsia="仿宋_GB2312" w:cs="仿宋_GB2312"/>
          <w:b/>
          <w:color w:val="auto"/>
          <w:sz w:val="30"/>
          <w:szCs w:val="30"/>
          <w:highlight w:val="none"/>
        </w:rPr>
        <w:t>、法定代表人及其授权代表身份证复印件（正反面）</w:t>
      </w: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五</w:t>
      </w:r>
      <w:r>
        <w:rPr>
          <w:rFonts w:hint="eastAsia" w:ascii="仿宋_GB2312" w:hAnsi="仿宋_GB2312" w:eastAsia="仿宋_GB2312" w:cs="仿宋_GB2312"/>
          <w:b/>
          <w:color w:val="auto"/>
          <w:sz w:val="30"/>
          <w:szCs w:val="30"/>
          <w:highlight w:val="none"/>
        </w:rPr>
        <w:t>、法定代表人身份证明书(格式)</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eastAsia="zh-CN"/>
        </w:rPr>
        <w:t>名称</w:t>
      </w:r>
      <w:r>
        <w:rPr>
          <w:rFonts w:hint="eastAsia" w:ascii="仿宋_GB2312" w:hAnsi="仿宋_GB2312" w:eastAsia="仿宋_GB2312" w:cs="仿宋_GB2312"/>
          <w:color w:val="auto"/>
          <w:sz w:val="24"/>
          <w:highlight w:val="none"/>
        </w:rPr>
        <w:t>：                             （电子签章）</w:t>
      </w:r>
    </w:p>
    <w:p>
      <w:pPr>
        <w:kinsoku/>
        <w:wordWrap w:val="0"/>
        <w:overflowPunct/>
        <w:topLinePunct w:val="0"/>
        <w:bidi w:val="0"/>
        <w:spacing w:line="440" w:lineRule="exact"/>
        <w:ind w:right="480"/>
        <w:rPr>
          <w:rFonts w:hint="eastAsia" w:ascii="仿宋_GB2312" w:hAnsi="仿宋_GB2312" w:eastAsia="仿宋_GB2312" w:cs="仿宋_GB2312"/>
          <w:color w:val="auto"/>
          <w:sz w:val="24"/>
          <w:highlight w:val="none"/>
        </w:rPr>
      </w:pPr>
    </w:p>
    <w:p>
      <w:pPr>
        <w:kinsoku/>
        <w:wordWrap w:val="0"/>
        <w:overflowPunct/>
        <w:topLinePunct w:val="0"/>
        <w:bidi w:val="0"/>
        <w:spacing w:line="440" w:lineRule="exact"/>
        <w:ind w:right="72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both"/>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val="en-US" w:eastAsia="zh-CN"/>
        </w:rPr>
        <w:t>六</w:t>
      </w:r>
      <w:r>
        <w:rPr>
          <w:rFonts w:hint="eastAsia" w:ascii="仿宋_GB2312" w:hAnsi="仿宋_GB2312" w:eastAsia="仿宋_GB2312" w:cs="仿宋_GB2312"/>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3683"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招标文件章节及具体内容</w:t>
            </w:r>
          </w:p>
        </w:tc>
        <w:tc>
          <w:tcPr>
            <w:tcW w:w="3546"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投标文件章节及具体内容</w:t>
            </w:r>
          </w:p>
        </w:tc>
        <w:tc>
          <w:tcPr>
            <w:tcW w:w="1276"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bl>
    <w:p>
      <w:pPr>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pacing w:line="360" w:lineRule="auto"/>
        <w:ind w:right="420"/>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注：按本格式和要求提供。</w:t>
      </w:r>
    </w:p>
    <w:p>
      <w:pPr>
        <w:widowControl/>
        <w:kinsoku/>
        <w:wordWrap w:val="0"/>
        <w:overflowPunct/>
        <w:topLinePunct w:val="0"/>
        <w:bidi w:val="0"/>
        <w:adjustRightInd/>
        <w:jc w:val="left"/>
        <w:rPr>
          <w:rFonts w:hint="eastAsia" w:ascii="仿宋_GB2312" w:hAnsi="仿宋_GB2312" w:eastAsia="仿宋_GB2312" w:cs="仿宋_GB2312"/>
          <w:b/>
          <w:bCs/>
          <w:color w:val="auto"/>
          <w:sz w:val="32"/>
          <w:szCs w:val="32"/>
          <w:highlight w:val="none"/>
          <w:lang w:eastAsia="zh-CN"/>
        </w:rPr>
      </w:pPr>
    </w:p>
    <w:p>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绍兴市水上运动训练中心</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kern w:val="0"/>
          <w:sz w:val="24"/>
          <w:highlight w:val="none"/>
          <w:lang w:val="zh-CN"/>
        </w:rPr>
        <w:t>：</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pPr>
        <w:kinsoku/>
        <w:wordWrap w:val="0"/>
        <w:overflowPunct/>
        <w:topLinePunct w:val="0"/>
        <w:autoSpaceDE w:val="0"/>
        <w:autoSpaceDN w:val="0"/>
        <w:bidi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leftChars="1" w:right="1120" w:firstLine="4560" w:firstLineChars="19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 xml:space="preserve">）：                                                                                                                                                                                                               </w:t>
      </w:r>
    </w:p>
    <w:p>
      <w:pPr>
        <w:kinsoku/>
        <w:wordWrap w:val="0"/>
        <w:overflowPunct/>
        <w:topLinePunct w:val="0"/>
        <w:bidi w:val="0"/>
        <w:spacing w:line="360" w:lineRule="auto"/>
        <w:ind w:left="4620" w:leftChars="2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wordWrap w:val="0"/>
        <w:overflowPunct/>
        <w:topLinePunct w:val="0"/>
        <w:autoSpaceDE w:val="0"/>
        <w:autoSpaceDN w:val="0"/>
        <w:bidi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647"/>
        <w:kinsoku/>
        <w:wordWrap w:val="0"/>
        <w:overflowPunct/>
        <w:topLinePunct w:val="0"/>
        <w:bidi w:val="0"/>
        <w:ind w:firstLine="0"/>
        <w:jc w:val="both"/>
        <w:rPr>
          <w:rFonts w:hint="eastAsia" w:ascii="仿宋_GB2312" w:hAnsi="仿宋_GB2312" w:eastAsia="仿宋_GB2312" w:cs="仿宋_GB2312"/>
          <w:color w:val="auto"/>
          <w:highlight w:val="none"/>
        </w:rPr>
      </w:pP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pPr>
        <w:kinsoku/>
        <w:wordWrap w:val="0"/>
        <w:overflowPunct/>
        <w:topLinePunct w:val="0"/>
        <w:autoSpaceDE w:val="0"/>
        <w:autoSpaceDN w:val="0"/>
        <w:bidi w:val="0"/>
        <w:spacing w:line="360" w:lineRule="auto"/>
        <w:ind w:firstLine="4560" w:firstLineChars="1900"/>
        <w:rPr>
          <w:rFonts w:hint="eastAsia" w:ascii="仿宋_GB2312" w:hAnsi="仿宋_GB2312" w:eastAsia="仿宋_GB2312" w:cs="仿宋_GB2312"/>
          <w:color w:val="auto"/>
          <w:kern w:val="0"/>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wordWrap w:val="0"/>
        <w:overflowPunct/>
        <w:topLinePunct w:val="0"/>
        <w:autoSpaceDE w:val="0"/>
        <w:autoSpaceDN w:val="0"/>
        <w:bidi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wordWrap w:val="0"/>
        <w:overflowPunct/>
        <w:topLinePunct w:val="0"/>
        <w:autoSpaceDE w:val="0"/>
        <w:autoSpaceDN w:val="0"/>
        <w:bidi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ind w:firstLine="480" w:firstLineChars="200"/>
        <w:jc w:val="right"/>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color w:val="auto"/>
          <w:sz w:val="30"/>
          <w:szCs w:val="30"/>
          <w:highlight w:val="none"/>
          <w:lang w:eastAsia="zh-CN"/>
        </w:rPr>
      </w:pPr>
    </w:p>
    <w:p>
      <w:pPr>
        <w:pStyle w:val="79"/>
        <w:kinsoku/>
        <w:wordWrap w:val="0"/>
        <w:overflowPunct/>
        <w:topLinePunct w:val="0"/>
        <w:bidi w:val="0"/>
        <w:rPr>
          <w:rFonts w:hint="eastAsia" w:ascii="仿宋_GB2312" w:hAnsi="仿宋_GB2312" w:eastAsia="仿宋_GB2312" w:cs="仿宋_GB2312"/>
          <w:color w:val="auto"/>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p>
    <w:p>
      <w:pPr>
        <w:pStyle w:val="79"/>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79"/>
        <w:kinsoku/>
        <w:wordWrap w:val="0"/>
        <w:overflowPunct/>
        <w:topLinePunct w:val="0"/>
        <w:bidi w:val="0"/>
        <w:rPr>
          <w:rFonts w:hint="eastAsia" w:ascii="仿宋_GB2312" w:hAnsi="仿宋_GB2312" w:eastAsia="仿宋_GB2312" w:cs="仿宋_GB2312"/>
          <w:color w:val="auto"/>
          <w:highlight w:val="none"/>
        </w:rPr>
      </w:pP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wordWrap w:val="0"/>
        <w:overflowPunct/>
        <w:topLinePunct w:val="0"/>
        <w:autoSpaceDE w:val="0"/>
        <w:autoSpaceDN w:val="0"/>
        <w:bidi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napToGrid w:val="0"/>
        <w:spacing w:line="360" w:lineRule="auto"/>
        <w:ind w:firstLine="6907" w:firstLineChars="2150"/>
        <w:rPr>
          <w:rFonts w:hint="eastAsia" w:ascii="仿宋_GB2312" w:hAnsi="仿宋_GB2312" w:eastAsia="仿宋_GB2312" w:cs="仿宋_GB2312"/>
          <w:b/>
          <w:bCs/>
          <w:color w:val="auto"/>
          <w:sz w:val="32"/>
          <w:szCs w:val="32"/>
          <w:highlight w:val="none"/>
        </w:rPr>
      </w:pPr>
    </w:p>
    <w:p>
      <w:pPr>
        <w:kinsoku/>
        <w:wordWrap w:val="0"/>
        <w:overflowPunct/>
        <w:topLinePunct w:val="0"/>
        <w:bidi w:val="0"/>
        <w:snapToGrid w:val="0"/>
        <w:spacing w:line="360" w:lineRule="auto"/>
        <w:ind w:right="960"/>
        <w:jc w:val="both"/>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hint="eastAsia" w:ascii="仿宋_GB2312" w:hAnsi="仿宋_GB2312" w:eastAsia="仿宋_GB2312" w:cs="仿宋_GB2312"/>
          <w:color w:val="auto"/>
          <w:sz w:val="18"/>
          <w:szCs w:val="18"/>
          <w:highlight w:val="none"/>
        </w:rPr>
      </w:pPr>
    </w:p>
    <w:p>
      <w:pPr>
        <w:pStyle w:val="79"/>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bCs/>
          <w:color w:val="auto"/>
          <w:sz w:val="18"/>
          <w:szCs w:val="18"/>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wordWrap w:val="0"/>
        <w:overflowPunct/>
        <w:topLinePunct w:val="0"/>
        <w:autoSpaceDE w:val="0"/>
        <w:autoSpaceDN w:val="0"/>
        <w:bidi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80"/>
        <w:kinsoku/>
        <w:wordWrap w:val="0"/>
        <w:overflowPunct/>
        <w:topLinePunct w:val="0"/>
        <w:bidi w:val="0"/>
        <w:rPr>
          <w:rFonts w:hint="eastAsia" w:ascii="仿宋_GB2312" w:hAnsi="仿宋_GB2312" w:eastAsia="仿宋_GB2312" w:cs="仿宋_GB2312"/>
          <w:color w:val="auto"/>
          <w:highlight w:val="none"/>
        </w:rPr>
        <w:sectPr>
          <w:headerReference r:id="rId12" w:type="first"/>
          <w:footerReference r:id="rId14" w:type="first"/>
          <w:footerReference r:id="rId13" w:type="default"/>
          <w:pgSz w:w="11906" w:h="16838"/>
          <w:pgMar w:top="1276" w:right="1418" w:bottom="1247" w:left="1418" w:header="851" w:footer="992" w:gutter="0"/>
          <w:pgNumType w:fmt="decimal"/>
          <w:cols w:space="720" w:num="1"/>
          <w:titlePg/>
          <w:docGrid w:linePitch="312" w:charSpace="0"/>
        </w:sectPr>
      </w:pP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（1）开标一览表（报价表）………………………………………………………（页码）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（2）中小企业声明函………………………………………………………………（页码）</w:t>
      </w:r>
    </w:p>
    <w:p>
      <w:pPr>
        <w:pStyle w:val="2"/>
        <w:numPr>
          <w:ilvl w:val="0"/>
          <w:numId w:val="0"/>
        </w:num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（3）残疾人福利性单位声明函……………………………………………………（页码）</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both"/>
        <w:rPr>
          <w:rFonts w:hint="eastAsia" w:ascii="仿宋_GB2312" w:hAnsi="仿宋_GB2312" w:eastAsia="仿宋_GB2312" w:cs="仿宋_GB2312"/>
          <w:b/>
          <w:color w:val="auto"/>
          <w:kern w:val="0"/>
          <w:sz w:val="32"/>
          <w:szCs w:val="32"/>
          <w:highlight w:val="none"/>
        </w:r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footerReference r:id="rId17" w:type="first"/>
          <w:headerReference r:id="rId15" w:type="default"/>
          <w:footerReference r:id="rId16" w:type="default"/>
          <w:pgSz w:w="11906" w:h="16838"/>
          <w:pgMar w:top="1276" w:right="1418" w:bottom="1247" w:left="1418" w:header="851" w:footer="992" w:gutter="0"/>
          <w:pgNumType w:fmt="decimal"/>
          <w:cols w:space="720" w:num="1"/>
          <w:titlePg/>
          <w:docGrid w:linePitch="312" w:charSpace="0"/>
        </w:sect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绍兴市水上运动训练中心</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ind w:firstLine="482"/>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highlight w:val="none"/>
          <w:lang w:eastAsia="zh-CN"/>
        </w:rPr>
        <w:t xml:space="preserve">绍兴市水上运动训练中心2025年物业管理服务项目 </w:t>
      </w:r>
      <w:r>
        <w:rPr>
          <w:rFonts w:hint="eastAsia" w:ascii="仿宋_GB2312" w:hAnsi="仿宋_GB2312" w:eastAsia="仿宋_GB2312" w:cs="仿宋_GB2312"/>
          <w:color w:val="auto"/>
          <w:kern w:val="0"/>
          <w:sz w:val="24"/>
          <w:highlight w:val="none"/>
          <w:lang w:val="zh-CN"/>
        </w:rPr>
        <w:t>【招标编号：</w:t>
      </w:r>
      <w:r>
        <w:rPr>
          <w:rFonts w:hint="eastAsia" w:ascii="仿宋_GB2312" w:hAnsi="仿宋_GB2312" w:eastAsia="仿宋_GB2312" w:cs="仿宋_GB2312"/>
          <w:color w:val="auto"/>
          <w:sz w:val="24"/>
          <w:highlight w:val="none"/>
          <w:lang w:eastAsia="zh-CN"/>
        </w:rPr>
        <w:t>2025-01-0007</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jc w:val="center"/>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87"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名称</w:t>
            </w:r>
          </w:p>
        </w:tc>
        <w:tc>
          <w:tcPr>
            <w:tcW w:w="657" w:type="pct"/>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服务范围</w:t>
            </w:r>
          </w:p>
        </w:tc>
        <w:tc>
          <w:tcPr>
            <w:tcW w:w="698"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服务要求</w:t>
            </w:r>
          </w:p>
        </w:tc>
        <w:tc>
          <w:tcPr>
            <w:tcW w:w="657"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服务时间</w:t>
            </w: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服务标准</w:t>
            </w: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服务人数</w:t>
            </w: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lang w:val="en-US" w:eastAsia="zh-CN"/>
              </w:rPr>
              <w:t>服务单价</w:t>
            </w: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备注（如有）</w:t>
            </w: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XX</w:t>
            </w: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XX</w:t>
            </w: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投标报价（小写）</w:t>
            </w:r>
          </w:p>
        </w:tc>
        <w:tc>
          <w:tcPr>
            <w:tcW w:w="2504" w:type="pct"/>
            <w:gridSpan w:val="4"/>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投标报价（大写）</w:t>
            </w:r>
          </w:p>
        </w:tc>
        <w:tc>
          <w:tcPr>
            <w:tcW w:w="2504" w:type="pct"/>
            <w:gridSpan w:val="4"/>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bidi w:val="0"/>
        <w:snapToGrid w:val="0"/>
        <w:spacing w:line="360" w:lineRule="auto"/>
        <w:ind w:left="480"/>
        <w:rPr>
          <w:rFonts w:hint="eastAsia" w:ascii="仿宋_GB2312" w:hAnsi="仿宋_GB2312" w:eastAsia="仿宋_GB2312" w:cs="仿宋_GB2312"/>
          <w:b/>
          <w:color w:val="auto"/>
          <w:kern w:val="0"/>
          <w:sz w:val="24"/>
          <w:highlight w:val="none"/>
          <w:lang w:val="zh-CN"/>
        </w:rPr>
      </w:pPr>
    </w:p>
    <w:p>
      <w:pPr>
        <w:kinsoku/>
        <w:wordWrap w:val="0"/>
        <w:overflowPunct/>
        <w:topLinePunct w:val="0"/>
        <w:bidi w:val="0"/>
        <w:snapToGrid w:val="0"/>
        <w:spacing w:line="360" w:lineRule="auto"/>
        <w:ind w:left="480" w:firstLine="9120" w:firstLineChars="3800"/>
        <w:rPr>
          <w:rFonts w:hint="eastAsia" w:ascii="仿宋_GB2312" w:hAnsi="仿宋_GB2312" w:eastAsia="仿宋_GB2312" w:cs="仿宋_GB2312"/>
          <w:b/>
          <w:color w:val="auto"/>
          <w:kern w:val="0"/>
          <w:sz w:val="24"/>
          <w:highlight w:val="none"/>
          <w:lang w:val="en-US"/>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r>
        <w:rPr>
          <w:rFonts w:hint="eastAsia" w:ascii="仿宋_GB2312" w:hAnsi="仿宋_GB2312" w:eastAsia="仿宋_GB2312" w:cs="仿宋_GB2312"/>
          <w:color w:val="auto"/>
          <w:sz w:val="24"/>
          <w:highlight w:val="none"/>
          <w:lang w:val="en-US"/>
        </w:rPr>
        <w:t>:</w:t>
      </w:r>
    </w:p>
    <w:p>
      <w:pPr>
        <w:kinsoku/>
        <w:wordWrap w:val="0"/>
        <w:overflowPunct/>
        <w:topLinePunct w:val="0"/>
        <w:bidi w:val="0"/>
        <w:snapToGrid w:val="0"/>
        <w:spacing w:line="360" w:lineRule="auto"/>
        <w:ind w:firstLine="9600" w:firstLineChars="400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sz w:val="24"/>
          <w:highlight w:val="none"/>
        </w:rPr>
        <w:t>日期：  年   月   日</w:t>
      </w:r>
    </w:p>
    <w:p>
      <w:pPr>
        <w:kinsoku/>
        <w:wordWrap w:val="0"/>
        <w:overflowPunct/>
        <w:topLinePunct w:val="0"/>
        <w:bidi w:val="0"/>
        <w:snapToGrid w:val="0"/>
        <w:spacing w:line="360" w:lineRule="auto"/>
        <w:ind w:left="48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p>
    <w:p>
      <w:pPr>
        <w:kinsoku/>
        <w:wordWrap w:val="0"/>
        <w:overflowPunct/>
        <w:topLinePunct w:val="0"/>
        <w:bidi w:val="0"/>
        <w:spacing w:line="360" w:lineRule="auto"/>
        <w:ind w:left="-2" w:leftChars="-1"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val="0"/>
        <w:overflowPunct/>
        <w:topLinePunct w:val="0"/>
        <w:bidi w:val="0"/>
        <w:spacing w:line="360" w:lineRule="auto"/>
        <w:ind w:firstLine="482" w:firstLineChars="200"/>
        <w:rPr>
          <w:rFonts w:hint="eastAsia" w:ascii="仿宋_GB2312" w:hAnsi="仿宋_GB2312" w:eastAsia="仿宋_GB2312" w:cs="仿宋_GB2312"/>
          <w:b/>
          <w:color w:val="auto"/>
          <w:kern w:val="0"/>
          <w:sz w:val="24"/>
          <w:highlight w:val="none"/>
        </w:r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二、</w:t>
      </w:r>
      <w:r>
        <w:rPr>
          <w:rFonts w:hint="eastAsia" w:ascii="仿宋_GB2312" w:hAnsi="仿宋_GB2312" w:eastAsia="仿宋_GB2312" w:cs="仿宋_GB2312"/>
          <w:color w:val="auto"/>
          <w:sz w:val="32"/>
          <w:szCs w:val="32"/>
          <w:highlight w:val="none"/>
        </w:rPr>
        <w:t>中小企业声明函（如有）</w:t>
      </w:r>
    </w:p>
    <w:p>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kinsoku/>
        <w:wordWrap w:val="0"/>
        <w:overflowPunct/>
        <w:topLinePunct w:val="0"/>
        <w:bidi w:val="0"/>
        <w:rPr>
          <w:rFonts w:hint="eastAsia" w:ascii="仿宋_GB2312" w:hAnsi="仿宋_GB2312" w:eastAsia="仿宋_GB2312" w:cs="仿宋_GB2312"/>
          <w:b/>
          <w:color w:val="auto"/>
          <w:sz w:val="24"/>
          <w:highlight w:val="none"/>
        </w:rPr>
      </w:pPr>
    </w:p>
    <w:p>
      <w:pPr>
        <w:pStyle w:val="80"/>
        <w:kinsoku/>
        <w:wordWrap w:val="0"/>
        <w:overflowPunct/>
        <w:topLinePunct w:val="0"/>
        <w:bidi w:val="0"/>
        <w:rPr>
          <w:rFonts w:hint="eastAsia" w:ascii="仿宋_GB2312" w:hAnsi="仿宋_GB2312" w:eastAsia="仿宋_GB2312" w:cs="仿宋_GB2312"/>
          <w:b/>
          <w:color w:val="auto"/>
          <w:sz w:val="24"/>
          <w:highlight w:val="none"/>
        </w:rPr>
      </w:pPr>
    </w:p>
    <w:p>
      <w:pPr>
        <w:kinsoku/>
        <w:wordWrap w:val="0"/>
        <w:overflowPunct/>
        <w:topLinePunct w:val="0"/>
        <w:bidi w:val="0"/>
        <w:rPr>
          <w:rFonts w:hint="eastAsia" w:ascii="仿宋_GB2312" w:hAnsi="仿宋_GB2312" w:eastAsia="仿宋_GB2312" w:cs="仿宋_GB2312"/>
          <w:b/>
          <w:color w:val="auto"/>
          <w:sz w:val="24"/>
          <w:highlight w:val="none"/>
        </w:rPr>
      </w:pPr>
    </w:p>
    <w:p>
      <w:pPr>
        <w:pStyle w:val="79"/>
        <w:kinsoku/>
        <w:wordWrap w:val="0"/>
        <w:overflowPunct/>
        <w:topLinePunct w:val="0"/>
        <w:bidi w:val="0"/>
        <w:rPr>
          <w:rFonts w:hint="eastAsia" w:ascii="仿宋_GB2312" w:hAnsi="仿宋_GB2312" w:eastAsia="仿宋_GB2312" w:cs="仿宋_GB2312"/>
          <w:b/>
          <w:color w:val="auto"/>
          <w:sz w:val="24"/>
          <w:highlight w:val="none"/>
        </w:rPr>
      </w:pPr>
    </w:p>
    <w:p>
      <w:pPr>
        <w:pStyle w:val="80"/>
        <w:kinsoku/>
        <w:wordWrap w:val="0"/>
        <w:overflowPunct/>
        <w:topLinePunct w:val="0"/>
        <w:bidi w:val="0"/>
        <w:rPr>
          <w:rFonts w:hint="eastAsia" w:ascii="仿宋_GB2312" w:hAnsi="仿宋_GB2312" w:eastAsia="仿宋_GB2312" w:cs="仿宋_GB2312"/>
          <w:b/>
          <w:color w:val="auto"/>
          <w:sz w:val="24"/>
          <w:highlight w:val="none"/>
        </w:rPr>
      </w:pPr>
    </w:p>
    <w:p>
      <w:pPr>
        <w:kinsoku/>
        <w:wordWrap w:val="0"/>
        <w:overflowPunct/>
        <w:topLinePunct w:val="0"/>
        <w:bidi w:val="0"/>
        <w:rPr>
          <w:rFonts w:hint="eastAsia" w:ascii="仿宋_GB2312" w:hAnsi="仿宋_GB2312" w:eastAsia="仿宋_GB2312" w:cs="仿宋_GB2312"/>
          <w:color w:val="auto"/>
          <w:highlight w:val="none"/>
          <w:lang w:eastAsia="zh-CN"/>
        </w:rPr>
      </w:pPr>
    </w:p>
    <w:p>
      <w:pPr>
        <w:widowControl/>
        <w:kinsoku/>
        <w:wordWrap w:val="0"/>
        <w:overflowPunct/>
        <w:topLinePunct w:val="0"/>
        <w:bidi w:val="0"/>
        <w:spacing w:line="360" w:lineRule="auto"/>
        <w:ind w:firstLine="161" w:firstLineChars="50"/>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lang w:eastAsia="zh-CN"/>
        </w:rPr>
        <w:t>三、残疾人福利性单位声明函（如有）</w:t>
      </w:r>
    </w:p>
    <w:p>
      <w:pPr>
        <w:pStyle w:val="2"/>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[符合条件的残疾人福利性单位，提供残疾人福利性单位声明函(附件6)，否则不需要提供。]</w:t>
      </w:r>
    </w:p>
    <w:p>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b w:val="0"/>
          <w:color w:val="auto"/>
          <w:sz w:val="32"/>
          <w:szCs w:val="32"/>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pStyle w:val="5"/>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附件</w:t>
      </w: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附件1：质疑函范本及制作说明</w:t>
      </w: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pPr>
        <w:kinsoku/>
        <w:wordWrap w:val="0"/>
        <w:overflowPunct/>
        <w:topLinePunct w:val="0"/>
        <w:bidi w:val="0"/>
        <w:snapToGrid w:val="0"/>
        <w:spacing w:before="240" w:beforeLines="100"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val="0"/>
        <w:overflowPunct/>
        <w:topLinePunct w:val="0"/>
        <w:bidi w:val="0"/>
        <w:spacing w:line="360" w:lineRule="auto"/>
        <w:ind w:firstLine="600" w:firstLineChars="200"/>
        <w:jc w:val="left"/>
        <w:rPr>
          <w:rFonts w:hint="eastAsia" w:ascii="仿宋_GB2312" w:hAnsi="仿宋_GB2312" w:eastAsia="仿宋_GB2312" w:cs="仿宋_GB2312"/>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2</w:t>
      </w:r>
      <w:r>
        <w:rPr>
          <w:rFonts w:hint="eastAsia" w:ascii="仿宋_GB2312" w:hAnsi="仿宋_GB2312" w:eastAsia="仿宋_GB2312" w:cs="仿宋_GB2312"/>
          <w:b/>
          <w:color w:val="auto"/>
          <w:spacing w:val="6"/>
          <w:sz w:val="32"/>
          <w:szCs w:val="32"/>
          <w:highlight w:val="none"/>
        </w:rPr>
        <w:t>：投诉书范本及制作说明</w:t>
      </w: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tabs>
          <w:tab w:val="left" w:pos="6510"/>
        </w:tabs>
        <w:kinsoku/>
        <w:wordWrap w:val="0"/>
        <w:overflowPunct/>
        <w:topLinePunct w:val="0"/>
        <w:bidi w:val="0"/>
        <w:spacing w:line="360"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tabs>
          <w:tab w:val="left" w:pos="6510"/>
        </w:tabs>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pPr>
        <w:widowControl/>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3</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bCs/>
          <w:color w:val="auto"/>
          <w:sz w:val="32"/>
          <w:szCs w:val="32"/>
          <w:highlight w:val="none"/>
        </w:rPr>
        <w:t>业务专用章使用说明函</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p>
    <w:p>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eastAsia="zh-CN"/>
        </w:rPr>
        <w:t>绍兴市水上运动训练中心</w:t>
      </w:r>
      <w:r>
        <w:rPr>
          <w:rFonts w:hint="eastAsia" w:ascii="仿宋_GB2312" w:hAnsi="仿宋_GB2312" w:eastAsia="仿宋_GB2312" w:cs="仿宋_GB2312"/>
          <w:color w:val="auto"/>
          <w:sz w:val="24"/>
          <w:highlight w:val="none"/>
          <w:u w:val="single"/>
        </w:rPr>
        <w:t>、</w:t>
      </w:r>
      <w:r>
        <w:rPr>
          <w:rFonts w:hint="eastAsia" w:ascii="仿宋_GB2312" w:hAnsi="仿宋_GB2312" w:eastAsia="仿宋_GB2312" w:cs="仿宋_GB2312"/>
          <w:color w:val="auto"/>
          <w:sz w:val="24"/>
          <w:highlight w:val="none"/>
          <w:u w:val="single"/>
          <w:lang w:eastAsia="zh-CN"/>
        </w:rPr>
        <w:t>绍兴市公共资源交易中心</w:t>
      </w:r>
      <w:r>
        <w:rPr>
          <w:rFonts w:hint="eastAsia" w:ascii="仿宋_GB2312" w:hAnsi="仿宋_GB2312" w:eastAsia="仿宋_GB2312" w:cs="仿宋_GB2312"/>
          <w:color w:val="auto"/>
          <w:sz w:val="24"/>
          <w:highlight w:val="none"/>
          <w:u w:val="single"/>
        </w:rPr>
        <w:t>：</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w:t>
      </w:r>
      <w:r>
        <w:rPr>
          <w:rFonts w:hint="eastAsia" w:ascii="仿宋_GB2312" w:hAnsi="仿宋_GB2312" w:eastAsia="仿宋_GB2312" w:cs="仿宋_GB2312"/>
          <w:color w:val="auto"/>
          <w:sz w:val="24"/>
          <w:highlight w:val="none"/>
          <w:lang w:eastAsia="zh-CN"/>
        </w:rPr>
        <w:t xml:space="preserve">绍兴市水上运动训练中心2025年物业管理服务项目 </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2025-01-0007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right="480" w:firstLine="4080" w:firstLineChars="17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pPr>
        <w:kinsoku/>
        <w:wordWrap w:val="0"/>
        <w:overflowPunct/>
        <w:topLinePunct w:val="0"/>
        <w:bidi w:val="0"/>
        <w:ind w:right="1440" w:firstLine="494"/>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投标单位“XX专用章”（印模）</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4</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lang w:val="zh-CN"/>
        </w:rPr>
        <w:t>联合协议</w:t>
      </w:r>
    </w:p>
    <w:p>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lang w:eastAsia="zh-CN"/>
        </w:rPr>
        <w:t xml:space="preserve">绍兴市水上运动训练中心2025年物业管理服务项目 </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2025-01-0007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投标。 </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w:t>
      </w:r>
      <w:bookmarkStart w:id="158" w:name="_Hlk101131882"/>
      <w:r>
        <w:rPr>
          <w:rFonts w:hint="eastAsia" w:ascii="仿宋_GB2312" w:hAnsi="仿宋_GB2312" w:eastAsia="仿宋_GB2312" w:cs="仿宋_GB2312"/>
          <w:color w:val="auto"/>
          <w:kern w:val="0"/>
          <w:sz w:val="24"/>
          <w:highlight w:val="none"/>
          <w:u w:val="single"/>
        </w:rPr>
        <w:t>联合体成员X,……</w:t>
      </w:r>
      <w:bookmarkEnd w:id="158"/>
      <w:r>
        <w:rPr>
          <w:rFonts w:hint="eastAsia" w:ascii="仿宋_GB2312" w:hAnsi="仿宋_GB2312" w:eastAsia="仿宋_GB2312" w:cs="仿宋_GB2312"/>
          <w:color w:val="auto"/>
          <w:kern w:val="0"/>
          <w:sz w:val="24"/>
          <w:highlight w:val="none"/>
          <w:u w:val="single"/>
        </w:rPr>
        <w:t>）</w:t>
      </w:r>
      <w:r>
        <w:rPr>
          <w:rFonts w:hint="eastAsia" w:ascii="仿宋_GB2312" w:hAnsi="仿宋_GB2312" w:eastAsia="仿宋_GB2312" w:cs="仿宋_GB2312"/>
          <w:color w:val="auto"/>
          <w:kern w:val="0"/>
          <w:sz w:val="24"/>
          <w:highlight w:val="none"/>
        </w:rPr>
        <w:t>提供的服务由小微企业承接，其合同份额占到合同总金额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w:t>
      </w:r>
      <w:bookmarkStart w:id="159" w:name="_Hlk101133598"/>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bookmarkEnd w:id="159"/>
      <w:r>
        <w:rPr>
          <w:rFonts w:hint="eastAsia" w:ascii="仿宋_GB2312" w:hAnsi="仿宋_GB2312" w:eastAsia="仿宋_GB2312" w:cs="仿宋_GB2312"/>
          <w:b/>
          <w:color w:val="auto"/>
          <w:kern w:val="0"/>
          <w:sz w:val="24"/>
          <w:highlight w:val="none"/>
          <w:lang w:val="zh-CN"/>
        </w:rPr>
        <w:t>）</w:t>
      </w:r>
    </w:p>
    <w:p>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w:t>
      </w:r>
      <w:bookmarkStart w:id="160" w:name="_Hlk101133173"/>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bookmarkEnd w:id="160"/>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napToGrid w:val="0"/>
        <w:spacing w:line="360" w:lineRule="auto"/>
        <w:ind w:firstLine="3666" w:firstLineChars="1100"/>
        <w:rPr>
          <w:rFonts w:hint="eastAsia" w:ascii="仿宋_GB2312" w:hAnsi="仿宋_GB2312" w:eastAsia="仿宋_GB2312" w:cs="仿宋_GB2312"/>
          <w:b/>
          <w:color w:val="auto"/>
          <w:spacing w:val="6"/>
          <w:sz w:val="32"/>
          <w:szCs w:val="32"/>
          <w:highlight w:val="none"/>
        </w:rPr>
      </w:pPr>
    </w:p>
    <w:p>
      <w:pPr>
        <w:widowControl/>
        <w:kinsoku/>
        <w:wordWrap w:val="0"/>
        <w:overflowPunct/>
        <w:topLinePunct w:val="0"/>
        <w:bidi w:val="0"/>
        <w:adjustRightInd/>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br w:type="page"/>
      </w: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5</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rPr>
        <w:t>分包意向协议</w:t>
      </w:r>
    </w:p>
    <w:p>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lang w:eastAsia="zh-CN"/>
        </w:rPr>
        <w:t xml:space="preserve">绍兴市水上运动训练中心2025年物业管理服务项目 </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2025-01-0007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XX工作内容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（分包供应商2名称），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XX工作内容</w:t>
      </w:r>
      <w:r>
        <w:rPr>
          <w:rFonts w:hint="eastAsia" w:ascii="仿宋_GB2312" w:hAnsi="仿宋_GB2312" w:eastAsia="仿宋_GB2312" w:cs="仿宋_GB2312"/>
          <w:color w:val="auto"/>
          <w:kern w:val="0"/>
          <w:sz w:val="24"/>
          <w:highlight w:val="none"/>
          <w:lang w:val="zh-CN"/>
        </w:rPr>
        <w:t>相应资质条件且不得再次分包；</w:t>
      </w:r>
    </w:p>
    <w:p>
      <w:pPr>
        <w:pStyle w:val="6"/>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w:t>
      </w:r>
    </w:p>
    <w:p>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（分包供应商X,……）提供的服务全部由小微企业承接，</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八、其他</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  。                                           投标人名称(电子签名)：</w:t>
      </w:r>
    </w:p>
    <w:p>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79"/>
        <w:kinsoku/>
        <w:wordWrap w:val="0"/>
        <w:overflowPunct/>
        <w:topLinePunct w:val="0"/>
        <w:bidi w:val="0"/>
        <w:rPr>
          <w:rFonts w:hint="eastAsia" w:ascii="仿宋_GB2312" w:hAnsi="仿宋_GB2312" w:eastAsia="仿宋_GB2312" w:cs="仿宋_GB2312"/>
          <w:color w:val="auto"/>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6</w:t>
      </w:r>
      <w:r>
        <w:rPr>
          <w:rFonts w:hint="eastAsia" w:ascii="仿宋_GB2312" w:hAnsi="仿宋_GB2312" w:eastAsia="仿宋_GB2312" w:cs="仿宋_GB2312"/>
          <w:b/>
          <w:color w:val="auto"/>
          <w:spacing w:val="6"/>
          <w:sz w:val="32"/>
          <w:szCs w:val="32"/>
          <w:highlight w:val="none"/>
        </w:rPr>
        <w:t>：</w:t>
      </w:r>
      <w:bookmarkStart w:id="161" w:name="OLE_LINK14"/>
      <w:bookmarkStart w:id="162" w:name="OLE_LINK13"/>
      <w:r>
        <w:rPr>
          <w:rFonts w:hint="eastAsia" w:ascii="仿宋_GB2312" w:hAnsi="仿宋_GB2312" w:eastAsia="仿宋_GB2312" w:cs="仿宋_GB2312"/>
          <w:b/>
          <w:color w:val="auto"/>
          <w:spacing w:val="6"/>
          <w:sz w:val="32"/>
          <w:szCs w:val="32"/>
          <w:highlight w:val="none"/>
        </w:rPr>
        <w:t>残疾人福利性单位声明函</w:t>
      </w:r>
    </w:p>
    <w:bookmarkEnd w:id="161"/>
    <w:bookmarkEnd w:id="162"/>
    <w:p>
      <w:pPr>
        <w:kinsoku/>
        <w:wordWrap w:val="0"/>
        <w:overflowPunct/>
        <w:topLinePunct w:val="0"/>
        <w:bidi w:val="0"/>
        <w:spacing w:line="360" w:lineRule="auto"/>
        <w:rPr>
          <w:rFonts w:hint="eastAsia" w:ascii="仿宋_GB2312" w:hAnsi="仿宋_GB2312" w:eastAsia="仿宋_GB2312" w:cs="仿宋_GB2312"/>
          <w:b/>
          <w:color w:val="auto"/>
          <w:spacing w:val="6"/>
          <w:sz w:val="30"/>
          <w:szCs w:val="30"/>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highlight w:val="none"/>
          <w:u w:val="single"/>
          <w:lang w:eastAsia="zh-CN"/>
        </w:rPr>
        <w:t>绍兴市水上运动训练中心</w:t>
      </w:r>
      <w:r>
        <w:rPr>
          <w:rFonts w:hint="eastAsia" w:ascii="仿宋_GB2312" w:hAnsi="仿宋_GB2312" w:eastAsia="仿宋_GB2312" w:cs="仿宋_GB2312"/>
          <w:color w:val="auto"/>
          <w:sz w:val="24"/>
          <w:highlight w:val="none"/>
        </w:rPr>
        <w:t>单位的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lang w:eastAsia="zh-CN"/>
        </w:rPr>
        <w:t xml:space="preserve">绍兴市水上运动训练中心2025年物业管理服务项目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none"/>
          <w:lang w:val="en-US" w:eastAsia="zh-CN"/>
        </w:rPr>
        <w:t>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pStyle w:val="2"/>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7</w:t>
      </w:r>
      <w:r>
        <w:rPr>
          <w:rFonts w:hint="eastAsia" w:ascii="仿宋_GB2312" w:hAnsi="仿宋_GB2312" w:eastAsia="仿宋_GB2312" w:cs="仿宋_GB2312"/>
          <w:b/>
          <w:color w:val="auto"/>
          <w:kern w:val="0"/>
          <w:sz w:val="32"/>
          <w:szCs w:val="32"/>
          <w:highlight w:val="none"/>
        </w:rPr>
        <w:t>：中小企业声明函</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u w:val="singl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中小企业声明函（服务）</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highlight w:val="none"/>
          <w:u w:val="single"/>
          <w:lang w:eastAsia="zh-CN"/>
        </w:rPr>
        <w:t>绍兴市水上运动训练中心</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 xml:space="preserve">绍兴市水上运动训练中心2025年物业管理服务项目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采购活动</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服务全部由符合政策要求的中小企业承接。相关企业（含联合体中的中小企业、签订分包意向协议的中小企业）的具体情况如下：</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 xml:space="preserve"> ；承建（承接）企业为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 xml:space="preserve">属于 </w:t>
      </w:r>
      <w:r>
        <w:rPr>
          <w:rFonts w:hint="eastAsia" w:ascii="仿宋_GB2312" w:hAnsi="仿宋_GB2312" w:eastAsia="仿宋_GB2312" w:cs="仿宋_GB2312"/>
          <w:color w:val="auto"/>
          <w:sz w:val="24"/>
          <w:highlight w:val="none"/>
          <w:u w:val="single"/>
        </w:rPr>
        <w:t xml:space="preserve">（采购文件中明确的所属行业） </w:t>
      </w:r>
      <w:r>
        <w:rPr>
          <w:rFonts w:hint="eastAsia" w:ascii="仿宋_GB2312" w:hAnsi="仿宋_GB2312" w:eastAsia="仿宋_GB2312" w:cs="仿宋_GB2312"/>
          <w:color w:val="auto"/>
          <w:sz w:val="24"/>
          <w:highlight w:val="none"/>
        </w:rPr>
        <w:t xml:space="preserve">；承建（承接）企业为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kinsoku/>
        <w:wordWrap w:val="0"/>
        <w:overflowPunct/>
        <w:topLinePunct w:val="0"/>
        <w:bidi w:val="0"/>
        <w:spacing w:line="360" w:lineRule="auto"/>
        <w:ind w:right="176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投标人名称（电子签名）：</w:t>
      </w:r>
    </w:p>
    <w:p>
      <w:pPr>
        <w:kinsoku/>
        <w:wordWrap w:val="0"/>
        <w:overflowPunct/>
        <w:topLinePunct w:val="0"/>
        <w:bidi w:val="0"/>
        <w:spacing w:line="360" w:lineRule="auto"/>
        <w:ind w:right="1120" w:firstLine="4680" w:firstLineChars="19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 期：</w:t>
      </w:r>
    </w:p>
    <w:p>
      <w:pPr>
        <w:kinsoku/>
        <w:wordWrap w:val="0"/>
        <w:overflowPunct/>
        <w:topLinePunct w:val="0"/>
        <w:bidi w:val="0"/>
        <w:spacing w:line="360" w:lineRule="auto"/>
        <w:ind w:firstLine="310" w:firstLineChars="147"/>
        <w:jc w:val="left"/>
        <w:rPr>
          <w:rFonts w:hint="eastAsia"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从业人员、营业收入、资产总额填报上一年度数据，无上一年度数据的新成立企业可不填报。</w:t>
      </w: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注：</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6"/>
        <w:kinsoku/>
        <w:wordWrap w:val="0"/>
        <w:overflowPunct/>
        <w:topLinePunct w:val="0"/>
        <w:bidi w:val="0"/>
        <w:rPr>
          <w:rFonts w:hint="eastAsia" w:ascii="仿宋_GB2312" w:hAnsi="仿宋_GB2312" w:eastAsia="仿宋_GB2312" w:cs="仿宋_GB2312"/>
          <w:color w:val="auto"/>
          <w:highlight w:val="none"/>
          <w:lang w:val="en-US"/>
        </w:rPr>
      </w:pPr>
    </w:p>
    <w:p>
      <w:pPr>
        <w:pageBreakBefore/>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wordWrap w:val="0"/>
        <w:overflowPunct/>
        <w:topLinePunct w:val="0"/>
        <w:bidi w:val="0"/>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pPr>
        <w:pStyle w:val="2"/>
        <w:kinsoku/>
        <w:wordWrap w:val="0"/>
        <w:overflowPunct/>
        <w:topLinePunct w:val="0"/>
        <w:bidi w:val="0"/>
        <w:rPr>
          <w:rFonts w:hint="eastAsia" w:ascii="仿宋_GB2312" w:hAnsi="仿宋_GB2312" w:eastAsia="仿宋_GB2312" w:cs="仿宋_GB2312"/>
          <w:color w:val="auto"/>
          <w:highlight w:val="none"/>
          <w:lang w:val="en-US" w:eastAsia="zh-CN"/>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20≤X＜200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5≤X＜20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10≤X＜50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bl>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1.大型、中型和小型企业须同时满足所列指标的下限，否则下划一档；微型企业只须满足所列指标中的一项即可。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3.企业划分指标以现行统计制度为准。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将交通运输业中包括的“装卸搬运和运输代理业”修改为“多式联运和运输代理业、装卸搬运”。</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二、适用范围。本规定适用于从事《国民经济行业分类》(GB/T4754-2011)中J门类（金融业）活动的企业。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七、标准值的评估和调整。金融业企业划型标准工作组毎五年对划型标准值受经济发展与通货膨胀等因素的响程度进行评估和调整。</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九</w:t>
      </w:r>
      <w:r>
        <w:rPr>
          <w:rFonts w:hint="eastAsia" w:ascii="仿宋_GB2312" w:hAnsi="仿宋_GB2312" w:eastAsia="仿宋_GB2312" w:cs="仿宋_GB2312"/>
          <w:color w:val="auto"/>
          <w:kern w:val="0"/>
          <w:szCs w:val="21"/>
          <w:highlight w:val="none"/>
          <w:lang w:eastAsia="zh-CN"/>
        </w:rPr>
        <w:t>、</w:t>
      </w:r>
      <w:r>
        <w:rPr>
          <w:rFonts w:hint="eastAsia" w:ascii="仿宋_GB2312" w:hAnsi="仿宋_GB2312" w:eastAsia="仿宋_GB2312" w:cs="仿宋_GB2312"/>
          <w:color w:val="auto"/>
          <w:kern w:val="0"/>
          <w:szCs w:val="21"/>
          <w:highlight w:val="none"/>
        </w:rPr>
        <w:t>融资担保公司参照本规定中“除贷款公司、小额贷款公司、典当行以外的其他金融机构”标准划型。</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十、本规定由人民银行会同银监会，证监会、保监会和统计局负责解释。</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十一、本规定自发布之日起实施。</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pPr>
        <w:kinsoku/>
        <w:wordWrap w:val="0"/>
        <w:overflowPunct/>
        <w:topLinePunct w:val="0"/>
        <w:bidi w:val="0"/>
        <w:rPr>
          <w:rFonts w:hint="eastAsia" w:ascii="仿宋_GB2312" w:hAnsi="仿宋_GB2312" w:eastAsia="仿宋_GB2312" w:cs="仿宋_GB2312"/>
          <w:color w:val="auto"/>
          <w:sz w:val="24"/>
          <w:highlight w:val="none"/>
        </w:rPr>
      </w:pPr>
    </w:p>
    <w:p>
      <w:pPr>
        <w:kinsoku/>
        <w:wordWrap w:val="0"/>
        <w:overflowPunct/>
        <w:topLinePunct w:val="0"/>
        <w:bidi w:val="0"/>
        <w:ind w:firstLine="420" w:firstLineChars="200"/>
        <w:rPr>
          <w:rFonts w:hint="eastAsia" w:ascii="仿宋_GB2312" w:hAnsi="仿宋_GB2312" w:eastAsia="仿宋_GB2312" w:cs="仿宋_GB2312"/>
          <w:color w:val="auto"/>
          <w:highlight w:val="none"/>
        </w:rPr>
      </w:pPr>
    </w:p>
    <w:p>
      <w:pPr>
        <w:kinsoku/>
        <w:wordWrap w:val="0"/>
        <w:overflowPunct/>
        <w:topLinePunct w:val="0"/>
        <w:bidi w:val="0"/>
        <w:spacing w:line="360" w:lineRule="auto"/>
        <w:ind w:right="420"/>
        <w:rPr>
          <w:rFonts w:hint="eastAsia" w:ascii="仿宋" w:hAnsi="仿宋" w:eastAsia="仿宋" w:cs="仿宋"/>
          <w:color w:val="auto"/>
          <w:highlight w:val="none"/>
        </w:rPr>
      </w:pPr>
    </w:p>
    <w:p>
      <w:pPr>
        <w:kinsoku/>
        <w:wordWrap w:val="0"/>
        <w:overflowPunct/>
        <w:topLinePunct w:val="0"/>
        <w:bidi w:val="0"/>
        <w:spacing w:line="360" w:lineRule="auto"/>
        <w:rPr>
          <w:rFonts w:ascii="宋体" w:hAnsi="宋体" w:cs="宋体"/>
          <w:bCs/>
          <w:color w:val="auto"/>
          <w:sz w:val="24"/>
          <w:highlight w:val="none"/>
        </w:rPr>
      </w:pPr>
    </w:p>
    <w:sectPr>
      <w:footerReference r:id="rId20" w:type="firs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hint="default"/>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招标编号:2025-01-0007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p>
    <w:pPr>
      <w:pStyle w:val="42"/>
      <w:pBdr>
        <w:bottom w:val="none" w:color="auto" w:sz="0" w:space="0"/>
      </w:pBdr>
      <w:tabs>
        <w:tab w:val="clear" w:pos="4153"/>
        <w:tab w:val="clear" w:pos="8306"/>
      </w:tab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b/>
        <w:i/>
        <w:sz w:val="18"/>
        <w:u w:val="single"/>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003A62"/>
    <w:multiLevelType w:val="singleLevel"/>
    <w:tmpl w:val="99003A62"/>
    <w:lvl w:ilvl="0" w:tentative="0">
      <w:start w:val="2"/>
      <w:numFmt w:val="chineseCounting"/>
      <w:suff w:val="nothing"/>
      <w:lvlText w:val="%1、"/>
      <w:lvlJc w:val="left"/>
      <w:rPr>
        <w:rFonts w:hint="eastAsia"/>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0CC0779"/>
    <w:rsid w:val="01F74BBE"/>
    <w:rsid w:val="035BEF8B"/>
    <w:rsid w:val="0F096B8F"/>
    <w:rsid w:val="0F63063F"/>
    <w:rsid w:val="110F45BD"/>
    <w:rsid w:val="1158774F"/>
    <w:rsid w:val="15321013"/>
    <w:rsid w:val="16543937"/>
    <w:rsid w:val="18E60774"/>
    <w:rsid w:val="1CF46385"/>
    <w:rsid w:val="1D2F1C3B"/>
    <w:rsid w:val="1F9312CE"/>
    <w:rsid w:val="1FBFFEB0"/>
    <w:rsid w:val="21790939"/>
    <w:rsid w:val="21C23686"/>
    <w:rsid w:val="21C326D6"/>
    <w:rsid w:val="26E12F35"/>
    <w:rsid w:val="275DFFED"/>
    <w:rsid w:val="27936D88"/>
    <w:rsid w:val="28B23A27"/>
    <w:rsid w:val="2B2B22B3"/>
    <w:rsid w:val="2C26125D"/>
    <w:rsid w:val="2F0C0A43"/>
    <w:rsid w:val="30CD01D9"/>
    <w:rsid w:val="31EF5C5F"/>
    <w:rsid w:val="326F4556"/>
    <w:rsid w:val="34985663"/>
    <w:rsid w:val="34D04EBC"/>
    <w:rsid w:val="3E6DF6DC"/>
    <w:rsid w:val="3FCFDA4A"/>
    <w:rsid w:val="40CC3269"/>
    <w:rsid w:val="427E60E8"/>
    <w:rsid w:val="440973C9"/>
    <w:rsid w:val="44940677"/>
    <w:rsid w:val="471C2176"/>
    <w:rsid w:val="4A9A622B"/>
    <w:rsid w:val="4AB656E6"/>
    <w:rsid w:val="4F1636DC"/>
    <w:rsid w:val="4F357B5D"/>
    <w:rsid w:val="4F4B3D85"/>
    <w:rsid w:val="4F981E95"/>
    <w:rsid w:val="5B73EE39"/>
    <w:rsid w:val="5CFAC9C4"/>
    <w:rsid w:val="5F561B6F"/>
    <w:rsid w:val="5F57E5CA"/>
    <w:rsid w:val="5FD75EED"/>
    <w:rsid w:val="642E7CA1"/>
    <w:rsid w:val="64AFCBD0"/>
    <w:rsid w:val="65E0560D"/>
    <w:rsid w:val="669C35D3"/>
    <w:rsid w:val="66BB07E1"/>
    <w:rsid w:val="6AFF2A6C"/>
    <w:rsid w:val="6EBAEEF7"/>
    <w:rsid w:val="6F943CEF"/>
    <w:rsid w:val="6FC37AD4"/>
    <w:rsid w:val="71EA68D7"/>
    <w:rsid w:val="778CFDC4"/>
    <w:rsid w:val="77EDE09C"/>
    <w:rsid w:val="78AD1F79"/>
    <w:rsid w:val="78BB59A6"/>
    <w:rsid w:val="79574D11"/>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w:basedOn w:val="1"/>
    <w:next w:val="3"/>
    <w:link w:val="428"/>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4"/>
    <w:link w:val="319"/>
    <w:qFormat/>
    <w:uiPriority w:val="0"/>
    <w:pPr>
      <w:ind w:firstLine="420"/>
    </w:pPr>
    <w:rPr>
      <w:rFonts w:hAnsi="Calibri" w:cs="Times New Roman"/>
      <w:snapToGrid/>
      <w:szCs w:val="20"/>
    </w:rPr>
  </w:style>
  <w:style w:type="paragraph" w:styleId="4">
    <w:name w:val="toc 6"/>
    <w:basedOn w:val="1"/>
    <w:next w:val="1"/>
    <w:qFormat/>
    <w:uiPriority w:val="0"/>
    <w:pPr>
      <w:ind w:left="2100" w:leftChars="1000"/>
    </w:pPr>
  </w:style>
  <w:style w:type="paragraph" w:styleId="8">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caption"/>
    <w:basedOn w:val="1"/>
    <w:next w:val="1"/>
    <w:link w:val="228"/>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1"/>
    <w:qFormat/>
    <w:uiPriority w:val="0"/>
    <w:pPr>
      <w:shd w:val="clear" w:color="auto" w:fill="000080"/>
    </w:pPr>
  </w:style>
  <w:style w:type="paragraph" w:styleId="22">
    <w:name w:val="annotation text"/>
    <w:basedOn w:val="1"/>
    <w:link w:val="342"/>
    <w:qFormat/>
    <w:uiPriority w:val="99"/>
    <w:pPr>
      <w:jc w:val="left"/>
    </w:pPr>
  </w:style>
  <w:style w:type="paragraph" w:styleId="23">
    <w:name w:val="Salutation"/>
    <w:basedOn w:val="1"/>
    <w:next w:val="1"/>
    <w:link w:val="296"/>
    <w:qFormat/>
    <w:uiPriority w:val="0"/>
    <w:rPr>
      <w:rFonts w:ascii="仿宋_GB2312" w:eastAsia="仿宋_GB2312"/>
      <w:sz w:val="28"/>
      <w:szCs w:val="20"/>
    </w:rPr>
  </w:style>
  <w:style w:type="paragraph" w:styleId="24">
    <w:name w:val="Body Text 3"/>
    <w:basedOn w:val="1"/>
    <w:link w:val="328"/>
    <w:qFormat/>
    <w:uiPriority w:val="0"/>
    <w:pPr>
      <w:jc w:val="center"/>
    </w:pPr>
    <w:rPr>
      <w:szCs w:val="20"/>
    </w:rPr>
  </w:style>
  <w:style w:type="paragraph" w:styleId="25">
    <w:name w:val="List Bullet 3"/>
    <w:basedOn w:val="1"/>
    <w:qFormat/>
    <w:uiPriority w:val="0"/>
    <w:pPr>
      <w:snapToGrid w:val="0"/>
      <w:spacing w:line="360" w:lineRule="auto"/>
      <w:ind w:left="360" w:right="238" w:hanging="360"/>
      <w:contextualSpacing/>
    </w:pPr>
    <w:rPr>
      <w:sz w:val="24"/>
    </w:r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8"/>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8"/>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2"/>
    <w:next w:val="22"/>
    <w:link w:val="95"/>
    <w:qFormat/>
    <w:uiPriority w:val="0"/>
    <w:rPr>
      <w:b/>
      <w:bCs/>
    </w:rPr>
  </w:style>
  <w:style w:type="paragraph" w:styleId="61">
    <w:name w:val="Body Text First Indent 2"/>
    <w:basedOn w:val="26"/>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1"/>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6"/>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4"/>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8"/>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1"/>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9"/>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9"/>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5"/>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10"/>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3"/>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9"/>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2"/>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3"/>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9"/>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4"/>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2"/>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3"/>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8"/>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9"/>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6"/>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6"/>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7"/>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10"/>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7"/>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9"/>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5"/>
    <w:qFormat/>
    <w:uiPriority w:val="0"/>
    <w:pPr>
      <w:tabs>
        <w:tab w:val="left" w:pos="840"/>
      </w:tabs>
      <w:adjustRightInd/>
      <w:ind w:left="840" w:hanging="420"/>
    </w:pPr>
  </w:style>
  <w:style w:type="paragraph" w:customStyle="1" w:styleId="624">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9"/>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7"/>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7"/>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8"/>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1"/>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10"/>
    <w:next w:val="1"/>
    <w:qFormat/>
    <w:uiPriority w:val="0"/>
    <w:pPr>
      <w:tabs>
        <w:tab w:val="left" w:pos="1080"/>
      </w:tabs>
      <w:ind w:left="1080" w:hanging="1080"/>
    </w:pPr>
  </w:style>
  <w:style w:type="paragraph" w:customStyle="1" w:styleId="895">
    <w:name w:val="数字标题1"/>
    <w:basedOn w:val="5"/>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965">
    <w:name w:val="Style 4"/>
    <w:qFormat/>
    <w:uiPriority w:val="0"/>
    <w:pPr>
      <w:spacing w:line="444" w:lineRule="auto"/>
      <w:ind w:firstLine="400"/>
    </w:pPr>
    <w:rPr>
      <w:rFonts w:ascii="宋体" w:hAnsi="宋体" w:eastAsia="宋体" w:cs="宋体"/>
      <w:sz w:val="22"/>
      <w:szCs w:val="2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40152</Words>
  <Characters>42752</Characters>
  <Paragraphs>1943</Paragraphs>
  <TotalTime>7</TotalTime>
  <ScaleCrop>false</ScaleCrop>
  <LinksUpToDate>false</LinksUpToDate>
  <CharactersWithSpaces>50218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市交易中心</cp:lastModifiedBy>
  <cp:lastPrinted>2021-12-31T19:06:00Z</cp:lastPrinted>
  <dcterms:modified xsi:type="dcterms:W3CDTF">2025-01-16T07:48:11Z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