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仿宋"/>
          <w:b/>
          <w:bCs/>
          <w:sz w:val="52"/>
          <w:szCs w:val="52"/>
          <w:highlight w:val="none"/>
        </w:rPr>
      </w:pPr>
    </w:p>
    <w:p>
      <w:pPr>
        <w:jc w:val="center"/>
        <w:outlineLvl w:val="0"/>
        <w:rPr>
          <w:rFonts w:hint="eastAsia" w:ascii="仿宋_GB2312" w:hAnsi="仿宋_GB2312" w:eastAsia="仿宋_GB2312" w:cs="仿宋_GB2312"/>
          <w:b/>
          <w:sz w:val="72"/>
          <w:szCs w:val="72"/>
          <w:highlight w:val="none"/>
        </w:rPr>
      </w:pPr>
      <w:bookmarkStart w:id="0" w:name="第二部分"/>
      <w:bookmarkStart w:id="1" w:name="_Toc91899870"/>
      <w:bookmarkStart w:id="2" w:name="_Toc91899871"/>
      <w:r>
        <w:rPr>
          <w:rFonts w:hint="eastAsia" w:ascii="仿宋_GB2312" w:hAnsi="仿宋_GB2312" w:eastAsia="仿宋_GB2312" w:cs="仿宋_GB2312"/>
          <w:b/>
          <w:sz w:val="72"/>
          <w:szCs w:val="72"/>
          <w:highlight w:val="none"/>
          <w:lang w:eastAsia="zh-CN"/>
        </w:rPr>
        <w:t>加装电梯智慧监管民生实事项目（滨海新区、柯桥区）</w:t>
      </w:r>
    </w:p>
    <w:p>
      <w:pPr>
        <w:outlineLvl w:val="0"/>
        <w:rPr>
          <w:rFonts w:ascii="仿宋_GB2312" w:hAnsi="仿宋_GB2312" w:eastAsia="仿宋_GB2312" w:cs="仿宋_GB2312"/>
          <w:sz w:val="44"/>
          <w:highlight w:val="none"/>
        </w:rPr>
      </w:pPr>
    </w:p>
    <w:p>
      <w:pPr>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tbl>
      <w:tblPr>
        <w:tblStyle w:val="62"/>
        <w:tblpPr w:leftFromText="180" w:rightFromText="180" w:vertAnchor="text" w:horzAnchor="page" w:tblpX="2173" w:tblpY="843"/>
        <w:tblOverlap w:val="never"/>
        <w:tblW w:w="7739" w:type="dxa"/>
        <w:tblInd w:w="0" w:type="dxa"/>
        <w:tblLayout w:type="fixed"/>
        <w:tblCellMar>
          <w:top w:w="0" w:type="dxa"/>
          <w:left w:w="108" w:type="dxa"/>
          <w:bottom w:w="0" w:type="dxa"/>
          <w:right w:w="108" w:type="dxa"/>
        </w:tblCellMar>
      </w:tblPr>
      <w:tblGrid>
        <w:gridCol w:w="2337"/>
        <w:gridCol w:w="5402"/>
      </w:tblGrid>
      <w:tr>
        <w:tblPrEx>
          <w:tblCellMar>
            <w:top w:w="0" w:type="dxa"/>
            <w:left w:w="108" w:type="dxa"/>
            <w:bottom w:w="0" w:type="dxa"/>
            <w:right w:w="108" w:type="dxa"/>
          </w:tblCellMar>
        </w:tblPrEx>
        <w:trPr>
          <w:trHeight w:val="683" w:hRule="atLeast"/>
        </w:trPr>
        <w:tc>
          <w:tcPr>
            <w:tcW w:w="2337" w:type="dxa"/>
          </w:tcPr>
          <w:p>
            <w:pPr>
              <w:spacing w:after="100" w:afterAutospacing="1" w:line="440" w:lineRule="exact"/>
              <w:rPr>
                <w:rFonts w:ascii="仿宋_GB2312" w:hAnsi="仿宋_GB2312" w:eastAsia="仿宋_GB2312" w:cs="仿宋_GB2312"/>
                <w:sz w:val="28"/>
                <w:szCs w:val="28"/>
                <w:highlight w:val="none"/>
              </w:rPr>
            </w:pPr>
            <w:bookmarkStart w:id="162" w:name="_GoBack"/>
            <w:bookmarkEnd w:id="162"/>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02" w:type="dxa"/>
            <w:vAlign w:val="center"/>
          </w:tcPr>
          <w:p>
            <w:pPr>
              <w:spacing w:line="320" w:lineRule="exact"/>
              <w:outlineLvl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绍兴滨海新区管理委员会、</w:t>
            </w:r>
          </w:p>
          <w:p>
            <w:pPr>
              <w:spacing w:line="320" w:lineRule="exact"/>
              <w:outlineLvl w:val="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绍兴市柯桥区市场监督管理局</w:t>
            </w:r>
          </w:p>
        </w:tc>
      </w:tr>
      <w:tr>
        <w:tblPrEx>
          <w:tblCellMar>
            <w:top w:w="0" w:type="dxa"/>
            <w:left w:w="108" w:type="dxa"/>
            <w:bottom w:w="0" w:type="dxa"/>
            <w:right w:w="108" w:type="dxa"/>
          </w:tblCellMar>
        </w:tblPrEx>
        <w:trPr>
          <w:trHeight w:val="527" w:hRule="atLeast"/>
        </w:trPr>
        <w:tc>
          <w:tcPr>
            <w:tcW w:w="2337" w:type="dxa"/>
          </w:tcPr>
          <w:p>
            <w:pPr>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825331462"/>
              </w:rPr>
              <w:t>采购代理机构</w:t>
            </w:r>
            <w:r>
              <w:rPr>
                <w:rFonts w:hint="eastAsia" w:ascii="仿宋_GB2312" w:hAnsi="仿宋_GB2312" w:eastAsia="仿宋_GB2312" w:cs="仿宋_GB2312"/>
                <w:sz w:val="28"/>
                <w:szCs w:val="28"/>
                <w:highlight w:val="none"/>
              </w:rPr>
              <w:t>：</w:t>
            </w:r>
          </w:p>
        </w:tc>
        <w:tc>
          <w:tcPr>
            <w:tcW w:w="5402" w:type="dxa"/>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绍兴虬实企业管理咨询有限公司</w:t>
            </w:r>
          </w:p>
        </w:tc>
      </w:tr>
      <w:tr>
        <w:tblPrEx>
          <w:tblCellMar>
            <w:top w:w="0" w:type="dxa"/>
            <w:left w:w="108" w:type="dxa"/>
            <w:bottom w:w="0" w:type="dxa"/>
            <w:right w:w="108" w:type="dxa"/>
          </w:tblCellMar>
        </w:tblPrEx>
        <w:trPr>
          <w:trHeight w:val="753" w:hRule="atLeast"/>
        </w:trPr>
        <w:tc>
          <w:tcPr>
            <w:tcW w:w="2337" w:type="dxa"/>
            <w:vAlign w:val="center"/>
          </w:tcPr>
          <w:p>
            <w:pPr>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935668890"/>
              </w:rPr>
              <w:t>监督单</w:t>
            </w:r>
            <w:r>
              <w:rPr>
                <w:rFonts w:hint="eastAsia" w:ascii="仿宋_GB2312" w:hAnsi="仿宋_GB2312" w:eastAsia="仿宋_GB2312" w:cs="仿宋_GB2312"/>
                <w:spacing w:val="1"/>
                <w:kern w:val="0"/>
                <w:sz w:val="28"/>
                <w:szCs w:val="28"/>
                <w:highlight w:val="none"/>
                <w:fitText w:val="1680" w:id="935668890"/>
              </w:rPr>
              <w:t>位</w:t>
            </w:r>
            <w:r>
              <w:rPr>
                <w:rFonts w:hint="eastAsia" w:ascii="仿宋_GB2312" w:hAnsi="仿宋_GB2312" w:eastAsia="仿宋_GB2312" w:cs="仿宋_GB2312"/>
                <w:sz w:val="28"/>
                <w:szCs w:val="28"/>
                <w:highlight w:val="none"/>
              </w:rPr>
              <w:t>：</w:t>
            </w:r>
          </w:p>
        </w:tc>
        <w:tc>
          <w:tcPr>
            <w:tcW w:w="5402" w:type="dxa"/>
          </w:tcPr>
          <w:p>
            <w:pPr>
              <w:spacing w:line="320" w:lineRule="exact"/>
              <w:outlineLvl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绍兴滨海新区管委会财政局</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绍兴市柯桥区财政局</w:t>
            </w:r>
          </w:p>
        </w:tc>
      </w:tr>
      <w:tr>
        <w:tblPrEx>
          <w:tblCellMar>
            <w:top w:w="0" w:type="dxa"/>
            <w:left w:w="108" w:type="dxa"/>
            <w:bottom w:w="0" w:type="dxa"/>
            <w:right w:w="108" w:type="dxa"/>
          </w:tblCellMar>
        </w:tblPrEx>
        <w:trPr>
          <w:trHeight w:val="319" w:hRule="atLeast"/>
        </w:trPr>
        <w:tc>
          <w:tcPr>
            <w:tcW w:w="7739" w:type="dxa"/>
            <w:gridSpan w:val="2"/>
          </w:tcPr>
          <w:p>
            <w:pPr>
              <w:spacing w:after="100" w:afterAutospacing="1" w:line="44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二○二四年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p>
        </w:tc>
      </w:tr>
    </w:tbl>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SXQS-202406-GK068</w:t>
      </w:r>
    </w:p>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62"/>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highlight w:val="none"/>
              </w:rPr>
            </w:pPr>
            <w:r>
              <w:rPr>
                <w:rFonts w:ascii="仿宋_GB2312" w:hAnsi="新宋体" w:eastAsia="仿宋_GB2312"/>
                <w:highlight w:val="none"/>
              </w:rPr>
              <w:br w:type="page"/>
            </w:r>
          </w:p>
          <w:tbl>
            <w:tblPr>
              <w:tblStyle w:val="62"/>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395"/>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395"/>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加装电梯智慧监管民生实事项目（滨海新区、柯桥区）</w:t>
                  </w:r>
                  <w:r>
                    <w:rPr>
                      <w:rFonts w:hint="eastAsia" w:ascii="仿宋_GB2312" w:hAnsi="新宋体" w:eastAsia="仿宋_GB2312"/>
                      <w:szCs w:val="24"/>
                      <w:highlight w:val="none"/>
                    </w:rPr>
                    <w:t xml:space="preserve">招标项目的潜在投标人应在政采云平台（https://www.zcygov.cn/）获取（下载）招标文件，并于2024年 </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 xml:space="preserve"> 月 </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 xml:space="preserve"> 日</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点00分00秒（北京时间）前递交（上传）投标文件。</w:t>
                  </w:r>
                </w:p>
              </w:tc>
            </w:tr>
          </w:tbl>
          <w:p>
            <w:pPr>
              <w:pStyle w:val="395"/>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395"/>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SXQS-202406-GK068</w:t>
            </w:r>
          </w:p>
          <w:p>
            <w:pPr>
              <w:pStyle w:val="395"/>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加装电梯智慧监管民生实事项目（滨海新区、柯桥区）</w:t>
            </w:r>
          </w:p>
          <w:p>
            <w:pPr>
              <w:pStyle w:val="395"/>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采购方式：</w:t>
            </w:r>
            <w:r>
              <w:rPr>
                <w:rFonts w:hint="eastAsia" w:ascii="仿宋_GB2312" w:hAnsi="新宋体" w:eastAsia="仿宋_GB2312"/>
                <w:szCs w:val="24"/>
                <w:highlight w:val="none"/>
              </w:rPr>
              <w:t>公开招标</w:t>
            </w:r>
          </w:p>
          <w:p>
            <w:pPr>
              <w:pStyle w:val="395"/>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szCs w:val="24"/>
                <w:highlight w:val="none"/>
                <w:lang w:eastAsia="zh-CN"/>
              </w:rPr>
              <w:t>534000</w:t>
            </w:r>
            <w:r>
              <w:rPr>
                <w:rFonts w:hint="eastAsia" w:ascii="仿宋_GB2312" w:hAnsi="新宋体" w:eastAsia="仿宋_GB2312"/>
                <w:b/>
                <w:szCs w:val="24"/>
                <w:highlight w:val="none"/>
                <w:lang w:val="en-US" w:eastAsia="zh-CN"/>
              </w:rPr>
              <w:t>.00</w:t>
            </w:r>
          </w:p>
          <w:p>
            <w:pPr>
              <w:pStyle w:val="395"/>
              <w:spacing w:afterLines="0" w:line="440" w:lineRule="exact"/>
              <w:ind w:firstLine="482"/>
              <w:rPr>
                <w:rFonts w:ascii="仿宋_GB2312" w:hAnsi="新宋体" w:eastAsia="仿宋_GB2312"/>
                <w:bCs/>
                <w:szCs w:val="24"/>
                <w:highlight w:val="none"/>
              </w:rPr>
            </w:pPr>
            <w:r>
              <w:rPr>
                <w:rFonts w:hint="eastAsia" w:ascii="仿宋_GB2312" w:hAnsi="新宋体" w:eastAsia="仿宋_GB2312"/>
                <w:b/>
                <w:szCs w:val="24"/>
                <w:highlight w:val="none"/>
              </w:rPr>
              <w:t>最高限价（元）：</w:t>
            </w:r>
            <w:r>
              <w:rPr>
                <w:rFonts w:hint="eastAsia" w:ascii="仿宋_GB2312" w:hAnsi="新宋体" w:eastAsia="仿宋_GB2312"/>
                <w:b/>
                <w:szCs w:val="24"/>
                <w:highlight w:val="none"/>
                <w:lang w:eastAsia="zh-CN"/>
              </w:rPr>
              <w:t>滨海新区93000元、柯桥区441000元</w:t>
            </w:r>
          </w:p>
          <w:p>
            <w:pPr>
              <w:spacing w:line="336" w:lineRule="auto"/>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采购需求：</w:t>
            </w:r>
          </w:p>
          <w:p>
            <w:pPr>
              <w:spacing w:line="336" w:lineRule="auto"/>
              <w:ind w:firstLine="720" w:firstLineChars="300"/>
              <w:rPr>
                <w:rFonts w:ascii="仿宋_GB2312" w:hAnsi="仿宋" w:eastAsia="仿宋_GB2312" w:cs="仿宋"/>
                <w:bCs/>
                <w:sz w:val="24"/>
                <w:highlight w:val="none"/>
              </w:rPr>
            </w:pPr>
            <w:r>
              <w:rPr>
                <w:rFonts w:hint="eastAsia" w:ascii="仿宋_GB2312" w:hAnsi="仿宋" w:eastAsia="仿宋_GB2312" w:cs="仿宋"/>
                <w:bCs/>
                <w:sz w:val="24"/>
                <w:highlight w:val="none"/>
              </w:rPr>
              <w:t>标项一：</w:t>
            </w:r>
          </w:p>
          <w:p>
            <w:pPr>
              <w:spacing w:line="336" w:lineRule="auto"/>
              <w:ind w:firstLine="720" w:firstLineChars="300"/>
              <w:rPr>
                <w:rFonts w:hint="eastAsia" w:ascii="仿宋_GB2312" w:hAnsi="仿宋" w:eastAsia="仿宋_GB2312" w:cs="仿宋"/>
                <w:bCs/>
                <w:sz w:val="24"/>
                <w:highlight w:val="none"/>
                <w:lang w:eastAsia="zh-CN"/>
              </w:rPr>
            </w:pPr>
            <w:r>
              <w:rPr>
                <w:rFonts w:hint="eastAsia" w:ascii="仿宋_GB2312" w:hAnsi="仿宋" w:eastAsia="仿宋_GB2312" w:cs="仿宋"/>
                <w:bCs/>
                <w:sz w:val="24"/>
                <w:highlight w:val="none"/>
              </w:rPr>
              <w:t>标项名称：</w:t>
            </w:r>
            <w:r>
              <w:rPr>
                <w:rFonts w:hint="eastAsia" w:ascii="仿宋_GB2312" w:hAnsi="仿宋" w:eastAsia="仿宋_GB2312" w:cs="仿宋"/>
                <w:bCs/>
                <w:sz w:val="24"/>
                <w:highlight w:val="none"/>
                <w:lang w:eastAsia="zh-CN"/>
              </w:rPr>
              <w:t>加装电梯智慧监管民生实事项目（滨海新区、柯桥区）</w:t>
            </w:r>
          </w:p>
          <w:p>
            <w:pPr>
              <w:spacing w:line="336" w:lineRule="auto"/>
              <w:ind w:firstLine="720" w:firstLineChars="300"/>
              <w:rPr>
                <w:rFonts w:hint="default" w:ascii="仿宋_GB2312" w:hAnsi="仿宋" w:eastAsia="仿宋_GB2312" w:cs="仿宋"/>
                <w:bCs/>
                <w:sz w:val="24"/>
                <w:highlight w:val="none"/>
                <w:lang w:val="en-US" w:eastAsia="zh-CN"/>
              </w:rPr>
            </w:pPr>
            <w:r>
              <w:rPr>
                <w:rFonts w:hint="eastAsia" w:ascii="仿宋_GB2312" w:hAnsi="仿宋" w:eastAsia="仿宋_GB2312" w:cs="仿宋"/>
                <w:bCs/>
                <w:sz w:val="24"/>
                <w:highlight w:val="none"/>
              </w:rPr>
              <w:t>数量：滨海新区</w:t>
            </w:r>
            <w:r>
              <w:rPr>
                <w:rFonts w:hint="eastAsia" w:ascii="仿宋_GB2312" w:hAnsi="仿宋" w:eastAsia="仿宋_GB2312" w:cs="仿宋"/>
                <w:bCs/>
                <w:sz w:val="24"/>
                <w:highlight w:val="none"/>
                <w:lang w:val="en-US" w:eastAsia="zh-CN"/>
              </w:rPr>
              <w:t>31台</w:t>
            </w:r>
            <w:r>
              <w:rPr>
                <w:rFonts w:hint="eastAsia" w:ascii="仿宋_GB2312" w:hAnsi="仿宋" w:eastAsia="仿宋_GB2312" w:cs="仿宋"/>
                <w:bCs/>
                <w:sz w:val="24"/>
                <w:highlight w:val="none"/>
              </w:rPr>
              <w:t>、柯桥区</w:t>
            </w:r>
            <w:r>
              <w:rPr>
                <w:rFonts w:hint="eastAsia" w:ascii="仿宋_GB2312" w:hAnsi="仿宋" w:eastAsia="仿宋_GB2312" w:cs="仿宋"/>
                <w:bCs/>
                <w:sz w:val="24"/>
                <w:highlight w:val="none"/>
                <w:lang w:val="en-US" w:eastAsia="zh-CN"/>
              </w:rPr>
              <w:t>147台共计178台</w:t>
            </w:r>
          </w:p>
          <w:p>
            <w:pPr>
              <w:spacing w:line="336" w:lineRule="auto"/>
              <w:ind w:firstLine="720" w:firstLineChars="300"/>
              <w:rPr>
                <w:rFonts w:hint="eastAsia" w:ascii="仿宋_GB2312" w:hAnsi="仿宋" w:eastAsia="仿宋_GB2312" w:cs="仿宋"/>
                <w:bCs/>
                <w:sz w:val="24"/>
                <w:highlight w:val="none"/>
                <w:lang w:eastAsia="zh-CN"/>
              </w:rPr>
            </w:pPr>
            <w:r>
              <w:rPr>
                <w:rFonts w:hint="eastAsia" w:ascii="仿宋_GB2312" w:hAnsi="仿宋" w:eastAsia="仿宋_GB2312" w:cs="仿宋"/>
                <w:bCs/>
                <w:sz w:val="24"/>
                <w:highlight w:val="none"/>
              </w:rPr>
              <w:t>预算金额：滨海新区</w:t>
            </w:r>
            <w:r>
              <w:rPr>
                <w:rFonts w:hint="eastAsia" w:ascii="仿宋_GB2312" w:hAnsi="仿宋" w:eastAsia="仿宋_GB2312" w:cs="仿宋"/>
                <w:bCs/>
                <w:sz w:val="24"/>
                <w:highlight w:val="none"/>
                <w:lang w:val="en-US" w:eastAsia="zh-CN"/>
              </w:rPr>
              <w:t>93000元</w:t>
            </w:r>
            <w:r>
              <w:rPr>
                <w:rFonts w:hint="eastAsia" w:ascii="仿宋_GB2312" w:hAnsi="仿宋" w:eastAsia="仿宋_GB2312" w:cs="仿宋"/>
                <w:bCs/>
                <w:sz w:val="24"/>
                <w:highlight w:val="none"/>
              </w:rPr>
              <w:t>、柯桥区441000</w:t>
            </w:r>
            <w:r>
              <w:rPr>
                <w:rFonts w:hint="eastAsia" w:ascii="仿宋_GB2312" w:hAnsi="仿宋" w:eastAsia="仿宋_GB2312" w:cs="仿宋"/>
                <w:bCs/>
                <w:sz w:val="24"/>
                <w:highlight w:val="none"/>
                <w:lang w:eastAsia="zh-CN"/>
              </w:rPr>
              <w:t>元</w:t>
            </w:r>
          </w:p>
          <w:p>
            <w:pPr>
              <w:spacing w:line="336" w:lineRule="auto"/>
              <w:ind w:firstLine="720" w:firstLineChars="300"/>
              <w:rPr>
                <w:rFonts w:ascii="仿宋_GB2312" w:hAnsi="仿宋" w:eastAsia="仿宋_GB2312" w:cs="仿宋"/>
                <w:b/>
                <w:sz w:val="24"/>
                <w:highlight w:val="none"/>
              </w:rPr>
            </w:pPr>
            <w:r>
              <w:rPr>
                <w:rFonts w:hint="eastAsia" w:ascii="仿宋_GB2312" w:hAnsi="仿宋" w:eastAsia="仿宋_GB2312" w:cs="仿宋"/>
                <w:bCs/>
                <w:sz w:val="24"/>
                <w:highlight w:val="none"/>
              </w:rPr>
              <w:t>主要内容： 简要规格描述或项目基本概况介绍、用途，详见磋商文件。</w:t>
            </w:r>
          </w:p>
          <w:p>
            <w:pPr>
              <w:pStyle w:val="395"/>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备注：无。</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本项目接受联合体投标：</w:t>
            </w:r>
            <w:r>
              <w:rPr>
                <w:rFonts w:hint="eastAsia" w:ascii="仿宋_GB2312" w:hAnsi="MS Gothic" w:eastAsia="仿宋_GB2312" w:cs="Arial"/>
                <w:highlight w:val="none"/>
              </w:rPr>
              <w:sym w:font="Wingdings" w:char="00FE"/>
            </w:r>
            <w:r>
              <w:rPr>
                <w:rFonts w:hint="eastAsia" w:ascii="仿宋_GB2312" w:hAnsi="新宋体" w:eastAsia="仿宋_GB2312"/>
                <w:b/>
                <w:szCs w:val="24"/>
                <w:highlight w:val="none"/>
              </w:rPr>
              <w:t>是，</w:t>
            </w:r>
            <w:r>
              <w:rPr>
                <w:rFonts w:hint="eastAsia" w:ascii="MS Mincho" w:hAnsi="MS Mincho" w:eastAsia="MS Mincho" w:cs="MS Mincho"/>
                <w:b/>
                <w:szCs w:val="24"/>
                <w:highlight w:val="none"/>
              </w:rPr>
              <w:t>☐</w:t>
            </w:r>
            <w:r>
              <w:rPr>
                <w:rFonts w:hint="eastAsia" w:ascii="仿宋_GB2312" w:hAnsi="新宋体" w:eastAsia="仿宋_GB2312"/>
                <w:b/>
                <w:szCs w:val="24"/>
                <w:highlight w:val="none"/>
              </w:rPr>
              <w:t>否。</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395"/>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395"/>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395"/>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FE"/>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66665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spacing w:line="440" w:lineRule="exact"/>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时间：</w:t>
            </w:r>
            <w:r>
              <w:rPr>
                <w:rFonts w:hint="eastAsia" w:ascii="仿宋_GB2312" w:hAnsi="仿宋" w:eastAsia="仿宋_GB2312" w:cs="仿宋"/>
                <w:sz w:val="24"/>
                <w:highlight w:val="none"/>
              </w:rPr>
              <w:t>/至</w:t>
            </w:r>
            <w:r>
              <w:rPr>
                <w:rFonts w:hint="eastAsia" w:ascii="仿宋_GB2312" w:hAnsi="仿宋" w:eastAsia="仿宋_GB2312" w:cs="仿宋"/>
                <w:sz w:val="24"/>
                <w:highlight w:val="none"/>
                <w:u w:val="single"/>
              </w:rPr>
              <w:t xml:space="preserve">2024年 </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月</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日</w:t>
            </w:r>
            <w:r>
              <w:rPr>
                <w:rFonts w:hint="eastAsia" w:ascii="仿宋_GB2312" w:hAnsi="仿宋" w:eastAsia="仿宋_GB2312" w:cs="仿宋"/>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地点（网址）：</w:t>
            </w:r>
            <w:r>
              <w:rPr>
                <w:rFonts w:hint="eastAsia" w:ascii="仿宋_GB2312" w:hAnsi="仿宋" w:eastAsia="仿宋_GB2312" w:cs="仿宋"/>
                <w:sz w:val="24"/>
                <w:highlight w:val="none"/>
              </w:rPr>
              <w:t xml:space="preserve">政采云平台（https://www.zcygov.cn/） </w:t>
            </w:r>
          </w:p>
          <w:p>
            <w:pPr>
              <w:spacing w:line="440" w:lineRule="exact"/>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方式：</w:t>
            </w:r>
            <w:r>
              <w:rPr>
                <w:rFonts w:hint="eastAsia" w:ascii="仿宋_GB2312" w:hAnsi="仿宋" w:eastAsia="仿宋_GB2312" w:cs="仿宋"/>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售价（元）：</w:t>
            </w:r>
            <w:r>
              <w:rPr>
                <w:rFonts w:hint="eastAsia" w:ascii="仿宋_GB2312" w:hAnsi="仿宋" w:eastAsia="仿宋_GB2312" w:cs="仿宋"/>
                <w:sz w:val="24"/>
                <w:highlight w:val="none"/>
              </w:rPr>
              <w:t xml:space="preserve">0 </w:t>
            </w:r>
            <w:r>
              <w:rPr>
                <w:rFonts w:hint="eastAsia" w:ascii="仿宋_GB2312" w:hAnsi="仿宋" w:eastAsia="仿宋_GB2312" w:cs="仿宋"/>
                <w:sz w:val="24"/>
                <w:highlight w:val="none"/>
              </w:rPr>
              <w:tab/>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spacing w:line="440" w:lineRule="exact"/>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提交投标文件截止时间：</w:t>
            </w:r>
            <w:r>
              <w:rPr>
                <w:rFonts w:hint="eastAsia" w:ascii="仿宋_GB2312" w:hAnsi="仿宋" w:eastAsia="仿宋_GB2312" w:cs="仿宋"/>
                <w:sz w:val="24"/>
                <w:highlight w:val="none"/>
                <w:u w:val="single"/>
              </w:rPr>
              <w:t xml:space="preserve"> 2024年</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月 </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日</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点 00分00秒</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（北京时间）</w:t>
            </w:r>
          </w:p>
          <w:p>
            <w:pPr>
              <w:spacing w:line="44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投标地点（网址）：</w:t>
            </w:r>
            <w:r>
              <w:rPr>
                <w:rFonts w:hint="eastAsia" w:ascii="仿宋_GB2312" w:hAnsi="仿宋" w:eastAsia="仿宋_GB2312" w:cs="仿宋"/>
                <w:sz w:val="24"/>
                <w:highlight w:val="none"/>
              </w:rPr>
              <w:t xml:space="preserve">政采云平台（https://www.zcygov.cn/） </w:t>
            </w:r>
          </w:p>
          <w:p>
            <w:pPr>
              <w:spacing w:line="440" w:lineRule="exact"/>
              <w:ind w:firstLine="482" w:firstLineChars="200"/>
              <w:rPr>
                <w:rFonts w:ascii="仿宋_GB2312" w:hAnsi="仿宋" w:eastAsia="仿宋_GB2312" w:cs="仿宋"/>
                <w:bCs/>
                <w:sz w:val="24"/>
                <w:highlight w:val="none"/>
                <w:u w:val="single"/>
              </w:rPr>
            </w:pPr>
            <w:r>
              <w:rPr>
                <w:rFonts w:hint="eastAsia" w:ascii="仿宋_GB2312" w:hAnsi="仿宋" w:eastAsia="仿宋_GB2312" w:cs="仿宋"/>
                <w:b/>
                <w:sz w:val="24"/>
                <w:highlight w:val="none"/>
              </w:rPr>
              <w:t>开标时间：</w:t>
            </w:r>
            <w:r>
              <w:rPr>
                <w:rFonts w:hint="eastAsia" w:ascii="仿宋_GB2312" w:hAnsi="仿宋" w:eastAsia="仿宋_GB2312" w:cs="仿宋"/>
                <w:sz w:val="24"/>
                <w:highlight w:val="none"/>
                <w:u w:val="single"/>
              </w:rPr>
              <w:t>2024年</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月</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日</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u w:val="single"/>
              </w:rPr>
              <w:t xml:space="preserve"> 点00 分00秒</w:t>
            </w:r>
            <w:r>
              <w:rPr>
                <w:rFonts w:hint="eastAsia" w:ascii="仿宋_GB2312" w:hAnsi="仿宋" w:eastAsia="仿宋_GB2312" w:cs="仿宋"/>
                <w:bCs/>
                <w:sz w:val="24"/>
                <w:highlight w:val="none"/>
                <w:u w:val="single"/>
              </w:rPr>
              <w:t xml:space="preserve">  </w:t>
            </w:r>
          </w:p>
          <w:p>
            <w:pPr>
              <w:pStyle w:val="395"/>
              <w:spacing w:afterLines="0" w:line="440" w:lineRule="exact"/>
              <w:ind w:firstLine="482"/>
              <w:rPr>
                <w:rFonts w:ascii="仿宋_GB2312" w:hAnsi="新宋体" w:eastAsia="仿宋_GB2312"/>
                <w:szCs w:val="24"/>
                <w:highlight w:val="none"/>
              </w:rPr>
            </w:pPr>
            <w:r>
              <w:rPr>
                <w:rFonts w:hint="eastAsia" w:ascii="仿宋_GB2312" w:hAnsi="仿宋" w:eastAsia="仿宋_GB2312" w:cs="仿宋"/>
                <w:b/>
                <w:highlight w:val="none"/>
              </w:rPr>
              <w:t>开标地点（网址）：</w:t>
            </w:r>
            <w:r>
              <w:rPr>
                <w:rFonts w:hint="eastAsia" w:ascii="仿宋_GB2312" w:hAnsi="仿宋" w:eastAsia="仿宋_GB2312" w:cs="仿宋"/>
                <w:highlight w:val="none"/>
              </w:rPr>
              <w:t>政采云平台（https://www.zcygov.cn/）</w:t>
            </w:r>
            <w:r>
              <w:rPr>
                <w:rFonts w:ascii="仿宋_GB2312" w:hAnsi="新宋体" w:eastAsia="仿宋_GB2312"/>
                <w:szCs w:val="24"/>
                <w:highlight w:val="none"/>
              </w:rPr>
              <w:t>  </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395"/>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395"/>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ascii="仿宋_GB2312" w:hAnsi="新宋体" w:eastAsia="仿宋_GB2312"/>
                <w:sz w:val="24"/>
                <w:szCs w:val="24"/>
                <w:highlight w:val="none"/>
              </w:rPr>
            </w:pPr>
            <w:r>
              <w:rPr>
                <w:rFonts w:hint="eastAsia" w:ascii="仿宋_GB2312" w:hAnsi="新宋体" w:eastAsia="仿宋_GB2312"/>
                <w:sz w:val="24"/>
                <w:szCs w:val="24"/>
                <w:highlight w:val="none"/>
              </w:rPr>
              <w:t>1.采购人信息</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ascii="仿宋_GB2312" w:hAnsi="新宋体" w:eastAsia="仿宋_GB2312"/>
                <w:sz w:val="24"/>
                <w:szCs w:val="24"/>
                <w:highlight w:val="none"/>
              </w:rPr>
            </w:pPr>
            <w:r>
              <w:rPr>
                <w:rFonts w:hint="eastAsia" w:ascii="仿宋_GB2312" w:hAnsi="新宋体" w:eastAsia="仿宋_GB2312"/>
                <w:sz w:val="24"/>
                <w:szCs w:val="24"/>
                <w:highlight w:val="none"/>
              </w:rPr>
              <w:t xml:space="preserve">名称：绍兴滨海新区管理委员会 </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ascii="仿宋_GB2312" w:hAnsi="新宋体" w:eastAsia="仿宋_GB2312"/>
                <w:sz w:val="24"/>
                <w:szCs w:val="24"/>
                <w:highlight w:val="none"/>
                <w:u w:val="none"/>
              </w:rPr>
            </w:pPr>
            <w:r>
              <w:rPr>
                <w:rFonts w:hint="eastAsia" w:ascii="仿宋_GB2312" w:hAnsi="新宋体" w:eastAsia="仿宋_GB2312"/>
                <w:sz w:val="24"/>
                <w:szCs w:val="24"/>
                <w:highlight w:val="none"/>
                <w:u w:val="none"/>
              </w:rPr>
              <w:t>地址：绍兴市滨海新区南滨东路98号</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sz w:val="24"/>
                <w:szCs w:val="24"/>
                <w:highlight w:val="none"/>
                <w:u w:val="none"/>
                <w:lang w:eastAsia="zh-CN"/>
              </w:rPr>
            </w:pPr>
            <w:r>
              <w:rPr>
                <w:rFonts w:hint="eastAsia" w:ascii="仿宋_GB2312" w:hAnsi="新宋体" w:eastAsia="仿宋_GB2312"/>
                <w:sz w:val="24"/>
                <w:szCs w:val="24"/>
                <w:highlight w:val="none"/>
                <w:u w:val="none"/>
              </w:rPr>
              <w:t>传真：</w:t>
            </w:r>
            <w:r>
              <w:rPr>
                <w:rFonts w:hint="eastAsia" w:ascii="仿宋_GB2312" w:hAnsi="新宋体" w:eastAsia="仿宋_GB2312"/>
                <w:sz w:val="24"/>
                <w:szCs w:val="24"/>
                <w:highlight w:val="none"/>
                <w:u w:val="none"/>
                <w:lang w:val="en-US" w:eastAsia="zh-CN"/>
              </w:rPr>
              <w:t>/</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ascii="仿宋_GB2312" w:hAnsi="新宋体" w:eastAsia="仿宋_GB2312"/>
                <w:sz w:val="24"/>
                <w:szCs w:val="24"/>
                <w:highlight w:val="none"/>
                <w:u w:val="none"/>
              </w:rPr>
            </w:pPr>
            <w:r>
              <w:rPr>
                <w:rFonts w:hint="eastAsia" w:ascii="仿宋_GB2312" w:hAnsi="新宋体" w:eastAsia="仿宋_GB2312"/>
                <w:sz w:val="24"/>
                <w:szCs w:val="24"/>
                <w:highlight w:val="none"/>
                <w:u w:val="none"/>
              </w:rPr>
              <w:t>项目联系人（询问）：</w:t>
            </w:r>
            <w:r>
              <w:rPr>
                <w:rFonts w:hint="eastAsia" w:ascii="仿宋" w:eastAsia="仿宋"/>
                <w:color w:val="auto"/>
                <w:sz w:val="24"/>
                <w:szCs w:val="24"/>
                <w:highlight w:val="none"/>
                <w:u w:val="none"/>
              </w:rPr>
              <w:t>张鸿瑞</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 w:eastAsia="仿宋"/>
                <w:color w:val="auto"/>
                <w:sz w:val="24"/>
                <w:szCs w:val="24"/>
                <w:highlight w:val="none"/>
                <w:u w:val="none"/>
                <w:lang w:val="en-US" w:eastAsia="zh-CN"/>
              </w:rPr>
            </w:pPr>
            <w:r>
              <w:rPr>
                <w:rFonts w:hint="eastAsia" w:ascii="仿宋_GB2312" w:hAnsi="新宋体" w:eastAsia="仿宋_GB2312"/>
                <w:sz w:val="24"/>
                <w:szCs w:val="24"/>
                <w:highlight w:val="none"/>
                <w:u w:val="none"/>
              </w:rPr>
              <w:t>项目联系方式（询问）：</w:t>
            </w:r>
            <w:r>
              <w:rPr>
                <w:rFonts w:hint="eastAsia" w:ascii="仿宋" w:eastAsia="仿宋"/>
                <w:color w:val="auto"/>
                <w:sz w:val="24"/>
                <w:szCs w:val="24"/>
                <w:highlight w:val="none"/>
                <w:u w:val="none"/>
                <w:lang w:val="en-US" w:eastAsia="zh-CN"/>
              </w:rPr>
              <w:t>0575-89291834</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 w:eastAsia="仿宋"/>
                <w:color w:val="auto"/>
                <w:sz w:val="24"/>
                <w:szCs w:val="24"/>
                <w:highlight w:val="none"/>
                <w:u w:val="none"/>
                <w:lang w:val="en-US" w:eastAsia="zh-CN"/>
              </w:rPr>
            </w:pPr>
            <w:r>
              <w:rPr>
                <w:rFonts w:hint="eastAsia" w:ascii="仿宋_GB2312" w:hAnsi="新宋体" w:eastAsia="仿宋_GB2312"/>
                <w:sz w:val="24"/>
                <w:szCs w:val="24"/>
                <w:highlight w:val="none"/>
                <w:u w:val="none"/>
              </w:rPr>
              <w:t>质疑联系人：</w:t>
            </w:r>
            <w:r>
              <w:rPr>
                <w:rFonts w:hint="eastAsia" w:ascii="仿宋" w:eastAsia="仿宋"/>
                <w:color w:val="auto"/>
                <w:sz w:val="24"/>
                <w:szCs w:val="24"/>
                <w:highlight w:val="none"/>
                <w:u w:val="none"/>
                <w:lang w:val="en-US" w:eastAsia="zh-CN"/>
              </w:rPr>
              <w:t>王国兰</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ascii="仿宋_GB2312" w:hAnsi="新宋体" w:eastAsia="仿宋_GB2312"/>
                <w:sz w:val="24"/>
                <w:szCs w:val="24"/>
                <w:highlight w:val="none"/>
                <w:u w:val="none"/>
              </w:rPr>
            </w:pPr>
            <w:r>
              <w:rPr>
                <w:rFonts w:hint="eastAsia" w:ascii="仿宋_GB2312" w:hAnsi="新宋体" w:eastAsia="仿宋_GB2312"/>
                <w:sz w:val="24"/>
                <w:szCs w:val="24"/>
                <w:highlight w:val="none"/>
                <w:u w:val="none"/>
              </w:rPr>
              <w:t>质疑联系方式：</w:t>
            </w:r>
            <w:r>
              <w:rPr>
                <w:rFonts w:hint="eastAsia" w:ascii="仿宋" w:eastAsia="仿宋"/>
                <w:color w:val="auto"/>
                <w:sz w:val="24"/>
                <w:szCs w:val="24"/>
                <w:highlight w:val="none"/>
                <w:u w:val="none"/>
                <w:lang w:val="en-US" w:eastAsia="zh-CN"/>
              </w:rPr>
              <w:t xml:space="preserve">0575-89297069 </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cs="Times New Roman"/>
                <w:sz w:val="24"/>
                <w:szCs w:val="24"/>
                <w:highlight w:val="none"/>
              </w:rPr>
            </w:pPr>
            <w:r>
              <w:rPr>
                <w:rFonts w:hint="eastAsia" w:ascii="仿宋" w:hAnsi="仿宋" w:eastAsia="仿宋" w:cs="仿宋"/>
                <w:color w:val="auto"/>
                <w:sz w:val="24"/>
                <w:szCs w:val="24"/>
                <w:highlight w:val="none"/>
                <w:u w:val="none"/>
              </w:rPr>
              <w:t>采</w:t>
            </w:r>
            <w:r>
              <w:rPr>
                <w:rFonts w:hint="eastAsia" w:ascii="仿宋_GB2312" w:hAnsi="新宋体" w:eastAsia="仿宋_GB2312" w:cs="Times New Roman"/>
                <w:sz w:val="24"/>
                <w:szCs w:val="24"/>
                <w:highlight w:val="none"/>
              </w:rPr>
              <w:t>购人信息</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cs="Times New Roman"/>
                <w:sz w:val="24"/>
                <w:szCs w:val="24"/>
                <w:highlight w:val="none"/>
              </w:rPr>
            </w:pPr>
            <w:r>
              <w:rPr>
                <w:rFonts w:hint="eastAsia" w:ascii="仿宋_GB2312" w:hAnsi="新宋体" w:eastAsia="仿宋_GB2312" w:cs="Times New Roman"/>
                <w:sz w:val="24"/>
                <w:szCs w:val="24"/>
                <w:highlight w:val="none"/>
              </w:rPr>
              <w:t>名 称：</w:t>
            </w:r>
            <w:r>
              <w:rPr>
                <w:rFonts w:hint="eastAsia" w:ascii="仿宋_GB2312" w:hAnsi="新宋体" w:eastAsia="仿宋_GB2312" w:cs="Times New Roman"/>
                <w:sz w:val="24"/>
                <w:szCs w:val="24"/>
                <w:highlight w:val="none"/>
                <w:lang w:eastAsia="zh-CN"/>
              </w:rPr>
              <w:t xml:space="preserve">绍兴市柯桥区市场监督管理局 </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cs="Times New Roman"/>
                <w:kern w:val="0"/>
                <w:sz w:val="24"/>
                <w:szCs w:val="24"/>
                <w:highlight w:val="none"/>
                <w:u w:val="none"/>
                <w:lang w:val="en-US" w:eastAsia="zh-CN" w:bidi="ar-SA"/>
              </w:rPr>
            </w:pPr>
            <w:r>
              <w:rPr>
                <w:rFonts w:hint="eastAsia" w:ascii="仿宋_GB2312" w:hAnsi="新宋体" w:eastAsia="仿宋_GB2312" w:cs="Times New Roman"/>
                <w:sz w:val="24"/>
                <w:szCs w:val="24"/>
                <w:highlight w:val="none"/>
                <w:lang w:val="en-US" w:eastAsia="zh-CN"/>
              </w:rPr>
              <w:t>地址：柯桥区柯桥</w:t>
            </w:r>
            <w:r>
              <w:rPr>
                <w:rFonts w:hint="eastAsia" w:ascii="仿宋_GB2312" w:hAnsi="新宋体" w:eastAsia="仿宋_GB2312" w:cs="Times New Roman"/>
                <w:kern w:val="0"/>
                <w:sz w:val="24"/>
                <w:szCs w:val="24"/>
                <w:highlight w:val="none"/>
                <w:u w:val="none"/>
                <w:lang w:val="en-US" w:eastAsia="zh-CN" w:bidi="ar-SA"/>
              </w:rPr>
              <w:t>街道瓜渚东路68号</w:t>
            </w:r>
          </w:p>
          <w:p>
            <w:pPr>
              <w:keepNext w:val="0"/>
              <w:keepLines w:val="0"/>
              <w:pageBreakBefore w:val="0"/>
              <w:kinsoku/>
              <w:wordWrap/>
              <w:overflowPunct/>
              <w:topLinePunct w:val="0"/>
              <w:autoSpaceDE/>
              <w:autoSpaceDN/>
              <w:bidi w:val="0"/>
              <w:adjustRightInd w:val="0"/>
              <w:snapToGrid w:val="0"/>
              <w:spacing w:line="440" w:lineRule="exact"/>
              <w:ind w:right="480" w:firstLine="480" w:firstLineChars="200"/>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传真：/</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cs="Times New Roman"/>
                <w:sz w:val="24"/>
                <w:szCs w:val="24"/>
                <w:highlight w:val="none"/>
                <w:u w:val="none"/>
                <w:lang w:val="en-US" w:eastAsia="zh-CN"/>
              </w:rPr>
            </w:pPr>
            <w:r>
              <w:rPr>
                <w:rFonts w:hint="eastAsia" w:ascii="仿宋_GB2312" w:hAnsi="新宋体" w:eastAsia="仿宋_GB2312" w:cs="Times New Roman"/>
                <w:sz w:val="24"/>
                <w:szCs w:val="24"/>
                <w:highlight w:val="none"/>
                <w:u w:val="none"/>
                <w:lang w:eastAsia="zh-CN"/>
              </w:rPr>
              <w:t xml:space="preserve">项目联系人：陈士强 </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default" w:ascii="仿宋_GB2312" w:hAnsi="新宋体" w:eastAsia="仿宋_GB2312" w:cs="Times New Roman"/>
                <w:sz w:val="24"/>
                <w:szCs w:val="24"/>
                <w:highlight w:val="none"/>
                <w:u w:val="none"/>
                <w:lang w:val="en-US" w:eastAsia="zh-CN"/>
              </w:rPr>
            </w:pPr>
            <w:r>
              <w:rPr>
                <w:rFonts w:hint="eastAsia" w:ascii="仿宋_GB2312" w:hAnsi="新宋体" w:eastAsia="仿宋_GB2312" w:cs="Times New Roman"/>
                <w:sz w:val="24"/>
                <w:szCs w:val="24"/>
                <w:highlight w:val="none"/>
                <w:u w:val="none"/>
                <w:lang w:eastAsia="zh-CN"/>
              </w:rPr>
              <w:t>项目联系方式：0575-84126309</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eastAsia" w:ascii="仿宋_GB2312" w:hAnsi="新宋体" w:eastAsia="仿宋_GB2312" w:cs="Times New Roman"/>
                <w:sz w:val="24"/>
                <w:szCs w:val="24"/>
                <w:highlight w:val="none"/>
                <w:u w:val="none"/>
                <w:lang w:val="en-US" w:eastAsia="zh-CN"/>
              </w:rPr>
            </w:pPr>
            <w:r>
              <w:rPr>
                <w:rFonts w:hint="eastAsia" w:ascii="仿宋_GB2312" w:hAnsi="新宋体" w:eastAsia="仿宋_GB2312" w:cs="Times New Roman"/>
                <w:sz w:val="24"/>
                <w:szCs w:val="24"/>
                <w:highlight w:val="none"/>
                <w:u w:val="none"/>
                <w:lang w:eastAsia="zh-CN"/>
              </w:rPr>
              <w:t>质疑联系人：0575-84126309</w:t>
            </w:r>
          </w:p>
          <w:p>
            <w:pPr>
              <w:pStyle w:val="395"/>
              <w:keepNext w:val="0"/>
              <w:keepLines w:val="0"/>
              <w:pageBreakBefore w:val="0"/>
              <w:kinsoku/>
              <w:wordWrap/>
              <w:overflowPunct/>
              <w:topLinePunct w:val="0"/>
              <w:autoSpaceDE/>
              <w:autoSpaceDN/>
              <w:bidi w:val="0"/>
              <w:adjustRightInd w:val="0"/>
              <w:snapToGrid w:val="0"/>
              <w:spacing w:afterLines="0" w:line="440" w:lineRule="exact"/>
              <w:ind w:firstLine="480"/>
              <w:textAlignment w:val="auto"/>
              <w:rPr>
                <w:rFonts w:hint="default" w:ascii="仿宋_GB2312" w:hAnsi="新宋体" w:eastAsia="仿宋_GB2312" w:cs="Times New Roman"/>
                <w:sz w:val="24"/>
                <w:szCs w:val="24"/>
                <w:highlight w:val="none"/>
                <w:u w:val="none"/>
                <w:lang w:val="en-US" w:eastAsia="zh-CN"/>
              </w:rPr>
            </w:pPr>
            <w:r>
              <w:rPr>
                <w:rFonts w:hint="eastAsia" w:ascii="仿宋_GB2312" w:hAnsi="新宋体" w:eastAsia="仿宋_GB2312" w:cs="Times New Roman"/>
                <w:sz w:val="24"/>
                <w:szCs w:val="24"/>
                <w:highlight w:val="none"/>
                <w:u w:val="none"/>
                <w:lang w:eastAsia="zh-CN"/>
              </w:rPr>
              <w:t>质疑联系方式：0575-84126309</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lang w:val="en-US" w:eastAsia="zh-CN"/>
              </w:rPr>
              <w:t>2</w:t>
            </w:r>
            <w:r>
              <w:rPr>
                <w:rFonts w:hint="eastAsia" w:ascii="仿宋_GB2312" w:hAnsi="新宋体" w:eastAsia="仿宋_GB2312"/>
                <w:szCs w:val="24"/>
                <w:highlight w:val="none"/>
              </w:rPr>
              <w:t xml:space="preserve">.采购代理机构信息 </w:t>
            </w:r>
            <w:r>
              <w:rPr>
                <w:rFonts w:ascii="仿宋_GB2312" w:hAnsi="新宋体" w:eastAsia="仿宋_GB2312"/>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绍兴虬实企业管理咨询有限公司</w:t>
            </w:r>
            <w:r>
              <w:rPr>
                <w:rFonts w:ascii="仿宋_GB2312" w:hAnsi="新宋体" w:eastAsia="仿宋_GB2312"/>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地址：绍兴市越城区迪荡街道龙湖大厦17楼SP1703室</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hint="eastAsia" w:ascii="仿宋_GB2312" w:hAnsi="新宋体" w:eastAsia="仿宋_GB2312"/>
                <w:szCs w:val="24"/>
                <w:highlight w:val="none"/>
                <w:lang w:val="en-US" w:eastAsia="zh-CN"/>
              </w:rPr>
              <w:t>/</w:t>
            </w:r>
            <w:r>
              <w:rPr>
                <w:rFonts w:ascii="仿宋_GB2312" w:hAnsi="新宋体" w:eastAsia="仿宋_GB2312"/>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项目联系人（询问）：蒋丹</w:t>
            </w:r>
            <w:r>
              <w:rPr>
                <w:rFonts w:ascii="仿宋_GB2312" w:hAnsi="新宋体" w:eastAsia="仿宋_GB2312"/>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项目联系方式（询问）：17826810855</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质疑联系人：金琼洁</w:t>
            </w:r>
            <w:r>
              <w:rPr>
                <w:rFonts w:ascii="仿宋_GB2312" w:hAnsi="新宋体" w:eastAsia="仿宋_GB2312"/>
                <w:szCs w:val="24"/>
                <w:highlight w:val="none"/>
              </w:rPr>
              <w:t>       </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质疑联系方式：0575-85352613</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lang w:val="en-US" w:eastAsia="zh-CN"/>
              </w:rPr>
              <w:t>3</w:t>
            </w:r>
            <w:r>
              <w:rPr>
                <w:rFonts w:hint="eastAsia" w:ascii="仿宋_GB2312" w:hAnsi="新宋体" w:eastAsia="仿宋_GB2312" w:cs="Times New Roman"/>
                <w:szCs w:val="24"/>
                <w:highlight w:val="none"/>
              </w:rPr>
              <w:t>.同级政府采购监督管理部门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名称：绍兴滨海新区管委会财政局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地址：绍兴市滨海新区南滨东路98号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传真：/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联系人 ：</w:t>
            </w:r>
            <w:r>
              <w:rPr>
                <w:rFonts w:hint="eastAsia" w:ascii="仿宋_GB2312" w:hAnsi="新宋体" w:eastAsia="仿宋_GB2312" w:cs="Times New Roman"/>
                <w:szCs w:val="24"/>
                <w:highlight w:val="none"/>
                <w:lang w:val="en-US" w:eastAsia="zh-CN"/>
              </w:rPr>
              <w:t>沈焱东</w:t>
            </w:r>
            <w:r>
              <w:rPr>
                <w:rFonts w:hint="eastAsia" w:ascii="仿宋_GB2312" w:hAnsi="新宋体" w:eastAsia="仿宋_GB2312" w:cs="Times New Roman"/>
                <w:szCs w:val="24"/>
                <w:highlight w:val="none"/>
              </w:rPr>
              <w:t xml:space="preserve">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监督投诉电话：0575-89181258</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 xml:space="preserve">同级政府采购监督管理部门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名 称：　绍兴市柯桥区财政局　</w:t>
            </w:r>
          </w:p>
          <w:p>
            <w:pPr>
              <w:pStyle w:val="395"/>
              <w:spacing w:afterLines="0" w:line="440" w:lineRule="exact"/>
              <w:ind w:firstLine="480"/>
              <w:rPr>
                <w:rFonts w:hint="eastAsia" w:ascii="仿宋_GB2312" w:hAnsi="新宋体" w:eastAsia="仿宋_GB2312" w:cs="Times New Roman"/>
                <w:szCs w:val="24"/>
                <w:highlight w:val="none"/>
              </w:rPr>
            </w:pPr>
            <w:r>
              <w:rPr>
                <w:rFonts w:hint="eastAsia" w:ascii="仿宋_GB2312" w:hAnsi="新宋体" w:eastAsia="仿宋_GB2312" w:cs="Times New Roman"/>
                <w:szCs w:val="24"/>
                <w:highlight w:val="none"/>
              </w:rPr>
              <w:t>地址：　绍兴市柯桥区育才路财税大楼</w:t>
            </w:r>
          </w:p>
          <w:p>
            <w:pPr>
              <w:pStyle w:val="395"/>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 xml:space="preserve">传真：　　　　　/　　　　　　 </w:t>
            </w:r>
          </w:p>
          <w:p>
            <w:pPr>
              <w:pStyle w:val="395"/>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联系人：王晖　</w:t>
            </w:r>
          </w:p>
          <w:p>
            <w:pPr>
              <w:pStyle w:val="395"/>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监督投诉电话：0575-84125927</w:t>
            </w:r>
          </w:p>
          <w:p>
            <w:pPr>
              <w:pStyle w:val="395"/>
              <w:spacing w:afterLines="0" w:line="440" w:lineRule="exact"/>
              <w:ind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395"/>
              <w:spacing w:afterLines="0" w:line="440" w:lineRule="exact"/>
              <w:ind w:firstLine="480"/>
              <w:jc w:val="left"/>
              <w:rPr>
                <w:rFonts w:ascii="仿宋_GB2312" w:hAnsi="新宋体" w:eastAsia="仿宋_GB2312"/>
                <w:szCs w:val="24"/>
                <w:highlight w:val="none"/>
              </w:rPr>
            </w:pPr>
            <w:r>
              <w:rPr>
                <w:rFonts w:ascii="仿宋_GB2312" w:hAnsi="新宋体" w:eastAsia="仿宋_GB2312"/>
                <w:szCs w:val="24"/>
                <w:highlight w:val="none"/>
              </w:rPr>
              <w:t>  </w:t>
            </w: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highlight w:val="none"/>
              </w:rPr>
              <w:t>95763</w:t>
            </w:r>
            <w:r>
              <w:rPr>
                <w:rFonts w:hint="eastAsia" w:ascii="仿宋_GB2312" w:hAnsi="新宋体" w:eastAsia="仿宋_GB2312"/>
                <w:szCs w:val="24"/>
                <w:highlight w:val="none"/>
              </w:rPr>
              <w:t>获取热线服务帮助。</w:t>
            </w:r>
          </w:p>
          <w:p>
            <w:pPr>
              <w:pStyle w:val="395"/>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bl>
    <w:p>
      <w:pPr>
        <w:widowControl/>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0"/>
      <w:r>
        <w:rPr>
          <w:rFonts w:hint="eastAsia" w:ascii="仿宋" w:hAnsi="仿宋" w:eastAsia="仿宋" w:cs="仿宋"/>
          <w:b/>
          <w:sz w:val="36"/>
          <w:szCs w:val="20"/>
          <w:highlight w:val="none"/>
        </w:rPr>
        <w:t xml:space="preserve"> 投标须知</w:t>
      </w:r>
      <w:bookmarkEnd w:id="1"/>
    </w:p>
    <w:p>
      <w:pPr>
        <w:adjustRightInd/>
        <w:spacing w:line="360" w:lineRule="auto"/>
        <w:ind w:firstLine="3845" w:firstLineChars="1197"/>
        <w:outlineLvl w:val="1"/>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方案讲解演示：</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A无方案讲解演示。</w:t>
            </w:r>
          </w:p>
          <w:p>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15</w:t>
            </w:r>
            <w:r>
              <w:rPr>
                <w:rFonts w:hint="eastAsia" w:ascii="仿宋" w:hAnsi="仿宋" w:eastAsia="仿宋" w:cs="仿宋"/>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□方式二：现场讲解演示。现场讲解地点为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，讲解演示人员不超过</w:t>
            </w:r>
            <w:r>
              <w:rPr>
                <w:rFonts w:hint="eastAsia" w:ascii="仿宋" w:hAnsi="仿宋" w:eastAsia="仿宋" w:cs="仿宋"/>
                <w:sz w:val="24"/>
                <w:highlight w:val="none"/>
                <w:u w:val="single"/>
                <w:lang w:val="zh-CN"/>
              </w:rPr>
              <w:t xml:space="preserve"> 3 </w:t>
            </w:r>
            <w:r>
              <w:rPr>
                <w:rFonts w:hint="eastAsia" w:ascii="仿宋" w:hAnsi="仿宋" w:eastAsia="仿宋" w:cs="仿宋"/>
                <w:sz w:val="24"/>
                <w:highlight w:val="none"/>
                <w:lang w:val="zh-CN"/>
              </w:rPr>
              <w:t>人。讲解演示所用电脑等设备由供应商自备。现场讲解演示人员进场时提供讲解人员名单（加盖公章或授权代表签名）及身份证明，否则不得讲解演示。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lang w:eastAsia="zh-CN"/>
              </w:rPr>
              <w:t>（</w:t>
            </w:r>
            <w:r>
              <w:rPr>
                <w:rFonts w:hint="eastAsia" w:ascii="仿宋_GB2312" w:hAnsi="仿宋" w:eastAsia="仿宋_GB2312" w:cs="Arial"/>
                <w:color w:val="auto"/>
                <w:kern w:val="0"/>
                <w:sz w:val="24"/>
                <w:highlight w:val="none"/>
                <w:lang w:val="en-US" w:eastAsia="zh-CN"/>
              </w:rPr>
              <w:t>1）</w:t>
            </w:r>
            <w:r>
              <w:rPr>
                <w:rFonts w:hint="eastAsia" w:ascii="仿宋_GB2312" w:hAnsi="仿宋" w:eastAsia="仿宋_GB2312" w:cs="Arial"/>
                <w:color w:val="auto"/>
                <w:kern w:val="0"/>
                <w:sz w:val="24"/>
                <w:highlight w:val="none"/>
              </w:rPr>
              <w:t>标的：标项一，属于</w:t>
            </w:r>
            <w:r>
              <w:rPr>
                <w:rFonts w:hint="eastAsia" w:ascii="仿宋_GB2312" w:hAnsi="仿宋" w:eastAsia="仿宋_GB2312" w:cs="Arial"/>
                <w:color w:val="auto"/>
                <w:kern w:val="0"/>
                <w:sz w:val="24"/>
                <w:highlight w:val="none"/>
                <w:u w:val="single"/>
                <w:lang w:eastAsia="zh-CN"/>
              </w:rPr>
              <w:t>其他未列明行业</w:t>
            </w:r>
            <w:r>
              <w:rPr>
                <w:rFonts w:hint="eastAsia" w:ascii="仿宋_GB2312" w:hAnsi="仿宋" w:eastAsia="仿宋_GB2312" w:cs="Arial"/>
                <w:color w:val="auto"/>
                <w:kern w:val="0"/>
                <w:sz w:val="24"/>
                <w:highlight w:val="none"/>
              </w:rPr>
              <w:t>行业。</w:t>
            </w:r>
          </w:p>
          <w:p>
            <w:pPr>
              <w:snapToGrid w:val="0"/>
              <w:spacing w:line="440" w:lineRule="exact"/>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中标单位需支付以下费用，并在投标报价中自行考虑：</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其他：代理服务费</w:t>
            </w:r>
          </w:p>
          <w:p>
            <w:pPr>
              <w:numPr>
                <w:ilvl w:val="0"/>
                <w:numId w:val="1"/>
              </w:num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以中标通知中确定的中标总金额作为服务费的计算基数，具体比例参照《国家计委关于印发&lt;招标代理服务收费管理暂行办法&gt;的通知》（计价格[2002]1980号）文件规定的收费基准价格执行。收费标准：中标金额在中标金额在100万以下部分为1.5%；100-500万部分为0.8%。</w:t>
            </w:r>
          </w:p>
          <w:p>
            <w:pPr>
              <w:numPr>
                <w:ilvl w:val="0"/>
                <w:numId w:val="1"/>
              </w:num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2.代理服务费的交纳方式：</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用银行支票、汇票、电汇、现金等付款方式直接交纳代理服务费。</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公司名称：绍兴虬实企业管理咨询有限公司</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账    号：2006767942000015</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开 户 行：绍兴银行股份有限公司禹陵支行</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2"/>
    </w:tbl>
    <w:p>
      <w:pPr>
        <w:adjustRightInd/>
        <w:spacing w:line="360" w:lineRule="auto"/>
        <w:jc w:val="center"/>
        <w:outlineLvl w:val="9"/>
        <w:rPr>
          <w:rFonts w:ascii="仿宋" w:hAnsi="仿宋" w:eastAsia="仿宋" w:cs="仿宋"/>
          <w:b/>
          <w:sz w:val="32"/>
          <w:szCs w:val="32"/>
          <w:highlight w:val="none"/>
        </w:rPr>
      </w:pPr>
      <w:bookmarkStart w:id="3" w:name="第三部分"/>
      <w:bookmarkStart w:id="4" w:name="_Toc164416483"/>
    </w:p>
    <w:p>
      <w:pPr>
        <w:adjustRightInd/>
        <w:spacing w:line="360" w:lineRule="auto"/>
        <w:jc w:val="center"/>
        <w:outlineLvl w:val="9"/>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rFonts w:ascii="仿宋" w:hAnsi="仿宋" w:eastAsia="仿宋" w:cs="仿宋"/>
          <w:b/>
          <w:sz w:val="32"/>
          <w:szCs w:val="32"/>
          <w:highlight w:val="none"/>
        </w:rPr>
      </w:pPr>
    </w:p>
    <w:p>
      <w:pPr>
        <w:rPr>
          <w:rFonts w:ascii="仿宋" w:hAnsi="仿宋" w:eastAsia="仿宋" w:cs="仿宋"/>
          <w:b/>
          <w:sz w:val="32"/>
          <w:szCs w:val="32"/>
          <w:highlight w:val="none"/>
        </w:rPr>
      </w:pPr>
    </w:p>
    <w:p>
      <w:pPr>
        <w:pStyle w:val="61"/>
        <w:rPr>
          <w:highlight w:val="none"/>
        </w:rPr>
      </w:pP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2"/>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pPr>
        <w:spacing w:line="440" w:lineRule="exact"/>
        <w:outlineLvl w:val="2"/>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336" w:lineRule="auto"/>
        <w:outlineLvl w:val="3"/>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9"/>
        <w:rPr>
          <w:rFonts w:ascii="仿宋" w:hAnsi="仿宋" w:eastAsia="仿宋" w:cs="仿宋"/>
          <w:b/>
          <w:sz w:val="32"/>
          <w:szCs w:val="32"/>
          <w:highlight w:val="none"/>
        </w:rPr>
      </w:pP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outlineLvl w:val="2"/>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 投标费用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outlineLvl w:val="2"/>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outlineLvl w:val="3"/>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spacing w:line="440" w:lineRule="exact"/>
        <w:outlineLvl w:val="2"/>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outlineLvl w:val="4"/>
        <w:rPr>
          <w:rFonts w:ascii="仿宋" w:hAnsi="仿宋" w:eastAsia="仿宋" w:cs="仿宋"/>
          <w:sz w:val="24"/>
          <w:highlight w:val="none"/>
        </w:rPr>
      </w:pPr>
      <w:r>
        <w:rPr>
          <w:rFonts w:hint="eastAsia" w:ascii="仿宋" w:hAnsi="仿宋" w:eastAsia="仿宋" w:cs="仿宋"/>
          <w:sz w:val="24"/>
          <w:highlight w:val="none"/>
        </w:rPr>
        <w:t>2.2.6廉政承诺书（格式见第六部分附件）；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outlineLvl w:val="4"/>
        <w:rPr>
          <w:rFonts w:ascii="仿宋" w:hAnsi="仿宋" w:eastAsia="仿宋" w:cs="仿宋"/>
          <w:sz w:val="24"/>
          <w:highlight w:val="none"/>
        </w:rPr>
      </w:pPr>
      <w:r>
        <w:rPr>
          <w:rFonts w:hint="eastAsia" w:ascii="仿宋" w:hAnsi="仿宋" w:eastAsia="仿宋" w:cs="仿宋"/>
          <w:sz w:val="24"/>
          <w:highlight w:val="none"/>
        </w:rPr>
        <w:t>2.2.8供应商应提供针对项目的完整技术解决方案：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outlineLvl w:val="4"/>
        <w:rPr>
          <w:rFonts w:ascii="仿宋" w:hAnsi="仿宋" w:eastAsia="仿宋" w:cs="仿宋"/>
          <w:highlight w:val="none"/>
          <w:lang w:val="zh-CN"/>
        </w:rPr>
      </w:pPr>
      <w:r>
        <w:rPr>
          <w:rFonts w:hint="eastAsia" w:ascii="仿宋" w:hAnsi="仿宋" w:eastAsia="仿宋" w:cs="仿宋"/>
          <w:sz w:val="24"/>
          <w:highlight w:val="none"/>
        </w:rPr>
        <w:t>2.2.18投标人需要说明的其他文件和说明（格式自拟）。</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pStyle w:val="24"/>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pPr>
        <w:pStyle w:val="24"/>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pPr>
        <w:pStyle w:val="24"/>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pPr>
        <w:pStyle w:val="24"/>
        <w:autoSpaceDE/>
        <w:autoSpaceDN/>
        <w:snapToGrid w:val="0"/>
        <w:spacing w:line="440" w:lineRule="exact"/>
        <w:ind w:firstLine="0"/>
        <w:outlineLvl w:val="2"/>
        <w:rPr>
          <w:rFonts w:ascii="仿宋" w:hAnsi="仿宋" w:eastAsia="仿宋" w:cs="仿宋"/>
          <w:b/>
          <w:bCs/>
          <w:highlight w:val="none"/>
        </w:rPr>
      </w:pPr>
      <w:r>
        <w:rPr>
          <w:rFonts w:hint="eastAsia" w:ascii="仿宋" w:hAnsi="仿宋" w:eastAsia="仿宋" w:cs="仿宋"/>
          <w:b/>
          <w:bCs/>
          <w:highlight w:val="none"/>
          <w:lang w:val="en-US"/>
        </w:rPr>
        <w:t>3.投标报价</w:t>
      </w:r>
    </w:p>
    <w:p>
      <w:pPr>
        <w:pStyle w:val="24"/>
        <w:autoSpaceDE/>
        <w:autoSpaceDN/>
        <w:snapToGrid w:val="0"/>
        <w:spacing w:line="440" w:lineRule="exact"/>
        <w:ind w:firstLine="720" w:firstLineChars="300"/>
        <w:outlineLvl w:val="3"/>
        <w:rPr>
          <w:rFonts w:ascii="仿宋" w:hAnsi="仿宋" w:eastAsia="仿宋" w:cs="仿宋"/>
          <w:highlight w:val="none"/>
          <w:lang w:val="en-US"/>
        </w:rPr>
      </w:pPr>
      <w:r>
        <w:rPr>
          <w:rFonts w:hint="eastAsia" w:ascii="仿宋" w:hAnsi="仿宋" w:eastAsia="仿宋" w:cs="仿宋"/>
          <w:highlight w:val="none"/>
          <w:lang w:val="en-US"/>
        </w:rPr>
        <w:t>3.1供应商应按招标文件中《开标一览表》等附表要求填写。</w:t>
      </w:r>
    </w:p>
    <w:p>
      <w:pPr>
        <w:pStyle w:val="24"/>
        <w:autoSpaceDE/>
        <w:autoSpaceDN/>
        <w:snapToGrid w:val="0"/>
        <w:spacing w:line="440" w:lineRule="exact"/>
        <w:ind w:firstLine="720" w:firstLineChars="300"/>
        <w:rPr>
          <w:rFonts w:ascii="仿宋" w:hAnsi="仿宋" w:eastAsia="仿宋" w:cs="仿宋"/>
          <w:highlight w:val="none"/>
          <w:lang w:val="en-US"/>
        </w:rPr>
      </w:pPr>
      <w:r>
        <w:rPr>
          <w:rFonts w:hint="eastAsia" w:ascii="仿宋" w:hAnsi="仿宋" w:eastAsia="仿宋" w:cs="仿宋"/>
          <w:highlight w:val="none"/>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720" w:firstLineChars="300"/>
        <w:outlineLvl w:val="3"/>
        <w:rPr>
          <w:rFonts w:ascii="仿宋" w:hAnsi="仿宋" w:eastAsia="仿宋" w:cs="仿宋"/>
          <w:highlight w:val="none"/>
          <w:lang w:val="en-US"/>
        </w:rPr>
      </w:pPr>
      <w:r>
        <w:rPr>
          <w:rFonts w:hint="eastAsia" w:ascii="仿宋" w:hAnsi="仿宋" w:eastAsia="仿宋" w:cs="仿宋"/>
          <w:highlight w:val="none"/>
          <w:lang w:val="en-US"/>
        </w:rPr>
        <w:t>3.3招标文件未列明，而供应商认为必需的费用也需列入报价。</w:t>
      </w:r>
    </w:p>
    <w:p>
      <w:pPr>
        <w:pStyle w:val="24"/>
        <w:autoSpaceDE/>
        <w:autoSpaceDN/>
        <w:snapToGrid w:val="0"/>
        <w:spacing w:line="440" w:lineRule="exact"/>
        <w:ind w:firstLine="723" w:firstLineChars="300"/>
        <w:rPr>
          <w:rFonts w:ascii="仿宋" w:hAnsi="仿宋" w:eastAsia="仿宋" w:cs="仿宋"/>
          <w:b/>
          <w:szCs w:val="24"/>
          <w:highlight w:val="none"/>
        </w:rPr>
      </w:pPr>
      <w:r>
        <w:rPr>
          <w:rFonts w:hint="eastAsia" w:ascii="仿宋" w:hAnsi="仿宋" w:eastAsia="仿宋" w:cs="仿宋"/>
          <w:b/>
          <w:bCs/>
          <w:highlight w:val="none"/>
          <w:lang w:val="en-US"/>
        </w:rPr>
        <w:t>3.4投标报价只允许有一个报价，有选择的报价将不予接受（除指定外）。</w:t>
      </w:r>
      <w:r>
        <w:rPr>
          <w:rFonts w:hint="eastAsia" w:ascii="仿宋" w:hAnsi="仿宋" w:eastAsia="仿宋" w:cs="仿宋"/>
          <w:b/>
          <w:kern w:val="0"/>
          <w:szCs w:val="24"/>
          <w:highlight w:val="none"/>
        </w:rPr>
        <w:t xml:space="preserve">4.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outlineLvl w:val="3"/>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0"/>
        <w:spacing w:before="0" w:line="440" w:lineRule="exact"/>
        <w:ind w:firstLine="0" w:firstLineChars="0"/>
        <w:outlineLvl w:val="2"/>
        <w:rPr>
          <w:rFonts w:ascii="仿宋" w:hAnsi="仿宋" w:eastAsia="仿宋" w:cs="仿宋"/>
          <w:b/>
          <w:szCs w:val="24"/>
          <w:highlight w:val="none"/>
        </w:rPr>
      </w:pPr>
      <w:r>
        <w:rPr>
          <w:rFonts w:hint="eastAsia" w:ascii="仿宋" w:hAnsi="仿宋" w:eastAsia="仿宋" w:cs="仿宋"/>
          <w:b/>
          <w:szCs w:val="24"/>
          <w:highlight w:val="none"/>
        </w:rPr>
        <w:t>5.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outlineLvl w:val="2"/>
        <w:rPr>
          <w:rFonts w:ascii="仿宋" w:hAnsi="仿宋" w:eastAsia="仿宋" w:cs="仿宋"/>
          <w:b/>
          <w:sz w:val="32"/>
          <w:highlight w:val="none"/>
        </w:rPr>
      </w:pPr>
      <w:r>
        <w:rPr>
          <w:rFonts w:hint="eastAsia" w:ascii="仿宋" w:hAnsi="仿宋" w:eastAsia="仿宋" w:cs="仿宋"/>
          <w:b/>
          <w:bCs/>
          <w:sz w:val="24"/>
          <w:highlight w:val="none"/>
        </w:rPr>
        <w:t>6.投标有效期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6.2投标文件合格投递后，自投标截止日期起，在投标有效期内有效。</w:t>
      </w:r>
    </w:p>
    <w:p>
      <w:pPr>
        <w:pStyle w:val="130"/>
        <w:spacing w:before="0"/>
        <w:ind w:firstLine="480"/>
        <w:rPr>
          <w:rFonts w:ascii="仿宋" w:hAnsi="仿宋" w:eastAsia="仿宋" w:cs="仿宋"/>
          <w:b/>
          <w:sz w:val="32"/>
          <w:highlight w:val="none"/>
        </w:rPr>
      </w:pPr>
      <w:r>
        <w:rPr>
          <w:rFonts w:hint="eastAsia" w:ascii="仿宋" w:hAnsi="仿宋" w:eastAsia="仿宋"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sz w:val="32"/>
          <w:highlight w:val="none"/>
        </w:rPr>
      </w:pPr>
    </w:p>
    <w:p>
      <w:pPr>
        <w:spacing w:line="360" w:lineRule="auto"/>
        <w:jc w:val="center"/>
        <w:outlineLvl w:val="1"/>
        <w:rPr>
          <w:rFonts w:ascii="仿宋" w:hAnsi="仿宋" w:eastAsia="仿宋" w:cs="仿宋"/>
          <w:b/>
          <w:sz w:val="32"/>
          <w:szCs w:val="32"/>
          <w:highlight w:val="none"/>
        </w:rPr>
      </w:pPr>
      <w:bookmarkStart w:id="5" w:name="_Toc91899903"/>
      <w:r>
        <w:rPr>
          <w:rFonts w:hint="eastAsia" w:ascii="仿宋" w:hAnsi="仿宋" w:eastAsia="仿宋" w:cs="仿宋"/>
          <w:b/>
          <w:sz w:val="32"/>
          <w:szCs w:val="32"/>
          <w:highlight w:val="none"/>
        </w:rPr>
        <w:t>四、开标和评标</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outlineLvl w:val="3"/>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outlineLvl w:val="2"/>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outlineLvl w:val="2"/>
        <w:rPr>
          <w:rFonts w:ascii="仿宋" w:hAnsi="仿宋" w:eastAsia="仿宋" w:cs="仿宋"/>
          <w:b/>
          <w:highlight w:val="none"/>
        </w:rPr>
      </w:pPr>
      <w:r>
        <w:rPr>
          <w:rFonts w:hint="eastAsia" w:ascii="仿宋" w:hAnsi="仿宋" w:eastAsia="仿宋" w:cs="仿宋"/>
          <w:b/>
          <w:highlight w:val="none"/>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outlineLvl w:val="2"/>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outlineLvl w:val="4"/>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outlineLvl w:val="4"/>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outlineLvl w:val="2"/>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5"/>
    <w:p>
      <w:pPr>
        <w:pStyle w:val="33"/>
        <w:spacing w:line="360" w:lineRule="auto"/>
        <w:ind w:firstLine="726"/>
        <w:jc w:val="center"/>
        <w:outlineLvl w:val="1"/>
        <w:rPr>
          <w:rFonts w:ascii="仿宋" w:hAnsi="仿宋" w:eastAsia="仿宋" w:cs="仿宋"/>
          <w:b/>
          <w:sz w:val="32"/>
          <w:szCs w:val="32"/>
          <w:highlight w:val="none"/>
        </w:rPr>
      </w:pPr>
      <w:bookmarkStart w:id="6" w:name="_Hlt68072990"/>
      <w:bookmarkEnd w:id="6"/>
      <w:bookmarkStart w:id="7" w:name="_Hlt75236011"/>
      <w:bookmarkEnd w:id="7"/>
      <w:bookmarkStart w:id="8" w:name="_Hlt75236290"/>
      <w:bookmarkEnd w:id="8"/>
      <w:bookmarkStart w:id="9" w:name="_Hlt74729768"/>
      <w:bookmarkEnd w:id="9"/>
      <w:bookmarkStart w:id="10" w:name="_Hlt68403820"/>
      <w:bookmarkEnd w:id="10"/>
      <w:bookmarkStart w:id="11" w:name="_Hlt75236101"/>
      <w:bookmarkEnd w:id="11"/>
      <w:bookmarkStart w:id="12" w:name="_Hlt68072998"/>
      <w:bookmarkEnd w:id="12"/>
      <w:bookmarkStart w:id="13" w:name="_Hlt68057669"/>
      <w:bookmarkEnd w:id="13"/>
      <w:bookmarkStart w:id="14" w:name="_Hlt74730295"/>
      <w:bookmarkEnd w:id="14"/>
      <w:bookmarkStart w:id="15" w:name="_Hlt74707468"/>
      <w:bookmarkEnd w:id="15"/>
      <w:bookmarkStart w:id="16" w:name="_Hlt74714665"/>
      <w:bookmarkEnd w:id="16"/>
      <w:bookmarkStart w:id="17" w:name="_Hlt68073093"/>
      <w:bookmarkEnd w:id="17"/>
      <w:bookmarkStart w:id="18" w:name="_Toc81372776"/>
      <w:bookmarkStart w:id="19" w:name="_Toc84325929"/>
      <w:bookmarkStart w:id="20" w:name="_Toc81372953"/>
      <w:r>
        <w:rPr>
          <w:rFonts w:hint="eastAsia" w:ascii="仿宋" w:hAnsi="仿宋" w:eastAsia="仿宋" w:cs="仿宋"/>
          <w:b/>
          <w:sz w:val="32"/>
          <w:szCs w:val="32"/>
          <w:highlight w:val="none"/>
        </w:rPr>
        <w:t>五、授予合同</w:t>
      </w:r>
    </w:p>
    <w:bookmarkEnd w:id="18"/>
    <w:bookmarkEnd w:id="19"/>
    <w:bookmarkEnd w:id="20"/>
    <w:p>
      <w:pPr>
        <w:pStyle w:val="15"/>
        <w:tabs>
          <w:tab w:val="clear" w:pos="390"/>
          <w:tab w:val="clear" w:pos="454"/>
        </w:tabs>
        <w:spacing w:after="120" w:line="440" w:lineRule="exact"/>
        <w:ind w:left="0" w:firstLine="0"/>
        <w:outlineLvl w:val="2"/>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336"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highlight w:val="none"/>
        </w:rPr>
        <w:t>3. 供应商质疑</w:t>
      </w:r>
    </w:p>
    <w:p>
      <w:pPr>
        <w:spacing w:line="336" w:lineRule="auto"/>
        <w:ind w:firstLine="482" w:firstLineChars="200"/>
        <w:outlineLvl w:val="3"/>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pPr>
        <w:spacing w:line="400" w:lineRule="exact"/>
        <w:ind w:firstLine="482" w:firstLineChars="200"/>
        <w:outlineLvl w:val="3"/>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质疑项目的名称、编号；</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事实依据；</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必要的法律依据；</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提出质疑的日期。</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00" w:lineRule="exact"/>
        <w:ind w:firstLine="482" w:firstLineChars="200"/>
        <w:rPr>
          <w:rFonts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pPr>
        <w:spacing w:line="400" w:lineRule="exact"/>
        <w:outlineLvl w:val="2"/>
        <w:rPr>
          <w:rFonts w:ascii="仿宋" w:hAnsi="仿宋" w:eastAsia="仿宋" w:cs="仿宋"/>
          <w:b/>
          <w:sz w:val="32"/>
          <w:szCs w:val="32"/>
          <w:highlight w:val="none"/>
        </w:rPr>
      </w:pPr>
      <w:r>
        <w:rPr>
          <w:rFonts w:hint="eastAsia" w:ascii="仿宋" w:hAnsi="仿宋" w:eastAsia="仿宋" w:cs="仿宋"/>
          <w:b/>
          <w:bCs/>
          <w:sz w:val="24"/>
          <w:highlight w:val="none"/>
        </w:rPr>
        <w:t>4.供应商投诉</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pPr>
        <w:spacing w:line="400" w:lineRule="exact"/>
        <w:ind w:firstLine="480" w:firstLineChars="200"/>
        <w:outlineLvl w:val="3"/>
        <w:rPr>
          <w:rFonts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pPr>
        <w:snapToGrid w:val="0"/>
        <w:spacing w:line="400" w:lineRule="exact"/>
        <w:jc w:val="left"/>
        <w:outlineLvl w:val="0"/>
        <w:rPr>
          <w:rFonts w:ascii="仿宋" w:hAnsi="仿宋" w:eastAsia="仿宋" w:cs="仿宋"/>
          <w:b/>
          <w:sz w:val="32"/>
          <w:szCs w:val="32"/>
          <w:highlight w:val="none"/>
        </w:rPr>
      </w:pPr>
      <w:r>
        <w:rPr>
          <w:rFonts w:hint="eastAsia" w:ascii="仿宋" w:hAnsi="仿宋" w:eastAsia="仿宋" w:cs="仿宋"/>
          <w:b/>
          <w:bCs/>
          <w:sz w:val="24"/>
          <w:szCs w:val="20"/>
          <w:highlight w:val="none"/>
        </w:rPr>
        <w:t>投诉书范本及制作说明详见附件2。</w:t>
      </w:r>
    </w:p>
    <w:p>
      <w:pPr>
        <w:pStyle w:val="23"/>
        <w:spacing w:line="400" w:lineRule="exact"/>
        <w:ind w:firstLine="480" w:firstLineChars="200"/>
        <w:rPr>
          <w:rFonts w:ascii="仿宋" w:hAnsi="仿宋" w:eastAsia="仿宋" w:cs="仿宋"/>
          <w:highlight w:val="none"/>
        </w:rPr>
        <w:sectPr>
          <w:headerReference r:id="rId3" w:type="default"/>
          <w:footerReference r:id="rId4" w:type="default"/>
          <w:pgSz w:w="11906" w:h="16838"/>
          <w:pgMar w:top="1474" w:right="1814" w:bottom="1474" w:left="1814" w:header="851" w:footer="992" w:gutter="0"/>
          <w:cols w:space="720" w:num="1"/>
          <w:docGrid w:linePitch="312" w:charSpace="0"/>
        </w:sectPr>
      </w:pPr>
    </w:p>
    <w:bookmarkEnd w:id="3"/>
    <w:bookmarkEnd w:id="4"/>
    <w:p>
      <w:pPr>
        <w:pageBreakBefore/>
        <w:snapToGrid w:val="0"/>
        <w:spacing w:line="800" w:lineRule="exact"/>
        <w:jc w:val="center"/>
        <w:rPr>
          <w:rFonts w:ascii="仿宋_GB2312" w:hAnsi="宋体" w:eastAsia="仿宋_GB2312"/>
          <w:b/>
          <w:color w:val="auto"/>
          <w:sz w:val="36"/>
          <w:szCs w:val="36"/>
          <w:highlight w:val="none"/>
        </w:rPr>
      </w:pPr>
      <w:bookmarkStart w:id="21" w:name="第五部分"/>
      <w:bookmarkStart w:id="22" w:name="_Toc86217003"/>
      <w:r>
        <w:rPr>
          <w:rFonts w:hint="eastAsia" w:ascii="仿宋_GB2312" w:hAnsi="宋体" w:eastAsia="仿宋_GB2312"/>
          <w:b/>
          <w:color w:val="auto"/>
          <w:sz w:val="36"/>
          <w:szCs w:val="36"/>
          <w:highlight w:val="none"/>
        </w:rPr>
        <w:t>第三部分 招标项目范围及要求</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仿宋"/>
          <w:bCs/>
          <w:sz w:val="24"/>
          <w:highlight w:val="none"/>
          <w:lang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rPr>
        <w:t>项目名称:</w:t>
      </w:r>
      <w:r>
        <w:rPr>
          <w:rFonts w:hint="eastAsia" w:ascii="仿宋" w:hAnsi="仿宋" w:eastAsia="仿宋" w:cs="仿宋"/>
          <w:bCs/>
          <w:sz w:val="24"/>
          <w:highlight w:val="none"/>
          <w:lang w:eastAsia="zh-CN"/>
        </w:rPr>
        <w:t>加装电梯智慧监管民生实事项目（滨海新区、柯桥区）</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eastAsia="zh-Hans"/>
        </w:rPr>
        <w:t>一</w:t>
      </w:r>
      <w:r>
        <w:rPr>
          <w:rFonts w:hint="eastAsia" w:ascii="仿宋" w:hAnsi="仿宋" w:eastAsia="仿宋" w:cs="仿宋"/>
          <w:b/>
          <w:color w:val="auto"/>
          <w:sz w:val="24"/>
          <w:szCs w:val="24"/>
          <w:highlight w:val="none"/>
          <w:lang w:eastAsia="zh-CN"/>
        </w:rPr>
        <w:t>）项目目标</w:t>
      </w:r>
    </w:p>
    <w:p>
      <w:pPr>
        <w:keepNext w:val="0"/>
        <w:keepLines w:val="0"/>
        <w:pageBreakBefore w:val="0"/>
        <w:widowControl/>
        <w:kinsoku/>
        <w:wordWrap/>
        <w:overflowPunct/>
        <w:topLinePunct w:val="0"/>
        <w:autoSpaceDE/>
        <w:autoSpaceDN/>
        <w:bidi w:val="0"/>
        <w:snapToGrid w:val="0"/>
        <w:spacing w:line="336" w:lineRule="auto"/>
        <w:ind w:left="0" w:leftChars="0" w:firstLine="480" w:firstLineChars="2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为进一步提升老旧小区加装电梯安全管理水平，保障老旧小区居民乘梯安全和出行便利，根据《绍兴市人民政府办公室关于印发 2024 年市政府十方面民生实事任务分解的通知》（绍政办发明电〔2024〕3 号）等文件要求，</w:t>
      </w:r>
      <w:r>
        <w:rPr>
          <w:rFonts w:hint="eastAsia" w:ascii="仿宋" w:hAnsi="仿宋" w:eastAsia="仿宋" w:cs="仿宋"/>
          <w:color w:val="auto"/>
          <w:kern w:val="0"/>
          <w:sz w:val="24"/>
          <w:szCs w:val="24"/>
          <w:highlight w:val="none"/>
          <w:lang w:eastAsia="zh-CN"/>
        </w:rPr>
        <w:t>对截至2023年底已投用的老旧小区</w:t>
      </w:r>
      <w:r>
        <w:rPr>
          <w:rFonts w:hint="eastAsia" w:ascii="仿宋" w:hAnsi="仿宋" w:eastAsia="仿宋" w:cs="仿宋"/>
          <w:color w:val="FF0000"/>
          <w:kern w:val="0"/>
          <w:sz w:val="24"/>
          <w:szCs w:val="24"/>
          <w:highlight w:val="none"/>
          <w:lang w:val="en-US" w:eastAsia="zh-CN"/>
        </w:rPr>
        <w:t>加装电梯</w:t>
      </w:r>
      <w:r>
        <w:rPr>
          <w:rFonts w:hint="eastAsia" w:ascii="仿宋" w:hAnsi="仿宋" w:eastAsia="仿宋" w:cs="仿宋"/>
          <w:color w:val="auto"/>
          <w:kern w:val="0"/>
          <w:sz w:val="24"/>
          <w:szCs w:val="24"/>
          <w:highlight w:val="none"/>
          <w:lang w:eastAsia="zh-CN"/>
        </w:rPr>
        <w:t>，综合运用“人防+物防+技防”安全防范措施，实现智能化装置安装率和移动信号覆盖率“两个 100%”，进一步提升老旧小区加装电梯安全管理水平，不断增强人民群众获得感、幸福感、安全感。</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（二）服务内容</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仿宋"/>
          <w:b/>
          <w:color w:val="auto"/>
          <w:sz w:val="24"/>
          <w:szCs w:val="24"/>
          <w:highlight w:val="none"/>
          <w:lang w:eastAsia="zh-CN"/>
        </w:rPr>
      </w:pPr>
      <w:bookmarkStart w:id="23" w:name="_Toc1488698271"/>
      <w:r>
        <w:rPr>
          <w:rFonts w:hint="eastAsia" w:ascii="仿宋" w:hAnsi="仿宋" w:eastAsia="仿宋" w:cs="仿宋"/>
          <w:b/>
          <w:color w:val="auto"/>
          <w:sz w:val="24"/>
          <w:szCs w:val="24"/>
          <w:highlight w:val="none"/>
          <w:lang w:val="en-US" w:eastAsia="zh-CN"/>
        </w:rPr>
        <w:t>2.1</w:t>
      </w:r>
      <w:r>
        <w:rPr>
          <w:rFonts w:hint="eastAsia" w:ascii="仿宋" w:hAnsi="仿宋" w:eastAsia="仿宋" w:cs="仿宋"/>
          <w:b/>
          <w:color w:val="auto"/>
          <w:sz w:val="24"/>
          <w:szCs w:val="24"/>
          <w:highlight w:val="none"/>
          <w:lang w:eastAsia="zh-CN"/>
        </w:rPr>
        <w:t>服务概况</w:t>
      </w:r>
    </w:p>
    <w:tbl>
      <w:tblPr>
        <w:tblStyle w:val="63"/>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5148"/>
        <w:gridCol w:w="778"/>
        <w:gridCol w:w="1556"/>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44" w:type="dxa"/>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序号</w:t>
            </w:r>
          </w:p>
        </w:tc>
        <w:tc>
          <w:tcPr>
            <w:tcW w:w="5148" w:type="dxa"/>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服务内容</w:t>
            </w:r>
          </w:p>
        </w:tc>
        <w:tc>
          <w:tcPr>
            <w:tcW w:w="778" w:type="dxa"/>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数量</w:t>
            </w:r>
          </w:p>
        </w:tc>
        <w:tc>
          <w:tcPr>
            <w:tcW w:w="1556" w:type="dxa"/>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服务地点</w:t>
            </w:r>
          </w:p>
        </w:tc>
        <w:tc>
          <w:tcPr>
            <w:tcW w:w="891" w:type="dxa"/>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744" w:type="dxa"/>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1</w:t>
            </w:r>
          </w:p>
        </w:tc>
        <w:tc>
          <w:tcPr>
            <w:tcW w:w="5148" w:type="dxa"/>
            <w:vAlign w:val="center"/>
          </w:tcPr>
          <w:p>
            <w:pPr>
              <w:keepNext w:val="0"/>
              <w:keepLines w:val="0"/>
              <w:pageBreakBefore w:val="0"/>
              <w:widowControl/>
              <w:kinsoku/>
              <w:wordWrap/>
              <w:overflowPunct/>
              <w:topLinePunct w:val="0"/>
              <w:autoSpaceDE/>
              <w:autoSpaceDN/>
              <w:bidi w:val="0"/>
              <w:snapToGrid w:val="0"/>
              <w:spacing w:line="336" w:lineRule="auto"/>
              <w:ind w:left="0" w:leftChars="0" w:firstLine="480" w:firstLineChars="2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FF0000"/>
                <w:kern w:val="0"/>
                <w:sz w:val="24"/>
                <w:szCs w:val="24"/>
                <w:highlight w:val="none"/>
                <w:lang w:val="en-US" w:eastAsia="zh-CN"/>
              </w:rPr>
              <w:t>对老旧小区加装电梯进行智能化建设，并接</w:t>
            </w:r>
            <w:r>
              <w:rPr>
                <w:rFonts w:hint="eastAsia" w:ascii="仿宋" w:hAnsi="仿宋" w:eastAsia="仿宋" w:cs="仿宋"/>
                <w:color w:val="auto"/>
                <w:kern w:val="0"/>
                <w:sz w:val="24"/>
                <w:szCs w:val="24"/>
                <w:highlight w:val="none"/>
                <w:lang w:val="en-US" w:eastAsia="zh-CN"/>
              </w:rPr>
              <w:t>接入“绍兴智慧电梯”平台，</w:t>
            </w:r>
            <w:r>
              <w:rPr>
                <w:rFonts w:hint="eastAsia" w:ascii="仿宋" w:hAnsi="仿宋" w:eastAsia="仿宋" w:cs="仿宋"/>
                <w:color w:val="auto"/>
                <w:kern w:val="0"/>
                <w:sz w:val="24"/>
                <w:szCs w:val="24"/>
                <w:highlight w:val="none"/>
                <w:lang w:eastAsia="zh-CN"/>
              </w:rPr>
              <w:t>实现运行参数采集、视频监控、网络传输、自动报警等电梯智能化服务功能，提升电梯安全预测、预判、预警和快速响应能力。结合电动自行车消防安全整治行动，推动配备电动自行车进入自动阻止等消防安全功能。</w:t>
            </w:r>
          </w:p>
        </w:tc>
        <w:tc>
          <w:tcPr>
            <w:tcW w:w="778" w:type="dxa"/>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178</w:t>
            </w:r>
            <w:r>
              <w:rPr>
                <w:rFonts w:hint="eastAsia" w:ascii="仿宋" w:hAnsi="仿宋" w:eastAsia="仿宋" w:cs="仿宋"/>
                <w:color w:val="auto"/>
                <w:kern w:val="0"/>
                <w:sz w:val="24"/>
                <w:szCs w:val="24"/>
                <w:highlight w:val="none"/>
                <w:lang w:eastAsia="zh-CN"/>
              </w:rPr>
              <w:t>台</w:t>
            </w:r>
          </w:p>
        </w:tc>
        <w:tc>
          <w:tcPr>
            <w:tcW w:w="1556" w:type="dxa"/>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滨海新区、柯桥区</w:t>
            </w:r>
          </w:p>
        </w:tc>
        <w:tc>
          <w:tcPr>
            <w:tcW w:w="891" w:type="dxa"/>
            <w:vAlign w:val="center"/>
          </w:tcPr>
          <w:p>
            <w:pPr>
              <w:keepNext w:val="0"/>
              <w:keepLines w:val="0"/>
              <w:pageBreakBefore w:val="0"/>
              <w:widowControl/>
              <w:suppressLineNumbers w:val="0"/>
              <w:kinsoku/>
              <w:wordWrap/>
              <w:overflowPunct/>
              <w:topLinePunct w:val="0"/>
              <w:autoSpaceDE/>
              <w:autoSpaceDN/>
              <w:bidi w:val="0"/>
              <w:snapToGrid w:val="0"/>
              <w:spacing w:beforeAutospacing="0" w:afterAutospacing="0" w:line="336" w:lineRule="auto"/>
              <w:ind w:left="0" w:leftChars="0" w:right="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3000元/台</w:t>
            </w:r>
          </w:p>
        </w:tc>
      </w:tr>
    </w:tbl>
    <w:p>
      <w:pPr>
        <w:keepNext w:val="0"/>
        <w:keepLines w:val="0"/>
        <w:pageBreakBefore w:val="0"/>
        <w:kinsoku/>
        <w:wordWrap/>
        <w:overflowPunct/>
        <w:topLinePunct w:val="0"/>
        <w:autoSpaceDE/>
        <w:autoSpaceDN/>
        <w:bidi w:val="0"/>
        <w:spacing w:line="336" w:lineRule="auto"/>
        <w:ind w:left="0" w:leftChars="0"/>
        <w:jc w:val="both"/>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注：实际金额根据实施数量结算。</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r>
        <w:rPr>
          <w:rFonts w:hint="eastAsia" w:ascii="仿宋" w:hAnsi="仿宋" w:eastAsia="仿宋"/>
          <w:b/>
          <w:bCs/>
          <w:sz w:val="24"/>
          <w:highlight w:val="none"/>
        </w:rPr>
        <w:t>2</w:t>
      </w:r>
      <w:r>
        <w:rPr>
          <w:rFonts w:ascii="仿宋" w:hAnsi="仿宋" w:eastAsia="仿宋"/>
          <w:b/>
          <w:bCs/>
          <w:sz w:val="24"/>
          <w:highlight w:val="none"/>
        </w:rPr>
        <w:t>.1.1</w:t>
      </w:r>
      <w:r>
        <w:rPr>
          <w:rFonts w:hint="eastAsia" w:ascii="仿宋" w:hAnsi="仿宋" w:eastAsia="仿宋"/>
          <w:b/>
          <w:bCs/>
          <w:sz w:val="24"/>
          <w:highlight w:val="none"/>
          <w:lang w:val="en-US" w:eastAsia="zh-CN"/>
        </w:rPr>
        <w:t>总体</w:t>
      </w:r>
      <w:r>
        <w:rPr>
          <w:rFonts w:hint="eastAsia" w:ascii="仿宋" w:hAnsi="仿宋" w:eastAsia="仿宋"/>
          <w:b/>
          <w:bCs/>
          <w:sz w:val="24"/>
          <w:highlight w:val="none"/>
        </w:rPr>
        <w:t>要求</w:t>
      </w:r>
      <w:bookmarkEnd w:id="23"/>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1)</w:t>
      </w:r>
      <w:r>
        <w:rPr>
          <w:rFonts w:hint="eastAsia" w:ascii="仿宋" w:hAnsi="仿宋" w:eastAsia="仿宋"/>
          <w:sz w:val="24"/>
          <w:highlight w:val="none"/>
          <w:lang w:val="en-US" w:eastAsia="zh-CN"/>
        </w:rPr>
        <w:t>设备</w:t>
      </w:r>
      <w:r>
        <w:rPr>
          <w:rFonts w:hint="eastAsia" w:ascii="仿宋" w:hAnsi="仿宋" w:eastAsia="仿宋"/>
          <w:sz w:val="24"/>
          <w:highlight w:val="none"/>
        </w:rPr>
        <w:t>在线率</w:t>
      </w:r>
      <w:r>
        <w:rPr>
          <w:rFonts w:hint="eastAsia" w:ascii="仿宋" w:hAnsi="仿宋" w:eastAsia="仿宋"/>
          <w:sz w:val="24"/>
          <w:highlight w:val="none"/>
          <w:lang w:eastAsia="zh-CN"/>
        </w:rPr>
        <w:t>高于</w:t>
      </w:r>
      <w:r>
        <w:rPr>
          <w:rFonts w:ascii="仿宋" w:hAnsi="仿宋" w:eastAsia="仿宋"/>
          <w:sz w:val="24"/>
          <w:highlight w:val="none"/>
        </w:rPr>
        <w:t>9</w:t>
      </w:r>
      <w:r>
        <w:rPr>
          <w:rFonts w:hint="eastAsia" w:ascii="仿宋" w:hAnsi="仿宋" w:eastAsia="仿宋"/>
          <w:sz w:val="24"/>
          <w:highlight w:val="none"/>
        </w:rPr>
        <w:t>6</w:t>
      </w:r>
      <w:r>
        <w:rPr>
          <w:rFonts w:ascii="仿宋" w:hAnsi="仿宋" w:eastAsia="仿宋"/>
          <w:sz w:val="24"/>
          <w:highlight w:val="none"/>
        </w:rPr>
        <w:t>%</w:t>
      </w:r>
      <w:r>
        <w:rPr>
          <w:rFonts w:hint="eastAsia" w:ascii="仿宋" w:hAnsi="仿宋" w:eastAsia="仿宋"/>
          <w:sz w:val="24"/>
          <w:highlight w:val="none"/>
          <w:lang w:eastAsia="zh-CN"/>
        </w:rPr>
        <w:t>（含）</w:t>
      </w:r>
      <w:r>
        <w:rPr>
          <w:rFonts w:ascii="仿宋" w:hAnsi="仿宋" w:eastAsia="仿宋"/>
          <w:sz w:val="24"/>
          <w:highlight w:val="none"/>
        </w:rPr>
        <w:t>，</w:t>
      </w:r>
      <w:r>
        <w:rPr>
          <w:rFonts w:hint="eastAsia" w:ascii="仿宋" w:hAnsi="仿宋" w:eastAsia="仿宋"/>
          <w:sz w:val="24"/>
          <w:highlight w:val="none"/>
        </w:rPr>
        <w:t>进行故障核实，避免误报、漏报，要求年误报、漏报率不得高于5%，且采取有效措施逐年降低误报、漏报率。如出现设备掉线问题，应在48小时内解决。若系非实施单位原因引起的，可根据实际情况报备市场监督管理局。(提供承诺函加盖供应商公章）</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lang w:val="en-US" w:eastAsia="zh-CN"/>
        </w:rPr>
        <w:t>2</w:t>
      </w:r>
      <w:r>
        <w:rPr>
          <w:rFonts w:hint="eastAsia" w:ascii="仿宋" w:hAnsi="仿宋" w:eastAsia="仿宋"/>
          <w:sz w:val="24"/>
          <w:highlight w:val="none"/>
        </w:rPr>
        <w:t>)供应商必须为运行期线下物联网设备接入提供网络、兼容性等技术支持，支持主流的硬件平台和操作系统，出于系统安全性考量所投产品需具有电梯智慧管理系统信息系统安全等级保护备案证明。</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lang w:val="en-US" w:eastAsia="zh-CN"/>
        </w:rPr>
        <w:t>3</w:t>
      </w:r>
      <w:r>
        <w:rPr>
          <w:rFonts w:hint="eastAsia" w:ascii="仿宋" w:hAnsi="仿宋" w:eastAsia="仿宋"/>
          <w:sz w:val="24"/>
          <w:highlight w:val="none"/>
        </w:rPr>
        <w:t>）系统采购方享有最高权限，线下使用单位、维保单位享有使用权，供应商按采购方要求提供相应技术支持。</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lang w:val="en-US" w:eastAsia="zh-CN"/>
        </w:rPr>
        <w:t>4</w:t>
      </w:r>
      <w:r>
        <w:rPr>
          <w:rFonts w:hint="eastAsia" w:ascii="仿宋" w:hAnsi="仿宋" w:eastAsia="仿宋"/>
          <w:sz w:val="24"/>
          <w:highlight w:val="none"/>
        </w:rPr>
        <w:t>)供应商按采购方要求施行具体线下物联网系统运营维护服务</w:t>
      </w:r>
      <w:r>
        <w:rPr>
          <w:rFonts w:hint="eastAsia" w:ascii="仿宋" w:hAnsi="仿宋" w:eastAsia="仿宋"/>
          <w:sz w:val="24"/>
          <w:highlight w:val="none"/>
          <w:lang w:eastAsia="zh-CN"/>
        </w:rPr>
        <w:t>，</w:t>
      </w:r>
      <w:r>
        <w:rPr>
          <w:rFonts w:hint="eastAsia" w:ascii="仿宋" w:hAnsi="仿宋" w:eastAsia="仿宋"/>
          <w:sz w:val="24"/>
          <w:highlight w:val="none"/>
          <w:lang w:val="en-US" w:eastAsia="zh-CN"/>
        </w:rPr>
        <w:t>服务</w:t>
      </w:r>
      <w:r>
        <w:rPr>
          <w:rFonts w:hint="eastAsia" w:ascii="仿宋" w:hAnsi="仿宋" w:eastAsia="仿宋"/>
          <w:color w:val="FF0000"/>
          <w:sz w:val="24"/>
          <w:highlight w:val="none"/>
          <w:lang w:val="en-US" w:eastAsia="zh-CN"/>
        </w:rPr>
        <w:t>期不</w:t>
      </w:r>
      <w:r>
        <w:rPr>
          <w:rFonts w:hint="eastAsia" w:ascii="仿宋" w:hAnsi="仿宋" w:eastAsia="仿宋"/>
          <w:sz w:val="24"/>
          <w:highlight w:val="none"/>
          <w:lang w:val="en-US" w:eastAsia="zh-CN"/>
        </w:rPr>
        <w:t>少于3年</w:t>
      </w:r>
      <w:r>
        <w:rPr>
          <w:rFonts w:hint="eastAsia" w:ascii="仿宋" w:hAnsi="仿宋" w:eastAsia="仿宋"/>
          <w:sz w:val="24"/>
          <w:highlight w:val="none"/>
        </w:rPr>
        <w:t>。</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bookmarkStart w:id="24" w:name="_Toc1674813660"/>
      <w:r>
        <w:rPr>
          <w:rFonts w:hint="eastAsia" w:ascii="仿宋" w:hAnsi="仿宋" w:eastAsia="仿宋"/>
          <w:b/>
          <w:bCs/>
          <w:sz w:val="24"/>
          <w:highlight w:val="none"/>
        </w:rPr>
        <w:t>2</w:t>
      </w:r>
      <w:r>
        <w:rPr>
          <w:rFonts w:ascii="仿宋" w:hAnsi="仿宋" w:eastAsia="仿宋"/>
          <w:b/>
          <w:bCs/>
          <w:sz w:val="24"/>
          <w:highlight w:val="none"/>
        </w:rPr>
        <w:t>.1.</w:t>
      </w:r>
      <w:r>
        <w:rPr>
          <w:rFonts w:hint="eastAsia" w:ascii="仿宋" w:hAnsi="仿宋" w:eastAsia="仿宋"/>
          <w:b/>
          <w:bCs/>
          <w:sz w:val="24"/>
          <w:highlight w:val="none"/>
          <w:lang w:val="en-US" w:eastAsia="zh-CN"/>
        </w:rPr>
        <w:t>2</w:t>
      </w:r>
      <w:r>
        <w:rPr>
          <w:rFonts w:hint="eastAsia" w:ascii="仿宋" w:hAnsi="仿宋" w:eastAsia="仿宋"/>
          <w:b/>
          <w:bCs/>
          <w:sz w:val="24"/>
          <w:highlight w:val="none"/>
        </w:rPr>
        <w:t>监控终端功能要求</w:t>
      </w:r>
      <w:bookmarkEnd w:id="24"/>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lang w:val="en-US" w:eastAsia="zh-CN"/>
        </w:rPr>
        <w:t>1）</w:t>
      </w:r>
      <w:r>
        <w:rPr>
          <w:rFonts w:hint="eastAsia" w:ascii="仿宋" w:hAnsi="仿宋" w:eastAsia="仿宋"/>
          <w:sz w:val="24"/>
          <w:highlight w:val="none"/>
        </w:rPr>
        <w:t>故障告警：采集电梯的实时信号，分析电梯的实时运行情况，判断电梯是否出现故障并告警。</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通过物联网设备能判断困人故障，电梯监管困人救援准确率≥95%。</w:t>
      </w:r>
    </w:p>
    <w:p>
      <w:pPr>
        <w:keepNext w:val="0"/>
        <w:keepLines w:val="0"/>
        <w:pageBreakBefore w:val="0"/>
        <w:kinsoku/>
        <w:wordWrap/>
        <w:overflowPunct/>
        <w:topLinePunct w:val="0"/>
        <w:autoSpaceDE/>
        <w:autoSpaceDN/>
        <w:bidi w:val="0"/>
        <w:spacing w:line="336" w:lineRule="auto"/>
        <w:ind w:left="479" w:leftChars="228" w:firstLine="0" w:firstLineChars="0"/>
        <w:textAlignment w:val="auto"/>
        <w:rPr>
          <w:rFonts w:hint="eastAsia" w:ascii="仿宋" w:hAnsi="仿宋" w:eastAsia="仿宋"/>
          <w:sz w:val="24"/>
          <w:highlight w:val="none"/>
          <w:lang w:eastAsia="zh-CN"/>
        </w:rPr>
      </w:pPr>
      <w:r>
        <w:rPr>
          <w:rFonts w:hint="eastAsia" w:ascii="仿宋" w:hAnsi="仿宋" w:eastAsia="仿宋"/>
          <w:sz w:val="24"/>
          <w:highlight w:val="none"/>
        </w:rPr>
        <w:t>电瓶车及液化气瓶入梯识别率≥ 90%；</w:t>
      </w:r>
    </w:p>
    <w:p>
      <w:pPr>
        <w:keepNext w:val="0"/>
        <w:keepLines w:val="0"/>
        <w:pageBreakBefore w:val="0"/>
        <w:kinsoku/>
        <w:wordWrap/>
        <w:overflowPunct/>
        <w:topLinePunct w:val="0"/>
        <w:autoSpaceDE/>
        <w:autoSpaceDN/>
        <w:bidi w:val="0"/>
        <w:spacing w:line="336" w:lineRule="auto"/>
        <w:ind w:left="479" w:leftChars="228" w:firstLine="0" w:firstLineChars="0"/>
        <w:textAlignment w:val="auto"/>
        <w:rPr>
          <w:rFonts w:ascii="仿宋" w:hAnsi="仿宋" w:eastAsia="仿宋"/>
          <w:sz w:val="24"/>
          <w:highlight w:val="none"/>
        </w:rPr>
      </w:pPr>
      <w:r>
        <w:rPr>
          <w:rFonts w:hint="eastAsia" w:ascii="仿宋" w:hAnsi="仿宋" w:eastAsia="仿宋"/>
          <w:sz w:val="24"/>
          <w:highlight w:val="none"/>
        </w:rPr>
        <w:t>其它不文明乘梯 （遮挡门、反复开关门）劝阻率≥95%；</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2)运行数据采集：实时上传电梯的开关门、运行方向、运行速度、楼层、运行次数、运行距离等信息。</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3)视频分类存储：电梯出现困人故障及不文明乘梯行为后，实时上传相应的时间、电梯当前楼层以及电梯的基本信息，并对相关视频进行分类存储。</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★监测终端与应用平台之间的数据传输和存储宜有安全策略，对数据进行加密，对数据的远程读取应有权限管理。</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4)设备在线巡检：具有设备自身的实时在线诊断功能，对所用的各种感应器具有实时在线诊断功能，在故障时可以在系统端提示。</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▲电梯远程监管采集装置，在线时长、离线时长采集；</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5）视频数据监控：直观的显示电梯当前的状态、监控视频；实时视频：实时视频画面上需叠加展示电梯注册代码、楼层、速度、方向等信息，便于工作人员快速确认告警发生的地点及楼层等信息。</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▲对于电梯轿厢内相关图像信息的现场采集应覆盖开关门、轿内登记指令、楼层显示信息及不少于 80%地板面积区域；</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▲监测终端应与电梯原有设备之间采取隔离措施；</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bookmarkStart w:id="25" w:name="_Toc828"/>
      <w:bookmarkStart w:id="26" w:name="_Toc1525022391"/>
      <w:bookmarkStart w:id="27" w:name="_Toc18639"/>
      <w:bookmarkStart w:id="28" w:name="_Toc12343"/>
      <w:r>
        <w:rPr>
          <w:rFonts w:hint="eastAsia" w:ascii="仿宋" w:hAnsi="仿宋" w:eastAsia="仿宋"/>
          <w:b/>
          <w:bCs/>
          <w:sz w:val="24"/>
          <w:highlight w:val="none"/>
        </w:rPr>
        <w:t>2</w:t>
      </w:r>
      <w:r>
        <w:rPr>
          <w:rFonts w:ascii="仿宋" w:hAnsi="仿宋" w:eastAsia="仿宋"/>
          <w:b/>
          <w:bCs/>
          <w:sz w:val="24"/>
          <w:highlight w:val="none"/>
        </w:rPr>
        <w:t>.1.4</w:t>
      </w:r>
      <w:r>
        <w:rPr>
          <w:rFonts w:hint="eastAsia" w:ascii="仿宋" w:hAnsi="仿宋" w:eastAsia="仿宋"/>
          <w:b/>
          <w:bCs/>
          <w:sz w:val="24"/>
          <w:highlight w:val="none"/>
        </w:rPr>
        <w:t>视频录像要求</w:t>
      </w:r>
      <w:bookmarkEnd w:id="25"/>
      <w:bookmarkEnd w:id="26"/>
      <w:bookmarkEnd w:id="27"/>
      <w:bookmarkEnd w:id="28"/>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设备应采用带夜视功能的录像方式。录像数据可采用摄像机本地存储或通过硬盘录像机集中存储。存储的视频分辨率应支持1080P、720P、4CIF，高清图像回放应达到 25 帧/秒以上，所有录像数据至少应保存 1 天以上，涉及故障告警类视频需进行录制并进行自动分类存储，非困人故障告警存储时间不低于</w:t>
      </w:r>
      <w:r>
        <w:rPr>
          <w:rFonts w:ascii="仿宋" w:hAnsi="仿宋" w:eastAsia="仿宋"/>
          <w:sz w:val="24"/>
          <w:highlight w:val="none"/>
        </w:rPr>
        <w:t>30</w:t>
      </w:r>
      <w:r>
        <w:rPr>
          <w:rFonts w:hint="eastAsia" w:ascii="仿宋" w:hAnsi="仿宋" w:eastAsia="仿宋"/>
          <w:sz w:val="24"/>
          <w:highlight w:val="none"/>
        </w:rPr>
        <w:t>天</w:t>
      </w:r>
      <w:r>
        <w:rPr>
          <w:rFonts w:ascii="仿宋" w:hAnsi="仿宋" w:eastAsia="仿宋"/>
          <w:sz w:val="24"/>
          <w:highlight w:val="none"/>
        </w:rPr>
        <w:t>，</w:t>
      </w:r>
      <w:r>
        <w:rPr>
          <w:rFonts w:hint="eastAsia" w:ascii="仿宋" w:hAnsi="仿宋" w:eastAsia="仿宋"/>
          <w:sz w:val="24"/>
          <w:highlight w:val="none"/>
        </w:rPr>
        <w:t>困人故障告警存储时间不低于1年。</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使用单位可远程主动调取传输存储相关视频记录，亦可本地下载相关视频记录。</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存储的图像数据通过网络传输，并以时间、电梯、故障告警类型等选项进行检索，允许多用户同时检索、调用录像。</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bookmarkStart w:id="29" w:name="_Toc833998592"/>
      <w:bookmarkStart w:id="30" w:name="_Toc21012"/>
      <w:bookmarkStart w:id="31" w:name="_Toc18715"/>
      <w:bookmarkStart w:id="32" w:name="_Toc30542"/>
      <w:r>
        <w:rPr>
          <w:rFonts w:hint="eastAsia" w:ascii="仿宋" w:hAnsi="仿宋" w:eastAsia="仿宋"/>
          <w:b/>
          <w:bCs/>
          <w:sz w:val="24"/>
          <w:highlight w:val="none"/>
        </w:rPr>
        <w:t>2</w:t>
      </w:r>
      <w:r>
        <w:rPr>
          <w:rFonts w:ascii="仿宋" w:hAnsi="仿宋" w:eastAsia="仿宋"/>
          <w:b/>
          <w:bCs/>
          <w:sz w:val="24"/>
          <w:highlight w:val="none"/>
        </w:rPr>
        <w:t>.1.5</w:t>
      </w:r>
      <w:r>
        <w:rPr>
          <w:rFonts w:hint="eastAsia" w:ascii="仿宋" w:hAnsi="仿宋" w:eastAsia="仿宋"/>
          <w:b/>
          <w:bCs/>
          <w:sz w:val="24"/>
          <w:highlight w:val="none"/>
        </w:rPr>
        <w:t>视频传输要求</w:t>
      </w:r>
      <w:bookmarkEnd w:id="29"/>
      <w:bookmarkEnd w:id="30"/>
      <w:bookmarkEnd w:id="31"/>
      <w:bookmarkEnd w:id="32"/>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数字传输通道采用IP以太网协议，支持图像组播、网络流量平衡控制等功能，数字视频编解码采用 MPEG4/H.264标准，实时数字图像传输的控制响应时间≤1 秒，数字图像编解码延时＜0.4秒。进行有线/无线组网，建立数据传输专用通道，保障数据传输安全。</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bookmarkStart w:id="33" w:name="_Toc2144"/>
      <w:bookmarkStart w:id="34" w:name="_Toc5082"/>
      <w:bookmarkStart w:id="35" w:name="_Toc25342"/>
      <w:bookmarkStart w:id="36" w:name="_Toc388571775"/>
      <w:r>
        <w:rPr>
          <w:rFonts w:hint="eastAsia" w:ascii="仿宋" w:hAnsi="仿宋" w:eastAsia="仿宋"/>
          <w:b/>
          <w:bCs/>
          <w:sz w:val="24"/>
          <w:highlight w:val="none"/>
        </w:rPr>
        <w:t>2</w:t>
      </w:r>
      <w:r>
        <w:rPr>
          <w:rFonts w:ascii="仿宋" w:hAnsi="仿宋" w:eastAsia="仿宋"/>
          <w:b/>
          <w:bCs/>
          <w:sz w:val="24"/>
          <w:highlight w:val="none"/>
        </w:rPr>
        <w:t>.1.6</w:t>
      </w:r>
      <w:r>
        <w:rPr>
          <w:rFonts w:hint="eastAsia" w:ascii="仿宋" w:hAnsi="仿宋" w:eastAsia="仿宋"/>
          <w:b/>
          <w:bCs/>
          <w:sz w:val="24"/>
          <w:highlight w:val="none"/>
        </w:rPr>
        <w:t>硬件基本参数</w:t>
      </w:r>
      <w:bookmarkEnd w:id="33"/>
      <w:r>
        <w:rPr>
          <w:rFonts w:hint="eastAsia" w:ascii="仿宋" w:hAnsi="仿宋" w:eastAsia="仿宋"/>
          <w:b/>
          <w:bCs/>
          <w:sz w:val="24"/>
          <w:highlight w:val="none"/>
        </w:rPr>
        <w:t>要求</w:t>
      </w:r>
      <w:bookmarkEnd w:id="34"/>
      <w:bookmarkEnd w:id="35"/>
      <w:bookmarkEnd w:id="36"/>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1）合规及安全性要求</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为了避免在电梯门及相关部件上加装传感器减低物联网系统对电梯本身的破坏，避免增加门系统故障点，根据《电梯、自动扶梯和自动人行道物联网的技术规范》的相关要求，系统需采用独立的传感器避免对电梯原有系统造成干扰，尤其是对电梯活动部件的信息采集，例如对电梯门状态的采集需采用视频行为分析技术。</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工作温度：-</w:t>
      </w:r>
      <w:r>
        <w:rPr>
          <w:rFonts w:ascii="仿宋" w:hAnsi="仿宋" w:eastAsia="仿宋"/>
          <w:sz w:val="24"/>
          <w:highlight w:val="none"/>
        </w:rPr>
        <w:t>10</w:t>
      </w:r>
      <w:r>
        <w:rPr>
          <w:rFonts w:hint="eastAsia" w:ascii="仿宋" w:hAnsi="仿宋" w:eastAsia="仿宋"/>
          <w:sz w:val="24"/>
          <w:highlight w:val="none"/>
        </w:rPr>
        <w:t>℃</w:t>
      </w:r>
      <w:r>
        <w:rPr>
          <w:rFonts w:ascii="仿宋" w:hAnsi="仿宋" w:eastAsia="仿宋"/>
          <w:sz w:val="24"/>
          <w:highlight w:val="none"/>
        </w:rPr>
        <w:t>～</w:t>
      </w:r>
      <w:r>
        <w:rPr>
          <w:rFonts w:hint="eastAsia" w:ascii="仿宋" w:hAnsi="仿宋" w:eastAsia="仿宋"/>
          <w:color w:val="FF0000"/>
          <w:sz w:val="24"/>
          <w:highlight w:val="none"/>
        </w:rPr>
        <w:t>+</w:t>
      </w:r>
      <w:r>
        <w:rPr>
          <w:rFonts w:hint="eastAsia" w:ascii="仿宋" w:hAnsi="仿宋" w:eastAsia="仿宋"/>
          <w:color w:val="FF0000"/>
          <w:sz w:val="24"/>
          <w:highlight w:val="none"/>
          <w:lang w:val="en-US" w:eastAsia="zh-CN"/>
        </w:rPr>
        <w:t>70</w:t>
      </w:r>
      <w:r>
        <w:rPr>
          <w:rFonts w:hint="eastAsia" w:ascii="仿宋" w:hAnsi="仿宋" w:eastAsia="仿宋"/>
          <w:color w:val="FF0000"/>
          <w:sz w:val="24"/>
          <w:highlight w:val="none"/>
        </w:rPr>
        <w:t>℃</w:t>
      </w:r>
      <w:r>
        <w:rPr>
          <w:rFonts w:hint="eastAsia" w:ascii="仿宋" w:hAnsi="仿宋" w:eastAsia="仿宋"/>
          <w:sz w:val="24"/>
          <w:highlight w:val="none"/>
        </w:rPr>
        <w:t>。</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振动测试：在10Hz</w:t>
      </w:r>
      <w:r>
        <w:rPr>
          <w:rFonts w:ascii="仿宋" w:hAnsi="仿宋" w:eastAsia="仿宋"/>
          <w:sz w:val="24"/>
          <w:highlight w:val="none"/>
        </w:rPr>
        <w:t>～</w:t>
      </w:r>
      <w:r>
        <w:rPr>
          <w:rFonts w:hint="eastAsia" w:ascii="仿宋" w:hAnsi="仿宋" w:eastAsia="仿宋"/>
          <w:sz w:val="24"/>
          <w:highlight w:val="none"/>
        </w:rPr>
        <w:t>55Hz</w:t>
      </w:r>
      <w:r>
        <w:rPr>
          <w:rFonts w:ascii="仿宋" w:hAnsi="仿宋" w:eastAsia="仿宋"/>
          <w:sz w:val="24"/>
          <w:highlight w:val="none"/>
        </w:rPr>
        <w:t>～10</w:t>
      </w:r>
      <w:r>
        <w:rPr>
          <w:rFonts w:hint="eastAsia" w:ascii="仿宋" w:hAnsi="仿宋" w:eastAsia="仿宋"/>
          <w:sz w:val="24"/>
          <w:highlight w:val="none"/>
        </w:rPr>
        <w:t>Hz、0.75mm的振幅条件下，使用X、Y、Z三个方振动</w:t>
      </w:r>
      <w:r>
        <w:rPr>
          <w:rFonts w:ascii="仿宋" w:hAnsi="仿宋" w:eastAsia="仿宋"/>
          <w:sz w:val="24"/>
          <w:highlight w:val="none"/>
        </w:rPr>
        <w:t>2</w:t>
      </w:r>
      <w:r>
        <w:rPr>
          <w:rFonts w:hint="eastAsia" w:ascii="仿宋" w:hAnsi="仿宋" w:eastAsia="仿宋"/>
          <w:sz w:val="24"/>
          <w:highlight w:val="none"/>
        </w:rPr>
        <w:t>小时能正常工作。</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满足以下要求：</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GB4943.1-2011《信息技术设备 安全 第 1 部分：通用要求》</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GB17799.3-2012《电磁兼容 通用标准 居住、商业和轻工业环境中的发射》</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GB/T17799.1-2017《电磁兼容 通用标准 居住、商业和轻工业环境中的抗扰度》</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网络传输接口应支持无线通信、有线通信或通过 Intermet 代理的专网通信。</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2）远程监测视频设备(摄像头)要求</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实时监测电梯运行状态，采集记录电梯运行信息，进行故障报警，远程监测视频设备即在轿厢安装的摄像头，采用高集成度产品避免在电梯多处加装相关设备，减低系统复杂度，同时降低物联网设备给电梯造成的破坏；为方便后续运维工作的开展及避免产权纠纷，所投产品拥有相关知识产权及较高的研发、生产、运维能力。</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lang w:eastAsia="zh-CN"/>
        </w:rPr>
      </w:pPr>
      <w:r>
        <w:rPr>
          <w:rFonts w:hint="eastAsia" w:ascii="仿宋" w:hAnsi="仿宋" w:eastAsia="仿宋"/>
          <w:sz w:val="24"/>
          <w:highlight w:val="none"/>
        </w:rPr>
        <w:t>电梯困人故障关乎人民群众生命财产安全，尤其针对电梯困人自动检测技术能力，所采用的技术方案需提供相应的证明；电梯数据的准确采集关乎后续故障判断、数据分析的准确性</w:t>
      </w:r>
      <w:r>
        <w:rPr>
          <w:rFonts w:hint="eastAsia" w:ascii="仿宋" w:hAnsi="仿宋" w:eastAsia="仿宋"/>
          <w:sz w:val="24"/>
          <w:highlight w:val="none"/>
          <w:lang w:eastAsia="zh-CN"/>
        </w:rPr>
        <w:t>。</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▲针对电梯故障识别技术、速度检测技术、状态监控技术，提供相应技术证明材料。</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技术规格要求：</w:t>
      </w:r>
    </w:p>
    <w:tbl>
      <w:tblPr>
        <w:tblStyle w:val="62"/>
        <w:tblW w:w="4912" w:type="pct"/>
        <w:tblInd w:w="0" w:type="dxa"/>
        <w:tblLayout w:type="fixed"/>
        <w:tblCellMar>
          <w:top w:w="0" w:type="dxa"/>
          <w:left w:w="108" w:type="dxa"/>
          <w:bottom w:w="0" w:type="dxa"/>
          <w:right w:w="108" w:type="dxa"/>
        </w:tblCellMar>
      </w:tblPr>
      <w:tblGrid>
        <w:gridCol w:w="475"/>
        <w:gridCol w:w="1112"/>
        <w:gridCol w:w="6758"/>
      </w:tblGrid>
      <w:tr>
        <w:tblPrEx>
          <w:tblCellMar>
            <w:top w:w="0" w:type="dxa"/>
            <w:left w:w="108" w:type="dxa"/>
            <w:bottom w:w="0" w:type="dxa"/>
            <w:right w:w="108" w:type="dxa"/>
          </w:tblCellMar>
        </w:tblPrEx>
        <w:trPr>
          <w:trHeight w:val="560" w:hRule="atLeast"/>
          <w:tblHeader/>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序号</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服务</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规格</w:t>
            </w:r>
          </w:p>
        </w:tc>
      </w:tr>
      <w:tr>
        <w:tblPrEx>
          <w:tblCellMar>
            <w:top w:w="0" w:type="dxa"/>
            <w:left w:w="108" w:type="dxa"/>
            <w:bottom w:w="0" w:type="dxa"/>
            <w:right w:w="108" w:type="dxa"/>
          </w:tblCellMar>
        </w:tblPrEx>
        <w:trPr>
          <w:trHeight w:val="560" w:hRule="atLeast"/>
          <w:tblHeader/>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电梯物联网终端</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auto"/>
              <w:ind w:left="0"/>
              <w:jc w:val="both"/>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工作电压</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220VAC</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工作温度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-10℃~+70℃</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环境湿度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5~95%（无凝露）</w:t>
            </w:r>
          </w:p>
          <w:p>
            <w:pPr>
              <w:keepNext w:val="0"/>
              <w:keepLines w:val="0"/>
              <w:pageBreakBefore w:val="0"/>
              <w:widowControl/>
              <w:suppressLineNumbers w:val="0"/>
              <w:kinsoku/>
              <w:overflowPunct/>
              <w:topLinePunct w:val="0"/>
              <w:bidi w:val="0"/>
              <w:spacing w:line="360" w:lineRule="auto"/>
              <w:ind w:left="0"/>
              <w:jc w:val="left"/>
              <w:textAlignment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r>
              <w:rPr>
                <w:rFonts w:hint="eastAsia" w:ascii="仿宋" w:hAnsi="仿宋" w:eastAsia="仿宋" w:cs="仿宋"/>
                <w:i w:val="0"/>
                <w:iCs w:val="0"/>
                <w:color w:val="000000"/>
                <w:kern w:val="0"/>
                <w:sz w:val="24"/>
                <w:szCs w:val="24"/>
                <w:highlight w:val="none"/>
                <w:u w:val="none"/>
                <w:lang w:val="en-US" w:eastAsia="zh-CN" w:bidi="ar"/>
              </w:rPr>
              <w:t>双网口：10/100M自适应；支持路由功能；</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求救按钮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紧急按键，一键呼叫</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6.具有</w:t>
            </w:r>
            <w:r>
              <w:rPr>
                <w:rFonts w:hint="eastAsia" w:ascii="仿宋" w:hAnsi="仿宋" w:eastAsia="仿宋" w:cs="仿宋"/>
                <w:sz w:val="24"/>
                <w:szCs w:val="24"/>
                <w:highlight w:val="none"/>
              </w:rPr>
              <w:t>开启</w:t>
            </w:r>
            <w:r>
              <w:rPr>
                <w:rFonts w:hint="eastAsia" w:ascii="仿宋" w:hAnsi="仿宋" w:eastAsia="仿宋" w:cs="仿宋"/>
                <w:sz w:val="24"/>
                <w:szCs w:val="24"/>
                <w:highlight w:val="none"/>
                <w:lang w:eastAsia="zh-CN"/>
              </w:rPr>
              <w:t>、关闭</w:t>
            </w:r>
            <w:r>
              <w:rPr>
                <w:rFonts w:hint="eastAsia" w:ascii="仿宋" w:hAnsi="仿宋" w:eastAsia="仿宋" w:cs="仿宋"/>
                <w:sz w:val="24"/>
                <w:szCs w:val="24"/>
                <w:highlight w:val="none"/>
              </w:rPr>
              <w:t>维保模式</w:t>
            </w:r>
          </w:p>
          <w:p>
            <w:pPr>
              <w:pageBreakBefore w:val="0"/>
              <w:kinsoku/>
              <w:overflowPunct/>
              <w:topLinePunct w:val="0"/>
              <w:bidi w:val="0"/>
              <w:spacing w:line="360" w:lineRule="auto"/>
              <w:ind w:left="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7.</w:t>
            </w:r>
            <w:r>
              <w:rPr>
                <w:rFonts w:hint="eastAsia" w:ascii="仿宋" w:hAnsi="仿宋" w:eastAsia="仿宋" w:cs="仿宋"/>
                <w:sz w:val="24"/>
                <w:szCs w:val="24"/>
                <w:highlight w:val="none"/>
                <w:lang w:bidi="ar"/>
              </w:rPr>
              <w:t>无线模块：4G或5G通讯模块；</w:t>
            </w:r>
          </w:p>
          <w:p>
            <w:pPr>
              <w:pStyle w:val="838"/>
              <w:pageBreakBefore w:val="0"/>
              <w:kinsoku/>
              <w:overflowPunct/>
              <w:topLinePunct w:val="0"/>
              <w:bidi w:val="0"/>
              <w:spacing w:line="360" w:lineRule="auto"/>
              <w:ind w:left="0" w:leftChars="0" w:firstLine="0" w:firstLineChars="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8.</w:t>
            </w:r>
            <w:r>
              <w:rPr>
                <w:rFonts w:hint="eastAsia" w:ascii="仿宋" w:hAnsi="仿宋" w:eastAsia="仿宋" w:cs="仿宋"/>
                <w:sz w:val="24"/>
                <w:szCs w:val="24"/>
                <w:highlight w:val="none"/>
                <w:lang w:bidi="ar"/>
              </w:rPr>
              <w:t>后备电源：锂电池，续航不少于2小时；</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音频通话</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视频监控</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t>
            </w:r>
          </w:p>
          <w:p>
            <w:pPr>
              <w:keepNext w:val="0"/>
              <w:keepLines w:val="0"/>
              <w:pageBreakBefore w:val="0"/>
              <w:widowControl/>
              <w:suppressLineNumbers w:val="0"/>
              <w:kinsoku/>
              <w:overflowPunct/>
              <w:topLinePunct w:val="0"/>
              <w:bidi w:val="0"/>
              <w:spacing w:line="360" w:lineRule="auto"/>
              <w:ind w:lef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11.</w:t>
            </w:r>
            <w:r>
              <w:rPr>
                <w:rFonts w:hint="eastAsia" w:ascii="仿宋" w:hAnsi="仿宋" w:eastAsia="仿宋" w:cs="仿宋"/>
                <w:i w:val="0"/>
                <w:iCs w:val="0"/>
                <w:color w:val="000000"/>
                <w:kern w:val="0"/>
                <w:sz w:val="24"/>
                <w:szCs w:val="24"/>
                <w:highlight w:val="none"/>
                <w:u w:val="none"/>
                <w:lang w:val="en-US" w:eastAsia="zh-CN" w:bidi="ar"/>
              </w:rPr>
              <w:t>串行通讯口：1路RS485；具备音频及人体传感器接口；USB口：支持通过U盘程序升级；</w:t>
            </w:r>
          </w:p>
          <w:p>
            <w:pPr>
              <w:keepNext w:val="0"/>
              <w:keepLines w:val="0"/>
              <w:pageBreakBefore w:val="0"/>
              <w:widowControl/>
              <w:suppressLineNumbers w:val="0"/>
              <w:kinsoku/>
              <w:overflowPunct/>
              <w:topLinePunct w:val="0"/>
              <w:bidi w:val="0"/>
              <w:spacing w:line="360" w:lineRule="auto"/>
              <w:ind w:lef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12.</w:t>
            </w:r>
            <w:r>
              <w:rPr>
                <w:rFonts w:hint="eastAsia" w:ascii="仿宋" w:hAnsi="仿宋" w:eastAsia="仿宋" w:cs="仿宋"/>
                <w:i w:val="0"/>
                <w:iCs w:val="0"/>
                <w:color w:val="000000"/>
                <w:kern w:val="0"/>
                <w:sz w:val="24"/>
                <w:szCs w:val="24"/>
                <w:highlight w:val="none"/>
                <w:u w:val="none"/>
                <w:lang w:val="en-US" w:eastAsia="zh-CN" w:bidi="ar"/>
              </w:rPr>
              <w:t>传感器接口：4路信号输入，兼容电平和干触点等方式；</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内存卡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32</w:t>
            </w:r>
            <w:r>
              <w:rPr>
                <w:rFonts w:hint="eastAsia" w:ascii="仿宋" w:hAnsi="仿宋" w:eastAsia="仿宋" w:cs="仿宋"/>
                <w:sz w:val="24"/>
                <w:szCs w:val="24"/>
                <w:highlight w:val="none"/>
              </w:rPr>
              <w:t>G内存卡</w:t>
            </w:r>
          </w:p>
          <w:p>
            <w:pPr>
              <w:keepNext w:val="0"/>
              <w:keepLines w:val="0"/>
              <w:pageBreakBefore w:val="0"/>
              <w:kinsoku/>
              <w:wordWrap/>
              <w:overflowPunct/>
              <w:topLinePunct w:val="0"/>
              <w:autoSpaceDE/>
              <w:autoSpaceDN/>
              <w:bidi w:val="0"/>
              <w:adjustRightInd/>
              <w:snapToGrid/>
              <w:spacing w:line="360" w:lineRule="auto"/>
              <w:ind w:left="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操作系统</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Linux Embedded</w:t>
            </w:r>
          </w:p>
          <w:p>
            <w:pPr>
              <w:pageBreakBefore w:val="0"/>
              <w:widowControl/>
              <w:kinsoku/>
              <w:overflowPunct/>
              <w:topLinePunct w:val="0"/>
              <w:bidi w:val="0"/>
              <w:spacing w:line="360" w:lineRule="auto"/>
              <w:ind w:left="0"/>
              <w:jc w:val="both"/>
              <w:textAlignment w:val="center"/>
              <w:rPr>
                <w:rFonts w:hint="eastAsia" w:ascii="仿宋" w:hAnsi="仿宋" w:eastAsia="仿宋" w:cs="仿宋"/>
                <w:b/>
                <w:bCs/>
                <w:color w:val="000000"/>
                <w:kern w:val="0"/>
                <w:sz w:val="24"/>
                <w:szCs w:val="24"/>
                <w:highlight w:val="none"/>
                <w:lang w:bidi="ar"/>
              </w:rPr>
            </w:pP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升级</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支持在线升级、USB口离线升级</w:t>
            </w:r>
          </w:p>
        </w:tc>
      </w:tr>
      <w:tr>
        <w:tblPrEx>
          <w:tblCellMar>
            <w:top w:w="0" w:type="dxa"/>
            <w:left w:w="108" w:type="dxa"/>
            <w:bottom w:w="0" w:type="dxa"/>
            <w:right w:w="108" w:type="dxa"/>
          </w:tblCellMar>
        </w:tblPrEx>
        <w:trPr>
          <w:trHeight w:val="560" w:hRule="atLeast"/>
          <w:tblHeader/>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2</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i w:val="0"/>
                <w:iCs w:val="0"/>
                <w:color w:val="000000"/>
                <w:kern w:val="0"/>
                <w:sz w:val="24"/>
                <w:szCs w:val="24"/>
                <w:highlight w:val="none"/>
                <w:u w:val="none"/>
                <w:lang w:val="en-US" w:eastAsia="zh-CN" w:bidi="ar"/>
              </w:rPr>
              <w:t>轿厢装置</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numPr>
                <w:ilvl w:val="0"/>
                <w:numId w:val="0"/>
              </w:numPr>
              <w:kinsoku/>
              <w:wordWrap/>
              <w:overflowPunct/>
              <w:topLinePunct w:val="0"/>
              <w:bidi w:val="0"/>
              <w:adjustRightInd/>
              <w:snapToGrid/>
              <w:spacing w:line="360" w:lineRule="auto"/>
              <w:ind w:left="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1.</w:t>
            </w:r>
            <w:r>
              <w:rPr>
                <w:rFonts w:hint="eastAsia" w:ascii="仿宋" w:hAnsi="仿宋" w:eastAsia="仿宋" w:cs="仿宋"/>
                <w:sz w:val="24"/>
                <w:szCs w:val="24"/>
                <w:highlight w:val="none"/>
                <w:lang w:bidi="ar"/>
              </w:rPr>
              <w:t>当检测到困人或按下紧急按钮后，可自动向平台发起音视频通话请求，并进行音视频通话；</w:t>
            </w:r>
          </w:p>
          <w:p>
            <w:pPr>
              <w:pStyle w:val="838"/>
              <w:pageBreakBefore w:val="0"/>
              <w:numPr>
                <w:ilvl w:val="0"/>
                <w:numId w:val="0"/>
              </w:numPr>
              <w:kinsoku/>
              <w:overflowPunct/>
              <w:topLinePunct w:val="0"/>
              <w:bidi w:val="0"/>
              <w:spacing w:line="360" w:lineRule="auto"/>
              <w:ind w:left="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2.</w:t>
            </w:r>
            <w:r>
              <w:rPr>
                <w:rFonts w:hint="eastAsia" w:ascii="仿宋" w:hAnsi="仿宋" w:eastAsia="仿宋" w:cs="仿宋"/>
                <w:sz w:val="24"/>
                <w:szCs w:val="24"/>
                <w:highlight w:val="none"/>
                <w:lang w:bidi="ar"/>
              </w:rPr>
              <w:t>支持音视频通话，远端平台能看到轿厢画面；</w:t>
            </w:r>
          </w:p>
          <w:p>
            <w:pPr>
              <w:pageBreakBefore w:val="0"/>
              <w:kinsoku/>
              <w:overflowPunct/>
              <w:topLinePunct w:val="0"/>
              <w:bidi w:val="0"/>
              <w:spacing w:line="360" w:lineRule="auto"/>
              <w:ind w:left="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sz w:val="24"/>
                <w:szCs w:val="24"/>
                <w:highlight w:val="none"/>
                <w:lang w:val="en-US" w:eastAsia="zh-CN" w:bidi="ar"/>
              </w:rPr>
              <w:t>3.确保</w:t>
            </w:r>
            <w:r>
              <w:rPr>
                <w:rFonts w:hint="eastAsia" w:ascii="仿宋" w:hAnsi="仿宋" w:eastAsia="仿宋" w:cs="仿宋"/>
                <w:i w:val="0"/>
                <w:iCs w:val="0"/>
                <w:color w:val="auto"/>
                <w:kern w:val="0"/>
                <w:sz w:val="24"/>
                <w:szCs w:val="24"/>
                <w:highlight w:val="none"/>
                <w:u w:val="none"/>
                <w:lang w:val="en-US" w:eastAsia="zh-CN" w:bidi="ar"/>
              </w:rPr>
              <w:t>轿厢内平台声音确保清晰；</w:t>
            </w:r>
          </w:p>
          <w:p>
            <w:pPr>
              <w:pStyle w:val="838"/>
              <w:pageBreakBefore w:val="0"/>
              <w:kinsoku/>
              <w:overflowPunct/>
              <w:topLinePunct w:val="0"/>
              <w:bidi w:val="0"/>
              <w:spacing w:line="360" w:lineRule="auto"/>
              <w:ind w:left="0" w:leftChars="0" w:firstLine="0" w:firstLineChars="0"/>
              <w:rPr>
                <w:rFonts w:hint="eastAsia" w:ascii="仿宋" w:hAnsi="仿宋" w:eastAsia="仿宋" w:cs="仿宋"/>
                <w:b/>
                <w:bCs/>
                <w:color w:val="000000"/>
                <w:kern w:val="0"/>
                <w:sz w:val="24"/>
                <w:szCs w:val="24"/>
                <w:highlight w:val="none"/>
                <w:lang w:bidi="ar"/>
              </w:rPr>
            </w:pPr>
            <w:r>
              <w:rPr>
                <w:rFonts w:hint="eastAsia" w:ascii="仿宋" w:hAnsi="仿宋" w:eastAsia="仿宋" w:cs="仿宋"/>
                <w:sz w:val="24"/>
                <w:szCs w:val="24"/>
                <w:highlight w:val="none"/>
                <w:lang w:val="en-US" w:eastAsia="zh-CN" w:bidi="ar"/>
              </w:rPr>
              <w:t>4.</w:t>
            </w:r>
            <w:r>
              <w:rPr>
                <w:rFonts w:hint="eastAsia" w:ascii="仿宋" w:hAnsi="仿宋" w:eastAsia="仿宋" w:cs="仿宋"/>
                <w:sz w:val="24"/>
                <w:szCs w:val="24"/>
                <w:highlight w:val="none"/>
                <w:lang w:bidi="ar"/>
              </w:rPr>
              <w:t>困人时自动播放安抚语音；</w:t>
            </w:r>
          </w:p>
        </w:tc>
      </w:tr>
      <w:tr>
        <w:tblPrEx>
          <w:tblCellMar>
            <w:top w:w="0" w:type="dxa"/>
            <w:left w:w="108" w:type="dxa"/>
            <w:bottom w:w="0" w:type="dxa"/>
            <w:right w:w="108" w:type="dxa"/>
          </w:tblCellMar>
        </w:tblPrEx>
        <w:trPr>
          <w:trHeight w:val="560" w:hRule="atLeast"/>
          <w:tblHeader/>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3</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b/>
                <w:bCs/>
                <w:color w:val="000000"/>
                <w:sz w:val="24"/>
                <w:szCs w:val="24"/>
                <w:highlight w:val="none"/>
                <w:lang w:eastAsia="zh-CN"/>
              </w:rPr>
            </w:pPr>
            <w:r>
              <w:rPr>
                <w:rFonts w:hint="eastAsia" w:ascii="仿宋" w:hAnsi="仿宋" w:eastAsia="仿宋" w:cs="仿宋"/>
                <w:b/>
                <w:bCs/>
                <w:sz w:val="24"/>
                <w:szCs w:val="24"/>
                <w:highlight w:val="none"/>
              </w:rPr>
              <w:t>AI网络摄像</w:t>
            </w:r>
            <w:r>
              <w:rPr>
                <w:rFonts w:hint="eastAsia" w:ascii="仿宋" w:hAnsi="仿宋" w:eastAsia="仿宋" w:cs="仿宋"/>
                <w:b/>
                <w:bCs/>
                <w:sz w:val="24"/>
                <w:szCs w:val="24"/>
                <w:highlight w:val="none"/>
                <w:lang w:eastAsia="zh-CN"/>
              </w:rPr>
              <w:t>头</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1.图像分辨率： ≥ 2560×1920</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2.焦距：2.8mm/3.6mm</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3.存储：支持MicroSD/SDHC/SDXC卡本地存储</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4.视频压缩标准：H.265/H.264/MJPEG</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5.电源输入：DC12V，支持PoE（IEEE802.3af）供电</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6.外壳防护等级：满足IP67和IK10标准</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7.静电放电抗扰度：接触放电：±8kV；空气放电：±15kV</w:t>
            </w:r>
          </w:p>
          <w:p>
            <w:pPr>
              <w:keepNext w:val="0"/>
              <w:keepLines w:val="0"/>
              <w:pageBreakBefore w:val="0"/>
              <w:kinsoku/>
              <w:wordWrap/>
              <w:overflowPunct/>
              <w:topLinePunct w:val="0"/>
              <w:bidi w:val="0"/>
              <w:adjustRightInd/>
              <w:snapToGrid/>
              <w:spacing w:line="360" w:lineRule="auto"/>
              <w:ind w:left="0"/>
              <w:rPr>
                <w:rFonts w:hint="eastAsia" w:ascii="仿宋" w:hAnsi="仿宋" w:eastAsia="仿宋" w:cs="仿宋"/>
                <w:b/>
                <w:bCs/>
                <w:color w:val="000000"/>
                <w:kern w:val="0"/>
                <w:sz w:val="24"/>
                <w:szCs w:val="24"/>
                <w:highlight w:val="none"/>
                <w:lang w:bidi="ar"/>
              </w:rPr>
            </w:pPr>
            <w:r>
              <w:rPr>
                <w:rFonts w:hint="eastAsia" w:ascii="仿宋" w:hAnsi="仿宋" w:eastAsia="仿宋" w:cs="仿宋"/>
                <w:sz w:val="24"/>
                <w:szCs w:val="24"/>
                <w:highlight w:val="none"/>
              </w:rPr>
              <w:t>8.智能分析：具有智能分析功能（如：区域入侵检测、越线检测、视频遮挡、场景变更、虚焦检测、移动侦测、区域进入／离开、电瓶车检测）， 支持将智能分析结果传递至客户端；</w:t>
            </w:r>
          </w:p>
        </w:tc>
      </w:tr>
      <w:tr>
        <w:tblPrEx>
          <w:tblCellMar>
            <w:top w:w="0" w:type="dxa"/>
            <w:left w:w="108" w:type="dxa"/>
            <w:bottom w:w="0" w:type="dxa"/>
            <w:right w:w="108" w:type="dxa"/>
          </w:tblCellMar>
        </w:tblPrEx>
        <w:trPr>
          <w:trHeight w:val="711" w:hRule="atLeast"/>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kern w:val="0"/>
                <w:sz w:val="24"/>
                <w:szCs w:val="24"/>
                <w:highlight w:val="none"/>
                <w:lang w:val="en-US" w:eastAsia="zh-CN" w:bidi="ar"/>
              </w:rPr>
              <w:t>4</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电梯物联网感知及数据接入服务</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传输方式：支持无线、有线；无线工作频段：</w:t>
            </w:r>
            <w:r>
              <w:rPr>
                <w:rFonts w:hint="eastAsia" w:ascii="仿宋" w:hAnsi="仿宋" w:eastAsia="仿宋" w:cs="仿宋"/>
                <w:sz w:val="24"/>
                <w:szCs w:val="24"/>
                <w:highlight w:val="none"/>
              </w:rPr>
              <w:t>TD-LTE</w:t>
            </w:r>
            <w:r>
              <w:rPr>
                <w:rFonts w:hint="eastAsia" w:ascii="仿宋" w:hAnsi="仿宋" w:eastAsia="仿宋" w:cs="仿宋"/>
                <w:color w:val="000000"/>
                <w:kern w:val="0"/>
                <w:sz w:val="24"/>
                <w:szCs w:val="24"/>
                <w:highlight w:val="none"/>
                <w:lang w:bidi="ar"/>
              </w:rPr>
              <w:t>;</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外观及结构：外壳保护等级不低于IP2X；</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监测精准度：报警准确度大于90%，每年故障</w:t>
            </w:r>
            <w:r>
              <w:rPr>
                <w:rFonts w:hint="eastAsia" w:ascii="仿宋" w:hAnsi="仿宋" w:eastAsia="仿宋" w:cs="仿宋"/>
                <w:color w:val="000000"/>
                <w:kern w:val="0"/>
                <w:sz w:val="24"/>
                <w:szCs w:val="24"/>
                <w:highlight w:val="none"/>
                <w:lang w:val="en-US" w:eastAsia="zh-CN" w:bidi="ar"/>
              </w:rPr>
              <w:t>时长</w:t>
            </w:r>
            <w:r>
              <w:rPr>
                <w:rFonts w:hint="eastAsia" w:ascii="仿宋" w:hAnsi="仿宋" w:eastAsia="仿宋" w:cs="仿宋"/>
                <w:color w:val="000000"/>
                <w:kern w:val="0"/>
                <w:sz w:val="24"/>
                <w:szCs w:val="24"/>
                <w:highlight w:val="none"/>
                <w:lang w:bidi="ar"/>
              </w:rPr>
              <w:t>总数小于2小时；</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工作温度：10℃~60℃</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工作湿度：小于93% Rh，无结霜无凝露；</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存储温度：-20℃~70℃，推荐5℃~35℃；</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工作电压：DC12V；</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功耗：不大于5W；</w:t>
            </w:r>
          </w:p>
          <w:p>
            <w:pPr>
              <w:pageBreakBefore w:val="0"/>
              <w:widowControl/>
              <w:numPr>
                <w:ilvl w:val="0"/>
                <w:numId w:val="2"/>
              </w:numPr>
              <w:kinsoku/>
              <w:overflowPunct/>
              <w:topLinePunct w:val="0"/>
              <w:bidi w:val="0"/>
              <w:spacing w:line="360" w:lineRule="auto"/>
              <w:ind w:left="0"/>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安装位置在轿厢内顶部</w:t>
            </w:r>
            <w:r>
              <w:rPr>
                <w:rFonts w:hint="eastAsia" w:ascii="仿宋" w:hAnsi="仿宋" w:eastAsia="仿宋" w:cs="仿宋"/>
                <w:color w:val="000000"/>
                <w:kern w:val="0"/>
                <w:sz w:val="24"/>
                <w:szCs w:val="24"/>
                <w:highlight w:val="none"/>
                <w:lang w:eastAsia="zh-CN" w:bidi="ar"/>
              </w:rPr>
              <w:t>。</w:t>
            </w:r>
          </w:p>
        </w:tc>
      </w:tr>
      <w:tr>
        <w:tblPrEx>
          <w:tblCellMar>
            <w:top w:w="0" w:type="dxa"/>
            <w:left w:w="108" w:type="dxa"/>
            <w:bottom w:w="0" w:type="dxa"/>
            <w:right w:w="108" w:type="dxa"/>
          </w:tblCellMar>
        </w:tblPrEx>
        <w:trPr>
          <w:trHeight w:val="791" w:hRule="atLeast"/>
        </w:trPr>
        <w:tc>
          <w:tcPr>
            <w:tcW w:w="284"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kern w:val="0"/>
                <w:sz w:val="24"/>
                <w:szCs w:val="24"/>
                <w:highlight w:val="none"/>
                <w:lang w:val="en-US" w:eastAsia="zh-CN" w:bidi="ar"/>
              </w:rPr>
              <w:t>5</w:t>
            </w:r>
          </w:p>
        </w:tc>
        <w:tc>
          <w:tcPr>
            <w:tcW w:w="666"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overflowPunct/>
              <w:topLinePunct w:val="0"/>
              <w:bidi w:val="0"/>
              <w:spacing w:line="360" w:lineRule="auto"/>
              <w:ind w:left="0"/>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网络信号及数据传输服务</w:t>
            </w:r>
          </w:p>
        </w:tc>
        <w:tc>
          <w:tcPr>
            <w:tcW w:w="4049" w:type="pct"/>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工作频段：2.4GHz~2.483GHz;</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端口：10/100M RJ45端口（LAN输入）、10/100M RJ45端口（LAN1）、电源插座端口；</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天线覆盖角度：水平方向：80°，垂直方向：60°；</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防护等级不低于IP2X；</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工组温度：0℃~40℃；</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贮存温度：-40℃~70℃；</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相对湿度：5%~90% Rh,不凝结；</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工作电压 ：DC 12V。</w:t>
            </w:r>
          </w:p>
          <w:p>
            <w:pPr>
              <w:pageBreakBefore w:val="0"/>
              <w:widowControl/>
              <w:numPr>
                <w:ilvl w:val="0"/>
                <w:numId w:val="3"/>
              </w:numPr>
              <w:kinsoku/>
              <w:overflowPunct/>
              <w:topLinePunct w:val="0"/>
              <w:bidi w:val="0"/>
              <w:spacing w:line="360" w:lineRule="auto"/>
              <w:ind w:left="0"/>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3G</w:t>
            </w:r>
            <w:r>
              <w:rPr>
                <w:rFonts w:hint="eastAsia" w:ascii="仿宋" w:hAnsi="仿宋" w:eastAsia="仿宋" w:cs="仿宋"/>
                <w:color w:val="000000"/>
                <w:kern w:val="0"/>
                <w:sz w:val="24"/>
                <w:szCs w:val="24"/>
                <w:highlight w:val="none"/>
                <w:lang w:bidi="ar"/>
              </w:rPr>
              <w:t>/月</w:t>
            </w:r>
            <w:r>
              <w:rPr>
                <w:rFonts w:hint="eastAsia" w:ascii="仿宋" w:hAnsi="仿宋" w:eastAsia="仿宋" w:cs="仿宋"/>
                <w:color w:val="000000"/>
                <w:kern w:val="0"/>
                <w:sz w:val="24"/>
                <w:szCs w:val="24"/>
                <w:highlight w:val="none"/>
                <w:lang w:eastAsia="zh-CN" w:bidi="ar"/>
              </w:rPr>
              <w:t>及以上</w:t>
            </w:r>
            <w:r>
              <w:rPr>
                <w:rFonts w:hint="eastAsia" w:ascii="仿宋" w:hAnsi="仿宋" w:eastAsia="仿宋" w:cs="仿宋"/>
                <w:color w:val="000000"/>
                <w:kern w:val="0"/>
                <w:sz w:val="24"/>
                <w:szCs w:val="24"/>
                <w:highlight w:val="none"/>
                <w:lang w:bidi="ar"/>
              </w:rPr>
              <w:t>通用流量卡，按年计费</w:t>
            </w:r>
          </w:p>
        </w:tc>
      </w:tr>
    </w:tbl>
    <w:p>
      <w:pPr>
        <w:pStyle w:val="669"/>
        <w:keepNext w:val="0"/>
        <w:keepLines w:val="0"/>
        <w:pageBreakBefore w:val="0"/>
        <w:kinsoku/>
        <w:wordWrap/>
        <w:overflowPunct/>
        <w:topLinePunct w:val="0"/>
        <w:autoSpaceDE/>
        <w:autoSpaceDN/>
        <w:bidi w:val="0"/>
        <w:spacing w:beforeLines="0" w:after="0" w:line="336" w:lineRule="auto"/>
        <w:ind w:left="0" w:leftChars="0" w:firstLine="0" w:firstLineChars="0"/>
        <w:textAlignment w:val="auto"/>
        <w:rPr>
          <w:rFonts w:hint="eastAsia" w:ascii="仿宋" w:hAnsi="仿宋" w:eastAsia="仿宋" w:cs="仿宋"/>
          <w:b/>
          <w:bCs/>
          <w:kern w:val="0"/>
          <w:sz w:val="24"/>
          <w:szCs w:val="24"/>
          <w:highlight w:val="none"/>
        </w:rPr>
      </w:pPr>
      <w:r>
        <w:rPr>
          <w:rFonts w:hint="eastAsia" w:ascii="仿宋" w:hAnsi="仿宋" w:eastAsia="仿宋" w:cs="仿宋"/>
          <w:b/>
          <w:bCs/>
          <w:sz w:val="24"/>
          <w:szCs w:val="24"/>
          <w:highlight w:val="none"/>
          <w:lang w:eastAsia="zh-CN"/>
        </w:rPr>
        <w:t>注：以上参数仅供参考，供应商可选用相当于或优于以上技术需求的产品。</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具体功能列表：</w:t>
      </w:r>
    </w:p>
    <w:tbl>
      <w:tblPr>
        <w:tblStyle w:val="63"/>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序号</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类别</w:t>
            </w:r>
          </w:p>
        </w:tc>
        <w:tc>
          <w:tcPr>
            <w:tcW w:w="6095"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1</w:t>
            </w:r>
          </w:p>
        </w:tc>
        <w:tc>
          <w:tcPr>
            <w:tcW w:w="2410" w:type="dxa"/>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电梯状态数据采集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系统实时采集电梯数据，采集电梯状态数据要求如下：</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1 ）轿厢人体感应检测：采集电梯轿厢是否有人信息；</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2 ）轿厢楼层检测</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3 ）电梯运行速度采集</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4 ）电梯运行方向采集</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5 ）轿门开闭状态采集</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6 ）电梯的运行距离</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7 ）电梯的运行次数</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8 ）电梯的运行时长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2</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困人报警数据采集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★通过物联网设备能判断困人故障，电梯监管困人救援准确率≥95%；</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困人报警数据支持同步推送；</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报警信息支持语音、APP、WEB等方式接收；</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 xml:space="preserve">救援过程节点有记录，支持救援报告上传； </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本地存储应至少包含电梯发生报警或困人时的图像，该图像为发生报警或困人前 30s 至解困完成后 30s总时长不超过 2 小时，同时通过接口供</w:t>
            </w:r>
            <w:r>
              <w:rPr>
                <w:rFonts w:hint="eastAsia" w:ascii="仿宋" w:hAnsi="仿宋" w:eastAsia="仿宋"/>
                <w:sz w:val="24"/>
                <w:highlight w:val="none"/>
                <w:lang w:val="en-US" w:eastAsia="zh-CN"/>
              </w:rPr>
              <w:t>绍兴</w:t>
            </w:r>
            <w:r>
              <w:rPr>
                <w:rFonts w:hint="eastAsia" w:ascii="仿宋" w:hAnsi="仿宋" w:eastAsia="仿宋"/>
                <w:sz w:val="24"/>
                <w:highlight w:val="none"/>
              </w:rPr>
              <w:t>市</w:t>
            </w:r>
            <w:r>
              <w:rPr>
                <w:rFonts w:ascii="仿宋" w:hAnsi="仿宋" w:eastAsia="仿宋"/>
                <w:sz w:val="24"/>
                <w:highlight w:val="none"/>
              </w:rPr>
              <w:t>96333</w:t>
            </w:r>
            <w:r>
              <w:rPr>
                <w:rFonts w:hint="eastAsia" w:ascii="仿宋" w:hAnsi="仿宋" w:eastAsia="仿宋"/>
                <w:sz w:val="24"/>
                <w:highlight w:val="none"/>
              </w:rPr>
              <w:t>应急处置平台调取。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3</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提示性数据采集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支持分析轿厢内不文明乘梯行为（遮挡门、反复开关门、电瓶车及液化气瓶入梯）并可采集上传；</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电瓶车及液化气瓶入梯识别率≥ 90%；</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其它不文明乘梯 （遮挡门、反复开关门）劝阻率≥95%；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4</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系统性数据采集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电梯远程监管采集装置，在线时长、离线时长采集；</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电梯远程监管采集装置，设备负载状态采集；</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电梯远程监管采集过程中，数据传输线路质量分析；</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采集设备部件，配套软件版本信息采集（查询、升级）。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5</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音视频数据采集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采集设备具备200万</w:t>
            </w:r>
            <w:r>
              <w:rPr>
                <w:rFonts w:hint="eastAsia" w:ascii="仿宋" w:hAnsi="仿宋" w:eastAsia="仿宋"/>
                <w:sz w:val="24"/>
                <w:highlight w:val="none"/>
                <w:lang w:val="en-US" w:eastAsia="zh-CN"/>
              </w:rPr>
              <w:t>及以上</w:t>
            </w:r>
            <w:r>
              <w:rPr>
                <w:rFonts w:hint="eastAsia" w:ascii="仿宋" w:hAnsi="仿宋" w:eastAsia="仿宋"/>
                <w:sz w:val="24"/>
                <w:highlight w:val="none"/>
              </w:rPr>
              <w:t>像素，视频码率可调，具备本地和网络存储功能；</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音视频采集设备功耗≤5W；</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采集范围要求：视场角/镜头的垂直方向可视角＞90°；</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▲对于电梯轿厢内相关图像信息的现场采集应覆盖开关门、轿内登记指令、楼层显示信息及不少于 80%地板面积区域；</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远程传输的图片像素不小于640×480 ，清晰度不低于72dpi；</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支持语音对讲、可视对讲功能。</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轿厢内实时监控视频影像（需叠加展示电梯注册代码、楼层、速度、方向等信息）；</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支持视频界面根据权限设置正色/反色功能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6</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ascii="仿宋" w:hAnsi="仿宋" w:eastAsia="仿宋"/>
                <w:sz w:val="24"/>
                <w:highlight w:val="none"/>
              </w:rPr>
            </w:pPr>
            <w:r>
              <w:rPr>
                <w:rFonts w:hint="eastAsia" w:ascii="仿宋" w:hAnsi="仿宋" w:eastAsia="仿宋"/>
                <w:sz w:val="24"/>
                <w:highlight w:val="none"/>
              </w:rPr>
              <w:t>采集设备功能性要求</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▲有对采集的图像文件防篡改或确保文件完整性的相关保护措施；</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sz w:val="24"/>
                <w:highlight w:val="none"/>
                <w:lang w:eastAsia="zh-CN"/>
              </w:rPr>
            </w:pPr>
            <w:r>
              <w:rPr>
                <w:rFonts w:hint="eastAsia" w:ascii="仿宋" w:hAnsi="仿宋" w:eastAsia="仿宋"/>
                <w:sz w:val="24"/>
                <w:highlight w:val="none"/>
              </w:rPr>
              <w:t>设备的状态仅接受应用平台的查询，实时运行状态信息的间隙不大于 1s；</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sz w:val="24"/>
                <w:highlight w:val="none"/>
              </w:rPr>
            </w:pPr>
            <w:r>
              <w:rPr>
                <w:rFonts w:hint="eastAsia" w:ascii="仿宋" w:hAnsi="仿宋" w:eastAsia="仿宋"/>
                <w:sz w:val="24"/>
                <w:highlight w:val="none"/>
              </w:rPr>
              <w:t>监测终端与应用平台之间的数据传输和存储宜有安全策略，对数据进行加密，对数据的远程读取应有权限管理。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04" w:type="dxa"/>
            <w:noWrap/>
            <w:vAlign w:val="center"/>
          </w:tcPr>
          <w:p>
            <w:pPr>
              <w:keepNext w:val="0"/>
              <w:keepLines w:val="0"/>
              <w:pageBreakBefore w:val="0"/>
              <w:kinsoku/>
              <w:wordWrap/>
              <w:overflowPunct/>
              <w:topLinePunct w:val="0"/>
              <w:autoSpaceDE/>
              <w:autoSpaceDN/>
              <w:bidi w:val="0"/>
              <w:spacing w:line="336" w:lineRule="auto"/>
              <w:ind w:left="0" w:leftChars="0"/>
              <w:jc w:val="center"/>
              <w:textAlignment w:val="auto"/>
              <w:rPr>
                <w:rFonts w:hint="eastAsia" w:ascii="仿宋" w:hAnsi="仿宋" w:eastAsia="仿宋"/>
                <w:sz w:val="24"/>
                <w:highlight w:val="none"/>
                <w:lang w:val="en-US" w:eastAsia="zh-CN"/>
              </w:rPr>
            </w:pPr>
            <w:r>
              <w:rPr>
                <w:rFonts w:hint="eastAsia" w:ascii="仿宋" w:hAnsi="仿宋" w:eastAsia="仿宋"/>
                <w:sz w:val="24"/>
                <w:highlight w:val="none"/>
                <w:lang w:val="en-US" w:eastAsia="zh-CN"/>
              </w:rPr>
              <w:t>7</w:t>
            </w:r>
          </w:p>
        </w:tc>
        <w:tc>
          <w:tcPr>
            <w:tcW w:w="2410" w:type="dxa"/>
            <w:noWrap/>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lang w:val="en-US" w:eastAsia="zh-CN"/>
              </w:rPr>
            </w:pPr>
            <w:r>
              <w:rPr>
                <w:rFonts w:hint="eastAsia" w:ascii="仿宋" w:hAnsi="仿宋" w:eastAsia="仿宋" w:cs="Times New Roman"/>
                <w:sz w:val="24"/>
                <w:highlight w:val="none"/>
              </w:rPr>
              <w:t>电动自行车管理</w:t>
            </w:r>
          </w:p>
        </w:tc>
        <w:tc>
          <w:tcPr>
            <w:tcW w:w="6095" w:type="dxa"/>
            <w:vAlign w:val="center"/>
          </w:tcPr>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支持电动自行车检测；可实现阻止电动自行车乘梯</w:t>
            </w:r>
          </w:p>
          <w:p>
            <w:pPr>
              <w:keepNext w:val="0"/>
              <w:keepLines w:val="0"/>
              <w:pageBreakBefore w:val="0"/>
              <w:kinsoku/>
              <w:wordWrap/>
              <w:overflowPunct/>
              <w:topLinePunct w:val="0"/>
              <w:autoSpaceDE/>
              <w:autoSpaceDN/>
              <w:bidi w:val="0"/>
              <w:spacing w:line="336" w:lineRule="auto"/>
              <w:ind w:left="0" w:leftChars="0"/>
              <w:textAlignment w:val="auto"/>
              <w:rPr>
                <w:rFonts w:hint="default" w:ascii="仿宋" w:hAnsi="仿宋" w:eastAsia="仿宋" w:cs="Times New Roman"/>
                <w:sz w:val="24"/>
                <w:highlight w:val="none"/>
                <w:lang w:val="en-US" w:eastAsia="zh-CN"/>
              </w:rPr>
            </w:pPr>
            <w:r>
              <w:rPr>
                <w:rFonts w:hint="eastAsia" w:ascii="仿宋" w:hAnsi="仿宋" w:eastAsia="仿宋" w:cs="Times New Roman"/>
                <w:sz w:val="24"/>
                <w:highlight w:val="none"/>
                <w:lang w:val="en-US" w:eastAsia="zh-CN"/>
              </w:rPr>
              <w:t>支持对电动自行车电池的入梯检测</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梯控功能的在系统侧的远程开启/关闭</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支持系统侧远程强制梯控消警</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在系统侧对梯控时间设置</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支持系统侧对梯控楼层设置</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rPr>
            </w:pPr>
            <w:r>
              <w:rPr>
                <w:rFonts w:hint="eastAsia" w:ascii="仿宋" w:hAnsi="仿宋" w:eastAsia="仿宋" w:cs="Times New Roman"/>
                <w:sz w:val="24"/>
                <w:highlight w:val="none"/>
              </w:rPr>
              <w:t>支持系统侧对梯控车型配置：可选择支持自行车检测</w:t>
            </w:r>
          </w:p>
          <w:p>
            <w:pPr>
              <w:keepNext w:val="0"/>
              <w:keepLines w:val="0"/>
              <w:pageBreakBefore w:val="0"/>
              <w:kinsoku/>
              <w:wordWrap/>
              <w:overflowPunct/>
              <w:topLinePunct w:val="0"/>
              <w:autoSpaceDE/>
              <w:autoSpaceDN/>
              <w:bidi w:val="0"/>
              <w:spacing w:line="336" w:lineRule="auto"/>
              <w:ind w:left="0" w:leftChars="0"/>
              <w:textAlignment w:val="auto"/>
              <w:rPr>
                <w:rFonts w:hint="eastAsia" w:ascii="仿宋" w:hAnsi="仿宋" w:eastAsia="仿宋" w:cs="Times New Roman"/>
                <w:sz w:val="24"/>
                <w:highlight w:val="none"/>
                <w:lang w:val="en-US" w:eastAsia="zh-CN"/>
              </w:rPr>
            </w:pPr>
            <w:r>
              <w:rPr>
                <w:rFonts w:hint="eastAsia" w:ascii="仿宋" w:hAnsi="仿宋" w:eastAsia="仿宋" w:cs="Times New Roman"/>
                <w:sz w:val="24"/>
                <w:highlight w:val="none"/>
              </w:rPr>
              <w:t>支持电动自行车阻梯信息、阻车前后相关视频、电梯信息等信息向系统后台的汇总与分析，为后续监管工作提供数据支持。</w:t>
            </w:r>
          </w:p>
        </w:tc>
      </w:tr>
    </w:tbl>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系统端预览视频应采用流媒体转发技术，可实现单电梯多路同时并发取流，以保证电梯困人或故障时，物业、维保、政府端能同时流畅预览视频画面。</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可通过系统与轿厢内人员进行可视对讲。</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电梯困人故障情况下故障前、中、后时间段的视频1年内的查阅，支持对1年内电梯历史困人救援视频、救援情况等信息的实时查阅，以便监管单位查阅。</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电梯作为特种设备出于运行安全考虑，以下电动自行车管理功能需要提供第三方出具的检验报告予以证明</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1、摄像头可自动识别电动车入梯联网后，平台可查看电动车入梯告警视频。</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2、电动车推出电梯后，入梯告警消警。</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3、产生电动车告警后会有提醒语音并带有灯光闪烁。</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4、可查看设备当前实时监控。</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5、可查询电动车入梯告警记录。</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sz w:val="24"/>
          <w:highlight w:val="none"/>
        </w:rPr>
      </w:pPr>
      <w:r>
        <w:rPr>
          <w:rFonts w:hint="eastAsia" w:ascii="仿宋" w:hAnsi="仿宋" w:eastAsia="仿宋"/>
          <w:sz w:val="24"/>
          <w:highlight w:val="none"/>
        </w:rPr>
        <w:t>6、可查询电动车入梯告警视频。</w:t>
      </w:r>
    </w:p>
    <w:p>
      <w:pPr>
        <w:keepNext w:val="0"/>
        <w:keepLines w:val="0"/>
        <w:pageBreakBefore w:val="0"/>
        <w:kinsoku/>
        <w:wordWrap/>
        <w:overflowPunct/>
        <w:topLinePunct w:val="0"/>
        <w:autoSpaceDE/>
        <w:autoSpaceDN/>
        <w:bidi w:val="0"/>
        <w:spacing w:line="336" w:lineRule="auto"/>
        <w:ind w:left="0" w:leftChars="0"/>
        <w:textAlignment w:val="auto"/>
        <w:rPr>
          <w:rFonts w:ascii="仿宋" w:hAnsi="仿宋" w:eastAsia="仿宋"/>
          <w:b/>
          <w:bCs/>
          <w:sz w:val="24"/>
          <w:highlight w:val="none"/>
        </w:rPr>
      </w:pPr>
      <w:r>
        <w:rPr>
          <w:rFonts w:hint="eastAsia" w:ascii="仿宋" w:hAnsi="仿宋" w:eastAsia="仿宋"/>
          <w:b/>
          <w:bCs/>
          <w:sz w:val="24"/>
          <w:highlight w:val="none"/>
        </w:rPr>
        <w:t>2</w:t>
      </w:r>
      <w:r>
        <w:rPr>
          <w:rFonts w:ascii="仿宋" w:hAnsi="仿宋" w:eastAsia="仿宋"/>
          <w:b/>
          <w:bCs/>
          <w:sz w:val="24"/>
          <w:highlight w:val="none"/>
        </w:rPr>
        <w:t>.1.9</w:t>
      </w:r>
      <w:r>
        <w:rPr>
          <w:rFonts w:hint="eastAsia" w:ascii="仿宋" w:hAnsi="仿宋" w:eastAsia="仿宋"/>
          <w:b/>
          <w:bCs/>
          <w:sz w:val="24"/>
          <w:highlight w:val="none"/>
        </w:rPr>
        <w:t>服务要求</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1、对总体在线率的考核要求：</w:t>
      </w:r>
      <w:r>
        <w:rPr>
          <w:rFonts w:hint="eastAsia" w:ascii="仿宋" w:hAnsi="仿宋" w:eastAsia="仿宋"/>
          <w:sz w:val="24"/>
          <w:highlight w:val="none"/>
          <w:lang w:val="en-US" w:eastAsia="zh-CN"/>
        </w:rPr>
        <w:t>在合同</w:t>
      </w:r>
      <w:r>
        <w:rPr>
          <w:rFonts w:hint="eastAsia" w:ascii="仿宋" w:hAnsi="仿宋" w:eastAsia="仿宋"/>
          <w:sz w:val="24"/>
          <w:highlight w:val="none"/>
        </w:rPr>
        <w:t>期内要求电梯</w:t>
      </w:r>
      <w:r>
        <w:rPr>
          <w:rFonts w:hint="eastAsia" w:ascii="仿宋" w:hAnsi="仿宋" w:eastAsia="仿宋"/>
          <w:sz w:val="24"/>
          <w:highlight w:val="none"/>
          <w:lang w:eastAsia="zh-CN"/>
        </w:rPr>
        <w:t>电梯智能化装置</w:t>
      </w:r>
      <w:r>
        <w:rPr>
          <w:rFonts w:hint="eastAsia" w:ascii="仿宋" w:hAnsi="仿宋" w:eastAsia="仿宋"/>
          <w:sz w:val="24"/>
          <w:highlight w:val="none"/>
        </w:rPr>
        <w:t>每月平均在线率达到96%以上(含)，达不到要求的每降低一个百分点，扣除合同费用1%；遇部分点位因自然原因或其他不可抗拒力或征得采购人同意的及采购人要求暂停、移机、变动等情况出现不在线的，由</w:t>
      </w:r>
      <w:r>
        <w:rPr>
          <w:rFonts w:hint="eastAsia" w:ascii="仿宋" w:hAnsi="仿宋" w:eastAsia="仿宋"/>
          <w:sz w:val="24"/>
          <w:highlight w:val="none"/>
          <w:lang w:eastAsia="zh-CN"/>
        </w:rPr>
        <w:t>供应商</w:t>
      </w:r>
      <w:r>
        <w:rPr>
          <w:rFonts w:hint="eastAsia" w:ascii="仿宋" w:hAnsi="仿宋" w:eastAsia="仿宋"/>
          <w:sz w:val="24"/>
          <w:highlight w:val="none"/>
        </w:rPr>
        <w:t>负责梳理报送采购人。</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2、对单点故障运维情况的考核要求：在</w:t>
      </w:r>
      <w:r>
        <w:rPr>
          <w:rFonts w:hint="eastAsia" w:ascii="仿宋" w:hAnsi="仿宋" w:eastAsia="仿宋"/>
          <w:sz w:val="24"/>
          <w:highlight w:val="none"/>
          <w:lang w:eastAsia="zh-CN"/>
        </w:rPr>
        <w:t>合同</w:t>
      </w:r>
      <w:r>
        <w:rPr>
          <w:rFonts w:hint="eastAsia" w:ascii="仿宋" w:hAnsi="仿宋" w:eastAsia="仿宋"/>
          <w:sz w:val="24"/>
          <w:highlight w:val="none"/>
        </w:rPr>
        <w:t>期内单点故障48小时内无法排除故障，不在线的或30天内间断出现合计72小时不在线情况，扣除本月该点点位的</w:t>
      </w:r>
      <w:r>
        <w:rPr>
          <w:rFonts w:hint="eastAsia" w:ascii="仿宋" w:hAnsi="仿宋" w:eastAsia="仿宋"/>
          <w:sz w:val="24"/>
          <w:highlight w:val="none"/>
          <w:lang w:eastAsia="zh-CN"/>
        </w:rPr>
        <w:t>合同</w:t>
      </w:r>
      <w:r>
        <w:rPr>
          <w:rFonts w:hint="eastAsia" w:ascii="仿宋" w:hAnsi="仿宋" w:eastAsia="仿宋"/>
          <w:sz w:val="24"/>
          <w:highlight w:val="none"/>
        </w:rPr>
        <w:t>费。遇部分点位因自然原因或其他不可抗拒力或征得采购人同意的及采购人要求暂停、移机、变动等情况出现不在线的，由</w:t>
      </w:r>
      <w:r>
        <w:rPr>
          <w:rFonts w:hint="eastAsia" w:ascii="仿宋" w:hAnsi="仿宋" w:eastAsia="仿宋"/>
          <w:sz w:val="24"/>
          <w:highlight w:val="none"/>
          <w:lang w:eastAsia="zh-CN"/>
        </w:rPr>
        <w:t>供应商</w:t>
      </w:r>
      <w:r>
        <w:rPr>
          <w:rFonts w:hint="eastAsia" w:ascii="仿宋" w:hAnsi="仿宋" w:eastAsia="仿宋"/>
          <w:sz w:val="24"/>
          <w:highlight w:val="none"/>
        </w:rPr>
        <w:t>负责梳理报送采购人，由采购人确认后不计入在线率考核中。单点故障不在线连续及累计时间、单点录像缺失情况，由采购人综合评定。有出现无视频图像、无录像存储、画面有雪花、画面模糊、画面抖动、控制失灵等影响采购人日常工作的，即视为单点故障。</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ascii="仿宋" w:hAnsi="仿宋" w:eastAsia="仿宋"/>
          <w:sz w:val="24"/>
          <w:highlight w:val="none"/>
        </w:rPr>
      </w:pPr>
      <w:r>
        <w:rPr>
          <w:rFonts w:hint="eastAsia" w:ascii="仿宋" w:hAnsi="仿宋" w:eastAsia="仿宋"/>
          <w:sz w:val="24"/>
          <w:highlight w:val="none"/>
        </w:rPr>
        <w:t>3、对录像存储的考核要求:在监控在线情况下要求满足24小时不间断的实时监测，确保发生电梯困人等电梯故障告警前后3分钟时段的录像存储。</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仿宋" w:hAnsi="仿宋" w:eastAsia="仿宋" w:cs="仿宋"/>
          <w:b/>
          <w:bCs/>
          <w:sz w:val="24"/>
          <w:szCs w:val="24"/>
          <w:highlight w:val="none"/>
          <w:lang w:eastAsia="zh-CN"/>
        </w:rPr>
      </w:pPr>
      <w:r>
        <w:rPr>
          <w:rFonts w:hint="eastAsia" w:ascii="仿宋" w:hAnsi="仿宋" w:eastAsia="仿宋"/>
          <w:sz w:val="24"/>
          <w:highlight w:val="none"/>
        </w:rPr>
        <w:t>4、点位移机要求：本次项目为</w:t>
      </w:r>
      <w:r>
        <w:rPr>
          <w:rFonts w:hint="eastAsia" w:ascii="仿宋" w:hAnsi="仿宋" w:eastAsia="仿宋"/>
          <w:sz w:val="24"/>
          <w:highlight w:val="none"/>
          <w:lang w:eastAsia="zh-CN"/>
        </w:rPr>
        <w:t>合同</w:t>
      </w:r>
      <w:r>
        <w:rPr>
          <w:rFonts w:hint="eastAsia" w:ascii="仿宋" w:hAnsi="仿宋" w:eastAsia="仿宋"/>
          <w:sz w:val="24"/>
          <w:highlight w:val="none"/>
        </w:rPr>
        <w:t>服务项目，在系统建设完成后，采购人根据自身需求可以要求</w:t>
      </w:r>
      <w:r>
        <w:rPr>
          <w:rFonts w:hint="eastAsia" w:ascii="仿宋" w:hAnsi="仿宋" w:eastAsia="仿宋"/>
          <w:sz w:val="24"/>
          <w:highlight w:val="none"/>
          <w:lang w:eastAsia="zh-CN"/>
        </w:rPr>
        <w:t>供应商</w:t>
      </w:r>
      <w:r>
        <w:rPr>
          <w:rFonts w:hint="eastAsia" w:ascii="仿宋" w:hAnsi="仿宋" w:eastAsia="仿宋"/>
          <w:sz w:val="24"/>
          <w:highlight w:val="none"/>
        </w:rPr>
        <w:t>进行监测点位移机，由此产生的费用包含在此次招标中，采购人不需再支付任何费用。</w:t>
      </w:r>
      <w:r>
        <w:rPr>
          <w:rFonts w:hint="eastAsia" w:ascii="仿宋" w:hAnsi="仿宋" w:eastAsia="仿宋"/>
          <w:sz w:val="24"/>
          <w:highlight w:val="none"/>
          <w:lang w:eastAsia="zh-CN"/>
        </w:rPr>
        <w:t>供应商</w:t>
      </w:r>
      <w:r>
        <w:rPr>
          <w:rFonts w:hint="eastAsia" w:ascii="仿宋" w:hAnsi="仿宋" w:eastAsia="仿宋"/>
          <w:sz w:val="24"/>
          <w:highlight w:val="none"/>
        </w:rPr>
        <w:t>根据采购人移机要求完成移机。遇部分点位因自然原因或其他不可抗拒力或征得采购人同意的及采购人要求暂停、移机、变动等情况不能按时完成移机的，由</w:t>
      </w:r>
      <w:r>
        <w:rPr>
          <w:rFonts w:hint="eastAsia" w:ascii="仿宋" w:hAnsi="仿宋" w:eastAsia="仿宋"/>
          <w:sz w:val="24"/>
          <w:highlight w:val="none"/>
          <w:lang w:eastAsia="zh-CN"/>
        </w:rPr>
        <w:t>供应商</w:t>
      </w:r>
      <w:r>
        <w:rPr>
          <w:rFonts w:hint="eastAsia" w:ascii="仿宋" w:hAnsi="仿宋" w:eastAsia="仿宋"/>
          <w:sz w:val="24"/>
          <w:highlight w:val="none"/>
        </w:rPr>
        <w:t>负责梳理报送采购人</w:t>
      </w:r>
      <w:r>
        <w:rPr>
          <w:rFonts w:hint="eastAsia" w:ascii="仿宋" w:hAnsi="仿宋" w:eastAsia="仿宋"/>
          <w:sz w:val="24"/>
          <w:highlight w:val="none"/>
          <w:lang w:val="en-US" w:eastAsia="zh-CN"/>
        </w:rPr>
        <w:t>确认</w:t>
      </w:r>
      <w:r>
        <w:rPr>
          <w:rFonts w:hint="eastAsia" w:ascii="仿宋" w:hAnsi="仿宋" w:eastAsia="仿宋"/>
          <w:sz w:val="24"/>
          <w:highlight w:val="none"/>
        </w:rPr>
        <w:t>。</w:t>
      </w:r>
    </w:p>
    <w:p>
      <w:pPr>
        <w:pageBreakBefore w:val="0"/>
        <w:kinsoku/>
        <w:overflowPunct/>
        <w:topLinePunct w:val="0"/>
        <w:bidi w:val="0"/>
        <w:spacing w:line="360" w:lineRule="auto"/>
        <w:ind w:left="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相关的标准技术规范</w:t>
      </w:r>
    </w:p>
    <w:p>
      <w:pPr>
        <w:pageBreakBefore w:val="0"/>
        <w:widowControl/>
        <w:kinsoku/>
        <w:overflowPunct/>
        <w:topLinePunct w:val="0"/>
        <w:bidi w:val="0"/>
        <w:spacing w:line="360" w:lineRule="auto"/>
        <w:ind w:left="0" w:firstLine="480" w:firstLineChars="200"/>
        <w:rPr>
          <w:rFonts w:hint="eastAsia"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kern w:val="0"/>
          <w:sz w:val="24"/>
          <w:szCs w:val="24"/>
          <w:highlight w:val="none"/>
        </w:rPr>
        <w:t>按照《GB/T25000.51-2016系统与软件工程系统与软件质量要求和评价（SQuaRE）第51部分：就绪可用软件产品（RUSP）的质量要求和测试细则》要求对价格平台进行用户文档集要求、功能性进行检测。</w:t>
      </w:r>
    </w:p>
    <w:p>
      <w:pPr>
        <w:pageBreakBefore w:val="0"/>
        <w:kinsoku/>
        <w:overflowPunct/>
        <w:topLinePunct w:val="0"/>
        <w:bidi w:val="0"/>
        <w:spacing w:line="360" w:lineRule="auto"/>
        <w:ind w:left="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（六）实施要求</w:t>
      </w:r>
    </w:p>
    <w:p>
      <w:pPr>
        <w:pageBreakBefore w:val="0"/>
        <w:widowControl w:val="0"/>
        <w:numPr>
          <w:ilvl w:val="0"/>
          <w:numId w:val="0"/>
        </w:numPr>
        <w:kinsoku/>
        <w:overflowPunct/>
        <w:topLinePunct w:val="0"/>
        <w:bidi w:val="0"/>
        <w:spacing w:before="0" w:beforeLines="0" w:after="0" w:line="360" w:lineRule="auto"/>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按照项目实施的要求，必须配置相应的项目管理、系统设计、开发、测试、集成、质量保证、安装等人员，在项目组织中应明确各岗位的职责，确保工程顺利实施，采购人有权根据实际情况要求供应商对实施方案进行综合优化、调整和修改。</w:t>
      </w:r>
    </w:p>
    <w:p>
      <w:pPr>
        <w:pageBreakBefore w:val="0"/>
        <w:widowControl w:val="0"/>
        <w:kinsoku/>
        <w:overflowPunct/>
        <w:topLinePunct w:val="0"/>
        <w:bidi w:val="0"/>
        <w:spacing w:before="0" w:beforeLines="0" w:after="0" w:line="360" w:lineRule="auto"/>
        <w:ind w:left="0" w:firstLine="0"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2.文档管理</w:t>
      </w:r>
    </w:p>
    <w:p>
      <w:pPr>
        <w:pageBreakBefore w:val="0"/>
        <w:widowControl w:val="0"/>
        <w:kinsoku/>
        <w:overflowPunct/>
        <w:topLinePunct w:val="0"/>
        <w:bidi w:val="0"/>
        <w:spacing w:before="0" w:beforeLines="0" w:after="0" w:line="360" w:lineRule="auto"/>
        <w:ind w:left="0" w:firstLine="480" w:firstLineChars="2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在项目实施过程中，由于项目实施的复杂性，双方人员参加以及时间跨度等因素，所以有关需求、建议、解决方案和结论都必须文档化、标准化，以便查阅和引用。实施文档应作为项目成果的一个组成部分。</w:t>
      </w:r>
    </w:p>
    <w:p>
      <w:pPr>
        <w:pageBreakBefore w:val="0"/>
        <w:widowControl w:val="0"/>
        <w:kinsoku/>
        <w:overflowPunct/>
        <w:topLinePunct w:val="0"/>
        <w:bidi w:val="0"/>
        <w:spacing w:before="0" w:beforeLines="0" w:after="0" w:line="360" w:lineRule="auto"/>
        <w:ind w:left="0" w:firstLine="0"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3.培训要求</w:t>
      </w:r>
    </w:p>
    <w:p>
      <w:pPr>
        <w:pageBreakBefore w:val="0"/>
        <w:widowControl w:val="0"/>
        <w:kinsoku/>
        <w:overflowPunct/>
        <w:topLinePunct w:val="0"/>
        <w:bidi w:val="0"/>
        <w:spacing w:before="0" w:beforeLines="0" w:after="0" w:line="360" w:lineRule="auto"/>
        <w:ind w:left="0" w:firstLine="480" w:firstLineChars="2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项目上线后，需对业务经办人员与系统管理人员进行免费培训指导，培训内容包含且不限于本项目涉及的所有系统、设备的安装、升级、维护、数据备份与恢复等，使用户管理人员能进行系统管理、故障处理、日常维护等。</w:t>
      </w:r>
    </w:p>
    <w:p>
      <w:pPr>
        <w:pageBreakBefore w:val="0"/>
        <w:widowControl w:val="0"/>
        <w:kinsoku/>
        <w:overflowPunct/>
        <w:topLinePunct w:val="0"/>
        <w:bidi w:val="0"/>
        <w:spacing w:before="0" w:beforeLines="0" w:after="0" w:line="360" w:lineRule="auto"/>
        <w:ind w:left="0" w:firstLine="0"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4.知识产权要求</w:t>
      </w:r>
    </w:p>
    <w:p>
      <w:pPr>
        <w:pageBreakBefore w:val="0"/>
        <w:widowControl w:val="0"/>
        <w:kinsoku/>
        <w:overflowPunct/>
        <w:topLinePunct w:val="0"/>
        <w:bidi w:val="0"/>
        <w:spacing w:before="0" w:beforeLines="0" w:after="0" w:line="360" w:lineRule="auto"/>
        <w:ind w:left="0" w:firstLine="480" w:firstLineChars="2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本项目完整源代码属采购人所有，中标方须针完整提交系统完整源代码及建设实施方案过程的相关文档给采购人，并将系统完整源代码安装在采购人指定服务器上。</w:t>
      </w:r>
    </w:p>
    <w:p>
      <w:pPr>
        <w:pageBreakBefore w:val="0"/>
        <w:widowControl w:val="0"/>
        <w:kinsoku/>
        <w:overflowPunct/>
        <w:topLinePunct w:val="0"/>
        <w:bidi w:val="0"/>
        <w:spacing w:before="0" w:beforeLines="0" w:after="0" w:line="360" w:lineRule="auto"/>
        <w:ind w:left="0" w:firstLine="480" w:firstLineChars="2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本项目技术成果的知识产权归属采购方所有，未经采购方同意，成交单位不得擅自将成果以自己的名义发表或进行其他学术活动。</w:t>
      </w:r>
    </w:p>
    <w:p>
      <w:pPr>
        <w:pageBreakBefore w:val="0"/>
        <w:kinsoku/>
        <w:overflowPunct/>
        <w:topLinePunct w:val="0"/>
        <w:bidi w:val="0"/>
        <w:adjustRightInd/>
        <w:spacing w:line="360" w:lineRule="auto"/>
        <w:ind w:lef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.保密要求</w:t>
      </w:r>
    </w:p>
    <w:p>
      <w:pPr>
        <w:pageBreakBefore w:val="0"/>
        <w:kinsoku/>
        <w:overflowPunct/>
        <w:topLinePunct w:val="0"/>
        <w:bidi w:val="0"/>
        <w:adjustRightInd/>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立严格的保密制度，供应商应当加强对工作人员的保密管理及保密知识教育。供应商须承担与此有关的技术情报和数据资料的保密责任。与本项目有关的资料及数据成果中涉及国家秘密的内容，均要求按照《国家保密法》及相关法律法规执行。</w:t>
      </w:r>
    </w:p>
    <w:p>
      <w:pPr>
        <w:keepNext w:val="0"/>
        <w:keepLines w:val="0"/>
        <w:pageBreakBefore w:val="0"/>
        <w:kinsoku/>
        <w:overflowPunct/>
        <w:topLinePunct w:val="0"/>
        <w:autoSpaceDE/>
        <w:autoSpaceDN/>
        <w:bidi w:val="0"/>
        <w:adjustRightInd/>
        <w:snapToGrid/>
        <w:spacing w:line="360" w:lineRule="auto"/>
        <w:ind w:left="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6.等保适配等要求</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lang w:eastAsia="zh-CN"/>
        </w:rPr>
        <w:t>投标人须提供软件系统的二级等保测评服务，费用含在投标报价中；如需选择第三方机构进行，在机构选择时，需征得招标人的确认；</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6.2</w:t>
      </w:r>
      <w:r>
        <w:rPr>
          <w:rFonts w:hint="eastAsia" w:ascii="仿宋" w:hAnsi="仿宋" w:eastAsia="仿宋" w:cs="仿宋"/>
          <w:color w:val="auto"/>
          <w:sz w:val="24"/>
          <w:szCs w:val="24"/>
          <w:highlight w:val="none"/>
          <w:lang w:eastAsia="zh-CN"/>
        </w:rPr>
        <w:t>软件系统需满足国产化适配要求；</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lang w:eastAsia="zh-CN"/>
        </w:rPr>
        <w:t>投标人需提供软件系统产生数据的归集服务，在规定要求内配合大数据局、市场监督管理局进行数据归集；</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6.4</w:t>
      </w:r>
      <w:r>
        <w:rPr>
          <w:rFonts w:hint="eastAsia" w:ascii="仿宋" w:hAnsi="仿宋" w:eastAsia="仿宋" w:cs="仿宋"/>
          <w:color w:val="auto"/>
          <w:sz w:val="24"/>
          <w:szCs w:val="24"/>
          <w:highlight w:val="none"/>
          <w:lang w:eastAsia="zh-CN"/>
        </w:rPr>
        <w:t>投标人需确保本系统的数据安全。</w:t>
      </w:r>
    </w:p>
    <w:p>
      <w:pPr>
        <w:pageBreakBefore w:val="0"/>
        <w:kinsoku/>
        <w:wordWrap w:val="0"/>
        <w:overflowPunct/>
        <w:topLinePunct w:val="0"/>
        <w:bidi w:val="0"/>
        <w:spacing w:before="0" w:beforeLines="0" w:after="0" w:line="360" w:lineRule="auto"/>
        <w:ind w:left="0"/>
        <w:jc w:val="both"/>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（六）验收及售后服务</w:t>
      </w:r>
    </w:p>
    <w:p>
      <w:pPr>
        <w:pageBreakBefore w:val="0"/>
        <w:widowControl w:val="0"/>
        <w:kinsoku/>
        <w:overflowPunct/>
        <w:topLinePunct w:val="0"/>
        <w:bidi w:val="0"/>
        <w:spacing w:before="0" w:beforeLines="0" w:after="0" w:line="360" w:lineRule="auto"/>
        <w:ind w:left="0"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1.建设及服务期限</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合同签订后一个月内完成包括电梯物联网前端感知设备安装和调试，电梯运行监测系统上线试运行。试运行3个月后系统正式交付和验收，服务期限自合格之日起3年。</w:t>
      </w:r>
    </w:p>
    <w:p>
      <w:pPr>
        <w:pageBreakBefore w:val="0"/>
        <w:kinsoku/>
        <w:wordWrap w:val="0"/>
        <w:overflowPunct/>
        <w:topLinePunct w:val="0"/>
        <w:bidi w:val="0"/>
        <w:spacing w:before="0" w:beforeLines="0" w:after="0" w:line="360" w:lineRule="auto"/>
        <w:ind w:left="0" w:firstLine="482" w:firstLineChars="200"/>
        <w:jc w:val="both"/>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2.质保期</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2.1项目自验收合格之日起3年内为免费质保期。</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2.2质保期内所有的服务均为包含7*24免费电话和上门服务。投标人在投标书中必须明确承诺达到采购人的服务响应要求：7×24小时电话或电子邮件服务及其它方式。投标人须提供专用电话技术咨询，在接到采购人维修要求电话后，应在2个小时内响应，如果电话技术支持不能解决问题，具有解决故障能力的工程师应在24小时内到达现场解决，费用由中标人负责。在项目质保期，无条件配合采购人、软件开发商或其他集成商定位相关问题，问题不仅限于网络硬件平台、操作系统、数据库等，包括应用层的综合性问题，协同软件开发商、其他集成商共同定位和解决问题。</w:t>
      </w:r>
    </w:p>
    <w:p>
      <w:pPr>
        <w:pageBreakBefore w:val="0"/>
        <w:numPr>
          <w:ilvl w:val="0"/>
          <w:numId w:val="0"/>
        </w:numPr>
        <w:kinsoku/>
        <w:wordWrap w:val="0"/>
        <w:overflowPunct/>
        <w:topLinePunct w:val="0"/>
        <w:bidi w:val="0"/>
        <w:spacing w:before="0" w:beforeLines="0" w:after="0" w:line="360" w:lineRule="auto"/>
        <w:ind w:left="0"/>
        <w:jc w:val="both"/>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（七）质量标准和系统验收要求</w:t>
      </w:r>
    </w:p>
    <w:p>
      <w:pPr>
        <w:pageBreakBefore w:val="0"/>
        <w:kinsoku/>
        <w:wordWrap w:val="0"/>
        <w:overflowPunct/>
        <w:topLinePunct w:val="0"/>
        <w:bidi w:val="0"/>
        <w:spacing w:before="0" w:beforeLines="0" w:after="0" w:line="360" w:lineRule="auto"/>
        <w:ind w:left="0" w:firstLine="482" w:firstLineChars="200"/>
        <w:jc w:val="both"/>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1.质量标准</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中标人提供的产品及服务必须是经合法途径取得的。</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中标人应按现行的国家或行业技术及验收标准和招标文件的规定提供工程、货物或服务，因中标人提供的工程、货物或服务达不到约定的质量标准，中标人承担违约责任。</w:t>
      </w:r>
    </w:p>
    <w:p>
      <w:pPr>
        <w:pageBreakBefore w:val="0"/>
        <w:kinsoku/>
        <w:wordWrap w:val="0"/>
        <w:overflowPunct/>
        <w:topLinePunct w:val="0"/>
        <w:bidi w:val="0"/>
        <w:spacing w:before="0" w:beforeLines="0" w:after="0" w:line="360" w:lineRule="auto"/>
        <w:ind w:left="0" w:firstLine="480" w:firstLineChars="20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双方对工程、货物或服务的质量有争议的，由双方同意的专业检测机构鉴定，所需费及因此造成的损失由责任方承担，双方均有责任的，双方根据其责任分别承担。</w:t>
      </w:r>
    </w:p>
    <w:p>
      <w:pPr>
        <w:keepNext w:val="0"/>
        <w:keepLines w:val="0"/>
        <w:pageBreakBefore w:val="0"/>
        <w:kinsoku/>
        <w:wordWrap w:val="0"/>
        <w:overflowPunct/>
        <w:topLinePunct w:val="0"/>
        <w:autoSpaceDE/>
        <w:autoSpaceDN/>
        <w:bidi w:val="0"/>
        <w:adjustRightInd/>
        <w:snapToGrid/>
        <w:spacing w:before="0" w:beforeLines="0" w:after="0" w:line="360" w:lineRule="auto"/>
        <w:ind w:left="0" w:firstLine="482" w:firstLineChars="200"/>
        <w:jc w:val="both"/>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2.验收要求</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现行技术标准，按招投标文件以及合同规定的验收评定标准等组织验收。中标方必须书面通知采购方所完成的工作和准备进行验收的项目种类及验收开始时间，此通知书需经采购方认定后方可执行。</w:t>
      </w:r>
    </w:p>
    <w:p>
      <w:pPr>
        <w:keepNext w:val="0"/>
        <w:keepLines w:val="0"/>
        <w:pageBreakBefore w:val="0"/>
        <w:kinsoku/>
        <w:overflowPunct/>
        <w:topLinePunct w:val="0"/>
        <w:autoSpaceDE/>
        <w:autoSpaceDN/>
        <w:bidi w:val="0"/>
        <w:adjustRightInd/>
        <w:snapToGrid/>
        <w:spacing w:line="360" w:lineRule="auto"/>
        <w:ind w:left="0" w:firstLine="566" w:firstLineChars="236"/>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验收时，中标方应向采购方移交项目成果</w:t>
      </w:r>
      <w:r>
        <w:rPr>
          <w:rFonts w:hint="eastAsia" w:ascii="仿宋" w:hAnsi="仿宋" w:eastAsia="仿宋" w:cs="仿宋"/>
          <w:color w:val="auto"/>
          <w:sz w:val="24"/>
          <w:szCs w:val="24"/>
          <w:highlight w:val="none"/>
          <w:lang w:eastAsia="zh-CN"/>
        </w:rPr>
        <w:t>及所涉及的一切资料。</w:t>
      </w:r>
    </w:p>
    <w:p>
      <w:pPr>
        <w:pageBreakBefore w:val="0"/>
        <w:widowControl/>
        <w:kinsoku/>
        <w:overflowPunct/>
        <w:topLinePunct w:val="0"/>
        <w:bidi w:val="0"/>
        <w:adjustRightInd/>
        <w:snapToGrid w:val="0"/>
        <w:spacing w:line="360" w:lineRule="auto"/>
        <w:ind w:left="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（八）</w:t>
      </w:r>
      <w:r>
        <w:rPr>
          <w:rFonts w:hint="eastAsia" w:ascii="仿宋" w:hAnsi="仿宋" w:eastAsia="仿宋" w:cs="仿宋"/>
          <w:b/>
          <w:bCs/>
          <w:color w:val="auto"/>
          <w:sz w:val="24"/>
          <w:szCs w:val="24"/>
          <w:highlight w:val="none"/>
        </w:rPr>
        <w:t>数量调整</w:t>
      </w:r>
    </w:p>
    <w:p>
      <w:pPr>
        <w:pageBreakBefore w:val="0"/>
        <w:widowControl/>
        <w:kinsoku/>
        <w:overflowPunct/>
        <w:topLinePunct w:val="0"/>
        <w:bidi w:val="0"/>
        <w:adjustRightInd/>
        <w:snapToGrid w:val="0"/>
        <w:spacing w:line="360" w:lineRule="auto"/>
        <w:ind w:left="0" w:firstLine="479"/>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采购人保留在签约时微调部分服务的权力，供应商应对服务类别明细报价，按磋商响应单价不变的前提下进行调整，双方不得拒绝。如遇本次采购没有涉及的设备或服务时，由成交供应商提供申请，采购人确认后实施。政府采购合同履行中追加与合同标的相同的货物、工程或者服务的采购金额不得超过原合同采购金额10%且不高于</w:t>
      </w:r>
      <w:r>
        <w:rPr>
          <w:rFonts w:hint="eastAsia" w:ascii="仿宋" w:hAnsi="仿宋" w:eastAsia="仿宋" w:cs="仿宋"/>
          <w:color w:val="auto"/>
          <w:sz w:val="24"/>
          <w:szCs w:val="24"/>
          <w:highlight w:val="none"/>
        </w:rPr>
        <w:t>分散采购限额标准</w:t>
      </w:r>
      <w:r>
        <w:rPr>
          <w:rFonts w:hint="eastAsia" w:ascii="仿宋" w:hAnsi="仿宋" w:eastAsia="仿宋" w:cs="仿宋"/>
          <w:color w:val="auto"/>
          <w:kern w:val="0"/>
          <w:sz w:val="24"/>
          <w:szCs w:val="24"/>
          <w:highlight w:val="none"/>
          <w:u w:val="none"/>
        </w:rPr>
        <w:t>。</w:t>
      </w:r>
    </w:p>
    <w:p>
      <w:pPr>
        <w:pageBreakBefore w:val="0"/>
        <w:widowControl/>
        <w:kinsoku/>
        <w:overflowPunct/>
        <w:topLinePunct w:val="0"/>
        <w:bidi w:val="0"/>
        <w:adjustRightInd/>
        <w:snapToGrid w:val="0"/>
        <w:spacing w:line="360" w:lineRule="auto"/>
        <w:ind w:left="0"/>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lang w:eastAsia="zh-CN"/>
        </w:rPr>
        <w:t>（九）</w:t>
      </w:r>
      <w:r>
        <w:rPr>
          <w:rFonts w:hint="eastAsia" w:ascii="仿宋" w:hAnsi="仿宋" w:eastAsia="仿宋" w:cs="仿宋"/>
          <w:b/>
          <w:bCs/>
          <w:color w:val="auto"/>
          <w:kern w:val="0"/>
          <w:sz w:val="24"/>
          <w:szCs w:val="24"/>
          <w:highlight w:val="none"/>
          <w:u w:val="none"/>
        </w:rPr>
        <w:t>付款方式</w:t>
      </w:r>
    </w:p>
    <w:p>
      <w:pPr>
        <w:pageBreakBefore w:val="0"/>
        <w:kinsoku/>
        <w:overflowPunct/>
        <w:topLinePunct w:val="0"/>
        <w:bidi w:val="0"/>
        <w:spacing w:line="360" w:lineRule="auto"/>
        <w:ind w:left="0" w:firstLine="480" w:firstLineChars="20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pStyle w:val="61"/>
        <w:rPr>
          <w:rFonts w:ascii="仿宋" w:hAnsi="仿宋" w:eastAsia="仿宋" w:cs="仿宋"/>
          <w:b/>
          <w:sz w:val="36"/>
          <w:szCs w:val="36"/>
          <w:highlight w:val="none"/>
        </w:rPr>
      </w:pPr>
    </w:p>
    <w:p>
      <w:pPr>
        <w:rPr>
          <w:rFonts w:ascii="仿宋" w:hAnsi="仿宋" w:eastAsia="仿宋" w:cs="仿宋"/>
          <w:b/>
          <w:sz w:val="36"/>
          <w:szCs w:val="36"/>
          <w:highlight w:val="none"/>
        </w:rPr>
      </w:pPr>
    </w:p>
    <w:p>
      <w:pPr>
        <w:pStyle w:val="61"/>
        <w:rPr>
          <w:rFonts w:ascii="仿宋" w:hAnsi="仿宋" w:eastAsia="仿宋" w:cs="仿宋"/>
          <w:b/>
          <w:sz w:val="36"/>
          <w:szCs w:val="36"/>
          <w:highlight w:val="none"/>
        </w:rPr>
      </w:pPr>
    </w:p>
    <w:p>
      <w:pPr>
        <w:rPr>
          <w:rFonts w:ascii="仿宋" w:hAnsi="仿宋" w:eastAsia="仿宋" w:cs="仿宋"/>
          <w:b/>
          <w:sz w:val="36"/>
          <w:szCs w:val="36"/>
          <w:highlight w:val="none"/>
        </w:rPr>
      </w:pPr>
    </w:p>
    <w:p>
      <w:pPr>
        <w:pStyle w:val="61"/>
        <w:rPr>
          <w:highlight w:val="none"/>
        </w:rPr>
      </w:pPr>
    </w:p>
    <w:p>
      <w:pPr>
        <w:rPr>
          <w:highlight w:val="none"/>
        </w:rPr>
      </w:pPr>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outlineLvl w:val="1"/>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0"/>
        <w:ind w:firstLine="2843" w:firstLineChars="1180"/>
        <w:outlineLvl w:val="0"/>
        <w:rPr>
          <w:rFonts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ascii="仿宋" w:hAnsi="仿宋" w:eastAsia="仿宋" w:cs="仿宋"/>
          <w:sz w:val="24"/>
          <w:highlight w:val="none"/>
        </w:rPr>
      </w:pPr>
    </w:p>
    <w:p>
      <w:pPr>
        <w:pStyle w:val="3"/>
        <w:outlineLvl w:val="9"/>
        <w:rPr>
          <w:rFonts w:ascii="仿宋" w:eastAsia="仿宋" w:cs="仿宋"/>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7"/>
        <w:spacing w:before="120" w:line="22" w:lineRule="atLeast"/>
        <w:rPr>
          <w:rFonts w:ascii="仿宋" w:hAnsi="仿宋" w:eastAsia="仿宋" w:cs="仿宋"/>
          <w:szCs w:val="24"/>
          <w:highlight w:val="none"/>
        </w:rPr>
      </w:pPr>
    </w:p>
    <w:p>
      <w:pPr>
        <w:pStyle w:val="597"/>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pPr>
        <w:rPr>
          <w:rFonts w:ascii="仿宋" w:hAnsi="仿宋" w:eastAsia="仿宋" w:cs="仿宋"/>
          <w:b/>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440" w:lineRule="exact"/>
        <w:ind w:firstLine="482" w:firstLineChars="200"/>
        <w:outlineLvl w:val="1"/>
        <w:rPr>
          <w:rFonts w:ascii="仿宋" w:hAnsi="仿宋" w:eastAsia="仿宋" w:cs="仿宋"/>
          <w:sz w:val="24"/>
          <w:highlight w:val="none"/>
        </w:rPr>
      </w:pPr>
      <w:bookmarkStart w:id="37" w:name="_Toc15367"/>
      <w:bookmarkStart w:id="38" w:name="_Toc22967"/>
      <w:bookmarkStart w:id="39" w:name="_Toc20421"/>
      <w:bookmarkStart w:id="40" w:name="_Toc28855"/>
      <w:bookmarkStart w:id="41" w:name="_Toc19273"/>
      <w:r>
        <w:rPr>
          <w:rFonts w:hint="eastAsia" w:ascii="仿宋" w:hAnsi="仿宋" w:eastAsia="仿宋" w:cs="仿宋"/>
          <w:b/>
          <w:sz w:val="24"/>
          <w:highlight w:val="none"/>
        </w:rPr>
        <w:t>1.1 合同组成部分</w:t>
      </w:r>
      <w:bookmarkEnd w:id="37"/>
      <w:bookmarkEnd w:id="38"/>
      <w:bookmarkEnd w:id="39"/>
      <w:bookmarkEnd w:id="40"/>
      <w:bookmarkEnd w:id="41"/>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440" w:lineRule="exact"/>
        <w:ind w:firstLine="482" w:firstLineChars="200"/>
        <w:outlineLvl w:val="1"/>
        <w:rPr>
          <w:rFonts w:ascii="仿宋" w:hAnsi="仿宋" w:eastAsia="仿宋" w:cs="仿宋"/>
          <w:b/>
          <w:sz w:val="24"/>
          <w:highlight w:val="none"/>
        </w:rPr>
      </w:pPr>
      <w:bookmarkStart w:id="42" w:name="_Toc2918"/>
      <w:bookmarkStart w:id="43" w:name="_Toc18585"/>
      <w:bookmarkStart w:id="44" w:name="_Toc22185"/>
      <w:bookmarkStart w:id="45" w:name="_Toc6311"/>
      <w:bookmarkStart w:id="46" w:name="_Toc6773"/>
      <w:r>
        <w:rPr>
          <w:rFonts w:hint="eastAsia" w:ascii="仿宋" w:hAnsi="仿宋" w:eastAsia="仿宋" w:cs="仿宋"/>
          <w:b/>
          <w:sz w:val="24"/>
          <w:highlight w:val="none"/>
        </w:rPr>
        <w:t>1.2 标的</w:t>
      </w:r>
      <w:bookmarkEnd w:id="42"/>
      <w:bookmarkEnd w:id="43"/>
      <w:bookmarkEnd w:id="44"/>
      <w:bookmarkEnd w:id="45"/>
      <w:bookmarkEnd w:id="46"/>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58"/>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pPr>
        <w:spacing w:line="440" w:lineRule="exact"/>
        <w:ind w:firstLine="480" w:firstLineChars="200"/>
        <w:rPr>
          <w:rFonts w:ascii="仿宋" w:hAnsi="仿宋" w:eastAsia="仿宋" w:cs="仿宋"/>
          <w:sz w:val="24"/>
          <w:highlight w:val="none"/>
          <w:u w:val="single"/>
        </w:rPr>
      </w:pPr>
      <w:bookmarkStart w:id="47" w:name="_Toc5635"/>
      <w:bookmarkStart w:id="48" w:name="_Toc21124"/>
      <w:bookmarkStart w:id="49" w:name="_Toc4929"/>
      <w:bookmarkStart w:id="50" w:name="_Toc1386"/>
      <w:bookmarkStart w:id="51"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1.3 价款</w:t>
      </w:r>
      <w:bookmarkEnd w:id="47"/>
      <w:bookmarkEnd w:id="48"/>
      <w:bookmarkEnd w:id="49"/>
      <w:bookmarkEnd w:id="50"/>
      <w:bookmarkEnd w:id="51"/>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18"/>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18"/>
              <w:spacing w:line="440" w:lineRule="exact"/>
              <w:ind w:firstLine="480" w:firstLineChars="200"/>
              <w:jc w:val="center"/>
              <w:rPr>
                <w:rFonts w:ascii="仿宋" w:hAnsi="仿宋" w:eastAsia="仿宋" w:cs="仿宋"/>
                <w:sz w:val="24"/>
                <w:szCs w:val="24"/>
                <w:highlight w:val="none"/>
              </w:rPr>
            </w:pPr>
          </w:p>
        </w:tc>
      </w:tr>
    </w:tbl>
    <w:p>
      <w:pPr>
        <w:spacing w:line="440" w:lineRule="exact"/>
        <w:ind w:firstLine="480" w:firstLineChars="200"/>
        <w:rPr>
          <w:rFonts w:ascii="仿宋" w:hAnsi="仿宋" w:eastAsia="仿宋" w:cs="仿宋"/>
          <w:sz w:val="24"/>
          <w:highlight w:val="none"/>
        </w:rPr>
      </w:pPr>
      <w:bookmarkStart w:id="52" w:name="_Toc30506"/>
      <w:bookmarkStart w:id="53" w:name="_Toc3654"/>
      <w:bookmarkStart w:id="54" w:name="_Toc26916"/>
      <w:bookmarkStart w:id="55" w:name="_Toc30158"/>
      <w:bookmarkStart w:id="56" w:name="_Toc14993"/>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3"/>
        <w:spacing w:line="440" w:lineRule="exact"/>
        <w:ind w:left="0" w:firstLine="482" w:firstLineChars="200"/>
        <w:outlineLvl w:val="2"/>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52"/>
    <w:bookmarkEnd w:id="53"/>
    <w:bookmarkEnd w:id="54"/>
    <w:bookmarkEnd w:id="55"/>
    <w:bookmarkEnd w:id="56"/>
    <w:p>
      <w:pPr>
        <w:pStyle w:val="958"/>
        <w:spacing w:before="0" w:beforeAutospacing="0" w:after="0" w:afterAutospacing="0" w:line="440" w:lineRule="exact"/>
        <w:ind w:firstLine="482" w:firstLineChars="200"/>
        <w:outlineLvl w:val="1"/>
        <w:rPr>
          <w:rFonts w:ascii="仿宋" w:hAnsi="仿宋" w:eastAsia="仿宋" w:cs="仿宋"/>
          <w:b/>
          <w:highlight w:val="none"/>
        </w:rPr>
      </w:pPr>
      <w:bookmarkStart w:id="57" w:name="_Toc10340"/>
      <w:bookmarkStart w:id="58" w:name="_Toc22618"/>
      <w:bookmarkStart w:id="59" w:name="_Toc1814"/>
      <w:bookmarkStart w:id="60" w:name="_Toc11108"/>
      <w:bookmarkStart w:id="61" w:name="_Toc31421"/>
      <w:bookmarkStart w:id="62" w:name="_Toc4760"/>
      <w:bookmarkStart w:id="63" w:name="_Toc3625"/>
      <w:bookmarkStart w:id="64" w:name="_Toc8772"/>
      <w:r>
        <w:rPr>
          <w:rFonts w:hint="eastAsia" w:ascii="仿宋" w:hAnsi="仿宋" w:eastAsia="仿宋" w:cs="仿宋"/>
          <w:b/>
          <w:highlight w:val="none"/>
        </w:rPr>
        <w:t>1.4履约保证金</w:t>
      </w:r>
    </w:p>
    <w:p>
      <w:pPr>
        <w:pStyle w:val="958"/>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440" w:lineRule="exact"/>
        <w:ind w:firstLine="480" w:firstLineChars="200"/>
        <w:outlineLvl w:val="2"/>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440" w:lineRule="exact"/>
        <w:ind w:firstLine="480" w:firstLineChars="200"/>
        <w:outlineLvl w:val="2"/>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3"/>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1.5</w:t>
      </w:r>
      <w:bookmarkEnd w:id="57"/>
      <w:bookmarkEnd w:id="58"/>
      <w:bookmarkEnd w:id="59"/>
      <w:r>
        <w:rPr>
          <w:rFonts w:hint="eastAsia" w:ascii="仿宋" w:hAnsi="仿宋" w:eastAsia="仿宋" w:cs="仿宋"/>
          <w:b/>
          <w:sz w:val="24"/>
          <w:highlight w:val="none"/>
        </w:rPr>
        <w:t>预付款</w:t>
      </w:r>
    </w:p>
    <w:p>
      <w:pPr>
        <w:pStyle w:val="958"/>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8"/>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spacing w:before="0" w:beforeAutospacing="0" w:after="0" w:afterAutospacing="0" w:line="440" w:lineRule="exact"/>
        <w:ind w:firstLine="482" w:firstLineChars="200"/>
        <w:outlineLvl w:val="1"/>
        <w:rPr>
          <w:rFonts w:ascii="仿宋" w:hAnsi="仿宋" w:eastAsia="仿宋" w:cs="仿宋"/>
          <w:b/>
          <w:bCs/>
          <w:highlight w:val="none"/>
        </w:rPr>
      </w:pPr>
      <w:r>
        <w:rPr>
          <w:rFonts w:hint="eastAsia" w:ascii="仿宋" w:hAnsi="仿宋" w:eastAsia="仿宋" w:cs="仿宋"/>
          <w:b/>
          <w:bCs/>
          <w:highlight w:val="none"/>
        </w:rPr>
        <w:t>1.6资金支付</w:t>
      </w:r>
    </w:p>
    <w:p>
      <w:pPr>
        <w:pStyle w:val="958"/>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0"/>
      <w:bookmarkEnd w:id="61"/>
      <w:bookmarkEnd w:id="62"/>
      <w:bookmarkEnd w:id="63"/>
      <w:bookmarkEnd w:id="64"/>
    </w:p>
    <w:p>
      <w:pPr>
        <w:spacing w:line="440" w:lineRule="exact"/>
        <w:ind w:firstLine="480" w:firstLineChars="200"/>
        <w:outlineLvl w:val="2"/>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outlineLvl w:val="2"/>
        <w:rPr>
          <w:rFonts w:ascii="仿宋" w:hAnsi="仿宋" w:eastAsia="仿宋" w:cs="仿宋"/>
          <w:bCs/>
          <w:sz w:val="24"/>
          <w:highlight w:val="none"/>
        </w:rPr>
      </w:pPr>
      <w:bookmarkStart w:id="65" w:name="_Toc5698"/>
      <w:bookmarkStart w:id="66" w:name="_Toc2375"/>
      <w:bookmarkStart w:id="67" w:name="_Toc3079"/>
      <w:bookmarkStart w:id="68" w:name="_Toc24662"/>
      <w:bookmarkStart w:id="69" w:name="_Toc8586"/>
      <w:r>
        <w:rPr>
          <w:rFonts w:hint="eastAsia" w:ascii="仿宋" w:hAnsi="仿宋" w:eastAsia="仿宋" w:cs="仿宋"/>
          <w:bCs/>
          <w:sz w:val="24"/>
          <w:highlight w:val="none"/>
        </w:rPr>
        <w:t>1.7.4若服务涉及货物的，则货物的：</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65"/>
      <w:bookmarkEnd w:id="66"/>
      <w:bookmarkEnd w:id="67"/>
      <w:bookmarkEnd w:id="68"/>
      <w:bookmarkEnd w:id="69"/>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highlight w:val="none"/>
        </w:rPr>
      </w:pPr>
      <w:bookmarkStart w:id="70" w:name="_Toc30329"/>
      <w:bookmarkStart w:id="71" w:name="_Toc32454"/>
      <w:bookmarkStart w:id="72" w:name="_Toc18683"/>
      <w:bookmarkStart w:id="73" w:name="_Toc9497"/>
      <w:bookmarkStart w:id="74" w:name="_Toc2680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outlineLvl w:val="2"/>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0"/>
    <w:bookmarkEnd w:id="71"/>
    <w:bookmarkEnd w:id="72"/>
    <w:bookmarkEnd w:id="73"/>
    <w:bookmarkEnd w:id="74"/>
    <w:p>
      <w:pPr>
        <w:spacing w:line="440" w:lineRule="exact"/>
        <w:ind w:firstLine="482" w:firstLineChars="200"/>
        <w:outlineLvl w:val="1"/>
        <w:rPr>
          <w:rFonts w:ascii="仿宋" w:hAnsi="仿宋" w:eastAsia="仿宋" w:cs="仿宋"/>
          <w:b/>
          <w:sz w:val="24"/>
          <w:highlight w:val="none"/>
        </w:rPr>
      </w:pPr>
      <w:bookmarkStart w:id="75" w:name="_Toc28375"/>
      <w:bookmarkStart w:id="76" w:name="_Toc15583"/>
      <w:bookmarkStart w:id="77" w:name="_Toc16021"/>
      <w:r>
        <w:rPr>
          <w:rFonts w:hint="eastAsia" w:ascii="仿宋" w:hAnsi="仿宋" w:eastAsia="仿宋" w:cs="仿宋"/>
          <w:b/>
          <w:sz w:val="24"/>
          <w:highlight w:val="none"/>
        </w:rPr>
        <w:t>1.9合同争议的解决</w:t>
      </w:r>
      <w:bookmarkEnd w:id="75"/>
      <w:bookmarkEnd w:id="76"/>
      <w:bookmarkEnd w:id="77"/>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44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440" w:lineRule="exact"/>
        <w:ind w:firstLine="482" w:firstLineChars="200"/>
        <w:outlineLvl w:val="1"/>
        <w:rPr>
          <w:rFonts w:ascii="仿宋" w:hAnsi="仿宋" w:eastAsia="仿宋" w:cs="仿宋"/>
          <w:b/>
          <w:sz w:val="24"/>
          <w:highlight w:val="none"/>
        </w:rPr>
      </w:pPr>
      <w:bookmarkStart w:id="78" w:name="_Toc11173"/>
      <w:bookmarkStart w:id="79" w:name="_Toc15322"/>
      <w:bookmarkStart w:id="80" w:name="_Toc7245"/>
      <w:r>
        <w:rPr>
          <w:rFonts w:hint="eastAsia" w:ascii="仿宋" w:hAnsi="仿宋" w:eastAsia="仿宋" w:cs="仿宋"/>
          <w:b/>
          <w:sz w:val="24"/>
          <w:highlight w:val="none"/>
        </w:rPr>
        <w:t>2.0 合同生效</w:t>
      </w:r>
      <w:bookmarkEnd w:id="78"/>
      <w:bookmarkEnd w:id="79"/>
      <w:bookmarkEnd w:id="80"/>
    </w:p>
    <w:p>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pPr>
        <w:pStyle w:val="700"/>
        <w:spacing w:line="560" w:lineRule="exact"/>
        <w:ind w:firstLine="482"/>
        <w:jc w:val="center"/>
        <w:outlineLvl w:val="0"/>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1"/>
        <w:rPr>
          <w:rFonts w:ascii="仿宋" w:hAnsi="仿宋" w:eastAsia="仿宋" w:cs="仿宋"/>
          <w:b/>
          <w:sz w:val="24"/>
          <w:highlight w:val="none"/>
        </w:rPr>
      </w:pPr>
      <w:bookmarkStart w:id="81" w:name="_Toc14021"/>
      <w:bookmarkStart w:id="82" w:name="_Toc25079"/>
      <w:bookmarkStart w:id="83" w:name="_Toc5228"/>
      <w:bookmarkStart w:id="84" w:name="_Toc31297"/>
      <w:bookmarkStart w:id="85" w:name="_Toc19680"/>
      <w:r>
        <w:rPr>
          <w:rFonts w:hint="eastAsia" w:ascii="仿宋" w:hAnsi="仿宋" w:eastAsia="仿宋" w:cs="仿宋"/>
          <w:b/>
          <w:sz w:val="24"/>
          <w:highlight w:val="none"/>
        </w:rPr>
        <w:t>2.1 定义</w:t>
      </w:r>
      <w:bookmarkEnd w:id="81"/>
      <w:bookmarkEnd w:id="82"/>
      <w:bookmarkEnd w:id="83"/>
      <w:bookmarkEnd w:id="84"/>
      <w:bookmarkEnd w:id="8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1"/>
        <w:rPr>
          <w:rFonts w:ascii="仿宋" w:hAnsi="仿宋" w:eastAsia="仿宋" w:cs="仿宋"/>
          <w:b/>
          <w:sz w:val="24"/>
          <w:highlight w:val="none"/>
        </w:rPr>
      </w:pPr>
      <w:bookmarkStart w:id="86" w:name="_Toc23289"/>
      <w:bookmarkStart w:id="87" w:name="_Toc31402"/>
      <w:bookmarkStart w:id="88" w:name="_Toc3769"/>
      <w:bookmarkStart w:id="89" w:name="_Toc16752"/>
      <w:bookmarkStart w:id="90" w:name="_Toc19539"/>
      <w:r>
        <w:rPr>
          <w:rFonts w:hint="eastAsia" w:ascii="仿宋" w:hAnsi="仿宋" w:eastAsia="仿宋" w:cs="仿宋"/>
          <w:b/>
          <w:sz w:val="24"/>
          <w:highlight w:val="none"/>
        </w:rPr>
        <w:t>2.2 技术规范</w:t>
      </w:r>
      <w:bookmarkEnd w:id="86"/>
      <w:bookmarkEnd w:id="87"/>
      <w:bookmarkEnd w:id="88"/>
      <w:bookmarkEnd w:id="89"/>
      <w:bookmarkEnd w:id="9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1"/>
        <w:rPr>
          <w:rFonts w:ascii="仿宋" w:hAnsi="仿宋" w:eastAsia="仿宋" w:cs="仿宋"/>
          <w:b/>
          <w:sz w:val="24"/>
          <w:highlight w:val="none"/>
        </w:rPr>
      </w:pPr>
      <w:bookmarkStart w:id="91" w:name="_Toc12412"/>
      <w:bookmarkStart w:id="92" w:name="_Toc9161"/>
      <w:bookmarkStart w:id="93" w:name="_Toc4133"/>
      <w:bookmarkStart w:id="94" w:name="_Toc13673"/>
      <w:bookmarkStart w:id="95" w:name="_Toc27945"/>
      <w:r>
        <w:rPr>
          <w:rFonts w:hint="eastAsia" w:ascii="仿宋" w:hAnsi="仿宋" w:eastAsia="仿宋" w:cs="仿宋"/>
          <w:b/>
          <w:sz w:val="24"/>
          <w:highlight w:val="none"/>
        </w:rPr>
        <w:t>2.3 知识产权</w:t>
      </w:r>
      <w:bookmarkEnd w:id="91"/>
      <w:bookmarkEnd w:id="92"/>
      <w:bookmarkEnd w:id="93"/>
      <w:bookmarkEnd w:id="94"/>
      <w:bookmarkEnd w:id="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1"/>
        <w:rPr>
          <w:rFonts w:ascii="仿宋" w:hAnsi="仿宋" w:eastAsia="仿宋" w:cs="仿宋"/>
          <w:b/>
          <w:sz w:val="24"/>
          <w:highlight w:val="none"/>
        </w:rPr>
      </w:pPr>
      <w:bookmarkStart w:id="96" w:name="_Toc32670"/>
      <w:bookmarkStart w:id="97" w:name="_Toc15447"/>
      <w:bookmarkStart w:id="98" w:name="_Toc22011"/>
      <w:bookmarkStart w:id="99" w:name="_Toc31233"/>
      <w:bookmarkStart w:id="100" w:name="_Toc26555"/>
      <w:r>
        <w:rPr>
          <w:rFonts w:hint="eastAsia" w:ascii="仿宋" w:hAnsi="仿宋" w:eastAsia="仿宋" w:cs="仿宋"/>
          <w:b/>
          <w:sz w:val="24"/>
          <w:highlight w:val="none"/>
        </w:rPr>
        <w:t>2.5 结算方式和付款条件</w:t>
      </w:r>
      <w:bookmarkEnd w:id="96"/>
      <w:bookmarkEnd w:id="97"/>
      <w:bookmarkEnd w:id="98"/>
      <w:bookmarkEnd w:id="99"/>
      <w:bookmarkEnd w:id="10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1"/>
        <w:rPr>
          <w:rFonts w:ascii="仿宋" w:hAnsi="仿宋" w:eastAsia="仿宋" w:cs="仿宋"/>
          <w:b/>
          <w:sz w:val="24"/>
          <w:highlight w:val="none"/>
        </w:rPr>
      </w:pPr>
      <w:bookmarkStart w:id="101" w:name="_Toc13467"/>
      <w:bookmarkStart w:id="102" w:name="_Toc18990"/>
      <w:bookmarkStart w:id="103" w:name="_Toc16163"/>
      <w:bookmarkStart w:id="104" w:name="_Toc30507"/>
      <w:bookmarkStart w:id="105" w:name="_Toc13154"/>
      <w:r>
        <w:rPr>
          <w:rFonts w:hint="eastAsia" w:ascii="仿宋" w:hAnsi="仿宋" w:eastAsia="仿宋" w:cs="仿宋"/>
          <w:b/>
          <w:sz w:val="24"/>
          <w:highlight w:val="none"/>
        </w:rPr>
        <w:t>2.6 技术资料和保密义务</w:t>
      </w:r>
      <w:bookmarkEnd w:id="101"/>
      <w:bookmarkEnd w:id="102"/>
      <w:bookmarkEnd w:id="103"/>
      <w:bookmarkEnd w:id="104"/>
      <w:bookmarkEnd w:id="10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1"/>
        <w:rPr>
          <w:rFonts w:ascii="仿宋" w:hAnsi="仿宋" w:eastAsia="仿宋" w:cs="仿宋"/>
          <w:b/>
          <w:sz w:val="24"/>
          <w:highlight w:val="none"/>
        </w:rPr>
      </w:pPr>
      <w:bookmarkStart w:id="106" w:name="_Toc19069"/>
      <w:r>
        <w:rPr>
          <w:rFonts w:hint="eastAsia" w:ascii="仿宋" w:hAnsi="仿宋" w:eastAsia="仿宋" w:cs="仿宋"/>
          <w:b/>
          <w:sz w:val="24"/>
          <w:highlight w:val="none"/>
        </w:rPr>
        <w:t>2.7 质量保证</w:t>
      </w:r>
      <w:bookmarkEnd w:id="10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1"/>
        <w:rPr>
          <w:rFonts w:ascii="仿宋" w:hAnsi="仿宋" w:eastAsia="仿宋" w:cs="仿宋"/>
          <w:b/>
          <w:sz w:val="24"/>
          <w:highlight w:val="none"/>
        </w:rPr>
      </w:pPr>
      <w:bookmarkStart w:id="107" w:name="_Toc22267"/>
      <w:r>
        <w:rPr>
          <w:rFonts w:hint="eastAsia" w:ascii="仿宋" w:hAnsi="仿宋" w:eastAsia="仿宋" w:cs="仿宋"/>
          <w:b/>
          <w:sz w:val="24"/>
          <w:highlight w:val="none"/>
        </w:rPr>
        <w:t>2.8 延迟履行</w:t>
      </w:r>
      <w:bookmarkEnd w:id="10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1"/>
        <w:rPr>
          <w:rFonts w:ascii="仿宋" w:hAnsi="仿宋" w:eastAsia="仿宋" w:cs="仿宋"/>
          <w:b/>
          <w:sz w:val="24"/>
          <w:highlight w:val="none"/>
        </w:rPr>
      </w:pPr>
      <w:bookmarkStart w:id="108" w:name="_Toc10611"/>
      <w:r>
        <w:rPr>
          <w:rFonts w:hint="eastAsia" w:ascii="仿宋" w:hAnsi="仿宋" w:eastAsia="仿宋" w:cs="仿宋"/>
          <w:b/>
          <w:sz w:val="24"/>
          <w:highlight w:val="none"/>
        </w:rPr>
        <w:t>2.9 合同变更</w:t>
      </w:r>
      <w:bookmarkEnd w:id="10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sz w:val="24"/>
          <w:highlight w:val="none"/>
        </w:rPr>
      </w:pPr>
      <w:bookmarkStart w:id="109" w:name="_Toc42"/>
      <w:bookmarkStart w:id="110" w:name="_Toc23368"/>
      <w:bookmarkStart w:id="111" w:name="_Toc21830"/>
      <w:bookmarkStart w:id="112" w:name="_Toc26689"/>
      <w:bookmarkStart w:id="113" w:name="_Toc10663"/>
      <w:r>
        <w:rPr>
          <w:rFonts w:hint="eastAsia" w:ascii="仿宋" w:hAnsi="仿宋" w:eastAsia="仿宋" w:cs="仿宋"/>
          <w:b/>
          <w:sz w:val="24"/>
          <w:highlight w:val="none"/>
        </w:rPr>
        <w:t>2.10 合同转让和分包</w:t>
      </w:r>
      <w:bookmarkEnd w:id="109"/>
      <w:bookmarkEnd w:id="110"/>
      <w:bookmarkEnd w:id="111"/>
      <w:bookmarkEnd w:id="112"/>
      <w:bookmarkEnd w:id="11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1"/>
        <w:rPr>
          <w:rFonts w:ascii="仿宋" w:hAnsi="仿宋" w:eastAsia="仿宋" w:cs="仿宋"/>
          <w:b/>
          <w:sz w:val="24"/>
          <w:highlight w:val="none"/>
        </w:rPr>
      </w:pPr>
      <w:bookmarkStart w:id="114" w:name="_Toc32494"/>
      <w:bookmarkStart w:id="115" w:name="_Toc25571"/>
      <w:bookmarkStart w:id="116" w:name="_Toc26633"/>
      <w:bookmarkStart w:id="117" w:name="_Toc14371"/>
      <w:bookmarkStart w:id="118" w:name="_Toc4720"/>
      <w:r>
        <w:rPr>
          <w:rFonts w:hint="eastAsia" w:ascii="仿宋" w:hAnsi="仿宋" w:eastAsia="仿宋" w:cs="仿宋"/>
          <w:b/>
          <w:sz w:val="24"/>
          <w:highlight w:val="none"/>
        </w:rPr>
        <w:t>2.11 不可抗力</w:t>
      </w:r>
      <w:bookmarkEnd w:id="114"/>
      <w:bookmarkEnd w:id="115"/>
      <w:bookmarkEnd w:id="116"/>
      <w:bookmarkEnd w:id="117"/>
      <w:bookmarkEnd w:id="11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1"/>
        <w:rPr>
          <w:rFonts w:ascii="仿宋" w:hAnsi="仿宋" w:eastAsia="仿宋" w:cs="仿宋"/>
          <w:b/>
          <w:sz w:val="24"/>
          <w:highlight w:val="none"/>
        </w:rPr>
      </w:pPr>
      <w:bookmarkStart w:id="119" w:name="_Toc24465"/>
      <w:bookmarkStart w:id="120" w:name="_Toc23854"/>
      <w:bookmarkStart w:id="121" w:name="_Toc25783"/>
      <w:bookmarkStart w:id="122" w:name="_Toc3638"/>
      <w:bookmarkStart w:id="123" w:name="_Toc14115"/>
      <w:r>
        <w:rPr>
          <w:rFonts w:hint="eastAsia" w:ascii="仿宋" w:hAnsi="仿宋" w:eastAsia="仿宋" w:cs="仿宋"/>
          <w:b/>
          <w:sz w:val="24"/>
          <w:highlight w:val="none"/>
        </w:rPr>
        <w:t>2.12 税费</w:t>
      </w:r>
      <w:bookmarkEnd w:id="119"/>
      <w:bookmarkEnd w:id="120"/>
      <w:bookmarkEnd w:id="121"/>
      <w:bookmarkEnd w:id="122"/>
      <w:bookmarkEnd w:id="12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1"/>
        <w:rPr>
          <w:rFonts w:ascii="仿宋" w:hAnsi="仿宋" w:eastAsia="仿宋" w:cs="仿宋"/>
          <w:b/>
          <w:sz w:val="24"/>
          <w:highlight w:val="none"/>
        </w:rPr>
      </w:pPr>
      <w:bookmarkStart w:id="124" w:name="_Toc26883"/>
      <w:bookmarkStart w:id="125" w:name="_Toc7315"/>
      <w:bookmarkStart w:id="126" w:name="_Toc25525"/>
      <w:bookmarkStart w:id="127" w:name="_Toc30105"/>
      <w:bookmarkStart w:id="128" w:name="_Toc14814"/>
      <w:r>
        <w:rPr>
          <w:rFonts w:hint="eastAsia" w:ascii="仿宋" w:hAnsi="仿宋" w:eastAsia="仿宋" w:cs="仿宋"/>
          <w:b/>
          <w:sz w:val="24"/>
          <w:highlight w:val="none"/>
        </w:rPr>
        <w:t>2.13 乙方破产</w:t>
      </w:r>
      <w:bookmarkEnd w:id="124"/>
      <w:bookmarkEnd w:id="125"/>
      <w:bookmarkEnd w:id="126"/>
      <w:bookmarkEnd w:id="127"/>
      <w:bookmarkEnd w:id="12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1"/>
        <w:rPr>
          <w:rFonts w:ascii="仿宋" w:hAnsi="仿宋" w:eastAsia="仿宋" w:cs="仿宋"/>
          <w:b/>
          <w:sz w:val="24"/>
          <w:highlight w:val="none"/>
        </w:rPr>
      </w:pPr>
      <w:bookmarkStart w:id="129" w:name="_Toc23323"/>
      <w:bookmarkStart w:id="130" w:name="_Toc1123"/>
      <w:bookmarkStart w:id="131" w:name="_Toc2016"/>
      <w:r>
        <w:rPr>
          <w:rFonts w:hint="eastAsia" w:ascii="仿宋" w:hAnsi="仿宋" w:eastAsia="仿宋" w:cs="仿宋"/>
          <w:b/>
          <w:sz w:val="24"/>
          <w:highlight w:val="none"/>
        </w:rPr>
        <w:t>2.14 合同中止、终止</w:t>
      </w:r>
      <w:bookmarkEnd w:id="129"/>
      <w:bookmarkEnd w:id="130"/>
      <w:bookmarkEnd w:id="131"/>
    </w:p>
    <w:p>
      <w:pPr>
        <w:spacing w:line="56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sz w:val="24"/>
          <w:highlight w:val="none"/>
        </w:rPr>
      </w:pPr>
      <w:bookmarkStart w:id="132" w:name="_Toc1969"/>
      <w:bookmarkStart w:id="133" w:name="_Toc17363"/>
      <w:bookmarkStart w:id="134" w:name="_Toc14525"/>
      <w:r>
        <w:rPr>
          <w:rFonts w:hint="eastAsia" w:ascii="仿宋" w:hAnsi="仿宋" w:eastAsia="仿宋" w:cs="仿宋"/>
          <w:b/>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1"/>
        <w:rPr>
          <w:rFonts w:ascii="仿宋" w:hAnsi="仿宋" w:eastAsia="仿宋" w:cs="仿宋"/>
          <w:b/>
          <w:sz w:val="24"/>
          <w:highlight w:val="none"/>
        </w:rPr>
      </w:pPr>
      <w:bookmarkStart w:id="135" w:name="_Toc9808"/>
      <w:bookmarkStart w:id="136" w:name="_Toc25198"/>
      <w:bookmarkStart w:id="137" w:name="_Toc31892"/>
      <w:bookmarkStart w:id="138" w:name="_Toc2308"/>
      <w:bookmarkStart w:id="139" w:name="_Toc12666"/>
      <w:r>
        <w:rPr>
          <w:rFonts w:hint="eastAsia" w:ascii="仿宋" w:hAnsi="仿宋" w:eastAsia="仿宋" w:cs="仿宋"/>
          <w:b/>
          <w:sz w:val="24"/>
          <w:highlight w:val="none"/>
        </w:rPr>
        <w:t>2.16 通知和送达</w:t>
      </w:r>
      <w:bookmarkEnd w:id="135"/>
      <w:bookmarkEnd w:id="136"/>
      <w:bookmarkEnd w:id="137"/>
      <w:bookmarkEnd w:id="138"/>
      <w:bookmarkEnd w:id="139"/>
    </w:p>
    <w:p>
      <w:pPr>
        <w:spacing w:line="560" w:lineRule="exact"/>
        <w:ind w:firstLine="480" w:firstLineChars="200"/>
        <w:rPr>
          <w:rFonts w:ascii="仿宋" w:hAnsi="仿宋" w:eastAsia="仿宋" w:cs="仿宋"/>
          <w:sz w:val="24"/>
          <w:highlight w:val="none"/>
        </w:rPr>
      </w:pPr>
      <w:bookmarkStart w:id="140" w:name="_Toc27674"/>
      <w:bookmarkStart w:id="141"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1"/>
        <w:rPr>
          <w:rFonts w:ascii="仿宋" w:hAnsi="仿宋" w:eastAsia="仿宋" w:cs="仿宋"/>
          <w:b/>
          <w:sz w:val="24"/>
          <w:highlight w:val="none"/>
        </w:rPr>
      </w:pPr>
      <w:bookmarkStart w:id="142" w:name="_Toc12254"/>
      <w:bookmarkStart w:id="143" w:name="_Toc5063"/>
      <w:bookmarkStart w:id="144" w:name="_Toc27644"/>
      <w:bookmarkStart w:id="145" w:name="_Toc20808"/>
      <w:bookmarkStart w:id="146" w:name="_Toc28906"/>
      <w:r>
        <w:rPr>
          <w:rFonts w:hint="eastAsia" w:ascii="仿宋" w:hAnsi="仿宋" w:eastAsia="仿宋" w:cs="仿宋"/>
          <w:b/>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1"/>
        <w:rPr>
          <w:rFonts w:ascii="仿宋" w:hAnsi="仿宋" w:eastAsia="仿宋" w:cs="仿宋"/>
          <w:b/>
          <w:sz w:val="24"/>
          <w:highlight w:val="none"/>
        </w:rPr>
      </w:pPr>
      <w:bookmarkStart w:id="147" w:name="_Toc30599"/>
      <w:bookmarkStart w:id="148" w:name="_Toc18540"/>
      <w:bookmarkStart w:id="149" w:name="_Toc4355"/>
      <w:r>
        <w:rPr>
          <w:rFonts w:hint="eastAsia" w:ascii="仿宋" w:hAnsi="仿宋" w:eastAsia="仿宋" w:cs="仿宋"/>
          <w:b/>
          <w:sz w:val="24"/>
          <w:highlight w:val="none"/>
        </w:rPr>
        <w:t>2.18 计量单位</w:t>
      </w:r>
      <w:bookmarkEnd w:id="147"/>
      <w:bookmarkEnd w:id="148"/>
      <w:bookmarkEnd w:id="1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1"/>
        <w:rPr>
          <w:rFonts w:ascii="仿宋" w:hAnsi="仿宋" w:eastAsia="仿宋" w:cs="仿宋"/>
          <w:b/>
          <w:sz w:val="24"/>
          <w:highlight w:val="none"/>
        </w:rPr>
      </w:pPr>
      <w:bookmarkStart w:id="150" w:name="_Toc18567"/>
      <w:bookmarkStart w:id="151" w:name="_Toc487900373"/>
      <w:bookmarkStart w:id="152" w:name="_Toc12773"/>
      <w:bookmarkStart w:id="153" w:name="_Toc259093692"/>
      <w:bookmarkStart w:id="154" w:name="_Toc10330"/>
      <w:bookmarkStart w:id="155" w:name="_Toc279701263"/>
      <w:r>
        <w:rPr>
          <w:rFonts w:hint="eastAsia" w:ascii="仿宋" w:hAnsi="仿宋" w:eastAsia="仿宋" w:cs="仿宋"/>
          <w:b/>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2.20合同份数</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6" w:name="_Toc331685784"/>
      <w:r>
        <w:rPr>
          <w:rFonts w:hint="eastAsia" w:ascii="仿宋" w:hAnsi="仿宋" w:eastAsia="仿宋" w:cs="仿宋"/>
          <w:b/>
          <w:sz w:val="24"/>
          <w:highlight w:val="none"/>
        </w:rPr>
        <w:t xml:space="preserve"> </w:t>
      </w:r>
      <w:bookmarkEnd w:id="156"/>
      <w:r>
        <w:rPr>
          <w:rFonts w:hint="eastAsia" w:ascii="仿宋" w:hAnsi="仿宋" w:eastAsia="仿宋" w:cs="仿宋"/>
          <w:b/>
          <w:sz w:val="24"/>
          <w:highlight w:val="none"/>
        </w:rPr>
        <w:t>第三部分  合同专用条款</w:t>
      </w:r>
    </w:p>
    <w:p>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ascii="仿宋" w:hAnsi="仿宋" w:eastAsia="仿宋" w:cs="仿宋"/>
                <w:sz w:val="24"/>
                <w:highlight w:val="none"/>
              </w:rPr>
            </w:pPr>
          </w:p>
        </w:tc>
      </w:tr>
    </w:tbl>
    <w:p>
      <w:pPr>
        <w:spacing w:line="360" w:lineRule="auto"/>
        <w:ind w:right="-420" w:rightChars="-200"/>
        <w:outlineLvl w:val="9"/>
        <w:rPr>
          <w:rFonts w:ascii="仿宋" w:hAnsi="仿宋" w:eastAsia="仿宋" w:cs="仿宋"/>
          <w:sz w:val="24"/>
          <w:highlight w:val="none"/>
        </w:rPr>
      </w:pPr>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outlineLvl w:val="1"/>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r>
        <w:rPr>
          <w:rFonts w:hint="eastAsia" w:ascii="仿宋" w:hAnsi="仿宋" w:eastAsia="仿宋" w:cs="仿宋"/>
          <w:b/>
          <w:bCs/>
          <w:color w:val="auto"/>
          <w:sz w:val="24"/>
          <w:highlight w:val="none"/>
          <w:bdr w:val="single" w:color="auto" w:sz="4" w:space="0"/>
        </w:rPr>
        <w:t>01标</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20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outlineLvl w:val="2"/>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80</w:t>
      </w:r>
      <w:r>
        <w:rPr>
          <w:rFonts w:hint="eastAsia" w:ascii="仿宋_GB2312" w:hAnsi="宋体" w:eastAsia="仿宋_GB2312"/>
          <w:b/>
          <w:bCs/>
          <w:iCs/>
          <w:color w:val="auto"/>
          <w:sz w:val="24"/>
          <w:highlight w:val="none"/>
        </w:rPr>
        <w:t>分）</w:t>
      </w:r>
    </w:p>
    <w:tbl>
      <w:tblPr>
        <w:tblStyle w:val="62"/>
        <w:tblW w:w="47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35"/>
        <w:gridCol w:w="5288"/>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序号</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eastAsia="zh-CN"/>
              </w:rPr>
              <w:t>评分项</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评分细则</w:t>
            </w:r>
            <w:r>
              <w:rPr>
                <w:rFonts w:hint="eastAsia" w:ascii="仿宋" w:hAnsi="仿宋" w:eastAsia="仿宋" w:cs="仿宋"/>
                <w:b/>
                <w:bCs/>
                <w:sz w:val="21"/>
                <w:szCs w:val="21"/>
                <w:highlight w:val="none"/>
                <w:lang w:eastAsia="zh-CN"/>
              </w:rPr>
              <w:t>及标准</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分值</w:t>
            </w:r>
            <w:r>
              <w:rPr>
                <w:rFonts w:hint="eastAsia" w:ascii="仿宋" w:hAnsi="仿宋" w:eastAsia="仿宋" w:cs="仿宋"/>
                <w:b/>
                <w:bCs/>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1</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lang w:eastAsia="zh-CN"/>
              </w:rPr>
            </w:pPr>
            <w:r>
              <w:rPr>
                <w:rFonts w:hint="eastAsia" w:ascii="仿宋" w:hAnsi="仿宋" w:eastAsia="仿宋" w:cs="仿宋_GB2312"/>
                <w:bCs/>
                <w:kern w:val="0"/>
                <w:szCs w:val="21"/>
                <w:highlight w:val="none"/>
                <w:lang w:eastAsia="zh-CN"/>
              </w:rPr>
              <w:t>体系认证</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left"/>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具有有效的信息安全管理体系认证证书，得</w:t>
            </w:r>
            <w:r>
              <w:rPr>
                <w:rFonts w:hint="eastAsia" w:ascii="仿宋" w:hAnsi="仿宋" w:eastAsia="仿宋" w:cs="仿宋"/>
                <w:b w:val="0"/>
                <w:bCs w:val="0"/>
                <w:sz w:val="21"/>
                <w:szCs w:val="21"/>
                <w:highlight w:val="none"/>
                <w:lang w:val="en-US" w:eastAsia="zh-CN"/>
              </w:rPr>
              <w:t>1</w:t>
            </w:r>
            <w:r>
              <w:rPr>
                <w:rFonts w:hint="eastAsia" w:ascii="仿宋" w:hAnsi="仿宋" w:eastAsia="仿宋" w:cs="仿宋"/>
                <w:b w:val="0"/>
                <w:bCs w:val="0"/>
                <w:sz w:val="21"/>
                <w:szCs w:val="21"/>
                <w:highlight w:val="none"/>
              </w:rPr>
              <w:t>分；</w:t>
            </w:r>
          </w:p>
          <w:p>
            <w:pPr>
              <w:keepNext w:val="0"/>
              <w:keepLines w:val="0"/>
              <w:pageBreakBefore w:val="0"/>
              <w:kinsoku/>
              <w:wordWrap/>
              <w:overflowPunct/>
              <w:topLinePunct w:val="0"/>
              <w:autoSpaceDN/>
              <w:bidi w:val="0"/>
              <w:snapToGrid w:val="0"/>
              <w:spacing w:line="312" w:lineRule="auto"/>
              <w:ind w:left="0"/>
              <w:jc w:val="left"/>
              <w:textAlignment w:val="auto"/>
              <w:rPr>
                <w:rFonts w:hint="eastAsia" w:ascii="仿宋" w:hAnsi="仿宋" w:eastAsia="仿宋" w:cs="仿宋"/>
                <w:b w:val="0"/>
                <w:bCs w:val="0"/>
                <w:sz w:val="21"/>
                <w:szCs w:val="21"/>
                <w:highlight w:val="none"/>
                <w:lang w:eastAsia="zh-CN"/>
              </w:rPr>
            </w:pPr>
            <w:r>
              <w:rPr>
                <w:rFonts w:hint="eastAsia" w:ascii="仿宋" w:hAnsi="仿宋" w:eastAsia="仿宋" w:cs="仿宋_GB2312"/>
                <w:bCs/>
                <w:kern w:val="0"/>
                <w:szCs w:val="21"/>
                <w:highlight w:val="none"/>
              </w:rPr>
              <w:t>注：需同时提供相关证书扫描件和全国认证认可信息公共服务平台官网（网址：http://cx.cnca.cn/）截图</w:t>
            </w:r>
            <w:r>
              <w:rPr>
                <w:rFonts w:hint="eastAsia" w:ascii="仿宋" w:hAnsi="仿宋" w:eastAsia="仿宋" w:cs="仿宋_GB2312"/>
                <w:bCs/>
                <w:kern w:val="0"/>
                <w:szCs w:val="21"/>
                <w:highlight w:val="none"/>
                <w:lang w:eastAsia="zh-CN"/>
              </w:rPr>
              <w:t>加盖公章</w:t>
            </w:r>
            <w:r>
              <w:rPr>
                <w:rFonts w:hint="eastAsia" w:ascii="仿宋" w:hAnsi="仿宋" w:eastAsia="仿宋" w:cs="仿宋_GB2312"/>
                <w:bCs/>
                <w:kern w:val="0"/>
                <w:szCs w:val="21"/>
                <w:highlight w:val="none"/>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default"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2</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val="0"/>
                <w:bCs w:val="0"/>
                <w:sz w:val="21"/>
                <w:szCs w:val="21"/>
                <w:highlight w:val="none"/>
                <w:lang w:val="en-US" w:eastAsia="zh-CN"/>
              </w:rPr>
              <w:t>业绩</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left"/>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供应商自2021年01月01日以来（以合同签订时间为准），具有类似项目业绩的，每提供1个得0.5分，最多得</w:t>
            </w:r>
            <w:r>
              <w:rPr>
                <w:rFonts w:hint="eastAsia" w:ascii="仿宋" w:hAnsi="仿宋" w:eastAsia="仿宋" w:cs="仿宋"/>
                <w:b w:val="0"/>
                <w:bCs w:val="0"/>
                <w:sz w:val="21"/>
                <w:szCs w:val="21"/>
                <w:highlight w:val="none"/>
                <w:lang w:val="en-US" w:eastAsia="zh-CN"/>
              </w:rPr>
              <w:t>2</w:t>
            </w:r>
            <w:r>
              <w:rPr>
                <w:rFonts w:hint="eastAsia" w:ascii="仿宋" w:hAnsi="仿宋" w:eastAsia="仿宋" w:cs="仿宋"/>
                <w:b w:val="0"/>
                <w:bCs w:val="0"/>
                <w:sz w:val="21"/>
                <w:szCs w:val="21"/>
                <w:highlight w:val="none"/>
              </w:rPr>
              <w:t>分。</w:t>
            </w:r>
          </w:p>
          <w:p>
            <w:pPr>
              <w:keepNext w:val="0"/>
              <w:keepLines w:val="0"/>
              <w:pageBreakBefore w:val="0"/>
              <w:kinsoku/>
              <w:wordWrap/>
              <w:overflowPunct/>
              <w:topLinePunct w:val="0"/>
              <w:autoSpaceDN/>
              <w:bidi w:val="0"/>
              <w:snapToGrid w:val="0"/>
              <w:spacing w:line="312" w:lineRule="auto"/>
              <w:ind w:left="0"/>
              <w:jc w:val="left"/>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注：提供合同</w:t>
            </w:r>
            <w:r>
              <w:rPr>
                <w:rFonts w:hint="eastAsia" w:ascii="仿宋" w:hAnsi="仿宋" w:eastAsia="仿宋" w:cs="仿宋"/>
                <w:b w:val="0"/>
                <w:bCs w:val="0"/>
                <w:sz w:val="21"/>
                <w:szCs w:val="21"/>
                <w:highlight w:val="none"/>
                <w:lang w:eastAsia="zh-CN"/>
              </w:rPr>
              <w:t>扫描件加盖单位公章</w:t>
            </w:r>
            <w:r>
              <w:rPr>
                <w:rFonts w:hint="eastAsia" w:ascii="仿宋" w:hAnsi="仿宋" w:eastAsia="仿宋" w:cs="仿宋"/>
                <w:b w:val="0"/>
                <w:bCs w:val="0"/>
                <w:sz w:val="21"/>
                <w:szCs w:val="21"/>
                <w:highlight w:val="none"/>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jc w:val="center"/>
              <w:textAlignment w:val="auto"/>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3</w:t>
            </w:r>
          </w:p>
        </w:tc>
        <w:tc>
          <w:tcPr>
            <w:tcW w:w="93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rPr>
              <w:t>总体技术解决方案与对项目需求的理解</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default" w:ascii="仿宋" w:hAnsi="仿宋" w:eastAsia="仿宋" w:cs="仿宋"/>
                <w:bCs/>
                <w:sz w:val="21"/>
                <w:szCs w:val="21"/>
                <w:highlight w:val="none"/>
                <w:lang w:val="en-US" w:eastAsia="zh-CN"/>
              </w:rPr>
            </w:pPr>
            <w:r>
              <w:rPr>
                <w:rFonts w:hint="eastAsia" w:ascii="仿宋" w:hAnsi="仿宋" w:eastAsia="仿宋" w:cs="仿宋"/>
                <w:kern w:val="0"/>
                <w:sz w:val="21"/>
                <w:szCs w:val="21"/>
                <w:highlight w:val="none"/>
              </w:rPr>
              <w:t>对本项目背景、目标、内容的理解情况，技术整体方案内容是否齐全、条理清晰程度，是否符合采购人当前和未来发展的要求进行评分。</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4,2,1,0）</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4</w:t>
            </w:r>
          </w:p>
        </w:tc>
        <w:tc>
          <w:tcPr>
            <w:tcW w:w="93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rPr>
            </w:pP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snapToGrid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整体</w:t>
            </w:r>
            <w:r>
              <w:rPr>
                <w:rFonts w:hint="eastAsia" w:ascii="仿宋" w:hAnsi="仿宋" w:eastAsia="仿宋" w:cs="仿宋"/>
                <w:sz w:val="21"/>
                <w:szCs w:val="21"/>
                <w:highlight w:val="none"/>
                <w:lang w:eastAsia="zh-CN"/>
              </w:rPr>
              <w:t>技术</w:t>
            </w:r>
            <w:r>
              <w:rPr>
                <w:rFonts w:hint="eastAsia" w:ascii="仿宋" w:hAnsi="仿宋" w:eastAsia="仿宋" w:cs="仿宋"/>
                <w:sz w:val="21"/>
                <w:szCs w:val="21"/>
                <w:highlight w:val="none"/>
              </w:rPr>
              <w:t>方案及架构的整体性和先进性，技术方案能否实现用户采购的技术目标、服务目标和其他要求，对项目应用服务实现方面的理解情况和所采取的技术水平，以及整体功能的完整性情况：</w:t>
            </w:r>
          </w:p>
          <w:p>
            <w:pPr>
              <w:pStyle w:val="33"/>
              <w:keepNext w:val="0"/>
              <w:keepLines w:val="0"/>
              <w:pageBreakBefore w:val="0"/>
              <w:numPr>
                <w:ilvl w:val="0"/>
                <w:numId w:val="4"/>
              </w:numPr>
              <w:kinsoku/>
              <w:wordWrap/>
              <w:overflowPunct/>
              <w:topLinePunct w:val="0"/>
              <w:autoSpaceDN/>
              <w:bidi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是否</w:t>
            </w:r>
            <w:r>
              <w:rPr>
                <w:rFonts w:hint="eastAsia" w:ascii="仿宋" w:hAnsi="仿宋" w:eastAsia="仿宋" w:cs="仿宋"/>
                <w:sz w:val="21"/>
                <w:szCs w:val="21"/>
                <w:highlight w:val="none"/>
                <w:lang w:eastAsia="zh-CN"/>
              </w:rPr>
              <w:t>响应项目系统建设</w:t>
            </w:r>
            <w:r>
              <w:rPr>
                <w:rFonts w:hint="eastAsia" w:ascii="仿宋" w:hAnsi="仿宋" w:eastAsia="仿宋" w:cs="仿宋"/>
                <w:sz w:val="21"/>
                <w:szCs w:val="21"/>
                <w:highlight w:val="none"/>
              </w:rPr>
              <w:t>技术要求</w:t>
            </w:r>
            <w:r>
              <w:rPr>
                <w:rFonts w:hint="eastAsia" w:ascii="仿宋" w:hAnsi="仿宋" w:eastAsia="仿宋" w:cs="仿宋"/>
                <w:sz w:val="21"/>
                <w:szCs w:val="21"/>
                <w:highlight w:val="none"/>
                <w:lang w:eastAsia="zh-CN"/>
              </w:rPr>
              <w:t>及相关</w:t>
            </w:r>
            <w:r>
              <w:rPr>
                <w:rFonts w:hint="eastAsia" w:ascii="仿宋" w:hAnsi="仿宋" w:eastAsia="仿宋" w:cs="仿宋"/>
                <w:sz w:val="21"/>
                <w:szCs w:val="21"/>
                <w:highlight w:val="none"/>
              </w:rPr>
              <w:t>设备功能，</w:t>
            </w:r>
            <w:r>
              <w:rPr>
                <w:rFonts w:hint="eastAsia" w:ascii="仿宋" w:hAnsi="仿宋" w:eastAsia="仿宋" w:cs="仿宋"/>
                <w:szCs w:val="21"/>
                <w:highlight w:val="none"/>
              </w:rPr>
              <w:t>标“</w:t>
            </w:r>
            <w:r>
              <w:rPr>
                <w:rFonts w:hint="eastAsia" w:ascii="仿宋" w:hAnsi="仿宋" w:eastAsia="仿宋" w:cs="Arial"/>
                <w:bCs/>
                <w:szCs w:val="21"/>
                <w:highlight w:val="none"/>
              </w:rPr>
              <w:t>★</w:t>
            </w:r>
            <w:r>
              <w:rPr>
                <w:rFonts w:hint="eastAsia" w:ascii="仿宋" w:hAnsi="仿宋" w:eastAsia="仿宋" w:cs="仿宋"/>
                <w:szCs w:val="21"/>
                <w:highlight w:val="none"/>
              </w:rPr>
              <w:t>”项技术指标负偏离</w:t>
            </w:r>
            <w:r>
              <w:rPr>
                <w:rFonts w:hint="eastAsia" w:ascii="仿宋" w:hAnsi="仿宋" w:eastAsia="仿宋" w:cs="仿宋"/>
                <w:szCs w:val="21"/>
                <w:highlight w:val="none"/>
                <w:lang w:eastAsia="zh-CN"/>
              </w:rPr>
              <w:t>作无效标处理，</w:t>
            </w:r>
            <w:r>
              <w:rPr>
                <w:rFonts w:hint="eastAsia" w:ascii="仿宋" w:hAnsi="仿宋" w:eastAsia="仿宋" w:cs="仿宋"/>
                <w:szCs w:val="21"/>
                <w:highlight w:val="none"/>
              </w:rPr>
              <w:t>标“</w:t>
            </w:r>
            <w:r>
              <w:rPr>
                <w:rFonts w:hint="eastAsia" w:ascii="仿宋" w:hAnsi="仿宋" w:eastAsia="仿宋"/>
                <w:sz w:val="24"/>
                <w:highlight w:val="none"/>
              </w:rPr>
              <w:t>▲</w:t>
            </w:r>
            <w:r>
              <w:rPr>
                <w:rFonts w:hint="eastAsia" w:ascii="仿宋" w:hAnsi="仿宋" w:eastAsia="仿宋" w:cs="仿宋"/>
                <w:szCs w:val="21"/>
                <w:highlight w:val="none"/>
              </w:rPr>
              <w:t>”项技术指标负偏离每一项扣减</w:t>
            </w:r>
            <w:r>
              <w:rPr>
                <w:rFonts w:hint="eastAsia" w:ascii="仿宋" w:hAnsi="仿宋" w:eastAsia="仿宋" w:cs="仿宋"/>
                <w:szCs w:val="21"/>
                <w:highlight w:val="none"/>
                <w:lang w:eastAsia="zh-CN"/>
              </w:rPr>
              <w:t>2</w:t>
            </w:r>
            <w:r>
              <w:rPr>
                <w:rFonts w:hint="eastAsia" w:ascii="仿宋" w:hAnsi="仿宋" w:eastAsia="仿宋" w:cs="仿宋"/>
                <w:szCs w:val="21"/>
                <w:highlight w:val="none"/>
              </w:rPr>
              <w:t>分，其他技术指标负偏离每一项扣减</w:t>
            </w:r>
            <w:r>
              <w:rPr>
                <w:rFonts w:hint="eastAsia" w:ascii="仿宋" w:hAnsi="仿宋" w:eastAsia="仿宋" w:cs="仿宋"/>
                <w:szCs w:val="21"/>
                <w:highlight w:val="none"/>
                <w:lang w:eastAsia="zh-CN"/>
              </w:rPr>
              <w:t>1</w:t>
            </w:r>
            <w:r>
              <w:rPr>
                <w:rFonts w:hint="eastAsia" w:ascii="仿宋" w:hAnsi="仿宋" w:eastAsia="仿宋" w:cs="仿宋"/>
                <w:szCs w:val="21"/>
                <w:highlight w:val="none"/>
              </w:rPr>
              <w:t>分，</w:t>
            </w:r>
            <w:r>
              <w:rPr>
                <w:rFonts w:hint="eastAsia" w:ascii="仿宋" w:hAnsi="仿宋" w:eastAsia="仿宋" w:cs="仿宋"/>
                <w:szCs w:val="21"/>
                <w:highlight w:val="none"/>
                <w:lang w:eastAsia="zh-CN"/>
              </w:rPr>
              <w:t>扣完为止，本项最多得</w:t>
            </w:r>
            <w:r>
              <w:rPr>
                <w:rFonts w:hint="eastAsia" w:ascii="仿宋" w:hAnsi="仿宋" w:eastAsia="仿宋" w:cs="仿宋"/>
                <w:szCs w:val="21"/>
                <w:highlight w:val="none"/>
                <w:lang w:val="en-US" w:eastAsia="zh-CN"/>
              </w:rPr>
              <w:t>20分。</w:t>
            </w:r>
            <w:r>
              <w:rPr>
                <w:rFonts w:hint="eastAsia" w:ascii="仿宋" w:hAnsi="仿宋" w:eastAsia="仿宋" w:cs="仿宋"/>
                <w:szCs w:val="21"/>
                <w:highlight w:val="none"/>
              </w:rPr>
              <w:t>（相同产品不重复扣分</w:t>
            </w:r>
            <w:r>
              <w:rPr>
                <w:rFonts w:hint="eastAsia" w:ascii="仿宋" w:hAnsi="仿宋" w:eastAsia="仿宋" w:cs="仿宋"/>
                <w:szCs w:val="21"/>
                <w:highlight w:val="none"/>
                <w:lang w:eastAsia="zh-CN"/>
              </w:rPr>
              <w:t>，</w:t>
            </w:r>
            <w:r>
              <w:rPr>
                <w:rFonts w:hint="eastAsia" w:ascii="仿宋" w:hAnsi="仿宋" w:eastAsia="仿宋" w:cs="仿宋"/>
                <w:szCs w:val="21"/>
                <w:highlight w:val="none"/>
              </w:rPr>
              <w:t>提供证书、检测报告等证明文件，不提供视作负偏离）</w:t>
            </w:r>
            <w:r>
              <w:rPr>
                <w:rFonts w:hint="eastAsia" w:ascii="仿宋" w:hAnsi="仿宋" w:eastAsia="仿宋" w:cs="仿宋"/>
                <w:sz w:val="21"/>
                <w:szCs w:val="21"/>
                <w:highlight w:val="none"/>
              </w:rPr>
              <w:t>：</w:t>
            </w:r>
          </w:p>
          <w:p>
            <w:pPr>
              <w:pStyle w:val="33"/>
              <w:keepNext w:val="0"/>
              <w:keepLines w:val="0"/>
              <w:pageBreakBefore w:val="0"/>
              <w:numPr>
                <w:ilvl w:val="0"/>
                <w:numId w:val="4"/>
              </w:numPr>
              <w:kinsoku/>
              <w:wordWrap/>
              <w:overflowPunct/>
              <w:topLinePunct w:val="0"/>
              <w:autoSpaceDN/>
              <w:bidi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提供电梯智慧运行监测系统的总体设计和详细功能设计方案</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12,6,3,0）。</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default"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5</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kern w:val="0"/>
                <w:sz w:val="21"/>
                <w:szCs w:val="21"/>
                <w:highlight w:val="none"/>
              </w:rPr>
              <w:t>项目实施方案</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bCs/>
                <w:sz w:val="21"/>
                <w:szCs w:val="21"/>
                <w:highlight w:val="none"/>
              </w:rPr>
            </w:pPr>
            <w:r>
              <w:rPr>
                <w:rFonts w:hint="eastAsia" w:ascii="仿宋" w:hAnsi="仿宋" w:eastAsia="仿宋" w:cs="仿宋"/>
                <w:sz w:val="21"/>
                <w:szCs w:val="21"/>
                <w:highlight w:val="none"/>
              </w:rPr>
              <w:t>投标人项目组织实施方案，包括且不限于以下环节，</w:t>
            </w:r>
            <w:r>
              <w:rPr>
                <w:rFonts w:hint="eastAsia" w:ascii="仿宋" w:hAnsi="仿宋" w:eastAsia="仿宋" w:cs="仿宋"/>
                <w:sz w:val="21"/>
                <w:szCs w:val="21"/>
                <w:highlight w:val="none"/>
                <w:lang w:eastAsia="zh-CN"/>
              </w:rPr>
              <w:t>技术人员组织、</w:t>
            </w:r>
            <w:r>
              <w:rPr>
                <w:rFonts w:hint="eastAsia" w:ascii="仿宋" w:hAnsi="仿宋" w:eastAsia="仿宋" w:cs="仿宋"/>
                <w:sz w:val="21"/>
                <w:szCs w:val="21"/>
                <w:highlight w:val="none"/>
              </w:rPr>
              <w:t>需求沟通、系统设计、系统开发、安装调试、系统集成、试运行、测试、调优、系统维护等内容，</w:t>
            </w:r>
            <w:r>
              <w:rPr>
                <w:rFonts w:hint="eastAsia" w:ascii="仿宋" w:hAnsi="仿宋" w:eastAsia="仿宋" w:cs="仿宋"/>
                <w:sz w:val="21"/>
                <w:szCs w:val="21"/>
                <w:highlight w:val="none"/>
                <w:lang w:val="en-GB"/>
              </w:rPr>
              <w:t>以及工作时间进度表、</w:t>
            </w:r>
            <w:r>
              <w:rPr>
                <w:rFonts w:hint="eastAsia" w:ascii="仿宋" w:hAnsi="仿宋" w:eastAsia="仿宋" w:cs="仿宋"/>
                <w:sz w:val="21"/>
                <w:szCs w:val="21"/>
                <w:highlight w:val="none"/>
              </w:rPr>
              <w:t>电梯物联终端实施、电梯应用平台实施</w:t>
            </w:r>
            <w:r>
              <w:rPr>
                <w:rFonts w:hint="eastAsia" w:ascii="仿宋" w:hAnsi="仿宋" w:eastAsia="仿宋" w:cs="仿宋"/>
                <w:sz w:val="21"/>
                <w:szCs w:val="21"/>
                <w:highlight w:val="none"/>
                <w:lang w:val="en-GB"/>
              </w:rPr>
              <w:t>等</w:t>
            </w:r>
            <w:r>
              <w:rPr>
                <w:rFonts w:hint="eastAsia" w:ascii="仿宋" w:hAnsi="仿宋" w:eastAsia="仿宋" w:cs="仿宋"/>
                <w:sz w:val="21"/>
                <w:szCs w:val="21"/>
                <w:highlight w:val="none"/>
              </w:rPr>
              <w:t>方案</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12,6,3,0）</w:t>
            </w:r>
            <w:r>
              <w:rPr>
                <w:rFonts w:hint="eastAsia" w:ascii="仿宋" w:hAnsi="仿宋" w:eastAsia="仿宋" w:cs="仿宋"/>
                <w:sz w:val="21"/>
                <w:szCs w:val="21"/>
                <w:highlight w:val="none"/>
                <w:lang w:val="en-GB"/>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default"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6</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eastAsia="zh-CN"/>
              </w:rPr>
              <w:t>项目团队</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sz w:val="21"/>
                <w:szCs w:val="21"/>
                <w:highlight w:val="none"/>
              </w:rPr>
            </w:pPr>
            <w:r>
              <w:rPr>
                <w:rFonts w:hint="eastAsia" w:ascii="仿宋" w:hAnsi="仿宋" w:eastAsia="仿宋" w:cs="仿宋"/>
                <w:bCs w:val="0"/>
                <w:kern w:val="2"/>
                <w:szCs w:val="21"/>
                <w:highlight w:val="none"/>
                <w:lang w:eastAsia="zh-CN"/>
              </w:rPr>
              <w:t>投标人提供符合项目需求的</w:t>
            </w:r>
            <w:r>
              <w:rPr>
                <w:rFonts w:hint="eastAsia" w:ascii="仿宋" w:hAnsi="仿宋" w:eastAsia="仿宋" w:cs="仿宋"/>
                <w:bCs w:val="0"/>
                <w:kern w:val="2"/>
                <w:szCs w:val="21"/>
                <w:highlight w:val="none"/>
              </w:rPr>
              <w:t>项目</w:t>
            </w:r>
            <w:r>
              <w:rPr>
                <w:rFonts w:hint="eastAsia" w:ascii="仿宋" w:hAnsi="仿宋" w:eastAsia="仿宋" w:cs="仿宋"/>
                <w:bCs w:val="0"/>
                <w:kern w:val="2"/>
                <w:szCs w:val="21"/>
                <w:highlight w:val="none"/>
                <w:lang w:eastAsia="zh-CN"/>
              </w:rPr>
              <w:t>负责人、技术负责人等项目相关团队人员，项目团队是否具有专业素质和相关经验，人员配备是否齐全、合理等</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4,2,1,0）</w:t>
            </w:r>
            <w:r>
              <w:rPr>
                <w:rFonts w:hint="eastAsia" w:ascii="仿宋" w:hAnsi="仿宋" w:eastAsia="仿宋" w:cs="仿宋"/>
                <w:kern w:val="0"/>
                <w:sz w:val="21"/>
                <w:szCs w:val="21"/>
                <w:highlight w:val="none"/>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7</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lang w:eastAsia="zh-CN"/>
              </w:rPr>
            </w:pPr>
            <w:r>
              <w:rPr>
                <w:rFonts w:hint="eastAsia" w:ascii="仿宋" w:hAnsi="仿宋" w:eastAsia="仿宋" w:cs="仿宋"/>
                <w:kern w:val="0"/>
                <w:sz w:val="21"/>
                <w:szCs w:val="21"/>
                <w:highlight w:val="none"/>
                <w:lang w:eastAsia="zh-CN"/>
              </w:rPr>
              <w:t>质量保障</w:t>
            </w:r>
          </w:p>
        </w:tc>
        <w:tc>
          <w:tcPr>
            <w:tcW w:w="3038" w:type="pct"/>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hint="eastAsia" w:ascii="仿宋" w:hAnsi="仿宋" w:eastAsia="仿宋" w:cs="仿宋"/>
                <w:bCs w:val="0"/>
                <w:kern w:val="2"/>
                <w:szCs w:val="21"/>
                <w:highlight w:val="none"/>
              </w:rPr>
            </w:pPr>
            <w:r>
              <w:rPr>
                <w:rFonts w:hint="eastAsia" w:ascii="仿宋" w:hAnsi="仿宋" w:eastAsia="仿宋" w:cs="仿宋"/>
                <w:bCs w:val="0"/>
                <w:kern w:val="2"/>
                <w:szCs w:val="21"/>
                <w:highlight w:val="none"/>
              </w:rPr>
              <w:t>①供应商拟供产品具有CMA</w:t>
            </w:r>
            <w:r>
              <w:rPr>
                <w:rFonts w:hint="eastAsia" w:ascii="仿宋" w:hAnsi="仿宋" w:eastAsia="仿宋" w:cs="仿宋"/>
                <w:bCs w:val="0"/>
                <w:kern w:val="2"/>
                <w:szCs w:val="21"/>
                <w:highlight w:val="none"/>
                <w:lang w:val="en-US" w:eastAsia="zh-CN"/>
              </w:rPr>
              <w:t>或</w:t>
            </w:r>
            <w:r>
              <w:rPr>
                <w:rFonts w:hint="eastAsia" w:ascii="仿宋" w:hAnsi="仿宋" w:eastAsia="仿宋" w:cs="仿宋"/>
                <w:bCs w:val="0"/>
                <w:kern w:val="2"/>
                <w:szCs w:val="21"/>
                <w:highlight w:val="none"/>
              </w:rPr>
              <w:t>CNAS标志的检测机构出具的，满足GB/T 5080.7-1986《设备可靠性试验恒定失效率假设下的失效率与平均无故障时间的验证试验方案》，MTBF≥5000小时的可靠性试验检测报告的得2分；</w:t>
            </w:r>
          </w:p>
          <w:p>
            <w:pPr>
              <w:widowControl/>
              <w:snapToGrid w:val="0"/>
              <w:spacing w:line="312" w:lineRule="auto"/>
              <w:jc w:val="left"/>
              <w:rPr>
                <w:rFonts w:hint="eastAsia" w:ascii="仿宋" w:hAnsi="仿宋" w:eastAsia="仿宋" w:cs="仿宋"/>
                <w:bCs w:val="0"/>
                <w:kern w:val="2"/>
                <w:szCs w:val="21"/>
                <w:highlight w:val="none"/>
              </w:rPr>
            </w:pPr>
            <w:r>
              <w:rPr>
                <w:rFonts w:hint="eastAsia" w:ascii="仿宋" w:hAnsi="仿宋" w:eastAsia="仿宋" w:cs="仿宋"/>
                <w:bCs w:val="0"/>
                <w:kern w:val="2"/>
                <w:szCs w:val="21"/>
                <w:highlight w:val="none"/>
              </w:rPr>
              <w:t>②供应商拟供智能摄像机需具有检测机构的检验报告，符合GB/T 15211-2013，GB16796-2009，GA/T1127-2013的得2分；</w:t>
            </w:r>
          </w:p>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bCs w:val="0"/>
                <w:sz w:val="21"/>
                <w:szCs w:val="21"/>
                <w:highlight w:val="none"/>
              </w:rPr>
            </w:pPr>
            <w:r>
              <w:rPr>
                <w:rFonts w:hint="eastAsia" w:ascii="仿宋" w:hAnsi="仿宋" w:eastAsia="仿宋" w:cs="仿宋"/>
                <w:bCs w:val="0"/>
                <w:kern w:val="2"/>
                <w:szCs w:val="21"/>
                <w:highlight w:val="none"/>
              </w:rPr>
              <w:t>③供应商拟供电梯智慧管理系统具有EMC电磁检测报告符合GB17799.3-2012、GB/T 17799.1-2017相关标准的得2分；</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8</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培训方案</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bCs/>
                <w:sz w:val="21"/>
                <w:szCs w:val="21"/>
                <w:highlight w:val="none"/>
              </w:rPr>
            </w:pPr>
            <w:r>
              <w:rPr>
                <w:rFonts w:hint="eastAsia" w:ascii="仿宋" w:hAnsi="仿宋" w:eastAsia="仿宋" w:cs="仿宋"/>
                <w:kern w:val="0"/>
                <w:sz w:val="21"/>
                <w:szCs w:val="21"/>
                <w:highlight w:val="none"/>
              </w:rPr>
              <w:t>投标人提供的用户培训方案的培训内容、培训流程的可操作性等</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3,2,1,0）</w:t>
            </w:r>
            <w:r>
              <w:rPr>
                <w:rFonts w:hint="eastAsia" w:ascii="仿宋" w:hAnsi="仿宋" w:eastAsia="仿宋" w:cs="仿宋"/>
                <w:kern w:val="0"/>
                <w:sz w:val="21"/>
                <w:szCs w:val="21"/>
                <w:highlight w:val="none"/>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eastAsia" w:ascii="仿宋" w:hAnsi="仿宋" w:eastAsia="仿宋" w:cs="仿宋"/>
                <w:sz w:val="21"/>
                <w:szCs w:val="21"/>
                <w:highlight w:val="none"/>
                <w:lang w:eastAsia="zh-CN"/>
              </w:rPr>
            </w:pPr>
            <w:r>
              <w:rPr>
                <w:rFonts w:hint="eastAsia" w:ascii="仿宋" w:hAnsi="仿宋" w:eastAsia="仿宋" w:cs="仿宋"/>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9</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情况</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bCs/>
                <w:sz w:val="21"/>
                <w:szCs w:val="21"/>
                <w:highlight w:val="none"/>
              </w:rPr>
            </w:pPr>
            <w:r>
              <w:rPr>
                <w:rFonts w:hint="eastAsia" w:ascii="仿宋" w:hAnsi="仿宋" w:eastAsia="仿宋" w:cs="仿宋"/>
                <w:kern w:val="0"/>
                <w:sz w:val="21"/>
                <w:szCs w:val="21"/>
                <w:highlight w:val="none"/>
              </w:rPr>
              <w:t>投标人提供的售后服务方案</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售后维护机构和人员情况</w:t>
            </w:r>
            <w:r>
              <w:rPr>
                <w:rFonts w:hint="eastAsia" w:ascii="仿宋" w:hAnsi="仿宋" w:eastAsia="仿宋" w:cs="仿宋"/>
                <w:kern w:val="0"/>
                <w:sz w:val="21"/>
                <w:szCs w:val="21"/>
                <w:highlight w:val="none"/>
                <w:lang w:eastAsia="zh-CN"/>
              </w:rPr>
              <w:t>、响应时间）</w:t>
            </w:r>
            <w:r>
              <w:rPr>
                <w:rFonts w:hint="eastAsia" w:ascii="仿宋" w:hAnsi="仿宋" w:eastAsia="仿宋" w:cs="仿宋"/>
                <w:kern w:val="0"/>
                <w:sz w:val="21"/>
                <w:szCs w:val="21"/>
                <w:highlight w:val="none"/>
              </w:rPr>
              <w:t>、售后服务承诺的可行性、完整性以及服务承诺落实的保障措施，维护期内外的后续技术支持和维护能力情况等。</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lang w:val="en-US" w:eastAsia="zh-CN"/>
              </w:rPr>
              <w:t>8,4,2,0）</w:t>
            </w:r>
            <w:r>
              <w:rPr>
                <w:rFonts w:hint="eastAsia" w:ascii="仿宋" w:hAnsi="仿宋" w:eastAsia="仿宋" w:cs="仿宋"/>
                <w:kern w:val="0"/>
                <w:sz w:val="21"/>
                <w:szCs w:val="21"/>
                <w:highlight w:val="none"/>
              </w:rPr>
              <w:t>。</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eastAsia" w:ascii="仿宋" w:hAnsi="仿宋" w:eastAsia="仿宋" w:cs="仿宋"/>
                <w:sz w:val="21"/>
                <w:szCs w:val="21"/>
                <w:highlight w:val="none"/>
                <w:lang w:eastAsia="zh-CN"/>
              </w:rPr>
            </w:pPr>
            <w:r>
              <w:rPr>
                <w:rFonts w:hint="eastAsia" w:ascii="仿宋" w:hAnsi="仿宋" w:eastAsia="仿宋" w:cs="仿宋"/>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default"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lang w:val="en-US" w:eastAsia="zh-CN"/>
              </w:rPr>
              <w:t>10</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对接要求</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本次项目建设的系统要求对接到</w:t>
            </w:r>
            <w:r>
              <w:rPr>
                <w:rFonts w:hint="eastAsia" w:ascii="仿宋" w:hAnsi="仿宋" w:eastAsia="仿宋" w:cs="仿宋"/>
                <w:sz w:val="21"/>
                <w:szCs w:val="21"/>
                <w:highlight w:val="none"/>
                <w:lang w:val="en-US" w:eastAsia="zh-CN"/>
              </w:rPr>
              <w:t>绍兴</w:t>
            </w:r>
            <w:r>
              <w:rPr>
                <w:rFonts w:hint="eastAsia" w:ascii="仿宋" w:hAnsi="仿宋" w:eastAsia="仿宋" w:cs="仿宋"/>
                <w:sz w:val="21"/>
                <w:szCs w:val="21"/>
                <w:highlight w:val="none"/>
              </w:rPr>
              <w:t>市</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智慧电梯”</w:t>
            </w:r>
            <w:r>
              <w:rPr>
                <w:rFonts w:hint="eastAsia" w:ascii="仿宋" w:hAnsi="仿宋" w:eastAsia="仿宋" w:cs="仿宋"/>
                <w:sz w:val="21"/>
                <w:szCs w:val="21"/>
                <w:highlight w:val="none"/>
              </w:rPr>
              <w:t>平台，投标人</w:t>
            </w:r>
            <w:r>
              <w:rPr>
                <w:rFonts w:hint="eastAsia" w:ascii="仿宋" w:hAnsi="仿宋" w:eastAsia="仿宋" w:cs="仿宋"/>
                <w:sz w:val="21"/>
                <w:szCs w:val="21"/>
                <w:highlight w:val="none"/>
                <w:lang w:eastAsia="zh-CN"/>
              </w:rPr>
              <w:t>承诺中标后完成</w:t>
            </w:r>
            <w:r>
              <w:rPr>
                <w:rFonts w:hint="eastAsia" w:ascii="仿宋" w:hAnsi="仿宋" w:eastAsia="仿宋" w:cs="仿宋"/>
                <w:sz w:val="21"/>
                <w:szCs w:val="21"/>
                <w:highlight w:val="none"/>
              </w:rPr>
              <w:t>平台对接</w:t>
            </w:r>
            <w:r>
              <w:rPr>
                <w:rFonts w:hint="eastAsia" w:ascii="仿宋" w:hAnsi="仿宋" w:eastAsia="仿宋" w:cs="仿宋"/>
                <w:sz w:val="21"/>
                <w:szCs w:val="21"/>
                <w:highlight w:val="none"/>
                <w:lang w:val="en-US" w:eastAsia="zh-CN"/>
              </w:rPr>
              <w:t>的得2分。</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napToGrid w:val="0"/>
              <w:spacing w:line="312" w:lineRule="auto"/>
              <w:ind w:left="0" w:leftChars="0"/>
              <w:jc w:val="center"/>
              <w:textAlignment w:val="auto"/>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11</w:t>
            </w:r>
          </w:p>
        </w:tc>
        <w:tc>
          <w:tcPr>
            <w:tcW w:w="9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服务期</w:t>
            </w:r>
          </w:p>
        </w:tc>
        <w:tc>
          <w:tcPr>
            <w:tcW w:w="303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满足招标文件</w:t>
            </w:r>
            <w:r>
              <w:rPr>
                <w:rFonts w:hint="eastAsia" w:ascii="仿宋" w:hAnsi="仿宋" w:eastAsia="仿宋" w:cs="仿宋"/>
                <w:sz w:val="21"/>
                <w:szCs w:val="21"/>
                <w:highlight w:val="none"/>
                <w:lang w:eastAsia="zh-CN"/>
              </w:rPr>
              <w:t>服务、质保</w:t>
            </w:r>
            <w:r>
              <w:rPr>
                <w:rFonts w:hint="eastAsia" w:ascii="仿宋" w:hAnsi="仿宋" w:eastAsia="仿宋" w:cs="仿宋"/>
                <w:sz w:val="21"/>
                <w:szCs w:val="21"/>
                <w:highlight w:val="none"/>
              </w:rPr>
              <w:t>年限要求的</w:t>
            </w:r>
            <w:r>
              <w:rPr>
                <w:rFonts w:hint="eastAsia" w:ascii="仿宋" w:hAnsi="仿宋" w:eastAsia="仿宋" w:cs="仿宋"/>
                <w:sz w:val="21"/>
                <w:szCs w:val="21"/>
                <w:highlight w:val="none"/>
                <w:lang w:eastAsia="zh-CN"/>
              </w:rPr>
              <w:t>基础</w:t>
            </w:r>
            <w:r>
              <w:rPr>
                <w:rFonts w:hint="eastAsia" w:ascii="仿宋" w:hAnsi="仿宋" w:eastAsia="仿宋" w:cs="仿宋"/>
                <w:sz w:val="21"/>
                <w:szCs w:val="21"/>
                <w:highlight w:val="none"/>
              </w:rPr>
              <w:t>，每延长1年增加</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分，最高加6分。</w:t>
            </w:r>
          </w:p>
        </w:tc>
        <w:tc>
          <w:tcPr>
            <w:tcW w:w="5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snapToGrid w:val="0"/>
              <w:spacing w:line="312" w:lineRule="auto"/>
              <w:ind w:left="0"/>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6</w:t>
            </w:r>
          </w:p>
        </w:tc>
      </w:tr>
    </w:tbl>
    <w:p>
      <w:pPr>
        <w:rPr>
          <w:rFonts w:hint="eastAsia"/>
          <w:color w:val="auto"/>
          <w:highlight w:val="none"/>
        </w:rPr>
      </w:pP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outlineLvl w:val="2"/>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w:t>
      </w:r>
      <w:r>
        <w:rPr>
          <w:rFonts w:hint="eastAsia" w:ascii="仿宋_GB2312" w:hAnsi="宋体" w:eastAsia="仿宋_GB2312"/>
          <w:bCs/>
          <w:iCs/>
          <w:color w:val="auto"/>
          <w:sz w:val="24"/>
          <w:highlight w:val="none"/>
          <w:lang w:eastAsia="zh-CN"/>
        </w:rPr>
        <w:t>折扣</w:t>
      </w:r>
      <w:r>
        <w:rPr>
          <w:rFonts w:hint="eastAsia" w:ascii="仿宋_GB2312" w:hAnsi="宋体" w:eastAsia="仿宋_GB2312"/>
          <w:bCs/>
          <w:iCs/>
          <w:color w:val="auto"/>
          <w:sz w:val="24"/>
          <w:highlight w:val="none"/>
        </w:rPr>
        <w:t>最低的投标报价为评标基准价，其价格分为满分。</w:t>
      </w:r>
    </w:p>
    <w:p>
      <w:pPr>
        <w:spacing w:line="440" w:lineRule="exact"/>
        <w:outlineLvl w:val="3"/>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20</w:t>
      </w:r>
    </w:p>
    <w:p>
      <w:pPr>
        <w:pStyle w:val="25"/>
        <w:snapToGrid w:val="0"/>
        <w:spacing w:line="360" w:lineRule="auto"/>
        <w:ind w:firstLine="0" w:firstLineChars="0"/>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rFonts w:ascii="仿宋" w:hAnsi="仿宋" w:eastAsia="仿宋" w:cs="仿宋"/>
          <w:highlight w:val="none"/>
        </w:rPr>
      </w:pPr>
    </w:p>
    <w:p>
      <w:pPr>
        <w:pStyle w:val="61"/>
        <w:rPr>
          <w:highlight w:val="none"/>
        </w:rPr>
      </w:pPr>
    </w:p>
    <w:p>
      <w:pPr>
        <w:pStyle w:val="24"/>
        <w:rPr>
          <w:rFonts w:ascii="仿宋" w:hAnsi="仿宋" w:eastAsia="仿宋" w:cs="仿宋"/>
          <w:highlight w:val="none"/>
        </w:rPr>
      </w:pPr>
    </w:p>
    <w:p>
      <w:pPr>
        <w:rPr>
          <w:rFonts w:ascii="仿宋" w:hAnsi="仿宋" w:eastAsia="仿宋" w:cs="仿宋"/>
          <w:highlight w:val="none"/>
        </w:rPr>
      </w:pPr>
    </w:p>
    <w:p>
      <w:pPr>
        <w:pStyle w:val="79"/>
        <w:rPr>
          <w:rFonts w:ascii="仿宋" w:hAnsi="仿宋" w:eastAsia="仿宋" w:cs="仿宋"/>
          <w:color w:val="auto"/>
          <w:highlight w:val="none"/>
        </w:rPr>
      </w:pPr>
    </w:p>
    <w:p>
      <w:pPr>
        <w:pStyle w:val="80"/>
        <w:rPr>
          <w:rFonts w:ascii="仿宋" w:hAnsi="仿宋" w:eastAsia="仿宋" w:cs="仿宋"/>
          <w:highlight w:val="none"/>
        </w:rPr>
      </w:pPr>
    </w:p>
    <w:p>
      <w:pPr>
        <w:rPr>
          <w:rFonts w:ascii="仿宋" w:hAnsi="仿宋" w:eastAsia="仿宋" w:cs="仿宋"/>
          <w:highlight w:val="none"/>
        </w:rPr>
      </w:pPr>
    </w:p>
    <w:p>
      <w:pPr>
        <w:pStyle w:val="79"/>
        <w:rPr>
          <w:rFonts w:ascii="仿宋" w:hAnsi="仿宋" w:eastAsia="仿宋" w:cs="仿宋"/>
          <w:color w:val="auto"/>
          <w:highlight w:val="none"/>
        </w:rPr>
      </w:pPr>
    </w:p>
    <w:p>
      <w:pPr>
        <w:pStyle w:val="80"/>
        <w:rPr>
          <w:rFonts w:ascii="仿宋" w:hAnsi="仿宋" w:eastAsia="仿宋" w:cs="仿宋"/>
          <w:highlight w:val="none"/>
        </w:rPr>
      </w:pPr>
    </w:p>
    <w:p>
      <w:pPr>
        <w:rPr>
          <w:rFonts w:ascii="仿宋" w:hAnsi="仿宋" w:eastAsia="仿宋" w:cs="仿宋"/>
          <w:highlight w:val="none"/>
        </w:rPr>
      </w:pPr>
    </w:p>
    <w:p>
      <w:pPr>
        <w:pStyle w:val="61"/>
        <w:rPr>
          <w:rFonts w:ascii="仿宋" w:hAnsi="仿宋" w:eastAsia="仿宋" w:cs="仿宋"/>
          <w:highlight w:val="none"/>
        </w:rPr>
      </w:pPr>
    </w:p>
    <w:p>
      <w:pPr>
        <w:rPr>
          <w:highlight w:val="none"/>
        </w:rPr>
      </w:pPr>
    </w:p>
    <w:p>
      <w:pPr>
        <w:rPr>
          <w:rFonts w:ascii="仿宋" w:hAnsi="仿宋" w:eastAsia="仿宋" w:cs="仿宋"/>
          <w:highlight w:val="none"/>
        </w:rPr>
      </w:pPr>
    </w:p>
    <w:p>
      <w:pPr>
        <w:pStyle w:val="79"/>
        <w:rPr>
          <w:rFonts w:ascii="仿宋" w:hAnsi="仿宋" w:eastAsia="仿宋" w:cs="仿宋"/>
          <w:color w:val="auto"/>
          <w:highlight w:val="none"/>
        </w:rPr>
      </w:pPr>
    </w:p>
    <w:p>
      <w:pPr>
        <w:pStyle w:val="80"/>
        <w:rPr>
          <w:highlight w:val="none"/>
        </w:rPr>
      </w:pPr>
    </w:p>
    <w:p>
      <w:pPr>
        <w:widowControl/>
        <w:adjustRightInd/>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21"/>
      <w:r>
        <w:rPr>
          <w:rFonts w:hint="eastAsia" w:ascii="仿宋" w:hAnsi="仿宋" w:eastAsia="仿宋" w:cs="仿宋"/>
          <w:b/>
          <w:sz w:val="36"/>
          <w:szCs w:val="20"/>
          <w:highlight w:val="none"/>
        </w:rPr>
        <w:t xml:space="preserve"> </w:t>
      </w:r>
      <w:bookmarkEnd w:id="22"/>
      <w:r>
        <w:rPr>
          <w:rFonts w:hint="eastAsia" w:ascii="仿宋" w:hAnsi="仿宋" w:eastAsia="仿宋" w:cs="仿宋"/>
          <w:b/>
          <w:sz w:val="36"/>
          <w:szCs w:val="20"/>
          <w:highlight w:val="none"/>
        </w:rPr>
        <w:t>投标文件及其附件格式</w:t>
      </w:r>
    </w:p>
    <w:p>
      <w:pPr>
        <w:spacing w:line="360" w:lineRule="auto"/>
        <w:jc w:val="center"/>
        <w:outlineLvl w:val="9"/>
        <w:rPr>
          <w:rFonts w:ascii="仿宋" w:hAnsi="仿宋" w:eastAsia="仿宋" w:cs="仿宋"/>
          <w:b/>
          <w:kern w:val="0"/>
          <w:sz w:val="36"/>
          <w:szCs w:val="36"/>
          <w:highlight w:val="none"/>
        </w:rPr>
      </w:pPr>
    </w:p>
    <w:p>
      <w:pPr>
        <w:spacing w:line="360" w:lineRule="auto"/>
        <w:jc w:val="center"/>
        <w:outlineLvl w:val="1"/>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9"/>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outlineLvl w:val="1"/>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绍兴滨海新区管理委员会、绍兴市柯桥区市场监督管理局、绍兴虬实企业管理咨询有限公司：</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加装电梯智慧监管民生实事项目（滨海新区、柯桥区）</w:t>
      </w:r>
      <w:r>
        <w:rPr>
          <w:rFonts w:hint="eastAsia" w:ascii="仿宋" w:hAnsi="仿宋" w:eastAsia="仿宋" w:cs="仿宋"/>
          <w:sz w:val="24"/>
          <w:highlight w:val="none"/>
        </w:rPr>
        <w:t>【招标编号：（采购编号）】政府采购活动，郑重承诺：</w:t>
      </w:r>
    </w:p>
    <w:p>
      <w:pPr>
        <w:snapToGrid w:val="0"/>
        <w:spacing w:line="360" w:lineRule="auto"/>
        <w:ind w:firstLine="360" w:firstLineChars="150"/>
        <w:outlineLvl w:val="2"/>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9"/>
        <w:rPr>
          <w:rFonts w:ascii="仿宋" w:hAnsi="仿宋" w:eastAsia="仿宋" w:cs="仿宋"/>
          <w:b/>
          <w:kern w:val="0"/>
          <w:sz w:val="24"/>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outlineLvl w:val="2"/>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9"/>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（1）响应函…………………………………………………………………………（页码）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（3）授权代表社保证明（复印件）……………………………………………… （页码）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pPr>
        <w:pStyle w:val="904"/>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w:t>
      </w:r>
      <w:r>
        <w:rPr>
          <w:rFonts w:hint="eastAsia" w:ascii="仿宋" w:hAnsi="仿宋" w:eastAsia="仿宋" w:cs="仿宋"/>
          <w:kern w:val="0"/>
          <w:sz w:val="24"/>
          <w:highlight w:val="none"/>
          <w:lang w:val="zh-CN"/>
        </w:rPr>
        <w:t>…………</w:t>
      </w:r>
      <w:r>
        <w:rPr>
          <w:rFonts w:hint="eastAsia" w:ascii="仿宋" w:hAnsi="仿宋" w:eastAsia="仿宋" w:cs="仿宋"/>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368" w:rightChars="-175"/>
        <w:rPr>
          <w:rFonts w:ascii="仿宋" w:hAnsi="仿宋" w:eastAsia="仿宋" w:cs="仿宋"/>
          <w:highlight w:val="none"/>
          <w:lang w:val="zh-CN"/>
        </w:rPr>
        <w:sectPr>
          <w:pgSz w:w="11906" w:h="16838"/>
          <w:pgMar w:top="1814" w:right="1474" w:bottom="1814" w:left="1474" w:header="851" w:footer="992" w:gutter="0"/>
          <w:cols w:space="720" w:num="1"/>
          <w:docGrid w:linePitch="312" w:charSpace="0"/>
        </w:sect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widowControl/>
        <w:adjustRightInd/>
        <w:rPr>
          <w:rFonts w:ascii="仿宋" w:hAnsi="仿宋" w:eastAsia="仿宋" w:cs="仿宋"/>
          <w:b/>
          <w:kern w:val="0"/>
          <w:sz w:val="32"/>
          <w:szCs w:val="32"/>
          <w:highlight w:val="none"/>
        </w:rPr>
      </w:pPr>
    </w:p>
    <w:p>
      <w:pPr>
        <w:snapToGrid w:val="0"/>
        <w:spacing w:line="360" w:lineRule="auto"/>
        <w:jc w:val="center"/>
        <w:outlineLvl w:val="1"/>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5"/>
        <w:spacing w:after="120" w:line="288"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288" w:lineRule="auto"/>
        <w:ind w:left="0" w:firstLine="480" w:firstLineChars="200"/>
        <w:jc w:val="both"/>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288" w:lineRule="auto"/>
        <w:ind w:left="0" w:firstLine="480" w:firstLineChars="200"/>
        <w:jc w:val="both"/>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395"/>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288" w:lineRule="auto"/>
        <w:ind w:firstLine="480" w:firstLineChars="200"/>
        <w:rPr>
          <w:rFonts w:ascii="仿宋" w:hAnsi="仿宋" w:eastAsia="仿宋" w:cs="仿宋"/>
          <w:sz w:val="24"/>
          <w:highlight w:val="none"/>
        </w:rPr>
      </w:pPr>
    </w:p>
    <w:p>
      <w:pPr>
        <w:snapToGrid w:val="0"/>
        <w:spacing w:line="288" w:lineRule="auto"/>
        <w:ind w:firstLine="480" w:firstLineChars="200"/>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pageBreakBefore/>
        <w:spacing w:line="800" w:lineRule="exact"/>
        <w:outlineLvl w:val="1"/>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rPr>
          <w:rFonts w:ascii="仿宋" w:hAnsi="仿宋" w:eastAsia="仿宋" w:cs="仿宋"/>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800" w:lineRule="exact"/>
        <w:outlineLvl w:val="1"/>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outlineLvl w:val="2"/>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rPr>
          <w:rFonts w:ascii="仿宋" w:hAnsi="仿宋" w:eastAsia="仿宋" w:cs="仿宋"/>
          <w:b/>
          <w:kern w:val="0"/>
          <w:sz w:val="32"/>
          <w:szCs w:val="32"/>
          <w:highlight w:val="none"/>
          <w:lang w:val="zh-CN"/>
        </w:rPr>
      </w:pPr>
    </w:p>
    <w:p>
      <w:pPr>
        <w:autoSpaceDE w:val="0"/>
        <w:autoSpaceDN w:val="0"/>
        <w:spacing w:line="360" w:lineRule="auto"/>
        <w:rPr>
          <w:rFonts w:ascii="仿宋" w:hAnsi="仿宋" w:eastAsia="仿宋" w:cs="仿宋"/>
          <w:b/>
          <w:kern w:val="0"/>
          <w:sz w:val="32"/>
          <w:szCs w:val="32"/>
          <w:highlight w:val="none"/>
          <w:lang w:val="zh-CN"/>
        </w:rPr>
      </w:pPr>
    </w:p>
    <w:p>
      <w:pPr>
        <w:spacing w:line="800" w:lineRule="exact"/>
        <w:rPr>
          <w:rFonts w:ascii="仿宋" w:hAnsi="仿宋" w:eastAsia="仿宋" w:cs="仿宋"/>
          <w:b/>
          <w:kern w:val="0"/>
          <w:sz w:val="32"/>
          <w:szCs w:val="32"/>
          <w:highlight w:val="none"/>
          <w:lang w:val="zh-CN"/>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ascii="仿宋" w:hAnsi="仿宋" w:eastAsia="仿宋" w:cs="仿宋"/>
          <w:sz w:val="24"/>
          <w:highlight w:val="none"/>
        </w:rPr>
      </w:pPr>
    </w:p>
    <w:p>
      <w:pPr>
        <w:spacing w:line="440" w:lineRule="exact"/>
        <w:ind w:right="720"/>
        <w:rPr>
          <w:rFonts w:ascii="仿宋" w:hAnsi="仿宋" w:eastAsia="仿宋" w:cs="仿宋"/>
          <w:sz w:val="24"/>
          <w:highlight w:val="none"/>
        </w:rPr>
      </w:pPr>
      <w:r>
        <w:rPr>
          <w:rFonts w:hint="eastAsia" w:ascii="仿宋" w:hAnsi="仿宋" w:eastAsia="仿宋" w:cs="仿宋"/>
          <w:sz w:val="24"/>
          <w:highlight w:val="none"/>
        </w:rPr>
        <w:t>年   月   日</w:t>
      </w:r>
    </w:p>
    <w:p>
      <w:pP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bl>
    <w:p>
      <w:pPr>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rPr>
          <w:rFonts w:ascii="仿宋" w:hAnsi="仿宋" w:eastAsia="仿宋" w:cs="仿宋"/>
          <w:b/>
          <w:kern w:val="0"/>
          <w:sz w:val="32"/>
          <w:szCs w:val="32"/>
          <w:highlight w:val="none"/>
        </w:rPr>
      </w:pPr>
    </w:p>
    <w:p>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rPr>
          <w:rFonts w:ascii="仿宋" w:hAnsi="仿宋" w:eastAsia="仿宋" w:cs="仿宋"/>
          <w:b/>
          <w:bCs/>
          <w:sz w:val="32"/>
          <w:szCs w:val="32"/>
          <w:highlight w:val="none"/>
        </w:rPr>
      </w:pPr>
    </w:p>
    <w:p>
      <w:pPr>
        <w:widowControl/>
        <w:adjustRightInd/>
        <w:rPr>
          <w:rFonts w:ascii="仿宋" w:hAnsi="仿宋" w:eastAsia="仿宋" w:cs="仿宋"/>
          <w:b/>
          <w:bCs/>
          <w:sz w:val="32"/>
          <w:szCs w:val="32"/>
          <w:highlight w:val="none"/>
        </w:rPr>
      </w:pPr>
    </w:p>
    <w:p>
      <w:pPr>
        <w:widowControl/>
        <w:adjustRightInd/>
        <w:rPr>
          <w:rFonts w:ascii="仿宋" w:hAnsi="仿宋" w:eastAsia="仿宋" w:cs="仿宋"/>
          <w:b/>
          <w:bCs/>
          <w:sz w:val="32"/>
          <w:szCs w:val="32"/>
          <w:highlight w:val="none"/>
        </w:rPr>
      </w:pPr>
    </w:p>
    <w:p>
      <w:pPr>
        <w:widowControl/>
        <w:adjustRightInd/>
        <w:outlineLvl w:val="1"/>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（采购人）、（代理机构）：</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rPr>
          <w:rFonts w:ascii="仿宋" w:hAnsi="仿宋" w:eastAsia="仿宋" w:cs="仿宋"/>
          <w:b/>
          <w:bCs/>
          <w:sz w:val="24"/>
          <w:highlight w:val="none"/>
        </w:rPr>
      </w:pPr>
    </w:p>
    <w:p>
      <w:pPr>
        <w:pStyle w:val="79"/>
        <w:jc w:val="both"/>
        <w:rPr>
          <w:rFonts w:ascii="仿宋" w:hAnsi="仿宋" w:eastAsia="仿宋" w:cs="仿宋"/>
          <w:b/>
          <w:bCs/>
          <w:color w:val="auto"/>
          <w:highlight w:val="none"/>
        </w:rPr>
      </w:pPr>
    </w:p>
    <w:p>
      <w:pPr>
        <w:spacing w:line="360" w:lineRule="auto"/>
        <w:rPr>
          <w:rFonts w:ascii="仿宋" w:hAnsi="仿宋" w:eastAsia="仿宋" w:cs="仿宋"/>
          <w:b/>
          <w:sz w:val="32"/>
          <w:szCs w:val="32"/>
          <w:highlight w:val="none"/>
        </w:rPr>
      </w:pPr>
    </w:p>
    <w:p>
      <w:pPr>
        <w:spacing w:line="360" w:lineRule="auto"/>
        <w:rPr>
          <w:rFonts w:ascii="仿宋" w:hAnsi="仿宋" w:eastAsia="仿宋" w:cs="仿宋"/>
          <w:b/>
          <w:sz w:val="32"/>
          <w:szCs w:val="32"/>
          <w:highlight w:val="none"/>
        </w:rPr>
      </w:pPr>
    </w:p>
    <w:p>
      <w:pPr>
        <w:spacing w:line="360" w:lineRule="auto"/>
        <w:outlineLvl w:val="1"/>
        <w:rPr>
          <w:rFonts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outlineLvl w:val="2"/>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highlight w:val="none"/>
        </w:rPr>
      </w:pPr>
    </w:p>
    <w:p>
      <w:pPr>
        <w:autoSpaceDE w:val="0"/>
        <w:autoSpaceDN w:val="0"/>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7"/>
        <w:ind w:firstLine="0"/>
        <w:jc w:val="both"/>
        <w:outlineLvl w:val="9"/>
        <w:rPr>
          <w:rFonts w:ascii="仿宋" w:eastAsia="仿宋" w:cs="仿宋"/>
          <w:highlight w:val="none"/>
        </w:rPr>
      </w:pP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rPr>
          <w:rFonts w:ascii="仿宋" w:hAnsi="仿宋" w:eastAsia="仿宋" w:cs="仿宋"/>
          <w:sz w:val="24"/>
          <w:highlight w:val="none"/>
        </w:rPr>
      </w:pPr>
    </w:p>
    <w:p>
      <w:pPr>
        <w:snapToGrid w:val="0"/>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25pt;" o:ole="t" filled="f" o:preferrelative="t" stroked="f" coordsize="21600,21600">
            <v:path/>
            <v:fill on="f" focussize="0,0"/>
            <v:stroke on="f"/>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ascii="仿宋" w:hAnsi="仿宋" w:eastAsia="仿宋" w:cs="仿宋"/>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outlineLvl w:val="9"/>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left" w:pos="4230"/>
        </w:tabs>
        <w:autoSpaceDE w:val="0"/>
        <w:autoSpaceDN w:val="0"/>
        <w:spacing w:line="360" w:lineRule="auto"/>
        <w:ind w:right="1400"/>
        <w:outlineLvl w:val="9"/>
        <w:rPr>
          <w:rFonts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十、组织实施方案</w:t>
      </w:r>
    </w:p>
    <w:p>
      <w:pPr>
        <w:autoSpaceDE w:val="0"/>
        <w:autoSpaceDN w:val="0"/>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highlight w:val="none"/>
              </w:rPr>
            </w:pPr>
            <w:r>
              <w:rPr>
                <w:rFonts w:hint="eastAsia" w:ascii="仿宋" w:hAnsi="仿宋" w:eastAsia="仿宋" w:cs="仿宋"/>
                <w:sz w:val="24"/>
                <w:highlight w:val="none"/>
              </w:rPr>
              <w:t xml:space="preserve">  工作日</w:t>
            </w:r>
          </w:p>
          <w:p>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kern w:val="0"/>
          <w:sz w:val="24"/>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pStyle w:val="3"/>
        <w:outlineLvl w:val="9"/>
        <w:rPr>
          <w:rFonts w:ascii="仿宋" w:eastAsia="仿宋" w:cs="仿宋"/>
          <w:highlight w:val="none"/>
        </w:rPr>
      </w:pPr>
    </w:p>
    <w:p>
      <w:pPr>
        <w:rPr>
          <w:rFonts w:ascii="仿宋" w:hAnsi="仿宋" w:eastAsia="仿宋" w:cs="仿宋"/>
          <w:highlight w:val="none"/>
        </w:rPr>
      </w:pPr>
    </w:p>
    <w:p>
      <w:pPr>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w:t>
      </w:r>
      <w:r>
        <w:rPr>
          <w:rFonts w:hint="eastAsia" w:ascii="仿宋" w:hAnsi="仿宋" w:eastAsia="仿宋" w:cs="仿宋"/>
          <w:b/>
          <w:sz w:val="30"/>
          <w:szCs w:val="30"/>
          <w:highlight w:val="none"/>
        </w:rPr>
        <w:t>一</w:t>
      </w:r>
      <w:r>
        <w:rPr>
          <w:rFonts w:hint="eastAsia" w:ascii="仿宋" w:hAnsi="仿宋" w:eastAsia="仿宋" w:cs="仿宋"/>
          <w:b/>
          <w:bCs/>
          <w:sz w:val="32"/>
          <w:szCs w:val="32"/>
          <w:highlight w:val="none"/>
        </w:rPr>
        <w:t>、售后服务方案</w:t>
      </w:r>
    </w:p>
    <w:p>
      <w:pPr>
        <w:autoSpaceDE w:val="0"/>
        <w:autoSpaceDN w:val="0"/>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bl>
    <w:p>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rPr>
                <w:rFonts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bl>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pStyle w:val="79"/>
        <w:jc w:val="both"/>
        <w:rPr>
          <w:rFonts w:ascii="仿宋" w:hAnsi="仿宋" w:eastAsia="仿宋" w:cs="仿宋"/>
          <w:color w:val="auto"/>
          <w:highlight w:val="none"/>
        </w:rPr>
      </w:pPr>
    </w:p>
    <w:p>
      <w:pPr>
        <w:spacing w:line="360" w:lineRule="auto"/>
        <w:outlineLvl w:val="1"/>
        <w:rPr>
          <w:rFonts w:ascii="仿宋" w:hAnsi="仿宋" w:eastAsia="仿宋" w:cs="仿宋"/>
          <w:b/>
          <w:sz w:val="30"/>
          <w:szCs w:val="30"/>
          <w:highlight w:val="none"/>
        </w:rPr>
      </w:pPr>
      <w:r>
        <w:rPr>
          <w:rFonts w:hint="eastAsia" w:ascii="仿宋" w:hAnsi="仿宋" w:eastAsia="仿宋" w:cs="仿宋"/>
          <w:b/>
          <w:sz w:val="30"/>
          <w:szCs w:val="30"/>
          <w:highlight w:val="none"/>
        </w:rPr>
        <w:t>十</w:t>
      </w:r>
      <w:r>
        <w:rPr>
          <w:rFonts w:hint="eastAsia" w:ascii="仿宋" w:hAnsi="仿宋" w:eastAsia="仿宋" w:cs="仿宋"/>
          <w:b/>
          <w:bCs/>
          <w:sz w:val="32"/>
          <w:szCs w:val="32"/>
          <w:highlight w:val="none"/>
        </w:rPr>
        <w:t>二</w:t>
      </w:r>
      <w:r>
        <w:rPr>
          <w:rFonts w:hint="eastAsia" w:ascii="仿宋" w:hAnsi="仿宋" w:eastAsia="仿宋" w:cs="仿宋"/>
          <w:b/>
          <w:sz w:val="30"/>
          <w:szCs w:val="30"/>
          <w:highlight w:val="none"/>
        </w:rPr>
        <w:t>、投标人售后服务能力证明材料</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79"/>
        <w:jc w:val="both"/>
        <w:rPr>
          <w:rFonts w:ascii="仿宋" w:hAnsi="仿宋" w:eastAsia="仿宋" w:cs="仿宋"/>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79"/>
        <w:jc w:val="both"/>
        <w:rPr>
          <w:rFonts w:ascii="仿宋" w:hAnsi="仿宋" w:eastAsia="仿宋" w:cs="仿宋"/>
          <w:color w:val="auto"/>
          <w:highlight w:val="none"/>
        </w:rPr>
      </w:pP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pPr>
        <w:spacing w:line="360" w:lineRule="auto"/>
        <w:outlineLvl w:val="2"/>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spacing w:line="360" w:lineRule="auto"/>
        <w:rPr>
          <w:rFonts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ascii="仿宋" w:hAnsi="仿宋" w:eastAsia="仿宋" w:cs="仿宋"/>
          <w:sz w:val="24"/>
          <w:szCs w:val="20"/>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 w:hAnsi="仿宋" w:eastAsia="仿宋" w:cs="仿宋"/>
          <w:b/>
          <w:bCs/>
          <w:sz w:val="32"/>
          <w:szCs w:val="32"/>
          <w:highlight w:val="none"/>
        </w:rPr>
      </w:pPr>
    </w:p>
    <w:p>
      <w:pPr>
        <w:snapToGrid w:val="0"/>
        <w:spacing w:line="360" w:lineRule="auto"/>
        <w:ind w:right="960"/>
        <w:rPr>
          <w:rFonts w:ascii="仿宋" w:hAnsi="仿宋" w:eastAsia="仿宋" w:cs="仿宋"/>
          <w:kern w:val="0"/>
          <w:sz w:val="24"/>
          <w:highlight w:val="none"/>
          <w:lang w:val="zh-CN"/>
        </w:rPr>
      </w:pPr>
    </w:p>
    <w:p>
      <w:pPr>
        <w:snapToGrid w:val="0"/>
        <w:spacing w:line="360" w:lineRule="auto"/>
        <w:ind w:right="960"/>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kern w:val="0"/>
          <w:sz w:val="32"/>
          <w:szCs w:val="32"/>
          <w:highlight w:val="none"/>
          <w:lang w:val="zh-CN"/>
        </w:rPr>
        <w:t>优惠条件及特殊承诺</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18"/>
          <w:szCs w:val="18"/>
          <w:highlight w:val="none"/>
        </w:rPr>
      </w:pPr>
    </w:p>
    <w:p>
      <w:pPr>
        <w:pStyle w:val="79"/>
        <w:jc w:val="both"/>
        <w:rPr>
          <w:rFonts w:ascii="仿宋" w:hAnsi="仿宋" w:eastAsia="仿宋" w:cs="仿宋"/>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18"/>
          <w:szCs w:val="18"/>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napToGrid w:val="0"/>
        <w:spacing w:line="360" w:lineRule="auto"/>
        <w:ind w:right="960"/>
        <w:rPr>
          <w:rFonts w:ascii="仿宋" w:hAnsi="仿宋" w:eastAsia="仿宋" w:cs="仿宋"/>
          <w:kern w:val="0"/>
          <w:sz w:val="24"/>
          <w:highlight w:val="none"/>
          <w:lang w:val="zh-CN"/>
        </w:rPr>
      </w:pPr>
    </w:p>
    <w:p>
      <w:pPr>
        <w:snapToGrid w:val="0"/>
        <w:spacing w:line="360" w:lineRule="auto"/>
        <w:ind w:right="960"/>
        <w:rPr>
          <w:rFonts w:ascii="仿宋" w:hAnsi="仿宋" w:eastAsia="仿宋" w:cs="仿宋"/>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30"/>
          <w:szCs w:val="30"/>
          <w:highlight w:val="none"/>
        </w:rPr>
      </w:pPr>
    </w:p>
    <w:p>
      <w:pPr>
        <w:spacing w:line="360" w:lineRule="auto"/>
        <w:rPr>
          <w:rFonts w:ascii="仿宋" w:hAnsi="仿宋" w:eastAsia="仿宋" w:cs="仿宋"/>
          <w:b/>
          <w:bCs/>
          <w:sz w:val="30"/>
          <w:szCs w:val="30"/>
          <w:highlight w:val="none"/>
        </w:rPr>
      </w:pPr>
    </w:p>
    <w:p>
      <w:pPr>
        <w:spacing w:line="360" w:lineRule="auto"/>
        <w:rPr>
          <w:rFonts w:ascii="仿宋" w:hAnsi="仿宋" w:eastAsia="仿宋" w:cs="仿宋"/>
          <w:b/>
          <w:bCs/>
          <w:sz w:val="24"/>
          <w:highlight w:val="none"/>
        </w:rPr>
      </w:pPr>
    </w:p>
    <w:p>
      <w:pPr>
        <w:spacing w:line="360" w:lineRule="auto"/>
        <w:rPr>
          <w:rFonts w:ascii="仿宋" w:hAnsi="仿宋" w:eastAsia="仿宋" w:cs="仿宋"/>
          <w:b/>
          <w:bCs/>
          <w:sz w:val="24"/>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highlight w:val="none"/>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9"/>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pStyle w:val="23"/>
        <w:snapToGrid w:val="0"/>
        <w:rPr>
          <w:rFonts w:ascii="仿宋" w:hAnsi="仿宋" w:eastAsia="仿宋" w:cs="仿宋"/>
          <w:highlight w:val="none"/>
        </w:rPr>
      </w:pPr>
      <w:r>
        <w:rPr>
          <w:rFonts w:hint="eastAsia" w:ascii="仿宋" w:hAnsi="仿宋" w:eastAsia="仿宋" w:cs="仿宋"/>
          <w:szCs w:val="24"/>
          <w:highlight w:val="none"/>
          <w:lang w:val="en-US"/>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1"/>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outlineLvl w:val="2"/>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5873"/>
        <w:gridCol w:w="3710"/>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74"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标段</w:t>
            </w:r>
          </w:p>
        </w:tc>
        <w:tc>
          <w:tcPr>
            <w:tcW w:w="5873"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7572"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仿宋"/>
                <w:color w:val="auto"/>
                <w:sz w:val="24"/>
                <w:szCs w:val="24"/>
                <w:highlight w:val="none"/>
                <w:lang w:eastAsia="zh-CN"/>
              </w:rPr>
              <w:t>折扣率</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74" w:type="dxa"/>
            <w:vMerge w:val="continue"/>
            <w:noWrap w:val="0"/>
            <w:vAlign w:val="center"/>
          </w:tcPr>
          <w:p>
            <w:pPr>
              <w:ind w:firstLine="480"/>
              <w:jc w:val="center"/>
              <w:rPr>
                <w:rFonts w:hint="eastAsia" w:ascii="仿宋" w:hAnsi="仿宋" w:eastAsia="仿宋" w:cs="仿宋"/>
                <w:color w:val="auto"/>
                <w:sz w:val="24"/>
                <w:szCs w:val="24"/>
                <w:highlight w:val="none"/>
              </w:rPr>
            </w:pPr>
          </w:p>
        </w:tc>
        <w:tc>
          <w:tcPr>
            <w:tcW w:w="5873" w:type="dxa"/>
            <w:vMerge w:val="continue"/>
            <w:noWrap w:val="0"/>
            <w:vAlign w:val="center"/>
          </w:tcPr>
          <w:p>
            <w:pPr>
              <w:ind w:firstLine="480"/>
              <w:jc w:val="center"/>
              <w:rPr>
                <w:rFonts w:hint="eastAsia" w:ascii="仿宋" w:hAnsi="仿宋" w:eastAsia="仿宋" w:cs="仿宋"/>
                <w:color w:val="auto"/>
                <w:sz w:val="24"/>
                <w:szCs w:val="24"/>
                <w:highlight w:val="none"/>
              </w:rPr>
            </w:pPr>
          </w:p>
        </w:tc>
        <w:tc>
          <w:tcPr>
            <w:tcW w:w="371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c>
          <w:tcPr>
            <w:tcW w:w="386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374"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p>
        </w:tc>
        <w:tc>
          <w:tcPr>
            <w:tcW w:w="5873" w:type="dxa"/>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加装电梯智慧监管民生实事项目（滨海新区、柯桥区）</w:t>
            </w:r>
          </w:p>
        </w:tc>
        <w:tc>
          <w:tcPr>
            <w:tcW w:w="3710" w:type="dxa"/>
            <w:noWrap w:val="0"/>
            <w:vAlign w:val="top"/>
          </w:tcPr>
          <w:p>
            <w:pPr>
              <w:rPr>
                <w:rFonts w:hint="eastAsia" w:ascii="仿宋" w:hAnsi="仿宋" w:eastAsia="仿宋" w:cs="仿宋"/>
                <w:color w:val="auto"/>
                <w:sz w:val="24"/>
                <w:szCs w:val="24"/>
                <w:highlight w:val="none"/>
              </w:rPr>
            </w:pPr>
          </w:p>
        </w:tc>
        <w:tc>
          <w:tcPr>
            <w:tcW w:w="3862" w:type="dxa"/>
            <w:noWrap w:val="0"/>
            <w:vAlign w:val="top"/>
          </w:tcPr>
          <w:p>
            <w:pPr>
              <w:rPr>
                <w:rFonts w:hint="eastAsia" w:ascii="仿宋" w:hAnsi="仿宋" w:eastAsia="仿宋" w:cs="仿宋"/>
                <w:color w:val="auto"/>
                <w:sz w:val="24"/>
                <w:szCs w:val="24"/>
                <w:highlight w:val="none"/>
              </w:rPr>
            </w:pPr>
          </w:p>
        </w:tc>
      </w:tr>
    </w:tbl>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1"/>
        <w:keepNext w:val="0"/>
        <w:pageBreakBefore w:val="0"/>
        <w:tabs>
          <w:tab w:val="clear" w:pos="720"/>
        </w:tabs>
        <w:snapToGrid w:val="0"/>
        <w:spacing w:before="120" w:after="120"/>
        <w:outlineLvl w:val="1"/>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highlight w:val="none"/>
        </w:rPr>
      </w:pPr>
    </w:p>
    <w:p>
      <w:pPr>
        <w:pStyle w:val="80"/>
        <w:rPr>
          <w:rFonts w:ascii="仿宋" w:hAnsi="仿宋" w:eastAsia="仿宋" w:cs="仿宋"/>
          <w:b/>
          <w:sz w:val="24"/>
          <w:highlight w:val="none"/>
        </w:rPr>
      </w:pPr>
    </w:p>
    <w:p>
      <w:pPr>
        <w:rPr>
          <w:rFonts w:ascii="仿宋" w:hAnsi="仿宋" w:eastAsia="仿宋" w:cs="仿宋"/>
          <w:b/>
          <w:sz w:val="24"/>
          <w:highlight w:val="none"/>
        </w:rPr>
      </w:pPr>
    </w:p>
    <w:p>
      <w:pPr>
        <w:pStyle w:val="79"/>
        <w:rPr>
          <w:rFonts w:ascii="仿宋" w:hAnsi="仿宋" w:eastAsia="仿宋" w:cs="仿宋"/>
          <w:b/>
          <w:color w:val="auto"/>
          <w:highlight w:val="none"/>
        </w:rPr>
      </w:pPr>
    </w:p>
    <w:p>
      <w:pPr>
        <w:pStyle w:val="80"/>
        <w:rPr>
          <w:rFonts w:ascii="仿宋" w:hAnsi="仿宋" w:eastAsia="仿宋" w:cs="仿宋"/>
          <w:b/>
          <w:sz w:val="24"/>
          <w:highlight w:val="none"/>
        </w:rPr>
      </w:pPr>
    </w:p>
    <w:p>
      <w:pPr>
        <w:rPr>
          <w:rFonts w:ascii="仿宋" w:hAnsi="仿宋" w:eastAsia="仿宋" w:cs="仿宋"/>
          <w:highlight w:val="none"/>
        </w:rPr>
      </w:pPr>
    </w:p>
    <w:p>
      <w:pPr>
        <w:widowControl/>
        <w:spacing w:line="360" w:lineRule="auto"/>
        <w:ind w:firstLine="161" w:firstLineChars="50"/>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pPr>
        <w:pStyle w:val="23"/>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outlineLvl w:val="2"/>
        <w:rPr>
          <w:rFonts w:ascii="仿宋" w:hAnsi="仿宋" w:eastAsia="仿宋" w:cs="仿宋"/>
          <w:highlight w:val="none"/>
        </w:rPr>
      </w:pPr>
      <w:r>
        <w:rPr>
          <w:rFonts w:hint="eastAsia" w:ascii="仿宋" w:hAnsi="仿宋" w:eastAsia="仿宋" w:cs="仿宋"/>
          <w:highlight w:val="none"/>
        </w:rPr>
        <w:t>附件</w:t>
      </w: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outlineLvl w:val="1"/>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3"/>
        <w:rPr>
          <w:rFonts w:ascii="仿宋" w:hAnsi="仿宋" w:eastAsia="仿宋" w:cs="仿宋"/>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outlineLvl w:val="1"/>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highlight w:val="none"/>
        </w:rPr>
      </w:pPr>
    </w:p>
    <w:p>
      <w:pPr>
        <w:autoSpaceDE w:val="0"/>
        <w:autoSpaceDN w:val="0"/>
        <w:jc w:val="center"/>
        <w:outlineLvl w:val="1"/>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加装电梯智慧监管民生实事项目（滨海新区、柯桥区）</w:t>
      </w:r>
      <w:r>
        <w:rPr>
          <w:rFonts w:hint="eastAsia" w:ascii="仿宋" w:hAnsi="仿宋" w:eastAsia="仿宋" w:cs="仿宋"/>
          <w:sz w:val="24"/>
          <w:highlight w:val="none"/>
        </w:rPr>
        <w:t>【招标编号：（采购编号）】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highlight w:val="none"/>
        </w:rPr>
      </w:pPr>
    </w:p>
    <w:p>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lang w:eastAsia="zh-CN"/>
        </w:rPr>
        <w:t>加装电梯智慧监管民生实事项目（滨海新区、柯桥区）</w:t>
      </w:r>
      <w:r>
        <w:rPr>
          <w:rFonts w:hint="eastAsia" w:ascii="仿宋" w:hAnsi="仿宋" w:eastAsia="仿宋" w:cs="仿宋"/>
          <w:sz w:val="24"/>
          <w:highlight w:val="none"/>
        </w:rPr>
        <w:t>【招标编号：（采购编号）】</w:t>
      </w:r>
      <w:r>
        <w:rPr>
          <w:rFonts w:hint="eastAsia" w:ascii="仿宋" w:hAnsi="仿宋" w:eastAsia="仿宋" w:cs="仿宋"/>
          <w:kern w:val="0"/>
          <w:sz w:val="24"/>
          <w:highlight w:val="none"/>
          <w:lang w:val="zh-CN"/>
        </w:rPr>
        <w:t xml:space="preserve">投标。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7" w:name="_Hlk101131882"/>
      <w:r>
        <w:rPr>
          <w:rFonts w:hint="eastAsia" w:ascii="仿宋" w:hAnsi="仿宋" w:eastAsia="仿宋" w:cs="仿宋"/>
          <w:kern w:val="0"/>
          <w:sz w:val="24"/>
          <w:highlight w:val="none"/>
          <w:u w:val="single"/>
        </w:rPr>
        <w:t>联合体成员X,……</w:t>
      </w:r>
      <w:bookmarkEnd w:id="157"/>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8"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8"/>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59"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59"/>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ind w:firstLine="3666" w:firstLineChars="1100"/>
        <w:rPr>
          <w:rFonts w:ascii="仿宋" w:hAnsi="仿宋" w:eastAsia="仿宋" w:cs="仿宋"/>
          <w:b/>
          <w:spacing w:val="6"/>
          <w:sz w:val="32"/>
          <w:szCs w:val="32"/>
          <w:highlight w:val="none"/>
        </w:rPr>
      </w:pPr>
    </w:p>
    <w:p>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lang w:eastAsia="zh-CN"/>
        </w:rPr>
        <w:t>加装电梯智慧监管民生实事项目（滨海新区、柯桥区）</w:t>
      </w:r>
      <w:r>
        <w:rPr>
          <w:rFonts w:hint="eastAsia" w:ascii="仿宋" w:hAnsi="仿宋" w:eastAsia="仿宋" w:cs="仿宋"/>
          <w:sz w:val="24"/>
          <w:highlight w:val="none"/>
        </w:rPr>
        <w:t>【招标编号：（采购编号）】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spacing w:line="440" w:lineRule="exact"/>
        <w:ind w:left="0" w:firstLine="229" w:firstLineChars="95"/>
        <w:outlineLvl w:val="2"/>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79"/>
        <w:rPr>
          <w:rFonts w:ascii="仿宋" w:hAnsi="仿宋" w:eastAsia="仿宋" w:cs="仿宋"/>
          <w:color w:val="auto"/>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highlight w:val="none"/>
        </w:rPr>
      </w:pPr>
    </w:p>
    <w:p>
      <w:pPr>
        <w:spacing w:line="360" w:lineRule="auto"/>
        <w:jc w:val="center"/>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0" w:name="OLE_LINK14"/>
      <w:bookmarkStart w:id="161" w:name="OLE_LINK13"/>
      <w:r>
        <w:rPr>
          <w:rFonts w:hint="eastAsia" w:ascii="仿宋" w:hAnsi="仿宋" w:eastAsia="仿宋" w:cs="仿宋"/>
          <w:b/>
          <w:spacing w:val="6"/>
          <w:sz w:val="32"/>
          <w:szCs w:val="32"/>
          <w:highlight w:val="none"/>
        </w:rPr>
        <w:t>残疾人福利性单位声明函</w:t>
      </w:r>
    </w:p>
    <w:bookmarkEnd w:id="160"/>
    <w:bookmarkEnd w:id="161"/>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lang w:eastAsia="zh-CN"/>
        </w:rPr>
        <w:t>加装电梯智慧监管民生实事项目（滨海新区、柯桥区）</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b/>
          <w:spacing w:val="6"/>
          <w:sz w:val="32"/>
          <w:szCs w:val="32"/>
          <w:highlight w:val="none"/>
        </w:rPr>
      </w:pPr>
    </w:p>
    <w:p>
      <w:pPr>
        <w:pStyle w:val="24"/>
        <w:rPr>
          <w:rFonts w:ascii="仿宋" w:hAnsi="仿宋" w:eastAsia="仿宋" w:cs="仿宋"/>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highlight w:val="none"/>
        </w:rPr>
      </w:pPr>
    </w:p>
    <w:p>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outlineLvl w:val="9"/>
        <w:rPr>
          <w:rFonts w:ascii="仿宋" w:eastAsia="仿宋" w:cs="仿宋"/>
          <w:highlight w:val="none"/>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ascii="仿宋" w:hAnsi="仿宋" w:eastAsia="仿宋" w:cs="仿宋"/>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outlineLvl w:val="2"/>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outlineLvl w:val="3"/>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outlineLvl w:val="1"/>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outlineLvl w:val="1"/>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outlineLvl w:val="1"/>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outlineLvl w:val="2"/>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outlineLvl w:val="1"/>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outlineLvl w:val="0"/>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汉仪仿宋简">
    <w:altName w:val="仿宋"/>
    <w:panose1 w:val="00000000000000000000"/>
    <w:charset w:val="86"/>
    <w:family w:val="modern"/>
    <w:pitch w:val="default"/>
    <w:sig w:usb0="00000000" w:usb1="00000000" w:usb2="00000002" w:usb3="00000000" w:csb0="00040000"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hint="eastAsia" w:ascii="宋体" w:hAnsi="宋体" w:cs="宋体"/>
        <w:i/>
        <w:color w:val="000000"/>
        <w:u w:val="single"/>
      </w:rPr>
    </w:pPr>
    <w:r>
      <w:rPr>
        <w:rFonts w:hint="eastAsia"/>
      </w:rPr>
      <w:t>绍兴虬实企业管理咨询有限公司                                   文件编号：</w:t>
    </w:r>
    <w:r>
      <w:rPr>
        <w:rFonts w:hint="eastAsia" w:ascii="宋体" w:hAnsi="宋体" w:cs="宋体"/>
        <w:color w:val="000000"/>
      </w:rPr>
      <w:t>SXQS-202406-GK068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hint="eastAsia" w:ascii="宋体" w:hAnsi="宋体" w:eastAsia="宋体" w:cs="宋体"/>
        <w:color w:val="000000"/>
        <w:lang w:eastAsia="zh-CN"/>
      </w:rPr>
    </w:pPr>
    <w:r>
      <w:rPr>
        <w:rFonts w:hint="eastAsia"/>
      </w:rPr>
      <w:t>绍兴虬实企业管理咨询有限公司                                    文件编号：</w:t>
    </w:r>
    <w:r>
      <w:rPr>
        <w:rFonts w:hint="eastAsia" w:ascii="宋体" w:hAnsi="宋体" w:cs="宋体"/>
        <w:color w:val="000000"/>
        <w:lang w:eastAsia="zh-CN"/>
      </w:rPr>
      <w:t>SXQS-202406-GK068</w:t>
    </w:r>
  </w:p>
  <w:p>
    <w:pPr>
      <w:ind w:firstLine="389"/>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rPr>
      <w:t xml:space="preserve">绍兴虬实企业管理咨询有限公司  </w:t>
    </w:r>
    <w:r>
      <w:rPr>
        <w:rFonts w:hint="eastAsia" w:ascii="仿宋" w:hAnsi="仿宋" w:eastAsia="仿宋" w:cs="仿宋"/>
      </w:rPr>
      <w:t xml:space="preserve">                                      文件编号: SXQS-202406-GK068 </w:t>
    </w:r>
  </w:p>
  <w:p>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仿宋_GB2312" w:eastAsia="仿宋"/>
        <w:b/>
        <w:i/>
        <w:sz w:val="18"/>
        <w:u w:val="single"/>
        <w:lang w:eastAsia="zh-CN"/>
      </w:rPr>
    </w:pPr>
    <w:r>
      <w:rPr>
        <w:rFonts w:hint="eastAsia" w:eastAsia="仿宋"/>
      </w:rPr>
      <w:t>绍兴虬实企业管理咨询有限公司</w:t>
    </w:r>
    <w:r>
      <w:rPr>
        <w:rFonts w:hint="eastAsia" w:ascii="仿宋" w:hAnsi="仿宋" w:eastAsia="仿宋" w:cs="仿宋"/>
      </w:rPr>
      <w:t xml:space="preserve">                                           文件编号:</w:t>
    </w:r>
    <w:r>
      <w:rPr>
        <w:rFonts w:hint="eastAsia" w:ascii="仿宋" w:hAnsi="仿宋" w:eastAsia="仿宋" w:cs="仿宋"/>
        <w:lang w:eastAsia="zh-CN"/>
      </w:rPr>
      <w:t>SXQS-202406-GK068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eastAsia="仿宋"/>
      </w:rPr>
      <w:t>绍兴虬实企业管理咨询有限公司</w:t>
    </w:r>
    <w:r>
      <w:rPr>
        <w:rFonts w:hint="eastAsia" w:ascii="仿宋" w:hAnsi="仿宋" w:eastAsia="仿宋" w:cs="仿宋"/>
      </w:rPr>
      <w:t xml:space="preserve">                                           文件编号:</w:t>
    </w:r>
    <w:r>
      <w:rPr>
        <w:rFonts w:hint="eastAsia" w:ascii="宋体" w:hAnsi="宋体" w:eastAsia="仿宋" w:cs="宋体"/>
        <w:color w:val="000000"/>
        <w:lang w:eastAsia="zh-CN"/>
      </w:rPr>
      <w:t>SXQS-202406-GK068</w:t>
    </w:r>
  </w:p>
  <w:p>
    <w:pPr>
      <w:pStyle w:val="41"/>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ascii="仿宋_GB2312" w:eastAsia="仿宋_GB2312"/>
        <w:b/>
        <w:i/>
        <w:iCs/>
        <w:u w:val="single"/>
      </w:rPr>
    </w:pPr>
    <w:r>
      <w:rPr>
        <w:rFonts w:hint="eastAsia" w:eastAsia="仿宋"/>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文件编号:</w:t>
    </w:r>
    <w:r>
      <w:rPr>
        <w:rFonts w:hint="eastAsia" w:ascii="宋体" w:hAnsi="宋体" w:cs="宋体"/>
        <w:lang w:eastAsia="zh-CN"/>
      </w:rPr>
      <w:t>SXQS-202406-GK068</w:t>
    </w: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eastAsia="仿宋"/>
      </w:rPr>
      <w:t>绍兴虬实企业管理咨询有限公司</w:t>
    </w:r>
    <w:r>
      <w:rPr>
        <w:rFonts w:hint="eastAsia" w:ascii="仿宋" w:hAnsi="仿宋" w:eastAsia="仿宋" w:cs="仿宋"/>
      </w:rPr>
      <w:t xml:space="preserve">                                         文件编号: </w:t>
    </w:r>
    <w:r>
      <w:rPr>
        <w:rFonts w:hint="eastAsia" w:ascii="仿宋" w:hAnsi="仿宋" w:eastAsia="仿宋" w:cs="仿宋"/>
        <w:lang w:eastAsia="zh-CN"/>
      </w:rPr>
      <w:t>SXQS-202406-GK068</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35720"/>
    <w:multiLevelType w:val="singleLevel"/>
    <w:tmpl w:val="D9E35720"/>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729540A"/>
    <w:multiLevelType w:val="singleLevel"/>
    <w:tmpl w:val="2729540A"/>
    <w:lvl w:ilvl="0" w:tentative="0">
      <w:start w:val="1"/>
      <w:numFmt w:val="decimal"/>
      <w:lvlText w:val="%1."/>
      <w:lvlJc w:val="left"/>
      <w:pPr>
        <w:ind w:left="425" w:hanging="425"/>
      </w:pPr>
      <w:rPr>
        <w:rFonts w:hint="default"/>
      </w:rPr>
    </w:lvl>
  </w:abstractNum>
  <w:abstractNum w:abstractNumId="3">
    <w:nsid w:val="347A4FB7"/>
    <w:multiLevelType w:val="singleLevel"/>
    <w:tmpl w:val="347A4FB7"/>
    <w:lvl w:ilvl="0" w:tentative="0">
      <w:start w:val="1"/>
      <w:numFmt w:val="decimal"/>
      <w:lvlText w:val="%1."/>
      <w:lvlJc w:val="left"/>
      <w:pPr>
        <w:ind w:left="425" w:hanging="425"/>
      </w:pPr>
      <w:rPr>
        <w:rFonts w:hint="default"/>
      </w:rPr>
    </w:lvl>
  </w:abstractNum>
  <w:abstractNum w:abstractNumId="4">
    <w:nsid w:val="3F51A239"/>
    <w:multiLevelType w:val="multilevel"/>
    <w:tmpl w:val="3F51A2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mZmJmYmM3ZmI4YzdhZjM2MjExOGEwYWVlNDI0MWMifQ=="/>
  </w:docVars>
  <w:rsids>
    <w:rsidRoot w:val="00172A27"/>
    <w:rsid w:val="00172A27"/>
    <w:rsid w:val="001B3C2D"/>
    <w:rsid w:val="003A06EC"/>
    <w:rsid w:val="00567FBA"/>
    <w:rsid w:val="00623F39"/>
    <w:rsid w:val="0063737B"/>
    <w:rsid w:val="006F3DF0"/>
    <w:rsid w:val="007B16C5"/>
    <w:rsid w:val="00B516C4"/>
    <w:rsid w:val="00EF7950"/>
    <w:rsid w:val="023970A8"/>
    <w:rsid w:val="027B5D17"/>
    <w:rsid w:val="03195159"/>
    <w:rsid w:val="04576612"/>
    <w:rsid w:val="048E7480"/>
    <w:rsid w:val="053973EC"/>
    <w:rsid w:val="06A7793A"/>
    <w:rsid w:val="070F4F23"/>
    <w:rsid w:val="077C1812"/>
    <w:rsid w:val="08345904"/>
    <w:rsid w:val="08797A37"/>
    <w:rsid w:val="092B7994"/>
    <w:rsid w:val="09751A48"/>
    <w:rsid w:val="097A28A9"/>
    <w:rsid w:val="0A917CCA"/>
    <w:rsid w:val="0C871385"/>
    <w:rsid w:val="0D4A0BF1"/>
    <w:rsid w:val="0DAD6C2F"/>
    <w:rsid w:val="0E9E6BAC"/>
    <w:rsid w:val="0F096B8F"/>
    <w:rsid w:val="0F5B0820"/>
    <w:rsid w:val="0F63063F"/>
    <w:rsid w:val="10E647F0"/>
    <w:rsid w:val="116B1CEC"/>
    <w:rsid w:val="122D2910"/>
    <w:rsid w:val="12940E44"/>
    <w:rsid w:val="17956700"/>
    <w:rsid w:val="17AF79E2"/>
    <w:rsid w:val="18D751B9"/>
    <w:rsid w:val="18E60774"/>
    <w:rsid w:val="1A0C4D2D"/>
    <w:rsid w:val="1A3D08EA"/>
    <w:rsid w:val="1B0529E7"/>
    <w:rsid w:val="1C1B332C"/>
    <w:rsid w:val="1C221C3C"/>
    <w:rsid w:val="1D2F1C3B"/>
    <w:rsid w:val="1D420F0A"/>
    <w:rsid w:val="1D7A4605"/>
    <w:rsid w:val="1E717EA5"/>
    <w:rsid w:val="1EE16F1F"/>
    <w:rsid w:val="1FE62558"/>
    <w:rsid w:val="1FE72D65"/>
    <w:rsid w:val="20313878"/>
    <w:rsid w:val="21D55CA9"/>
    <w:rsid w:val="25461985"/>
    <w:rsid w:val="261C3674"/>
    <w:rsid w:val="264834DB"/>
    <w:rsid w:val="27A27B4F"/>
    <w:rsid w:val="28A2176D"/>
    <w:rsid w:val="29944736"/>
    <w:rsid w:val="2A742699"/>
    <w:rsid w:val="2BFE32D1"/>
    <w:rsid w:val="2E4A4B12"/>
    <w:rsid w:val="2FE76C92"/>
    <w:rsid w:val="30CD01D9"/>
    <w:rsid w:val="31682C84"/>
    <w:rsid w:val="32D261F2"/>
    <w:rsid w:val="341D0724"/>
    <w:rsid w:val="367F4D8F"/>
    <w:rsid w:val="387F1B3D"/>
    <w:rsid w:val="38806B05"/>
    <w:rsid w:val="3B7D56F4"/>
    <w:rsid w:val="3D136199"/>
    <w:rsid w:val="3E8D1F7B"/>
    <w:rsid w:val="408F0495"/>
    <w:rsid w:val="40C003E6"/>
    <w:rsid w:val="41CF4659"/>
    <w:rsid w:val="41D21070"/>
    <w:rsid w:val="427E60E8"/>
    <w:rsid w:val="43FF7F49"/>
    <w:rsid w:val="44813369"/>
    <w:rsid w:val="469841DE"/>
    <w:rsid w:val="46BA0B0A"/>
    <w:rsid w:val="47090753"/>
    <w:rsid w:val="47D227AD"/>
    <w:rsid w:val="492344CB"/>
    <w:rsid w:val="49396F88"/>
    <w:rsid w:val="49461A13"/>
    <w:rsid w:val="4957199A"/>
    <w:rsid w:val="4A251385"/>
    <w:rsid w:val="4AE10BD5"/>
    <w:rsid w:val="4B92472D"/>
    <w:rsid w:val="4C714177"/>
    <w:rsid w:val="4E4F138E"/>
    <w:rsid w:val="4F4B3D85"/>
    <w:rsid w:val="4F564B0B"/>
    <w:rsid w:val="4FC926E8"/>
    <w:rsid w:val="500D4CCA"/>
    <w:rsid w:val="50F566F9"/>
    <w:rsid w:val="51326BA0"/>
    <w:rsid w:val="52B275D2"/>
    <w:rsid w:val="52C54EDB"/>
    <w:rsid w:val="52E75090"/>
    <w:rsid w:val="53514405"/>
    <w:rsid w:val="56A602A5"/>
    <w:rsid w:val="56D9408C"/>
    <w:rsid w:val="5723038C"/>
    <w:rsid w:val="58134E48"/>
    <w:rsid w:val="588372FB"/>
    <w:rsid w:val="5AB53F94"/>
    <w:rsid w:val="5BB05DA2"/>
    <w:rsid w:val="5CE84AF5"/>
    <w:rsid w:val="5D3C0341"/>
    <w:rsid w:val="5EA964DB"/>
    <w:rsid w:val="5F561B6F"/>
    <w:rsid w:val="5F57E5CA"/>
    <w:rsid w:val="60696003"/>
    <w:rsid w:val="60C25C82"/>
    <w:rsid w:val="613A51F3"/>
    <w:rsid w:val="637038C1"/>
    <w:rsid w:val="657B53D5"/>
    <w:rsid w:val="66092BE9"/>
    <w:rsid w:val="6639016F"/>
    <w:rsid w:val="665723A3"/>
    <w:rsid w:val="669C35D3"/>
    <w:rsid w:val="66EE0D2A"/>
    <w:rsid w:val="66F62281"/>
    <w:rsid w:val="67993484"/>
    <w:rsid w:val="68CB24F8"/>
    <w:rsid w:val="693023C3"/>
    <w:rsid w:val="69856DC9"/>
    <w:rsid w:val="6CFC1EF7"/>
    <w:rsid w:val="6D76548A"/>
    <w:rsid w:val="6D9A0922"/>
    <w:rsid w:val="6F8E7141"/>
    <w:rsid w:val="6FC37AD4"/>
    <w:rsid w:val="6FF61308"/>
    <w:rsid w:val="70A6051F"/>
    <w:rsid w:val="72814079"/>
    <w:rsid w:val="73354B6B"/>
    <w:rsid w:val="73FC27DC"/>
    <w:rsid w:val="75BEE7B7"/>
    <w:rsid w:val="76474702"/>
    <w:rsid w:val="76DB6105"/>
    <w:rsid w:val="76E23F0B"/>
    <w:rsid w:val="788F04BB"/>
    <w:rsid w:val="78AD1F79"/>
    <w:rsid w:val="797914D6"/>
    <w:rsid w:val="79AA41AC"/>
    <w:rsid w:val="7A9C1ACC"/>
    <w:rsid w:val="7AA93308"/>
    <w:rsid w:val="7BC97448"/>
    <w:rsid w:val="7D2A3DD3"/>
    <w:rsid w:val="7D860166"/>
    <w:rsid w:val="7DFF3A1B"/>
    <w:rsid w:val="7DFFA053"/>
    <w:rsid w:val="7E097D26"/>
    <w:rsid w:val="7EAD773D"/>
    <w:rsid w:val="7EB9429C"/>
    <w:rsid w:val="7F7D41F5"/>
    <w:rsid w:val="7FCE9F2A"/>
    <w:rsid w:val="AF9D2F42"/>
    <w:rsid w:val="BA7B23C6"/>
    <w:rsid w:val="BC8B1FF5"/>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next w:val="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0-正文"/>
    <w:basedOn w:val="1"/>
    <w:qFormat/>
    <w:uiPriority w:val="0"/>
    <w:pPr>
      <w:ind w:firstLine="420" w:firstLineChars="200"/>
    </w:pPr>
    <w:rPr>
      <w:rFonts w:ascii="汉仪仿宋简" w:hAnsi="仿宋"/>
      <w:szCs w:val="28"/>
    </w:rPr>
  </w:style>
  <w:style w:type="table" w:customStyle="1" w:styleId="96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48777</Words>
  <Characters>52251</Characters>
  <Lines>434</Lines>
  <Paragraphs>122</Paragraphs>
  <TotalTime>0</TotalTime>
  <ScaleCrop>false</ScaleCrop>
  <LinksUpToDate>false</LinksUpToDate>
  <CharactersWithSpaces>59700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豆浆</cp:lastModifiedBy>
  <cp:lastPrinted>2024-01-03T15:42:00Z</cp:lastPrinted>
  <dcterms:modified xsi:type="dcterms:W3CDTF">2024-06-07T02:43:06Z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A01DFFFB81D84F2EB506EEA858089C84_13</vt:lpwstr>
  </property>
</Properties>
</file>