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56"/>
          <w:szCs w:val="56"/>
          <w:highlight w:val="none"/>
          <w:vertAlign w:val="baseline"/>
          <w:lang w:eastAsia="zh-CN"/>
        </w:rPr>
      </w:pPr>
    </w:p>
    <w:p>
      <w:pPr>
        <w:jc w:val="center"/>
        <w:outlineLvl w:val="0"/>
        <w:rPr>
          <w:rFonts w:hint="eastAsia" w:ascii="仿宋" w:hAnsi="仿宋" w:eastAsia="仿宋" w:cs="仿宋"/>
          <w:b/>
          <w:bCs w:val="0"/>
          <w:color w:val="auto"/>
          <w:sz w:val="56"/>
          <w:szCs w:val="56"/>
          <w:highlight w:val="none"/>
          <w:lang w:eastAsia="zh-CN"/>
        </w:rPr>
      </w:pPr>
      <w:r>
        <w:rPr>
          <w:rFonts w:hint="eastAsia" w:ascii="仿宋" w:hAnsi="仿宋" w:eastAsia="仿宋" w:cs="仿宋"/>
          <w:b/>
          <w:bCs w:val="0"/>
          <w:color w:val="auto"/>
          <w:sz w:val="56"/>
          <w:szCs w:val="56"/>
          <w:highlight w:val="none"/>
          <w:lang w:eastAsia="zh-CN"/>
        </w:rPr>
        <w:t>《绍兴大典》（第二辑）出版项目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72"/>
          <w:szCs w:val="72"/>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（电子</w:t>
      </w:r>
      <w:r>
        <w:rPr>
          <w:rFonts w:hint="eastAsia" w:ascii="仿宋" w:hAnsi="仿宋" w:eastAsia="仿宋" w:cs="仿宋"/>
          <w:b/>
          <w:color w:val="auto"/>
          <w:sz w:val="48"/>
          <w:szCs w:val="48"/>
          <w:highlight w:val="none"/>
          <w:lang w:val="en-US" w:eastAsia="zh-CN"/>
        </w:rPr>
        <w:t>交易</w:t>
      </w:r>
      <w:r>
        <w:rPr>
          <w:rFonts w:hint="eastAsia" w:ascii="仿宋" w:hAnsi="仿宋" w:eastAsia="仿宋" w:cs="仿宋"/>
          <w:b/>
          <w:color w:val="auto"/>
          <w:sz w:val="48"/>
          <w:szCs w:val="48"/>
          <w:highlight w:val="none"/>
        </w:rPr>
        <w:t>）</w:t>
      </w:r>
    </w:p>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b/>
          <w:color w:val="auto"/>
          <w:sz w:val="44"/>
          <w:szCs w:val="44"/>
          <w:highlight w:val="none"/>
        </w:rPr>
        <w:t xml:space="preserve"> </w:t>
      </w:r>
    </w:p>
    <w:p>
      <w:pPr>
        <w:spacing w:after="0" w:afterAutospacing="0" w:line="240" w:lineRule="auto"/>
        <w:ind w:firstLine="1920" w:firstLineChars="600"/>
        <w:jc w:val="left"/>
        <w:outlineLvl w:val="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招标编号:</w:t>
      </w:r>
      <w:r>
        <w:rPr>
          <w:rFonts w:hint="eastAsia" w:ascii="仿宋" w:hAnsi="仿宋" w:eastAsia="仿宋" w:cs="仿宋"/>
          <w:color w:val="auto"/>
          <w:sz w:val="32"/>
          <w:szCs w:val="32"/>
          <w:highlight w:val="none"/>
          <w:lang w:val="en-US" w:eastAsia="zh-CN"/>
        </w:rPr>
        <w:t xml:space="preserve"> CGSHZJ-2024-N001060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240" w:lineRule="auto"/>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736011605"/>
              </w:rPr>
              <w:t>采购单位</w:t>
            </w:r>
            <w:r>
              <w:rPr>
                <w:rFonts w:hint="eastAsia" w:ascii="仿宋" w:hAnsi="仿宋" w:eastAsia="仿宋" w:cs="仿宋"/>
                <w:color w:val="auto"/>
                <w:spacing w:val="0"/>
                <w:kern w:val="0"/>
                <w:sz w:val="32"/>
                <w:szCs w:val="32"/>
                <w:highlight w:val="none"/>
                <w:fitText w:val="2240" w:id="1736011605"/>
              </w:rPr>
              <w:t>：</w:t>
            </w:r>
          </w:p>
        </w:tc>
        <w:tc>
          <w:tcPr>
            <w:tcW w:w="5445" w:type="dxa"/>
            <w:vAlign w:val="center"/>
          </w:tcPr>
          <w:p>
            <w:pPr>
              <w:spacing w:line="240" w:lineRule="auto"/>
              <w:outlineLvl w:val="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绍兴市社会科学界联合会</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240" w:lineRule="auto"/>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pPr>
              <w:spacing w:after="100" w:afterAutospacing="1" w:line="24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tblPrEx>
          <w:tblCellMar>
            <w:top w:w="0" w:type="dxa"/>
            <w:left w:w="108" w:type="dxa"/>
            <w:bottom w:w="0" w:type="dxa"/>
            <w:right w:w="108" w:type="dxa"/>
          </w:tblCellMar>
        </w:tblPrEx>
        <w:trPr>
          <w:trHeight w:val="454" w:hRule="atLeast"/>
          <w:jc w:val="center"/>
        </w:trPr>
        <w:tc>
          <w:tcPr>
            <w:tcW w:w="2356" w:type="dxa"/>
            <w:vMerge w:val="restart"/>
            <w:vAlign w:val="center"/>
          </w:tcPr>
          <w:p>
            <w:pPr>
              <w:spacing w:after="100" w:afterAutospacing="1" w:line="240" w:lineRule="auto"/>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417679591"/>
              </w:rPr>
              <w:t>监督单位</w:t>
            </w:r>
            <w:r>
              <w:rPr>
                <w:rFonts w:hint="eastAsia" w:ascii="仿宋" w:hAnsi="仿宋" w:eastAsia="仿宋" w:cs="仿宋"/>
                <w:color w:val="auto"/>
                <w:spacing w:val="0"/>
                <w:kern w:val="0"/>
                <w:sz w:val="32"/>
                <w:szCs w:val="32"/>
                <w:highlight w:val="none"/>
                <w:fitText w:val="2240" w:id="1417679591"/>
              </w:rPr>
              <w:t>：</w:t>
            </w:r>
          </w:p>
        </w:tc>
        <w:tc>
          <w:tcPr>
            <w:tcW w:w="5445" w:type="dxa"/>
            <w:vAlign w:val="center"/>
          </w:tcPr>
          <w:p>
            <w:pPr>
              <w:spacing w:after="100" w:afterAutospacing="1" w:line="24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tblPrEx>
          <w:tblCellMar>
            <w:top w:w="0" w:type="dxa"/>
            <w:left w:w="108" w:type="dxa"/>
            <w:bottom w:w="0" w:type="dxa"/>
            <w:right w:w="108" w:type="dxa"/>
          </w:tblCellMar>
        </w:tblPrEx>
        <w:trPr>
          <w:trHeight w:val="454" w:hRule="atLeast"/>
          <w:jc w:val="center"/>
        </w:trPr>
        <w:tc>
          <w:tcPr>
            <w:tcW w:w="2356" w:type="dxa"/>
            <w:vMerge w:val="continue"/>
            <w:vAlign w:val="center"/>
          </w:tcPr>
          <w:p>
            <w:pPr>
              <w:spacing w:after="100" w:afterAutospacing="1" w:line="240" w:lineRule="auto"/>
              <w:jc w:val="left"/>
              <w:rPr>
                <w:rFonts w:hint="eastAsia" w:ascii="仿宋" w:hAnsi="仿宋" w:eastAsia="仿宋" w:cs="仿宋"/>
                <w:color w:val="auto"/>
                <w:spacing w:val="1920"/>
                <w:kern w:val="0"/>
                <w:sz w:val="32"/>
                <w:szCs w:val="32"/>
                <w:highlight w:val="none"/>
                <w:fitText w:val="2240" w:id="1"/>
              </w:rPr>
            </w:pPr>
          </w:p>
        </w:tc>
        <w:tc>
          <w:tcPr>
            <w:tcW w:w="5445" w:type="dxa"/>
            <w:vAlign w:val="center"/>
          </w:tcPr>
          <w:p>
            <w:pPr>
              <w:spacing w:after="100" w:afterAutospacing="1" w:line="24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绍兴市政务服务办公室</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spacing w:after="100" w:afterAutospacing="1" w:line="240" w:lineRule="auto"/>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w:t>
            </w:r>
            <w:r>
              <w:rPr>
                <w:rFonts w:hint="eastAsia" w:ascii="仿宋" w:hAnsi="仿宋" w:eastAsia="仿宋" w:cs="仿宋"/>
                <w:color w:val="auto"/>
                <w:sz w:val="32"/>
                <w:szCs w:val="32"/>
                <w:highlight w:val="none"/>
              </w:rPr>
              <w:t>月</w:t>
            </w:r>
          </w:p>
        </w:tc>
      </w:tr>
    </w:tbl>
    <w:p>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vertAlign w:val="baseli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《绍兴大典》（第二辑）出版项目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eastAsia="zh-CN"/>
        </w:rPr>
        <w:t>2024年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lang w:eastAsia="zh-CN"/>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 xml:space="preserve"> CGSHZJ-2024-N001060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《绍兴大典》（第二辑）出版项目</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rPr>
        <w:t>16130000.00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16130000.00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《绍兴大典》（第二辑）出版项目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lang w:val="en-US" w:eastAsia="zh-CN"/>
        </w:rPr>
        <w:t>预算金额：16130000.00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_GB2312" w:hAnsi="仿宋" w:eastAsia="仿宋_GB2312" w:cs="Arial"/>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_GB2312" w:hAnsi="仿宋" w:eastAsia="仿宋_GB2312" w:cs="Arial"/>
          <w:color w:val="auto"/>
          <w:kern w:val="0"/>
          <w:sz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0" w:firstLineChars="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具有有效的图书出版许可证。</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8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8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8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8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numPr>
          <w:ilvl w:val="0"/>
          <w:numId w:val="0"/>
        </w:numPr>
        <w:spacing w:line="380" w:lineRule="exact"/>
        <w:ind w:firstLine="482" w:firstLineChars="200"/>
        <w:rPr>
          <w:rFonts w:asci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eastAsia="仿宋" w:cs="仿宋"/>
          <w:color w:val="auto"/>
          <w:sz w:val="24"/>
          <w:szCs w:val="24"/>
          <w:highlight w:val="none"/>
        </w:rPr>
        <w:t>1.采购人信息：</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称：绍兴市社会科学界联合会</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 绍兴市越城区灵芝街道洋江西路589号</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 黄锡云</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项目联系方式（询问）：13906751756</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质疑联系人：赵纯青 </w:t>
      </w:r>
    </w:p>
    <w:p>
      <w:pPr>
        <w:spacing w:beforeLines="-2147483648" w:afterLines="-2147483648"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质疑联系方式：0575-85125385</w:t>
      </w:r>
    </w:p>
    <w:p>
      <w:pPr>
        <w:pStyle w:val="3"/>
        <w:numPr>
          <w:ilvl w:val="0"/>
          <w:numId w:val="0"/>
        </w:numPr>
        <w:spacing w:line="380" w:lineRule="exact"/>
        <w:ind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p>
    <w:p>
      <w:pPr>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8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刘红丽</w:t>
      </w:r>
      <w:bookmarkStart w:id="156" w:name="_GoBack"/>
      <w:bookmarkEnd w:id="156"/>
    </w:p>
    <w:p>
      <w:pPr>
        <w:spacing w:line="38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15657576907</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pPr>
        <w:spacing w:line="38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spacing w:line="380" w:lineRule="exact"/>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名    称：绍兴市财政局 </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：张婷婷 </w:t>
      </w:r>
    </w:p>
    <w:p>
      <w:pPr>
        <w:spacing w:line="38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bookmarkEnd w:id="5"/>
    <w:bookmarkEnd w:id="6"/>
    <w:bookmarkEnd w:id="7"/>
    <w:bookmarkEnd w:id="8"/>
    <w:p>
      <w:pPr>
        <w:pageBreakBefore w:val="0"/>
        <w:widowControl w:val="0"/>
        <w:kinsoku/>
        <w:wordWrap/>
        <w:overflowPunct/>
        <w:topLinePunct w:val="0"/>
        <w:autoSpaceDE/>
        <w:autoSpaceDN/>
        <w:bidi w:val="0"/>
        <w:spacing w:line="38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8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提供</w:t>
            </w:r>
            <w:r>
              <w:rPr>
                <w:rFonts w:hint="eastAsia" w:ascii="仿宋" w:hAnsi="仿宋" w:eastAsia="仿宋" w:cs="仿宋"/>
                <w:color w:val="auto"/>
                <w:sz w:val="24"/>
                <w:highlight w:val="none"/>
                <w:u w:val="single"/>
                <w:lang w:val="en-US" w:eastAsia="zh-CN"/>
              </w:rPr>
              <w:t>与本项目类似（如地方文化类书册等）古籍</w:t>
            </w:r>
            <w:r>
              <w:rPr>
                <w:rFonts w:hint="eastAsia" w:ascii="仿宋_GB2312" w:hAnsi="仿宋" w:eastAsia="仿宋_GB2312"/>
                <w:color w:val="auto"/>
                <w:sz w:val="24"/>
                <w:highlight w:val="none"/>
                <w:u w:val="single"/>
              </w:rPr>
              <w:t>精装本和</w:t>
            </w:r>
            <w:r>
              <w:rPr>
                <w:rFonts w:hint="eastAsia" w:ascii="仿宋_GB2312" w:hAnsi="仿宋" w:eastAsia="仿宋_GB2312"/>
                <w:color w:val="auto"/>
                <w:sz w:val="24"/>
                <w:highlight w:val="none"/>
                <w:u w:val="single"/>
                <w:lang w:val="en-US" w:eastAsia="zh-Hans"/>
              </w:rPr>
              <w:t>线装本</w:t>
            </w:r>
            <w:r>
              <w:rPr>
                <w:rFonts w:hint="eastAsia" w:ascii="仿宋_GB2312" w:hAnsi="仿宋" w:eastAsia="仿宋_GB2312"/>
                <w:color w:val="auto"/>
                <w:sz w:val="24"/>
                <w:highlight w:val="none"/>
                <w:u w:val="single"/>
              </w:rPr>
              <w:t>样书各1</w:t>
            </w:r>
            <w:r>
              <w:rPr>
                <w:rFonts w:hint="eastAsia" w:ascii="仿宋_GB2312" w:hAnsi="仿宋" w:eastAsia="仿宋_GB2312"/>
                <w:color w:val="auto"/>
                <w:sz w:val="24"/>
                <w:highlight w:val="none"/>
                <w:u w:val="single"/>
                <w:lang w:eastAsia="zh-CN"/>
              </w:rPr>
              <w:t>套</w:t>
            </w:r>
            <w:r>
              <w:rPr>
                <w:rFonts w:hint="eastAsia" w:ascii="仿宋" w:hAnsi="仿宋" w:eastAsia="仿宋" w:cs="仿宋"/>
                <w:color w:val="auto"/>
                <w:kern w:val="0"/>
                <w:sz w:val="24"/>
                <w:highlight w:val="none"/>
              </w:rPr>
              <w:t>；</w:t>
            </w:r>
          </w:p>
          <w:p>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_GB2312" w:hAnsi="仿宋" w:eastAsia="仿宋_GB2312"/>
                <w:color w:val="auto"/>
                <w:sz w:val="24"/>
                <w:highlight w:val="none"/>
                <w:u w:val="single"/>
              </w:rPr>
              <w:t>样品作为商务技术文件组成部分，单独密封在密封袋中，并在封皮上标注项目名称和投标人名称加盖投标人公章</w:t>
            </w:r>
            <w:r>
              <w:rPr>
                <w:rFonts w:hint="eastAsia" w:ascii="仿宋" w:hAnsi="仿宋" w:eastAsia="仿宋" w:cs="仿宋"/>
                <w:color w:val="auto"/>
                <w:kern w:val="0"/>
                <w:sz w:val="24"/>
                <w:highlight w:val="none"/>
              </w:rPr>
              <w:t>；</w:t>
            </w:r>
          </w:p>
          <w:p>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_GB2312" w:hAnsi="仿宋" w:eastAsia="仿宋_GB2312"/>
                <w:color w:val="auto"/>
                <w:sz w:val="24"/>
                <w:szCs w:val="24"/>
                <w:highlight w:val="none"/>
                <w:u w:val="single"/>
              </w:rPr>
              <w:t>202</w:t>
            </w:r>
            <w:r>
              <w:rPr>
                <w:rFonts w:hint="eastAsia" w:ascii="仿宋_GB2312" w:hAnsi="仿宋" w:eastAsia="仿宋_GB2312"/>
                <w:color w:val="auto"/>
                <w:sz w:val="24"/>
                <w:szCs w:val="24"/>
                <w:highlight w:val="none"/>
                <w:u w:val="single"/>
                <w:lang w:val="en-US" w:eastAsia="zh-CN"/>
              </w:rPr>
              <w:t>4</w:t>
            </w:r>
            <w:r>
              <w:rPr>
                <w:rFonts w:hint="eastAsia" w:ascii="仿宋_GB2312" w:hAnsi="仿宋" w:eastAsia="仿宋_GB2312"/>
                <w:color w:val="auto"/>
                <w:sz w:val="24"/>
                <w:szCs w:val="24"/>
                <w:highlight w:val="none"/>
                <w:u w:val="single"/>
              </w:rPr>
              <w:t>年</w:t>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u w:val="single"/>
              </w:rPr>
              <w:t>月</w:t>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u w:val="single"/>
              </w:rPr>
              <w:t>日</w:t>
            </w:r>
            <w:r>
              <w:rPr>
                <w:rFonts w:hint="eastAsia" w:ascii="仿宋_GB2312" w:hAnsi="仿宋" w:eastAsia="仿宋_GB2312"/>
                <w:color w:val="auto"/>
                <w:sz w:val="24"/>
                <w:szCs w:val="24"/>
                <w:highlight w:val="none"/>
                <w:u w:val="single"/>
                <w:lang w:val="en-US" w:eastAsia="zh-Hans"/>
              </w:rPr>
              <w:t>以</w:t>
            </w:r>
            <w:r>
              <w:rPr>
                <w:rFonts w:hint="eastAsia" w:ascii="仿宋_GB2312" w:hAnsi="仿宋" w:eastAsia="仿宋_GB2312"/>
                <w:color w:val="auto"/>
                <w:sz w:val="24"/>
                <w:szCs w:val="24"/>
                <w:highlight w:val="none"/>
                <w:u w:val="single"/>
                <w:lang w:eastAsia="zh-CN"/>
              </w:rPr>
              <w:t>前</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绍兴市越城区迪荡街道龙湖大厦17楼SP1703室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default"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刘老师</w:t>
            </w:r>
            <w:r>
              <w:rPr>
                <w:rFonts w:hint="default"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default"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15657576907</w:t>
            </w:r>
            <w:r>
              <w:rPr>
                <w:rFonts w:hint="default"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rPr>
              <w:t>。请供应商在上述时间内提供样品并按规定位置安装完毕。超过截止时间</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，采购人或采购代理机构将不予接收，将清场并封闭样品现场。</w:t>
            </w:r>
          </w:p>
          <w:p>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keepNext w:val="0"/>
              <w:keepLines w:val="0"/>
              <w:pageBreakBefore w:val="0"/>
              <w:widowControl/>
              <w:kinsoku/>
              <w:wordWrap/>
              <w:overflowPunct/>
              <w:topLinePunct w:val="0"/>
              <w:autoSpaceDE w:val="0"/>
              <w:autoSpaceDN w:val="0"/>
              <w:bidi w:val="0"/>
              <w:adjustRightInd/>
              <w:spacing w:line="380" w:lineRule="exact"/>
              <w:ind w:left="0" w:leftChars="0" w:right="0" w:rightChars="0"/>
              <w:jc w:val="left"/>
              <w:rPr>
                <w:rFonts w:hint="eastAsia" w:ascii="仿宋_GB2312" w:hAnsi="宋体" w:eastAsia="仿宋_GB2312" w:cs="Times New Roman"/>
                <w:b w:val="0"/>
                <w:bCs/>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pPr>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pPr>
              <w:spacing w:line="400" w:lineRule="exact"/>
              <w:rPr>
                <w:rFonts w:ascii="仿宋_GB2312" w:hAnsi="仿宋" w:eastAsia="仿宋_GB2312" w:cs="仿宋"/>
                <w:b/>
                <w:bCs/>
                <w:color w:val="auto"/>
                <w:sz w:val="24"/>
                <w:highlight w:val="none"/>
                <w:lang w:val="zh-CN"/>
              </w:rPr>
            </w:pPr>
            <w:r>
              <w:rPr>
                <w:rFonts w:hint="eastAsia" w:ascii="仿宋" w:hAnsi="仿宋" w:eastAsia="仿宋" w:cs="仿宋"/>
                <w:color w:val="auto"/>
                <w:sz w:val="24"/>
                <w:szCs w:val="24"/>
                <w:highlight w:val="none"/>
                <w:lang w:val="zh-CN"/>
              </w:rPr>
              <w:t>（1）</w:t>
            </w:r>
            <w:r>
              <w:rPr>
                <w:rFonts w:hint="eastAsia" w:ascii="仿宋_GB2312" w:hAnsi="仿宋" w:eastAsia="仿宋_GB2312" w:cs="仿宋"/>
                <w:b w:val="0"/>
                <w:bCs w:val="0"/>
                <w:color w:val="auto"/>
                <w:sz w:val="24"/>
                <w:highlight w:val="none"/>
                <w:lang w:val="zh-CN"/>
              </w:rPr>
              <w:t>在评标时安排每个供应商进行方案讲解演示。每个供应商时间不超过</w:t>
            </w:r>
            <w:r>
              <w:rPr>
                <w:rFonts w:hint="eastAsia" w:ascii="仿宋_GB2312" w:hAnsi="仿宋" w:eastAsia="仿宋_GB2312" w:cs="仿宋"/>
                <w:b w:val="0"/>
                <w:bCs w:val="0"/>
                <w:color w:val="auto"/>
                <w:sz w:val="24"/>
                <w:highlight w:val="none"/>
                <w:u w:val="single"/>
              </w:rPr>
              <w:t xml:space="preserve"> 15 </w:t>
            </w:r>
            <w:r>
              <w:rPr>
                <w:rFonts w:hint="eastAsia" w:ascii="仿宋_GB2312" w:hAnsi="仿宋" w:eastAsia="仿宋_GB2312" w:cs="仿宋"/>
                <w:b w:val="0"/>
                <w:bCs w:val="0"/>
                <w:color w:val="auto"/>
                <w:sz w:val="24"/>
                <w:highlight w:val="none"/>
                <w:lang w:val="zh-CN"/>
              </w:rPr>
              <w:t>分钟，讲解次序以投标文件解密时间先后次序为准。讲解演示结束后按要求解答评标委员会提问。</w:t>
            </w:r>
          </w:p>
          <w:p>
            <w:pPr>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spacing w:line="400" w:lineRule="exact"/>
              <w:ind w:left="0" w:leftChars="0" w:right="0" w:rightChars="0"/>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其他未列明行业</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lang w:eastAsia="zh-CN"/>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snapToGrid w:val="0"/>
                <w:color w:val="auto"/>
                <w:kern w:val="28"/>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bCs/>
                <w:sz w:val="24"/>
                <w:szCs w:val="24"/>
                <w:highlight w:val="none"/>
              </w:rPr>
              <w:t xml:space="preserve">采购代理服务费: </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(1)按代理协议约定的内容，中标单位需支付以下费用，并在投标报价中自行考虑：根据项目的中标金额，采用差额定率累进法进行计算,具体费率标准如下:中标金额在 100 万元以下部分服务招标为 1.5%; 100-500万部分，服务招标收取0.8%; 500-1000万部分，服务招标收取0.45%;1000-5000万部分，服务招标收取0.25%。</w:t>
            </w:r>
            <w:r>
              <w:rPr>
                <w:rFonts w:hint="eastAsia" w:ascii="仿宋" w:hAnsi="仿宋" w:eastAsia="仿宋" w:cs="仿宋"/>
                <w:sz w:val="24"/>
                <w:szCs w:val="24"/>
                <w:highlight w:val="none"/>
                <w:lang w:val="en-US" w:eastAsia="zh-CN"/>
              </w:rPr>
              <w:t>实际按八折计取。</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(2)采购代理服务费的交纳方式：</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用银行支票、汇票、电汇、现金等付款方式直接交纳采购代理服务费。</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公司名称：绍兴虬实企业管理咨询有限公司</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账    号：2006767942000015</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开 户 行：绍兴银行股份有限公司禹陵支行</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9" w:name="第三部分"/>
      <w:bookmarkStart w:id="10"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1"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_GB2312" w:hAnsi="仿宋" w:eastAsia="仿宋_GB2312" w:cs="仿宋"/>
          <w:b/>
          <w:color w:val="auto"/>
          <w:sz w:val="24"/>
          <w:highlight w:val="none"/>
        </w:rPr>
        <w:t>8.25</w:t>
      </w:r>
      <w:r>
        <w:rPr>
          <w:rFonts w:ascii="仿宋" w:hAnsi="仿宋" w:eastAsia="仿宋" w:cs="仿宋"/>
          <w:b/>
          <w:color w:val="auto"/>
          <w:sz w:val="24"/>
          <w:highlight w:val="none"/>
        </w:rPr>
        <w:t>对未提供样品或提供样品不满足采购需求实质性条件的</w:t>
      </w:r>
      <w:r>
        <w:rPr>
          <w:rFonts w:hint="eastAsia" w:ascii="仿宋" w:hAnsi="仿宋" w:eastAsia="仿宋" w:cs="仿宋"/>
          <w:b/>
          <w:color w:val="auto"/>
          <w:sz w:val="24"/>
          <w:highlight w:val="none"/>
        </w:rPr>
        <w:t>；</w:t>
      </w:r>
    </w:p>
    <w:p>
      <w:pPr>
        <w:snapToGrid w:val="0"/>
        <w:spacing w:line="440" w:lineRule="exact"/>
        <w:ind w:firstLine="482" w:firstLineChars="200"/>
        <w:jc w:val="left"/>
        <w:rPr>
          <w:rFonts w:ascii="仿宋_GB2312" w:hAnsi="仿宋" w:eastAsia="仿宋_GB2312" w:cs="仿宋"/>
          <w:color w:val="auto"/>
          <w:highlight w:val="none"/>
        </w:rPr>
      </w:pPr>
      <w:r>
        <w:rPr>
          <w:rFonts w:ascii="仿宋" w:hAnsi="仿宋" w:eastAsia="仿宋" w:cs="仿宋"/>
          <w:b/>
          <w:color w:val="auto"/>
          <w:sz w:val="24"/>
          <w:highlight w:val="none"/>
        </w:rPr>
        <w:t>8.26</w:t>
      </w:r>
      <w:r>
        <w:rPr>
          <w:rFonts w:hint="eastAsia" w:ascii="仿宋_GB2312" w:hAnsi="仿宋" w:eastAsia="仿宋_GB2312" w:cs="仿宋"/>
          <w:b/>
          <w:color w:val="auto"/>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1"/>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12" w:name="_Hlt74730295"/>
      <w:bookmarkEnd w:id="12"/>
      <w:bookmarkStart w:id="13" w:name="_Hlt68073093"/>
      <w:bookmarkEnd w:id="13"/>
      <w:bookmarkStart w:id="14" w:name="_Hlt68072990"/>
      <w:bookmarkEnd w:id="14"/>
      <w:bookmarkStart w:id="15" w:name="_Hlt74729768"/>
      <w:bookmarkEnd w:id="15"/>
      <w:bookmarkStart w:id="16" w:name="_Hlt74714665"/>
      <w:bookmarkEnd w:id="16"/>
      <w:bookmarkStart w:id="17" w:name="_Hlt68403820"/>
      <w:bookmarkEnd w:id="17"/>
      <w:bookmarkStart w:id="18" w:name="_Hlt68072998"/>
      <w:bookmarkEnd w:id="18"/>
      <w:bookmarkStart w:id="19" w:name="_Hlt75236290"/>
      <w:bookmarkEnd w:id="19"/>
      <w:bookmarkStart w:id="20" w:name="_Hlt68057669"/>
      <w:bookmarkEnd w:id="20"/>
      <w:bookmarkStart w:id="21" w:name="_Hlt75236011"/>
      <w:bookmarkEnd w:id="21"/>
      <w:bookmarkStart w:id="22" w:name="_Hlt74707468"/>
      <w:bookmarkEnd w:id="22"/>
      <w:bookmarkStart w:id="23" w:name="_Hlt75236101"/>
      <w:bookmarkEnd w:id="23"/>
      <w:bookmarkStart w:id="24" w:name="_Toc84325929"/>
      <w:bookmarkStart w:id="25" w:name="_Toc81372776"/>
      <w:bookmarkStart w:id="26" w:name="_Toc81372953"/>
      <w:r>
        <w:rPr>
          <w:rFonts w:hint="eastAsia" w:ascii="仿宋" w:hAnsi="仿宋" w:eastAsia="仿宋" w:cs="仿宋"/>
          <w:b/>
          <w:color w:val="auto"/>
          <w:sz w:val="32"/>
          <w:szCs w:val="32"/>
          <w:highlight w:val="none"/>
        </w:rPr>
        <w:t>五、授予合同</w:t>
      </w:r>
    </w:p>
    <w:bookmarkEnd w:id="24"/>
    <w:bookmarkEnd w:id="25"/>
    <w:bookmarkEnd w:id="26"/>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fmt="decimal" w:start="1"/>
          <w:cols w:space="720" w:num="1"/>
          <w:docGrid w:linePitch="312" w:charSpace="0"/>
        </w:sectPr>
      </w:pPr>
    </w:p>
    <w:bookmarkEnd w:id="9"/>
    <w:bookmarkEnd w:id="10"/>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2"/>
          <w:szCs w:val="32"/>
          <w:highlight w:val="none"/>
        </w:rPr>
      </w:pPr>
      <w:bookmarkStart w:id="27" w:name="第四部分"/>
      <w:r>
        <w:rPr>
          <w:rFonts w:hint="eastAsia" w:ascii="仿宋" w:hAnsi="仿宋" w:eastAsia="仿宋" w:cs="仿宋"/>
          <w:b/>
          <w:color w:val="auto"/>
          <w:sz w:val="36"/>
          <w:szCs w:val="36"/>
          <w:highlight w:val="none"/>
        </w:rPr>
        <w:t>第三部分   招标项目范围及要求</w:t>
      </w:r>
      <w:bookmarkEnd w:id="27"/>
      <w:bookmarkStart w:id="28" w:name="第五部分"/>
      <w:bookmarkStart w:id="29" w:name="_Toc86217003"/>
    </w:p>
    <w:p>
      <w:pPr>
        <w:snapToGrid w:val="0"/>
        <w:spacing w:line="480" w:lineRule="exact"/>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bdr w:val="single" w:color="auto" w:sz="4" w:space="0"/>
        </w:rPr>
        <w:t>01标</w:t>
      </w:r>
      <w:r>
        <w:rPr>
          <w:rFonts w:hint="eastAsia" w:ascii="仿宋" w:hAnsi="仿宋" w:eastAsia="仿宋" w:cs="仿宋"/>
          <w:b/>
          <w:color w:val="auto"/>
          <w:sz w:val="24"/>
          <w:szCs w:val="22"/>
          <w:highlight w:val="none"/>
          <w:lang w:eastAsia="zh-CN"/>
        </w:rPr>
        <w:t>《绍兴大典》（第二辑）出版项目</w:t>
      </w:r>
      <w:r>
        <w:rPr>
          <w:rFonts w:hint="eastAsia" w:ascii="仿宋" w:hAnsi="仿宋" w:eastAsia="仿宋" w:cs="仿宋"/>
          <w:b/>
          <w:color w:val="auto"/>
          <w:sz w:val="24"/>
          <w:szCs w:val="22"/>
          <w:highlight w:val="none"/>
        </w:rPr>
        <w:t>（预算：</w:t>
      </w:r>
      <w:r>
        <w:rPr>
          <w:rFonts w:hint="eastAsia" w:ascii="仿宋" w:hAnsi="仿宋" w:eastAsia="仿宋" w:cs="仿宋"/>
          <w:b/>
          <w:color w:val="auto"/>
          <w:sz w:val="24"/>
          <w:szCs w:val="22"/>
          <w:highlight w:val="none"/>
          <w:lang w:val="en-US" w:eastAsia="zh-CN"/>
        </w:rPr>
        <w:t>1613</w:t>
      </w:r>
      <w:r>
        <w:rPr>
          <w:rFonts w:hint="eastAsia" w:ascii="仿宋" w:hAnsi="仿宋" w:eastAsia="仿宋" w:cs="仿宋"/>
          <w:b/>
          <w:color w:val="auto"/>
          <w:sz w:val="24"/>
          <w:szCs w:val="22"/>
          <w:highlight w:val="none"/>
        </w:rPr>
        <w:t>万元）</w:t>
      </w:r>
    </w:p>
    <w:p>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一、项目背景</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大典》是绍兴市委、市政府为贯彻落实习近平总书记系列重要讲话精神以及中办、国办印发的《关于推进新时代古籍工作的意见》精神，走人文为魂、生态塑韵的城市发展之路，奋力打造新时代文化文明高地，重辉“文献名邦”而实施的重点文化工程。</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工作内容</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配合绍兴大典编纂出版工作，出版</w:t>
      </w:r>
      <w:r>
        <w:rPr>
          <w:rFonts w:hint="eastAsia" w:ascii="仿宋" w:hAnsi="仿宋" w:eastAsia="仿宋" w:cs="仿宋"/>
          <w:b/>
          <w:bCs/>
          <w:kern w:val="0"/>
          <w:sz w:val="24"/>
          <w:highlight w:val="none"/>
        </w:rPr>
        <w:t>《绍兴大典》</w:t>
      </w:r>
      <w:r>
        <w:rPr>
          <w:rFonts w:hint="eastAsia" w:ascii="仿宋" w:hAnsi="仿宋" w:eastAsia="仿宋" w:cs="仿宋"/>
          <w:b/>
          <w:color w:val="auto"/>
          <w:sz w:val="24"/>
          <w:szCs w:val="22"/>
          <w:highlight w:val="none"/>
          <w:lang w:eastAsia="zh-CN"/>
        </w:rPr>
        <w:t>（第二辑）</w:t>
      </w:r>
      <w:r>
        <w:rPr>
          <w:rFonts w:hint="eastAsia" w:ascii="仿宋" w:hAnsi="仿宋" w:eastAsia="仿宋" w:cs="仿宋"/>
          <w:color w:val="auto"/>
          <w:sz w:val="24"/>
          <w:szCs w:val="24"/>
          <w:highlight w:val="none"/>
        </w:rPr>
        <w:t>，其中出版</w:t>
      </w:r>
      <w:r>
        <w:rPr>
          <w:rFonts w:hint="eastAsia" w:ascii="仿宋" w:hAnsi="仿宋" w:eastAsia="仿宋" w:cs="仿宋"/>
          <w:b/>
          <w:bCs/>
          <w:kern w:val="0"/>
          <w:sz w:val="24"/>
          <w:highlight w:val="none"/>
        </w:rPr>
        <w:t>《绍兴大典》</w:t>
      </w:r>
      <w:r>
        <w:rPr>
          <w:rFonts w:hint="eastAsia" w:ascii="仿宋" w:hAnsi="仿宋" w:eastAsia="仿宋" w:cs="仿宋"/>
          <w:b/>
          <w:color w:val="auto"/>
          <w:sz w:val="24"/>
          <w:szCs w:val="22"/>
          <w:highlight w:val="none"/>
          <w:lang w:eastAsia="zh-CN"/>
        </w:rPr>
        <w:t>（第二辑）</w:t>
      </w:r>
      <w:r>
        <w:rPr>
          <w:rFonts w:hint="eastAsia" w:ascii="仿宋" w:hAnsi="仿宋" w:eastAsia="仿宋" w:cs="仿宋"/>
          <w:b/>
          <w:bCs/>
          <w:kern w:val="0"/>
          <w:sz w:val="24"/>
          <w:highlight w:val="none"/>
        </w:rPr>
        <w:t>精装本</w:t>
      </w:r>
      <w:r>
        <w:rPr>
          <w:rFonts w:hint="eastAsia" w:ascii="仿宋" w:hAnsi="仿宋" w:eastAsia="仿宋" w:cs="仿宋"/>
          <w:color w:val="auto"/>
          <w:sz w:val="24"/>
          <w:szCs w:val="24"/>
          <w:highlight w:val="none"/>
        </w:rPr>
        <w:t>约146册，出版</w:t>
      </w:r>
      <w:r>
        <w:rPr>
          <w:rFonts w:hint="eastAsia" w:ascii="仿宋" w:hAnsi="仿宋" w:eastAsia="仿宋" w:cs="仿宋"/>
          <w:b/>
          <w:bCs/>
          <w:sz w:val="24"/>
          <w:szCs w:val="24"/>
          <w:highlight w:val="none"/>
        </w:rPr>
        <w:t>《绍兴大典》</w:t>
      </w:r>
      <w:r>
        <w:rPr>
          <w:rFonts w:hint="eastAsia" w:ascii="仿宋" w:hAnsi="仿宋" w:eastAsia="仿宋" w:cs="仿宋"/>
          <w:b/>
          <w:color w:val="auto"/>
          <w:sz w:val="24"/>
          <w:szCs w:val="22"/>
          <w:highlight w:val="none"/>
          <w:lang w:eastAsia="zh-CN"/>
        </w:rPr>
        <w:t>（第二辑）</w:t>
      </w:r>
      <w:r>
        <w:rPr>
          <w:rFonts w:hint="eastAsia" w:ascii="仿宋" w:hAnsi="仿宋" w:eastAsia="仿宋" w:cs="仿宋"/>
          <w:b/>
          <w:bCs/>
          <w:sz w:val="24"/>
          <w:szCs w:val="24"/>
          <w:highlight w:val="none"/>
        </w:rPr>
        <w:t>线装本</w:t>
      </w:r>
      <w:r>
        <w:rPr>
          <w:rFonts w:hint="eastAsia" w:ascii="仿宋" w:hAnsi="仿宋" w:eastAsia="仿宋" w:cs="仿宋"/>
          <w:color w:val="auto"/>
          <w:sz w:val="24"/>
          <w:szCs w:val="24"/>
          <w:highlight w:val="none"/>
        </w:rPr>
        <w:t>约9册。 具体内容主要包括文稿编辑、加工、校审等；排版设计，包含装帧设计、版面制作、插图、校对等；出版，获得国际标准书号（ISBN）共计</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个；印刷，包括印前校样、印刷、包装和送货等，</w:t>
      </w:r>
      <w:r>
        <w:rPr>
          <w:rFonts w:hint="eastAsia" w:ascii="仿宋" w:hAnsi="仿宋" w:eastAsia="仿宋" w:cs="仿宋"/>
          <w:color w:val="auto"/>
          <w:sz w:val="24"/>
          <w:szCs w:val="24"/>
          <w:highlight w:val="none"/>
          <w:lang w:val="en-US" w:eastAsia="zh-CN"/>
        </w:rPr>
        <w:t>精装本和线装本各印装300套，</w:t>
      </w:r>
      <w:r>
        <w:rPr>
          <w:rFonts w:hint="eastAsia" w:ascii="仿宋" w:hAnsi="仿宋" w:eastAsia="仿宋" w:cs="仿宋"/>
          <w:color w:val="auto"/>
          <w:sz w:val="24"/>
          <w:szCs w:val="24"/>
          <w:highlight w:val="none"/>
        </w:rPr>
        <w:t>共印装600套。</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审稿团队</w:t>
      </w:r>
    </w:p>
    <w:p>
      <w:pPr>
        <w:numPr>
          <w:ilvl w:val="0"/>
          <w:numId w:val="0"/>
        </w:numPr>
        <w:spacing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根据《绍兴大典》编纂委员会要求，由投标人负责邀请相关专家学者组成对本次招标项目所有内容的审稿专家组。专家组必须包括</w:t>
      </w:r>
      <w:r>
        <w:rPr>
          <w:rFonts w:hint="eastAsia" w:ascii="仿宋" w:hAnsi="仿宋" w:eastAsia="仿宋" w:cs="仿宋"/>
          <w:color w:val="auto"/>
          <w:sz w:val="24"/>
          <w:szCs w:val="24"/>
          <w:highlight w:val="none"/>
          <w:lang w:val="en-US" w:eastAsia="zh-CN"/>
        </w:rPr>
        <w:t>国</w:t>
      </w:r>
      <w:r>
        <w:rPr>
          <w:rFonts w:hint="eastAsia" w:ascii="仿宋" w:hAnsi="仿宋" w:eastAsia="仿宋" w:cs="仿宋"/>
          <w:color w:val="auto"/>
          <w:sz w:val="24"/>
          <w:szCs w:val="24"/>
          <w:highlight w:val="none"/>
        </w:rPr>
        <w:t>内知名文史学者、绍兴文化学者等。</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工作要求</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由投标人按照绍兴市社会科学界联合会、《绍兴大典》编纂委员会的要求安排封面、内文版式设计，图文录排，编辑校对，用纸、印刷、装订、运送等。具体要求如下：</w:t>
      </w:r>
    </w:p>
    <w:p>
      <w:pPr>
        <w:pStyle w:val="33"/>
        <w:numPr>
          <w:ilvl w:val="0"/>
          <w:numId w:val="2"/>
        </w:num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bCs/>
          <w:kern w:val="0"/>
          <w:sz w:val="24"/>
          <w:highlight w:val="none"/>
        </w:rPr>
        <w:t>《绍兴大典》</w:t>
      </w:r>
      <w:r>
        <w:rPr>
          <w:rFonts w:hint="eastAsia" w:ascii="仿宋" w:hAnsi="仿宋" w:eastAsia="仿宋" w:cs="仿宋"/>
          <w:b/>
          <w:color w:val="auto"/>
          <w:sz w:val="24"/>
          <w:szCs w:val="22"/>
          <w:highlight w:val="none"/>
          <w:lang w:eastAsia="zh-CN"/>
        </w:rPr>
        <w:t>（第二辑）</w:t>
      </w:r>
      <w:r>
        <w:rPr>
          <w:rFonts w:hint="eastAsia" w:ascii="仿宋" w:hAnsi="仿宋" w:eastAsia="仿宋" w:cs="仿宋"/>
          <w:b/>
          <w:bCs/>
          <w:kern w:val="0"/>
          <w:sz w:val="24"/>
          <w:highlight w:val="none"/>
        </w:rPr>
        <w:t>精装本</w:t>
      </w:r>
      <w:r>
        <w:rPr>
          <w:rFonts w:hint="eastAsia" w:ascii="仿宋" w:hAnsi="仿宋" w:eastAsia="仿宋" w:cs="仿宋"/>
          <w:b/>
          <w:color w:val="auto"/>
          <w:sz w:val="24"/>
          <w:szCs w:val="24"/>
          <w:highlight w:val="none"/>
        </w:rPr>
        <w:t xml:space="preserve">   </w:t>
      </w:r>
    </w:p>
    <w:p>
      <w:pPr>
        <w:numPr>
          <w:ilvl w:val="0"/>
          <w:numId w:val="3"/>
        </w:numPr>
        <w:spacing w:line="480" w:lineRule="exact"/>
        <w:ind w:firstLine="482" w:firstLineChars="200"/>
        <w:rPr>
          <w:rFonts w:hint="eastAsia" w:ascii="仿宋" w:hAnsi="仿宋" w:eastAsia="仿宋" w:cs="仿宋"/>
          <w:b/>
          <w:bCs/>
          <w:snapToGrid w:val="0"/>
          <w:color w:val="auto"/>
          <w:kern w:val="0"/>
          <w:sz w:val="24"/>
          <w:szCs w:val="21"/>
          <w:highlight w:val="none"/>
        </w:rPr>
      </w:pPr>
      <w:r>
        <w:rPr>
          <w:rFonts w:hint="eastAsia" w:ascii="仿宋" w:hAnsi="仿宋" w:eastAsia="仿宋" w:cs="仿宋"/>
          <w:b/>
          <w:bCs/>
          <w:snapToGrid w:val="0"/>
          <w:color w:val="auto"/>
          <w:kern w:val="0"/>
          <w:sz w:val="24"/>
          <w:szCs w:val="21"/>
          <w:highlight w:val="none"/>
        </w:rPr>
        <w:t>出版清单</w:t>
      </w:r>
    </w:p>
    <w:tbl>
      <w:tblPr>
        <w:tblStyle w:val="62"/>
        <w:tblW w:w="89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2"/>
        <w:gridCol w:w="5303"/>
        <w:gridCol w:w="944"/>
        <w:gridCol w:w="1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1352" w:type="dxa"/>
            <w:tcBorders>
              <w:top w:val="single" w:color="auto" w:sz="4" w:space="0"/>
              <w:left w:val="single" w:color="auto" w:sz="4" w:space="0"/>
              <w:bottom w:val="single" w:color="auto" w:sz="8" w:space="0"/>
              <w:right w:val="single" w:color="auto" w:sz="4"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项</w:t>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rPr>
              <w:t>目</w:t>
            </w:r>
          </w:p>
        </w:tc>
        <w:tc>
          <w:tcPr>
            <w:tcW w:w="5303" w:type="dxa"/>
            <w:tcBorders>
              <w:top w:val="single" w:color="auto" w:sz="8" w:space="0"/>
              <w:left w:val="single" w:color="auto" w:sz="4" w:space="0"/>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内容</w:t>
            </w:r>
          </w:p>
        </w:tc>
        <w:tc>
          <w:tcPr>
            <w:tcW w:w="944" w:type="dxa"/>
            <w:tcBorders>
              <w:top w:val="single" w:color="auto" w:sz="8" w:space="0"/>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数量</w:t>
            </w:r>
          </w:p>
        </w:tc>
        <w:tc>
          <w:tcPr>
            <w:tcW w:w="1309" w:type="dxa"/>
            <w:tcBorders>
              <w:top w:val="single" w:color="auto" w:sz="8" w:space="0"/>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页数</w:t>
            </w:r>
          </w:p>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eastAsia="zh-CN"/>
              </w:rPr>
              <w:t>筒子</w:t>
            </w:r>
            <w:r>
              <w:rPr>
                <w:rFonts w:hint="eastAsia" w:ascii="仿宋" w:hAnsi="仿宋" w:eastAsia="仿宋" w:cs="仿宋"/>
                <w:b/>
                <w:color w:val="auto"/>
                <w:kern w:val="0"/>
                <w:sz w:val="24"/>
                <w:szCs w:val="24"/>
                <w:highlight w:val="none"/>
              </w:rPr>
              <w:t>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1352" w:type="dxa"/>
            <w:tcBorders>
              <w:top w:val="nil"/>
              <w:left w:val="single" w:color="auto" w:sz="4" w:space="0"/>
              <w:bottom w:val="single" w:color="auto" w:sz="4" w:space="0"/>
              <w:right w:val="single" w:color="auto" w:sz="4" w:space="0"/>
              <w:tl2br w:val="nil"/>
              <w:tr2bl w:val="nil"/>
            </w:tcBorders>
            <w:noWrap w:val="0"/>
            <w:vAlign w:val="center"/>
          </w:tcPr>
          <w:p>
            <w:pPr>
              <w:widowControl/>
              <w:adjustRightInd/>
              <w:snapToGrid w:val="0"/>
              <w:spacing w:beforeLines="0" w:afterLines="0"/>
              <w:jc w:val="left"/>
              <w:rPr>
                <w:rFonts w:hint="eastAsia" w:ascii="仿宋" w:hAnsi="仿宋" w:eastAsia="仿宋" w:cs="仿宋"/>
                <w:color w:val="auto"/>
                <w:kern w:val="0"/>
                <w:sz w:val="24"/>
                <w:szCs w:val="24"/>
                <w:highlight w:val="none"/>
              </w:rPr>
            </w:pPr>
            <w:r>
              <w:rPr>
                <w:rFonts w:hint="eastAsia" w:ascii="仿宋" w:hAnsi="仿宋" w:eastAsia="仿宋" w:cs="仿宋"/>
                <w:b/>
                <w:bCs/>
                <w:kern w:val="0"/>
                <w:sz w:val="24"/>
                <w:highlight w:val="none"/>
              </w:rPr>
              <w:t>《绍兴大典》</w:t>
            </w:r>
            <w:r>
              <w:rPr>
                <w:rFonts w:hint="eastAsia" w:ascii="仿宋" w:hAnsi="仿宋" w:eastAsia="仿宋" w:cs="仿宋"/>
                <w:b/>
                <w:color w:val="auto"/>
                <w:sz w:val="24"/>
                <w:szCs w:val="22"/>
                <w:highlight w:val="none"/>
                <w:lang w:eastAsia="zh-CN"/>
              </w:rPr>
              <w:t>（第二辑）</w:t>
            </w:r>
            <w:r>
              <w:rPr>
                <w:rFonts w:hint="eastAsia" w:ascii="仿宋" w:hAnsi="仿宋" w:eastAsia="仿宋" w:cs="仿宋"/>
                <w:b/>
                <w:bCs/>
                <w:kern w:val="0"/>
                <w:sz w:val="24"/>
                <w:highlight w:val="none"/>
              </w:rPr>
              <w:t>精装本</w:t>
            </w:r>
            <w:r>
              <w:rPr>
                <w:rFonts w:hint="eastAsia" w:ascii="仿宋" w:hAnsi="仿宋" w:eastAsia="仿宋" w:cs="仿宋"/>
                <w:b/>
                <w:color w:val="auto"/>
                <w:sz w:val="24"/>
                <w:szCs w:val="24"/>
                <w:highlight w:val="none"/>
              </w:rPr>
              <w:t xml:space="preserve"> </w:t>
            </w:r>
          </w:p>
        </w:tc>
        <w:tc>
          <w:tcPr>
            <w:tcW w:w="5303" w:type="dxa"/>
            <w:tcBorders>
              <w:top w:val="nil"/>
              <w:left w:val="single" w:color="auto" w:sz="4" w:space="0"/>
              <w:bottom w:val="single" w:color="auto" w:sz="8" w:space="0"/>
              <w:right w:val="single" w:color="auto" w:sz="8" w:space="0"/>
              <w:tl2br w:val="nil"/>
              <w:tr2bl w:val="nil"/>
            </w:tcBorders>
            <w:noWrap w:val="0"/>
            <w:vAlign w:val="center"/>
          </w:tcPr>
          <w:p>
            <w:pPr>
              <w:widowControl/>
              <w:adjustRightInd/>
              <w:snapToGrid w:val="0"/>
              <w:spacing w:beforeLines="0" w:afterLines="0"/>
              <w:jc w:val="left"/>
              <w:rPr>
                <w:rFonts w:hint="eastAsia" w:ascii="仿宋" w:hAnsi="仿宋" w:eastAsia="仿宋" w:cs="仿宋"/>
                <w:highlight w:val="none"/>
              </w:rPr>
            </w:pPr>
            <w:r>
              <w:rPr>
                <w:rFonts w:hint="eastAsia" w:ascii="仿宋" w:hAnsi="仿宋" w:eastAsia="仿宋" w:cs="仿宋"/>
                <w:b/>
                <w:bCs/>
                <w:sz w:val="24"/>
                <w:szCs w:val="32"/>
                <w:highlight w:val="none"/>
              </w:rPr>
              <w:t>经部</w:t>
            </w:r>
            <w:r>
              <w:rPr>
                <w:rFonts w:hint="eastAsia" w:ascii="仿宋" w:hAnsi="仿宋" w:eastAsia="仿宋" w:cs="仿宋"/>
                <w:highlight w:val="none"/>
              </w:rPr>
              <w:t>《说文解字韵谱》、《说文解字系传》、《诗说解颐总论》附《正释》《字义》、《越言释》、《越谚》附《賸语》、《尔雅新义》、《儿易外仪》、《字义总略》、《十三经札记》、《尚书说》、《中庸辑略》11种；</w:t>
            </w:r>
          </w:p>
          <w:p>
            <w:pPr>
              <w:widowControl/>
              <w:adjustRightInd/>
              <w:snapToGrid w:val="0"/>
              <w:spacing w:beforeLines="0" w:afterLines="0"/>
              <w:jc w:val="left"/>
              <w:rPr>
                <w:rFonts w:hint="eastAsia" w:ascii="仿宋" w:hAnsi="仿宋" w:eastAsia="仿宋" w:cs="仿宋"/>
                <w:highlight w:val="none"/>
              </w:rPr>
            </w:pPr>
            <w:r>
              <w:rPr>
                <w:rFonts w:hint="eastAsia" w:ascii="仿宋" w:hAnsi="仿宋" w:eastAsia="仿宋" w:cs="仿宋"/>
                <w:b/>
                <w:bCs/>
                <w:sz w:val="24"/>
                <w:szCs w:val="32"/>
                <w:highlight w:val="none"/>
              </w:rPr>
              <w:t>史部</w:t>
            </w:r>
            <w:r>
              <w:rPr>
                <w:rFonts w:hint="eastAsia" w:ascii="仿宋" w:hAnsi="仿宋" w:eastAsia="仿宋" w:cs="仿宋"/>
                <w:highlight w:val="none"/>
              </w:rPr>
              <w:t>《越绝书》、《文史通义》、《越缦堂读史札记十一种》、《吴越春秋》、《祁忠敏公日记》、《柳边纪略》、《西湖梦寻》、《（嘉庆）上虞县志》、《（康熙）新昌县志》、《（万历）新昌县志》、《光绪新昌县志稿》、《（万历）上虞县志》、《明夷待访录》、《佐治要言》、《学治臆说》附《续说》《说赘》15种；</w:t>
            </w:r>
          </w:p>
          <w:p>
            <w:pPr>
              <w:widowControl/>
              <w:adjustRightInd/>
              <w:snapToGrid w:val="0"/>
              <w:spacing w:beforeLines="0" w:afterLines="0"/>
              <w:jc w:val="left"/>
              <w:rPr>
                <w:rFonts w:hint="eastAsia" w:ascii="仿宋" w:hAnsi="仿宋" w:eastAsia="仿宋" w:cs="仿宋"/>
                <w:highlight w:val="none"/>
              </w:rPr>
            </w:pPr>
            <w:r>
              <w:rPr>
                <w:rFonts w:hint="eastAsia" w:ascii="仿宋" w:hAnsi="仿宋" w:eastAsia="仿宋" w:cs="仿宋"/>
                <w:b/>
                <w:bCs/>
                <w:sz w:val="24"/>
                <w:szCs w:val="32"/>
                <w:highlight w:val="none"/>
              </w:rPr>
              <w:t>子部</w:t>
            </w:r>
            <w:r>
              <w:rPr>
                <w:rFonts w:hint="eastAsia" w:ascii="仿宋" w:hAnsi="仿宋" w:eastAsia="仿宋" w:cs="仿宋"/>
                <w:highlight w:val="none"/>
              </w:rPr>
              <w:t>《卧云楼琴谱》附《指法》、《邻鹤斋琴谱》、《指法字母汇参确解》、《小柴桑喃喃录》、《躬耻斋经世十八篇》、《云林石谱》、《花政》、《景岳全书》、《南陵无双谱》、《荡寇志》、《陶庵梦忆》、《夜航船》、《梦厂杂著》、《论衡》、《高僧传》附《序录》、《古本周易参同契集注》、《王门宗旨》、《西溪丛语》、《梅谱》、《刘雪湖梅谱》、《水浒叶子》、《博古叶子》、《传习录》附《续录》23种；</w:t>
            </w:r>
          </w:p>
          <w:p>
            <w:pPr>
              <w:widowControl/>
              <w:adjustRightInd/>
              <w:snapToGrid w:val="0"/>
              <w:spacing w:beforeLines="0" w:afterLines="0"/>
              <w:jc w:val="left"/>
              <w:rPr>
                <w:rFonts w:hint="eastAsia" w:ascii="仿宋" w:hAnsi="仿宋" w:eastAsia="仿宋" w:cs="仿宋"/>
                <w:highlight w:val="none"/>
              </w:rPr>
            </w:pPr>
            <w:r>
              <w:rPr>
                <w:rFonts w:hint="eastAsia" w:ascii="仿宋" w:hAnsi="仿宋" w:eastAsia="仿宋" w:cs="仿宋"/>
                <w:b/>
                <w:bCs/>
                <w:sz w:val="24"/>
                <w:szCs w:val="32"/>
                <w:highlight w:val="none"/>
              </w:rPr>
              <w:t>集部</w:t>
            </w:r>
            <w:r>
              <w:rPr>
                <w:rFonts w:hint="eastAsia" w:ascii="仿宋" w:hAnsi="仿宋" w:eastAsia="仿宋" w:cs="仿宋"/>
                <w:highlight w:val="none"/>
              </w:rPr>
              <w:t>《谢康乐集》《会稽掇英总集》《云溪居士集》《碧山乐府(一名花外集)》、《竹屋痴语》、《青霞沈公遗集》、《歇庵集》、《渭南文集》、《张阳和先生不二斋文选》、《云渊先生文选》、《澹生堂集》、《王季重先生文集》、《徐文长文集》、《王龙溪先生全集》、《刘蕺山先生集》、《古文观止》、《铁崖文集》、《竹斋诗集》附《补遗》、《铁崖先生古乐府》、《万一楼集》、《宝纶堂集》、《雪溪集》附《补遗》《逸文》、《王公四六话》、《东越证学录》24种；</w:t>
            </w:r>
          </w:p>
          <w:p>
            <w:pPr>
              <w:widowControl/>
              <w:adjustRightInd/>
              <w:snapToGrid w:val="0"/>
              <w:spacing w:beforeLines="0" w:afterLines="0"/>
              <w:jc w:val="left"/>
              <w:rPr>
                <w:rFonts w:hint="eastAsia" w:ascii="仿宋" w:hAnsi="仿宋" w:eastAsia="仿宋" w:cs="仿宋"/>
                <w:highlight w:val="none"/>
              </w:rPr>
            </w:pPr>
            <w:r>
              <w:rPr>
                <w:rFonts w:hint="eastAsia" w:ascii="仿宋" w:hAnsi="仿宋" w:eastAsia="仿宋" w:cs="仿宋"/>
                <w:highlight w:val="none"/>
              </w:rPr>
              <w:t>丛部《香雪崦丛书》、《绍兴先正遗书》、《越中文献辑存书》3种。</w:t>
            </w:r>
          </w:p>
          <w:p>
            <w:pPr>
              <w:widowControl/>
              <w:adjustRightInd/>
              <w:snapToGrid w:val="0"/>
              <w:spacing w:beforeLines="0" w:afterLines="0"/>
              <w:jc w:val="left"/>
              <w:rPr>
                <w:rFonts w:hint="eastAsia" w:ascii="仿宋" w:hAnsi="仿宋" w:eastAsia="仿宋" w:cs="仿宋"/>
                <w:color w:val="auto"/>
                <w:kern w:val="0"/>
                <w:sz w:val="24"/>
                <w:szCs w:val="24"/>
                <w:highlight w:val="none"/>
              </w:rPr>
            </w:pPr>
            <w:r>
              <w:rPr>
                <w:rFonts w:hint="eastAsia" w:ascii="仿宋" w:hAnsi="仿宋" w:eastAsia="仿宋" w:cs="仿宋"/>
                <w:highlight w:val="none"/>
              </w:rPr>
              <w:t>共76种。</w:t>
            </w:r>
          </w:p>
        </w:tc>
        <w:tc>
          <w:tcPr>
            <w:tcW w:w="944" w:type="dxa"/>
            <w:tcBorders>
              <w:top w:val="nil"/>
              <w:left w:val="nil"/>
              <w:bottom w:val="single" w:color="auto" w:sz="8" w:space="0"/>
              <w:right w:val="single" w:color="auto" w:sz="8" w:space="0"/>
              <w:tl2br w:val="nil"/>
              <w:tr2bl w:val="nil"/>
            </w:tcBorders>
            <w:noWrap w:val="0"/>
            <w:vAlign w:val="center"/>
          </w:tcPr>
          <w:p>
            <w:pPr>
              <w:widowControl/>
              <w:jc w:val="center"/>
              <w:rPr>
                <w:rFonts w:hint="eastAsia" w:ascii="仿宋" w:hAnsi="仿宋" w:eastAsia="仿宋" w:cs="仿宋"/>
                <w:kern w:val="0"/>
                <w:sz w:val="24"/>
                <w:szCs w:val="24"/>
                <w:highlight w:val="none"/>
                <w:lang w:val="en-US" w:eastAsia="zh-CN"/>
              </w:rPr>
            </w:pPr>
          </w:p>
          <w:p>
            <w:pPr>
              <w:widowControl/>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约146</w:t>
            </w:r>
            <w:r>
              <w:rPr>
                <w:rFonts w:hint="eastAsia" w:ascii="仿宋" w:hAnsi="仿宋" w:eastAsia="仿宋" w:cs="仿宋"/>
                <w:kern w:val="0"/>
                <w:sz w:val="24"/>
                <w:szCs w:val="24"/>
                <w:highlight w:val="none"/>
              </w:rPr>
              <w:t>册</w:t>
            </w:r>
          </w:p>
          <w:p>
            <w:pPr>
              <w:widowControl/>
              <w:adjustRightInd/>
              <w:snapToGrid w:val="0"/>
              <w:spacing w:beforeLines="0" w:afterLines="0"/>
              <w:jc w:val="center"/>
              <w:rPr>
                <w:rFonts w:hint="eastAsia" w:ascii="仿宋" w:hAnsi="仿宋" w:eastAsia="仿宋" w:cs="仿宋"/>
                <w:color w:val="auto"/>
                <w:kern w:val="0"/>
                <w:sz w:val="24"/>
                <w:szCs w:val="24"/>
                <w:highlight w:val="none"/>
              </w:rPr>
            </w:pPr>
          </w:p>
        </w:tc>
        <w:tc>
          <w:tcPr>
            <w:tcW w:w="1309" w:type="dxa"/>
            <w:tcBorders>
              <w:top w:val="nil"/>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color w:val="auto"/>
                <w:kern w:val="0"/>
                <w:sz w:val="24"/>
                <w:szCs w:val="24"/>
                <w:highlight w:val="none"/>
              </w:rPr>
            </w:pPr>
            <w:r>
              <w:rPr>
                <w:rFonts w:hint="eastAsia" w:ascii="仿宋" w:hAnsi="仿宋" w:eastAsia="仿宋" w:cs="仿宋"/>
                <w:sz w:val="24"/>
                <w:szCs w:val="24"/>
                <w:highlight w:val="none"/>
                <w:lang w:eastAsia="zh-CN"/>
              </w:rPr>
              <w:t>约</w:t>
            </w:r>
            <w:r>
              <w:rPr>
                <w:rFonts w:hint="eastAsia" w:ascii="仿宋" w:hAnsi="仿宋" w:eastAsia="仿宋" w:cs="仿宋"/>
                <w:sz w:val="24"/>
                <w:szCs w:val="24"/>
                <w:highlight w:val="none"/>
                <w:lang w:val="en-US" w:eastAsia="zh-CN"/>
              </w:rPr>
              <w:t>32585筒子页</w:t>
            </w:r>
          </w:p>
        </w:tc>
      </w:tr>
    </w:tbl>
    <w:p>
      <w:pPr>
        <w:numPr>
          <w:ilvl w:val="0"/>
          <w:numId w:val="0"/>
        </w:numPr>
        <w:spacing w:beforeLines="0" w:afterLines="0"/>
        <w:rPr>
          <w:rFonts w:hint="eastAsia" w:ascii="仿宋" w:hAnsi="仿宋" w:eastAsia="仿宋" w:cs="仿宋"/>
          <w:color w:val="auto"/>
          <w:sz w:val="21"/>
          <w:szCs w:val="24"/>
          <w:highlight w:val="none"/>
        </w:rPr>
      </w:pPr>
    </w:p>
    <w:p>
      <w:pPr>
        <w:pStyle w:val="33"/>
        <w:numPr>
          <w:ilvl w:val="0"/>
          <w:numId w:val="0"/>
        </w:numPr>
        <w:spacing w:line="400" w:lineRule="exact"/>
        <w:ind w:left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0"/>
          <w:highlight w:val="none"/>
        </w:rPr>
        <w:t>2.</w:t>
      </w:r>
      <w:r>
        <w:rPr>
          <w:rFonts w:hint="eastAsia" w:ascii="仿宋" w:hAnsi="仿宋" w:eastAsia="仿宋" w:cs="仿宋"/>
          <w:b/>
          <w:bCs/>
          <w:color w:val="auto"/>
          <w:kern w:val="0"/>
          <w:sz w:val="24"/>
          <w:szCs w:val="21"/>
          <w:highlight w:val="none"/>
        </w:rPr>
        <w:t>出版、印刷、装帧要求</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（1）开本为：</w:t>
      </w:r>
      <w:r>
        <w:rPr>
          <w:rFonts w:hint="eastAsia" w:ascii="仿宋" w:hAnsi="仿宋" w:eastAsia="仿宋" w:cs="仿宋"/>
          <w:b w:val="0"/>
          <w:bCs/>
          <w:kern w:val="2"/>
          <w:sz w:val="24"/>
          <w:szCs w:val="24"/>
          <w:highlight w:val="none"/>
          <w:lang w:val="en-US" w:eastAsia="zh-CN" w:bidi="ar-SA"/>
        </w:rPr>
        <w:t>16开（185 mm×260 mm）</w:t>
      </w:r>
      <w:r>
        <w:rPr>
          <w:rFonts w:hint="eastAsia" w:ascii="仿宋" w:hAnsi="仿宋" w:eastAsia="仿宋" w:cs="仿宋"/>
          <w:color w:val="auto"/>
          <w:sz w:val="24"/>
          <w:szCs w:val="24"/>
          <w:highlight w:val="none"/>
        </w:rPr>
        <w:t>；</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（2）出版页面：</w:t>
      </w:r>
      <w:r>
        <w:rPr>
          <w:rFonts w:hint="eastAsia" w:ascii="仿宋" w:hAnsi="仿宋" w:eastAsia="仿宋" w:cs="仿宋"/>
          <w:b w:val="0"/>
          <w:bCs/>
          <w:kern w:val="2"/>
          <w:sz w:val="24"/>
          <w:szCs w:val="24"/>
          <w:highlight w:val="none"/>
          <w:lang w:val="en-US" w:eastAsia="zh-CN" w:bidi="ar-SA"/>
        </w:rPr>
        <w:t>筒子页的半叶排一面，约</w:t>
      </w:r>
      <w:r>
        <w:rPr>
          <w:rFonts w:hint="eastAsia" w:ascii="仿宋" w:hAnsi="仿宋" w:eastAsia="仿宋" w:cs="仿宋"/>
          <w:sz w:val="24"/>
          <w:szCs w:val="24"/>
          <w:highlight w:val="none"/>
          <w:lang w:val="en-US" w:eastAsia="zh-CN"/>
        </w:rPr>
        <w:t>32585</w:t>
      </w:r>
      <w:r>
        <w:rPr>
          <w:rFonts w:hint="eastAsia" w:ascii="仿宋" w:hAnsi="仿宋" w:eastAsia="仿宋" w:cs="仿宋"/>
          <w:b w:val="0"/>
          <w:bCs/>
          <w:kern w:val="2"/>
          <w:sz w:val="24"/>
          <w:szCs w:val="24"/>
          <w:highlight w:val="none"/>
          <w:lang w:val="en-US" w:eastAsia="zh-CN" w:bidi="ar-SA"/>
        </w:rPr>
        <w:t>页（约65170面），</w:t>
      </w:r>
      <w:r>
        <w:rPr>
          <w:rFonts w:hint="eastAsia" w:ascii="仿宋" w:hAnsi="仿宋" w:eastAsia="仿宋" w:cs="仿宋"/>
          <w:kern w:val="0"/>
          <w:sz w:val="24"/>
          <w:szCs w:val="24"/>
          <w:highlight w:val="none"/>
          <w:lang w:val="en-US" w:eastAsia="zh-CN"/>
        </w:rPr>
        <w:t>约</w:t>
      </w:r>
      <w:r>
        <w:rPr>
          <w:rFonts w:hint="eastAsia" w:ascii="仿宋" w:hAnsi="仿宋" w:eastAsia="仿宋" w:cs="仿宋"/>
          <w:b w:val="0"/>
          <w:bCs/>
          <w:kern w:val="2"/>
          <w:sz w:val="24"/>
          <w:szCs w:val="24"/>
          <w:highlight w:val="none"/>
          <w:lang w:val="en-US" w:eastAsia="zh-CN" w:bidi="ar-SA"/>
        </w:rPr>
        <w:t>146册</w:t>
      </w:r>
      <w:r>
        <w:rPr>
          <w:rFonts w:hint="eastAsia" w:ascii="仿宋" w:hAnsi="仿宋" w:eastAsia="仿宋" w:cs="仿宋"/>
          <w:color w:val="auto"/>
          <w:sz w:val="24"/>
          <w:szCs w:val="24"/>
          <w:highlight w:val="none"/>
        </w:rPr>
        <w:t>；</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）内文用纸：</w:t>
      </w:r>
      <w:r>
        <w:rPr>
          <w:rFonts w:hint="eastAsia" w:ascii="仿宋" w:hAnsi="仿宋" w:eastAsia="仿宋" w:cs="仿宋"/>
          <w:b w:val="0"/>
          <w:bCs/>
          <w:kern w:val="2"/>
          <w:sz w:val="24"/>
          <w:szCs w:val="24"/>
          <w:highlight w:val="none"/>
          <w:lang w:val="en-US" w:eastAsia="zh-CN" w:bidi="ar-SA"/>
        </w:rPr>
        <w:t>100克纯质纸</w:t>
      </w:r>
      <w:r>
        <w:rPr>
          <w:rFonts w:hint="eastAsia" w:ascii="仿宋" w:hAnsi="仿宋" w:eastAsia="仿宋" w:cs="仿宋"/>
          <w:color w:val="auto"/>
          <w:sz w:val="24"/>
          <w:szCs w:val="24"/>
          <w:highlight w:val="none"/>
        </w:rPr>
        <w:t>；</w:t>
      </w:r>
    </w:p>
    <w:p>
      <w:pPr>
        <w:pStyle w:val="33"/>
        <w:spacing w:line="400" w:lineRule="exact"/>
        <w:ind w:firstLine="480" w:firstLineChars="200"/>
        <w:rPr>
          <w:rFonts w:hint="eastAsia" w:ascii="仿宋" w:hAnsi="仿宋" w:eastAsia="仿宋" w:cs="仿宋"/>
          <w:color w:val="auto"/>
          <w:spacing w:val="15"/>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）封</w:t>
      </w:r>
      <w:r>
        <w:rPr>
          <w:rFonts w:hint="eastAsia" w:ascii="仿宋" w:hAnsi="仿宋" w:eastAsia="仿宋" w:cs="仿宋"/>
          <w:color w:val="auto"/>
          <w:spacing w:val="15"/>
          <w:sz w:val="24"/>
          <w:szCs w:val="24"/>
          <w:highlight w:val="none"/>
        </w:rPr>
        <w:t>面用纸：</w:t>
      </w:r>
      <w:r>
        <w:rPr>
          <w:rFonts w:hint="eastAsia" w:ascii="仿宋" w:hAnsi="仿宋" w:eastAsia="仿宋" w:cs="仿宋"/>
          <w:b w:val="0"/>
          <w:bCs/>
          <w:spacing w:val="15"/>
          <w:sz w:val="24"/>
          <w:szCs w:val="24"/>
          <w:highlight w:val="none"/>
          <w:lang w:val="en-US" w:eastAsia="zh-CN"/>
        </w:rPr>
        <w:t>特种纸+布脊精装</w:t>
      </w:r>
      <w:r>
        <w:rPr>
          <w:rFonts w:hint="eastAsia" w:ascii="仿宋" w:hAnsi="仿宋" w:eastAsia="仿宋" w:cs="仿宋"/>
          <w:color w:val="auto"/>
          <w:spacing w:val="15"/>
          <w:sz w:val="24"/>
          <w:szCs w:val="24"/>
          <w:highlight w:val="none"/>
        </w:rPr>
        <w:t>；</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）印刷标准：</w:t>
      </w:r>
      <w:r>
        <w:rPr>
          <w:rFonts w:hint="eastAsia" w:ascii="仿宋" w:hAnsi="仿宋" w:eastAsia="仿宋" w:cs="仿宋"/>
          <w:b w:val="0"/>
          <w:bCs/>
          <w:kern w:val="2"/>
          <w:sz w:val="24"/>
          <w:szCs w:val="24"/>
          <w:highlight w:val="none"/>
          <w:lang w:val="en-US" w:eastAsia="zh-CN" w:bidi="ar-SA"/>
        </w:rPr>
        <w:t>双色印刷</w:t>
      </w:r>
      <w:r>
        <w:rPr>
          <w:rFonts w:hint="eastAsia" w:ascii="仿宋" w:hAnsi="仿宋" w:eastAsia="仿宋" w:cs="仿宋"/>
          <w:color w:val="auto"/>
          <w:sz w:val="24"/>
          <w:szCs w:val="24"/>
          <w:highlight w:val="none"/>
        </w:rPr>
        <w:t>；</w:t>
      </w:r>
    </w:p>
    <w:p>
      <w:pPr>
        <w:pStyle w:val="33"/>
        <w:spacing w:line="400" w:lineRule="exact"/>
        <w:ind w:firstLine="480" w:firstLineChars="200"/>
        <w:rPr>
          <w:rFonts w:hint="eastAsia" w:ascii="仿宋" w:hAnsi="仿宋" w:eastAsia="仿宋" w:cs="仿宋"/>
          <w:b w:val="0"/>
          <w:bCs/>
          <w:kern w:val="2"/>
          <w:sz w:val="24"/>
          <w:szCs w:val="24"/>
          <w:highlight w:val="none"/>
          <w:lang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）装帧标准：</w:t>
      </w:r>
      <w:r>
        <w:rPr>
          <w:rFonts w:hint="eastAsia" w:ascii="仿宋" w:hAnsi="仿宋" w:eastAsia="仿宋" w:cs="仿宋"/>
          <w:b w:val="0"/>
          <w:bCs/>
          <w:kern w:val="2"/>
          <w:sz w:val="24"/>
          <w:szCs w:val="24"/>
          <w:highlight w:val="none"/>
          <w:lang w:val="en-US" w:eastAsia="zh-CN" w:bidi="ar-SA"/>
        </w:rPr>
        <w:t>纸面布脊精装</w:t>
      </w:r>
      <w:r>
        <w:rPr>
          <w:rFonts w:hint="eastAsia" w:ascii="仿宋" w:hAnsi="仿宋" w:eastAsia="仿宋" w:cs="仿宋"/>
          <w:b w:val="0"/>
          <w:bCs/>
          <w:kern w:val="2"/>
          <w:sz w:val="24"/>
          <w:szCs w:val="24"/>
          <w:highlight w:val="none"/>
          <w:lang w:eastAsia="zh-CN" w:bidi="ar-SA"/>
        </w:rPr>
        <w:t>；</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Hans"/>
        </w:rPr>
        <w:t>装帧设计</w:t>
      </w:r>
      <w:r>
        <w:rPr>
          <w:rFonts w:hint="eastAsia" w:ascii="仿宋" w:hAnsi="仿宋" w:eastAsia="仿宋" w:cs="仿宋"/>
          <w:kern w:val="0"/>
          <w:sz w:val="24"/>
          <w:highlight w:val="none"/>
          <w:lang w:eastAsia="zh-Hans"/>
        </w:rPr>
        <w:t>：</w:t>
      </w:r>
      <w:r>
        <w:rPr>
          <w:rFonts w:hint="eastAsia" w:ascii="仿宋" w:hAnsi="仿宋" w:eastAsia="仿宋" w:cs="仿宋"/>
          <w:kern w:val="0"/>
          <w:sz w:val="24"/>
          <w:highlight w:val="none"/>
        </w:rPr>
        <w:t>出版方负责装帧设计；</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）数量：印装300套。</w:t>
      </w:r>
    </w:p>
    <w:p>
      <w:pPr>
        <w:pStyle w:val="33"/>
        <w:numPr>
          <w:ilvl w:val="0"/>
          <w:numId w:val="0"/>
        </w:numPr>
        <w:spacing w:line="400" w:lineRule="exact"/>
        <w:ind w:left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bCs/>
          <w:sz w:val="24"/>
          <w:szCs w:val="24"/>
          <w:highlight w:val="none"/>
        </w:rPr>
        <w:t>《绍兴大典》</w:t>
      </w:r>
      <w:r>
        <w:rPr>
          <w:rFonts w:hint="eastAsia" w:ascii="仿宋" w:hAnsi="仿宋" w:eastAsia="仿宋" w:cs="仿宋"/>
          <w:b/>
          <w:color w:val="auto"/>
          <w:sz w:val="24"/>
          <w:szCs w:val="22"/>
          <w:highlight w:val="none"/>
          <w:lang w:eastAsia="zh-CN"/>
        </w:rPr>
        <w:t>（第二辑）</w:t>
      </w:r>
      <w:r>
        <w:rPr>
          <w:rFonts w:hint="eastAsia" w:ascii="仿宋" w:hAnsi="仿宋" w:eastAsia="仿宋" w:cs="仿宋"/>
          <w:b/>
          <w:bCs/>
          <w:sz w:val="24"/>
          <w:szCs w:val="24"/>
          <w:highlight w:val="none"/>
        </w:rPr>
        <w:t>线装本</w:t>
      </w:r>
    </w:p>
    <w:p>
      <w:pPr>
        <w:pStyle w:val="33"/>
        <w:numPr>
          <w:ilvl w:val="0"/>
          <w:numId w:val="0"/>
        </w:numPr>
        <w:spacing w:line="400" w:lineRule="exact"/>
        <w:ind w:left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0"/>
          <w:highlight w:val="none"/>
        </w:rPr>
        <w:t>1.出版、印刷、装帧要求</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 w:val="0"/>
          <w:bCs/>
          <w:kern w:val="2"/>
          <w:sz w:val="24"/>
          <w:szCs w:val="24"/>
          <w:highlight w:val="none"/>
          <w:lang w:val="en-US" w:eastAsia="zh-CN" w:bidi="ar-SA"/>
        </w:rPr>
        <w:t>《碣石调幽兰》附《碣石调幽兰谱考释》、《徽言秘旨》、《剡录》做《越典辑珍丛览》。《碣石调幽兰》附《碣石调幽兰谱考释》43筒子页，一函一册；《徽言秘旨》500筒子页，一函六册；《剡录》165筒子页，一函两册。总计3种，约9册，手工宣纸，四色印刷，线装，绫面，配函套和书袋。</w:t>
      </w:r>
      <w:r>
        <w:rPr>
          <w:rFonts w:hint="eastAsia" w:ascii="仿宋" w:hAnsi="仿宋" w:eastAsia="仿宋" w:cs="仿宋"/>
          <w:color w:val="auto"/>
          <w:sz w:val="24"/>
          <w:szCs w:val="24"/>
          <w:highlight w:val="none"/>
        </w:rPr>
        <w:t>按原书尺寸,印装300套。</w:t>
      </w:r>
    </w:p>
    <w:p>
      <w:pPr>
        <w:pStyle w:val="33"/>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（三）总体要求</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（1）印刷装订质量：符合新闻出版署发布的中华人民共和国出版行业标准《书刊印刷标准CY/T1～3－91，CY/T7.1～7.9－91，CY/T12～17－95》的规定；</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（2）封面、扉页、版式、装帧等应由投标人中标后设计多套方案，由采购人选择。排版按照图书排版规范；</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kern w:val="0"/>
          <w:sz w:val="24"/>
          <w:highlight w:val="none"/>
          <w:lang w:val="en-US" w:eastAsia="zh-Hans"/>
        </w:rPr>
        <w:t>书号</w:t>
      </w:r>
      <w:r>
        <w:rPr>
          <w:rFonts w:hint="eastAsia" w:ascii="仿宋" w:hAnsi="仿宋" w:eastAsia="仿宋" w:cs="仿宋"/>
          <w:kern w:val="0"/>
          <w:sz w:val="24"/>
          <w:highlight w:val="none"/>
          <w:lang w:eastAsia="zh-Hans"/>
        </w:rPr>
        <w:t>：</w:t>
      </w:r>
      <w:r>
        <w:rPr>
          <w:rFonts w:hint="eastAsia" w:ascii="仿宋" w:hAnsi="仿宋" w:eastAsia="仿宋" w:cs="仿宋"/>
          <w:kern w:val="0"/>
          <w:sz w:val="24"/>
          <w:highlight w:val="none"/>
          <w:lang w:eastAsia="zh-CN"/>
        </w:rPr>
        <w:t>每种书</w:t>
      </w:r>
      <w:r>
        <w:rPr>
          <w:rFonts w:hint="eastAsia" w:ascii="仿宋" w:hAnsi="仿宋" w:eastAsia="仿宋" w:cs="仿宋"/>
          <w:kern w:val="0"/>
          <w:sz w:val="24"/>
          <w:highlight w:val="none"/>
        </w:rPr>
        <w:t>一个书号</w:t>
      </w:r>
      <w:r>
        <w:rPr>
          <w:rFonts w:hint="eastAsia" w:ascii="仿宋" w:hAnsi="仿宋" w:eastAsia="仿宋" w:cs="仿宋"/>
          <w:kern w:val="0"/>
          <w:sz w:val="24"/>
          <w:highlight w:val="none"/>
          <w:lang w:eastAsia="zh-CN"/>
        </w:rPr>
        <w:t>，共</w:t>
      </w:r>
      <w:r>
        <w:rPr>
          <w:rFonts w:hint="eastAsia" w:ascii="仿宋" w:hAnsi="仿宋" w:eastAsia="仿宋" w:cs="仿宋"/>
          <w:kern w:val="0"/>
          <w:sz w:val="24"/>
          <w:highlight w:val="none"/>
          <w:lang w:val="en-US" w:eastAsia="zh-CN"/>
        </w:rPr>
        <w:t>约71个书号（最终以书号使用种数来计算本批文献实际出版种数）；</w:t>
      </w:r>
    </w:p>
    <w:p>
      <w:pPr>
        <w:pStyle w:val="33"/>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★（4）书稿需经认真审校，保证图书质量并符合国家相关出版要求；</w:t>
      </w:r>
    </w:p>
    <w:p>
      <w:pPr>
        <w:pStyle w:val="33"/>
        <w:tabs>
          <w:tab w:val="left" w:pos="1455"/>
        </w:tabs>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★（5）投标人对印刷的书籍需要打小样，经采购人书面确认后制作</w:t>
      </w:r>
      <w:r>
        <w:rPr>
          <w:rFonts w:hint="eastAsia" w:ascii="仿宋" w:hAnsi="仿宋" w:eastAsia="仿宋" w:cs="仿宋"/>
          <w:color w:val="auto"/>
          <w:sz w:val="24"/>
          <w:szCs w:val="24"/>
          <w:highlight w:val="none"/>
          <w:lang w:eastAsia="zh-CN"/>
        </w:rPr>
        <w:t>。</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审读要求</w:t>
      </w:r>
    </w:p>
    <w:p>
      <w:pPr>
        <w:numPr>
          <w:ilvl w:val="0"/>
          <w:numId w:val="0"/>
        </w:num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在对本次招标项目的所有内容三审三校之前，由中标人组织专家学者从学术和出版的领域提出审读意见，并将审读意见反馈给绍兴市社会科学界联合会和《绍兴大典》编纂委员会存档。</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人员要求</w:t>
      </w:r>
    </w:p>
    <w:p>
      <w:pPr>
        <w:spacing w:line="400" w:lineRule="exact"/>
        <w:ind w:firstLine="480" w:firstLineChars="200"/>
        <w:jc w:val="left"/>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投标人应提交预期为本项目工作的组织结构图、所有人员的资格和姓名，包括项目负责人、项目涉及的各相关领域专家 、研究人员等。未经采购人同意，不得更换人员。</w:t>
      </w:r>
    </w:p>
    <w:p>
      <w:pPr>
        <w:spacing w:line="400" w:lineRule="exact"/>
        <w:ind w:firstLine="480" w:firstLineChars="200"/>
        <w:jc w:val="left"/>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shd w:val="clear" w:color="auto" w:fill="FFFFFF"/>
        </w:rPr>
        <w:t>投标人需</w:t>
      </w:r>
      <w:r>
        <w:rPr>
          <w:rFonts w:hint="eastAsia" w:ascii="仿宋" w:hAnsi="仿宋" w:eastAsia="仿宋" w:cs="仿宋"/>
          <w:color w:val="auto"/>
          <w:sz w:val="24"/>
          <w:szCs w:val="24"/>
          <w:highlight w:val="none"/>
        </w:rPr>
        <w:t>设立专门项目组、专人专职进行项目管理。</w:t>
      </w:r>
      <w:r>
        <w:rPr>
          <w:rFonts w:hint="eastAsia" w:ascii="仿宋" w:hAnsi="仿宋" w:eastAsia="仿宋" w:cs="仿宋"/>
          <w:color w:val="auto"/>
          <w:sz w:val="24"/>
          <w:szCs w:val="24"/>
          <w:highlight w:val="none"/>
          <w:shd w:val="clear" w:color="auto" w:fill="FFFFFF"/>
        </w:rPr>
        <w:t>投入 1 名项目总负责人负责本项目相关的各项工作 。投标人拟投入的其他团队人员（不含项目负责人）不少于5 人。团队成员需符合国家规定的资格条件的出版专业人员。</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其他工作要求</w:t>
      </w:r>
    </w:p>
    <w:p>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1.按国家法律、法规及行政主管部门的有关规定，结合项目实际情况提供出版服务；在绍兴市社会科学界联合会的领导与指导下，制定项目的工作程序，按时按质完成项目工作内容。</w:t>
      </w:r>
    </w:p>
    <w:p>
      <w:pPr>
        <w:spacing w:line="400" w:lineRule="exact"/>
        <w:ind w:firstLine="480" w:firstLineChars="200"/>
        <w:jc w:val="left"/>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2.知识产权：项目原来出版部分的书籍涉及著作权、版权等事宜由投标人自行解决。本项目所包含的内容和素材资料的著作权与使用权均归属于采购人。投标人须承诺所交付使用成品未侵犯他人的商标权、专利权、著作权、肖像权等在先权利，否则因此产生的一切法律后果以及责任由投标人承担。</w:t>
      </w:r>
    </w:p>
    <w:p>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3.未经采购人同意，投标人不得将采购人所提供的文件、资料等，随意传播给其他单位或个人。</w:t>
      </w:r>
    </w:p>
    <w:p>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4.服务标准：出版服务形成的实施方案及报告通过政府相关部门或编纂委员会审定验收，会议审定通过后即为成果符合验收要求。</w:t>
      </w:r>
    </w:p>
    <w:p>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5.在签订合同之后，如提出修改，具体项目和条件由投标人与采购人商定，作为合同附件。</w:t>
      </w:r>
    </w:p>
    <w:p>
      <w:pPr>
        <w:pStyle w:val="33"/>
        <w:tabs>
          <w:tab w:val="left" w:pos="1455"/>
        </w:tabs>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6.投标人需配合采购人要求提供数据文件用于数据库建设。</w:t>
      </w:r>
    </w:p>
    <w:p>
      <w:pPr>
        <w:spacing w:line="400" w:lineRule="exact"/>
        <w:ind w:firstLine="480" w:firstLineChars="200"/>
        <w:jc w:val="left"/>
        <w:rPr>
          <w:rFonts w:hint="eastAsia" w:ascii="仿宋" w:hAnsi="仿宋" w:eastAsia="仿宋" w:cs="仿宋"/>
          <w:color w:val="auto"/>
          <w:sz w:val="24"/>
          <w:szCs w:val="24"/>
          <w:highlight w:val="none"/>
        </w:rPr>
      </w:pPr>
    </w:p>
    <w:p>
      <w:pPr>
        <w:spacing w:line="400" w:lineRule="exact"/>
        <w:ind w:firstLine="480" w:firstLineChars="200"/>
        <w:jc w:val="left"/>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shd w:val="clear" w:color="auto" w:fill="FFFFFF"/>
          <w:lang w:val="en-US" w:eastAsia="zh-CN"/>
        </w:rPr>
        <w:t>7</w:t>
      </w:r>
      <w:r>
        <w:rPr>
          <w:rFonts w:hint="eastAsia" w:ascii="仿宋" w:hAnsi="仿宋" w:eastAsia="仿宋" w:cs="仿宋"/>
          <w:color w:val="auto"/>
          <w:sz w:val="24"/>
          <w:szCs w:val="24"/>
          <w:highlight w:val="none"/>
          <w:shd w:val="clear" w:color="auto" w:fill="FFFFFF"/>
        </w:rPr>
        <w:t>.交货地点：采购人指定地点。</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进度要求</w:t>
      </w:r>
    </w:p>
    <w:p>
      <w:pPr>
        <w:spacing w:line="400" w:lineRule="exact"/>
        <w:ind w:firstLine="480" w:firstLineChars="200"/>
        <w:jc w:val="left"/>
        <w:rPr>
          <w:rFonts w:hint="eastAsia" w:ascii="仿宋" w:hAnsi="仿宋" w:eastAsia="仿宋" w:cs="仿宋"/>
          <w:color w:val="auto"/>
          <w:sz w:val="24"/>
          <w:szCs w:val="24"/>
          <w:highlight w:val="none"/>
          <w:shd w:val="clear" w:color="auto" w:fill="FFFFFF"/>
        </w:rPr>
      </w:pPr>
      <w:r>
        <w:rPr>
          <w:rFonts w:hint="eastAsia" w:ascii="仿宋" w:hAnsi="仿宋" w:eastAsia="仿宋" w:cs="仿宋"/>
          <w:sz w:val="24"/>
          <w:highlight w:val="none"/>
        </w:rPr>
        <w:t>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日前完成</w:t>
      </w:r>
      <w:r>
        <w:rPr>
          <w:rFonts w:hint="eastAsia" w:ascii="仿宋" w:hAnsi="仿宋" w:eastAsia="仿宋" w:cs="仿宋"/>
          <w:sz w:val="24"/>
          <w:highlight w:val="none"/>
          <w:lang w:val="en-US" w:eastAsia="zh-CN"/>
        </w:rPr>
        <w:t>对本次招标项目所有内容</w:t>
      </w:r>
      <w:r>
        <w:rPr>
          <w:rFonts w:hint="eastAsia" w:ascii="仿宋" w:hAnsi="仿宋" w:eastAsia="仿宋" w:cs="仿宋"/>
          <w:sz w:val="24"/>
          <w:highlight w:val="none"/>
        </w:rPr>
        <w:t>的出版发行</w:t>
      </w:r>
      <w:r>
        <w:rPr>
          <w:rFonts w:hint="default" w:ascii="仿宋" w:hAnsi="仿宋" w:eastAsia="仿宋" w:cs="仿宋"/>
          <w:sz w:val="24"/>
          <w:highlight w:val="none"/>
        </w:rPr>
        <w:t>。</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项目验收</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采购人对投标人提交的图书，依据技术规格、质量要求和国家有关质量标准进行实物验收。</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2.投标人应于投标书中提供验收标准和检测办法，并在验收中提供采购人认可的相应检测手段，验收标准应符合国家、地方及行业的标准，如若中标，经采购人确认后作为验收的依据。</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3.验收中发现标的物达不到验收标准或合同规定的技术指标，投标人必须更换，并承担由此给采购人造成的损失，直到验收合格为止。</w:t>
      </w:r>
    </w:p>
    <w:p>
      <w:pPr>
        <w:spacing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4. 验收费用由中标人承担。</w:t>
      </w:r>
    </w:p>
    <w:p>
      <w:pPr>
        <w:numPr>
          <w:ilvl w:val="0"/>
          <w:numId w:val="1"/>
        </w:numPr>
        <w:spacing w:line="400" w:lineRule="exact"/>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结算及付款方式</w:t>
      </w:r>
    </w:p>
    <w:p>
      <w:pPr>
        <w:snapToGrid w:val="0"/>
        <w:spacing w:line="400" w:lineRule="exact"/>
        <w:ind w:firstLine="480" w:firstLineChars="200"/>
        <w:rPr>
          <w:rFonts w:hint="eastAsia" w:ascii="仿宋" w:hAnsi="仿宋" w:eastAsia="仿宋" w:cs="仿宋"/>
          <w:b/>
          <w:color w:val="auto"/>
          <w:sz w:val="24"/>
          <w:szCs w:val="22"/>
          <w:highlight w:val="none"/>
        </w:rPr>
      </w:pPr>
      <w:r>
        <w:rPr>
          <w:rFonts w:hint="eastAsia" w:ascii="仿宋" w:hAnsi="仿宋" w:eastAsia="仿宋" w:cs="仿宋"/>
          <w:color w:val="auto"/>
          <w:kern w:val="0"/>
          <w:sz w:val="24"/>
          <w:szCs w:val="24"/>
          <w:highlight w:val="none"/>
        </w:rPr>
        <w:t>按《浙江省财政厅关于进一步发挥政府采购政策功能全力推动经济稳进提质的通知》（浙财采监〔2022〕3号）</w:t>
      </w:r>
      <w:r>
        <w:rPr>
          <w:rFonts w:hint="eastAsia" w:ascii="仿宋" w:hAnsi="仿宋" w:eastAsia="仿宋" w:cs="仿宋"/>
          <w:color w:val="auto"/>
          <w:kern w:val="0"/>
          <w:sz w:val="24"/>
          <w:szCs w:val="24"/>
          <w:highlight w:val="none"/>
          <w:lang w:eastAsia="zh-CN"/>
        </w:rPr>
        <w:t>等</w:t>
      </w:r>
      <w:r>
        <w:rPr>
          <w:rFonts w:hint="eastAsia" w:ascii="仿宋" w:hAnsi="仿宋" w:eastAsia="仿宋" w:cs="仿宋"/>
          <w:color w:val="auto"/>
          <w:kern w:val="0"/>
          <w:sz w:val="24"/>
          <w:szCs w:val="24"/>
          <w:highlight w:val="none"/>
        </w:rPr>
        <w:t>文件要求执行，具体付款方式由双方协商后在合同中明确。</w:t>
      </w:r>
    </w:p>
    <w:p>
      <w:pPr>
        <w:keepNext w:val="0"/>
        <w:keepLines w:val="0"/>
        <w:pageBreakBefore w:val="0"/>
        <w:kinsoku/>
        <w:wordWrap/>
        <w:topLinePunct w:val="0"/>
        <w:bidi w:val="0"/>
        <w:adjustRightInd w:val="0"/>
        <w:spacing w:line="440" w:lineRule="exact"/>
        <w:ind w:right="0" w:firstLine="480" w:firstLineChars="200"/>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pStyle w:val="8"/>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8"/>
        <w:rPr>
          <w:rFonts w:hint="eastAsia"/>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《绍兴大典》（第二辑）出版项目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0" w:name="_Toc20421"/>
      <w:bookmarkStart w:id="31" w:name="_Toc19273"/>
      <w:bookmarkStart w:id="32" w:name="_Toc22967"/>
      <w:bookmarkStart w:id="33" w:name="_Toc15367"/>
      <w:bookmarkStart w:id="34" w:name="_Toc28855"/>
      <w:r>
        <w:rPr>
          <w:rFonts w:hint="eastAsia" w:ascii="仿宋" w:hAnsi="仿宋" w:eastAsia="仿宋" w:cs="仿宋"/>
          <w:b/>
          <w:color w:val="auto"/>
          <w:sz w:val="24"/>
          <w:highlight w:val="none"/>
        </w:rPr>
        <w:t>1.1 合同组成部分</w:t>
      </w:r>
      <w:bookmarkEnd w:id="30"/>
      <w:bookmarkEnd w:id="31"/>
      <w:bookmarkEnd w:id="32"/>
      <w:bookmarkEnd w:id="33"/>
      <w:bookmarkEnd w:id="3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35" w:name="_Toc18585"/>
      <w:bookmarkStart w:id="36" w:name="_Toc6311"/>
      <w:bookmarkStart w:id="37" w:name="_Toc22185"/>
      <w:bookmarkStart w:id="38" w:name="_Toc2918"/>
      <w:bookmarkStart w:id="39" w:name="_Toc6773"/>
      <w:r>
        <w:rPr>
          <w:rFonts w:hint="eastAsia" w:ascii="仿宋" w:hAnsi="仿宋" w:eastAsia="仿宋" w:cs="仿宋"/>
          <w:b/>
          <w:color w:val="auto"/>
          <w:sz w:val="24"/>
          <w:highlight w:val="none"/>
        </w:rPr>
        <w:t>1.2 标的</w:t>
      </w:r>
      <w:bookmarkEnd w:id="35"/>
      <w:bookmarkEnd w:id="36"/>
      <w:bookmarkEnd w:id="37"/>
      <w:bookmarkEnd w:id="38"/>
      <w:bookmarkEnd w:id="3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0" w:name="_Toc5635"/>
      <w:bookmarkStart w:id="41" w:name="_Toc13918"/>
      <w:bookmarkStart w:id="42" w:name="_Toc21124"/>
      <w:bookmarkStart w:id="43" w:name="_Toc4929"/>
      <w:bookmarkStart w:id="44"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
      <w:bookmarkEnd w:id="41"/>
      <w:bookmarkEnd w:id="42"/>
      <w:bookmarkEnd w:id="43"/>
      <w:bookmarkEnd w:id="4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26916"/>
      <w:bookmarkStart w:id="46" w:name="_Toc14993"/>
      <w:bookmarkStart w:id="47" w:name="_Toc30506"/>
      <w:bookmarkStart w:id="48" w:name="_Toc30158"/>
      <w:bookmarkStart w:id="49"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45"/>
    <w:bookmarkEnd w:id="46"/>
    <w:bookmarkEnd w:id="47"/>
    <w:bookmarkEnd w:id="48"/>
    <w:bookmarkEnd w:id="49"/>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0" w:name="_Toc10340"/>
      <w:bookmarkStart w:id="51" w:name="_Toc1814"/>
      <w:bookmarkStart w:id="52" w:name="_Toc22618"/>
      <w:bookmarkStart w:id="53" w:name="_Toc31421"/>
      <w:bookmarkStart w:id="54" w:name="_Toc3625"/>
      <w:bookmarkStart w:id="55" w:name="_Toc11108"/>
      <w:bookmarkStart w:id="56" w:name="_Toc4760"/>
      <w:bookmarkStart w:id="57" w:name="_Toc8772"/>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0"/>
      <w:bookmarkEnd w:id="51"/>
      <w:bookmarkEnd w:id="52"/>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53"/>
      <w:bookmarkEnd w:id="54"/>
      <w:bookmarkEnd w:id="55"/>
      <w:bookmarkEnd w:id="56"/>
      <w:bookmarkEnd w:id="5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58" w:name="_Toc24662"/>
      <w:bookmarkStart w:id="59" w:name="_Toc5698"/>
      <w:bookmarkStart w:id="60" w:name="_Toc2375"/>
      <w:bookmarkStart w:id="61" w:name="_Toc8586"/>
      <w:bookmarkStart w:id="62" w:name="_Toc3079"/>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58"/>
      <w:bookmarkEnd w:id="59"/>
      <w:bookmarkEnd w:id="60"/>
      <w:bookmarkEnd w:id="61"/>
      <w:bookmarkEnd w:id="6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18683"/>
      <w:bookmarkStart w:id="64" w:name="_Toc9497"/>
      <w:bookmarkStart w:id="65" w:name="_Toc32454"/>
      <w:bookmarkStart w:id="66" w:name="_Toc26807"/>
      <w:bookmarkStart w:id="67"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63"/>
    <w:bookmarkEnd w:id="64"/>
    <w:bookmarkEnd w:id="65"/>
    <w:bookmarkEnd w:id="66"/>
    <w:bookmarkEnd w:id="67"/>
    <w:p>
      <w:pPr>
        <w:spacing w:beforeLines="0" w:afterLines="0" w:line="560" w:lineRule="exact"/>
        <w:ind w:firstLine="482" w:firstLineChars="200"/>
        <w:outlineLvl w:val="0"/>
        <w:rPr>
          <w:rFonts w:hint="eastAsia" w:ascii="仿宋_GB2312" w:hAnsi="仿宋" w:eastAsia="仿宋_GB2312" w:cs="仿宋"/>
          <w:b/>
          <w:color w:val="auto"/>
          <w:sz w:val="24"/>
          <w:szCs w:val="24"/>
          <w:highlight w:val="none"/>
        </w:rPr>
      </w:pPr>
      <w:bookmarkStart w:id="68" w:name="_Toc28375"/>
      <w:bookmarkStart w:id="69" w:name="_Toc15583"/>
      <w:bookmarkStart w:id="70" w:name="_Toc16021"/>
      <w:r>
        <w:rPr>
          <w:rFonts w:hint="eastAsia" w:ascii="仿宋_GB2312" w:hAnsi="仿宋" w:eastAsia="仿宋_GB2312" w:cs="仿宋"/>
          <w:b/>
          <w:color w:val="auto"/>
          <w:sz w:val="24"/>
          <w:szCs w:val="24"/>
          <w:highlight w:val="none"/>
        </w:rPr>
        <w:t>1.9合同争议的解决</w:t>
      </w:r>
    </w:p>
    <w:p>
      <w:pPr>
        <w:spacing w:beforeLines="0" w:afterLines="0" w:line="560" w:lineRule="exact"/>
        <w:ind w:left="-61" w:leftChars="-29" w:right="-420" w:rightChars="-200" w:firstLine="240" w:firstLineChars="1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 xml:space="preserve">  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2.0 合同生效</w:t>
      </w:r>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bookmarkEnd w:id="68"/>
    <w:bookmarkEnd w:id="69"/>
    <w:bookmarkEnd w:id="70"/>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71" w:name="_Toc5228"/>
      <w:bookmarkStart w:id="72" w:name="_Toc31297"/>
      <w:bookmarkStart w:id="73" w:name="_Toc25079"/>
      <w:bookmarkStart w:id="74" w:name="_Toc19680"/>
      <w:bookmarkStart w:id="75" w:name="_Toc14021"/>
      <w:r>
        <w:rPr>
          <w:rFonts w:hint="eastAsia" w:ascii="仿宋" w:hAnsi="仿宋" w:eastAsia="仿宋" w:cs="仿宋"/>
          <w:b/>
          <w:color w:val="auto"/>
          <w:sz w:val="24"/>
          <w:highlight w:val="none"/>
        </w:rPr>
        <w:t>2.1 定义</w:t>
      </w:r>
      <w:bookmarkEnd w:id="71"/>
      <w:bookmarkEnd w:id="72"/>
      <w:bookmarkEnd w:id="73"/>
      <w:bookmarkEnd w:id="74"/>
      <w:bookmarkEnd w:id="7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76" w:name="_Toc16752"/>
      <w:bookmarkStart w:id="77" w:name="_Toc3769"/>
      <w:bookmarkStart w:id="78" w:name="_Toc19539"/>
      <w:bookmarkStart w:id="79" w:name="_Toc31402"/>
      <w:bookmarkStart w:id="80" w:name="_Toc23289"/>
      <w:r>
        <w:rPr>
          <w:rFonts w:hint="eastAsia" w:ascii="仿宋" w:hAnsi="仿宋" w:eastAsia="仿宋" w:cs="仿宋"/>
          <w:b/>
          <w:color w:val="auto"/>
          <w:sz w:val="24"/>
          <w:highlight w:val="none"/>
        </w:rPr>
        <w:t>2.2 技术规范</w:t>
      </w:r>
      <w:bookmarkEnd w:id="76"/>
      <w:bookmarkEnd w:id="77"/>
      <w:bookmarkEnd w:id="78"/>
      <w:bookmarkEnd w:id="79"/>
      <w:bookmarkEnd w:id="8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81" w:name="_Toc27945"/>
      <w:bookmarkStart w:id="82" w:name="_Toc12412"/>
      <w:bookmarkStart w:id="83" w:name="_Toc4133"/>
      <w:bookmarkStart w:id="84" w:name="_Toc13673"/>
      <w:bookmarkStart w:id="85" w:name="_Toc9161"/>
      <w:r>
        <w:rPr>
          <w:rFonts w:hint="eastAsia" w:ascii="仿宋" w:hAnsi="仿宋" w:eastAsia="仿宋" w:cs="仿宋"/>
          <w:b/>
          <w:color w:val="auto"/>
          <w:sz w:val="24"/>
          <w:highlight w:val="none"/>
        </w:rPr>
        <w:t>2.3 知识产权</w:t>
      </w:r>
      <w:bookmarkEnd w:id="81"/>
      <w:bookmarkEnd w:id="82"/>
      <w:bookmarkEnd w:id="83"/>
      <w:bookmarkEnd w:id="84"/>
      <w:bookmarkEnd w:id="8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86" w:name="_Toc32670"/>
      <w:bookmarkStart w:id="87" w:name="_Toc22011"/>
      <w:bookmarkStart w:id="88" w:name="_Toc31233"/>
      <w:bookmarkStart w:id="89" w:name="_Toc26555"/>
      <w:bookmarkStart w:id="90" w:name="_Toc15447"/>
      <w:r>
        <w:rPr>
          <w:rFonts w:hint="eastAsia" w:ascii="仿宋" w:hAnsi="仿宋" w:eastAsia="仿宋" w:cs="仿宋"/>
          <w:b/>
          <w:color w:val="auto"/>
          <w:sz w:val="24"/>
          <w:highlight w:val="none"/>
        </w:rPr>
        <w:t>2.5 结算方式和付款条件</w:t>
      </w:r>
      <w:bookmarkEnd w:id="86"/>
      <w:bookmarkEnd w:id="87"/>
      <w:bookmarkEnd w:id="88"/>
      <w:bookmarkEnd w:id="89"/>
      <w:bookmarkEnd w:id="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1" w:name="_Toc18990"/>
      <w:bookmarkStart w:id="92" w:name="_Toc13467"/>
      <w:bookmarkStart w:id="93" w:name="_Toc13154"/>
      <w:bookmarkStart w:id="94" w:name="_Toc16163"/>
      <w:bookmarkStart w:id="95" w:name="_Toc30507"/>
      <w:r>
        <w:rPr>
          <w:rFonts w:hint="eastAsia" w:ascii="仿宋" w:hAnsi="仿宋" w:eastAsia="仿宋" w:cs="仿宋"/>
          <w:b/>
          <w:color w:val="auto"/>
          <w:sz w:val="24"/>
          <w:highlight w:val="none"/>
        </w:rPr>
        <w:t>2.6 技术资料和保密义务</w:t>
      </w:r>
      <w:bookmarkEnd w:id="91"/>
      <w:bookmarkEnd w:id="92"/>
      <w:bookmarkEnd w:id="93"/>
      <w:bookmarkEnd w:id="94"/>
      <w:bookmarkEnd w:id="9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6" w:name="_Toc19069"/>
      <w:r>
        <w:rPr>
          <w:rFonts w:hint="eastAsia" w:ascii="仿宋" w:hAnsi="仿宋" w:eastAsia="仿宋" w:cs="仿宋"/>
          <w:b/>
          <w:color w:val="auto"/>
          <w:sz w:val="24"/>
          <w:highlight w:val="none"/>
        </w:rPr>
        <w:t>2.7 质量保证</w:t>
      </w:r>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7" w:name="_Toc22267"/>
      <w:r>
        <w:rPr>
          <w:rFonts w:hint="eastAsia" w:ascii="仿宋" w:hAnsi="仿宋" w:eastAsia="仿宋" w:cs="仿宋"/>
          <w:b/>
          <w:color w:val="auto"/>
          <w:sz w:val="24"/>
          <w:highlight w:val="none"/>
        </w:rPr>
        <w:t>2.8 延迟履行</w:t>
      </w:r>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98" w:name="_Toc10611"/>
      <w:r>
        <w:rPr>
          <w:rFonts w:hint="eastAsia" w:ascii="仿宋" w:hAnsi="仿宋" w:eastAsia="仿宋" w:cs="仿宋"/>
          <w:b/>
          <w:color w:val="auto"/>
          <w:sz w:val="24"/>
          <w:highlight w:val="none"/>
        </w:rPr>
        <w:t>2.9 合同变更</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99" w:name="_Toc21830"/>
      <w:bookmarkStart w:id="100" w:name="_Toc10663"/>
      <w:bookmarkStart w:id="101" w:name="_Toc23368"/>
      <w:bookmarkStart w:id="102" w:name="_Toc26689"/>
      <w:bookmarkStart w:id="103" w:name="_Toc42"/>
      <w:r>
        <w:rPr>
          <w:rFonts w:hint="eastAsia" w:ascii="仿宋" w:hAnsi="仿宋" w:eastAsia="仿宋" w:cs="仿宋"/>
          <w:b/>
          <w:color w:val="auto"/>
          <w:sz w:val="24"/>
          <w:highlight w:val="none"/>
        </w:rPr>
        <w:t>2.10 合同转让和分包</w:t>
      </w:r>
      <w:bookmarkEnd w:id="99"/>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04" w:name="_Toc4720"/>
      <w:bookmarkStart w:id="105" w:name="_Toc26633"/>
      <w:bookmarkStart w:id="106" w:name="_Toc14371"/>
      <w:bookmarkStart w:id="107" w:name="_Toc25571"/>
      <w:bookmarkStart w:id="108" w:name="_Toc32494"/>
      <w:r>
        <w:rPr>
          <w:rFonts w:hint="eastAsia" w:ascii="仿宋" w:hAnsi="仿宋" w:eastAsia="仿宋" w:cs="仿宋"/>
          <w:b/>
          <w:color w:val="auto"/>
          <w:sz w:val="24"/>
          <w:highlight w:val="none"/>
        </w:rPr>
        <w:t>2.11 不可抗力</w:t>
      </w:r>
      <w:bookmarkEnd w:id="104"/>
      <w:bookmarkEnd w:id="105"/>
      <w:bookmarkEnd w:id="106"/>
      <w:bookmarkEnd w:id="107"/>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09" w:name="_Toc25783"/>
      <w:bookmarkStart w:id="110" w:name="_Toc23854"/>
      <w:bookmarkStart w:id="111" w:name="_Toc14115"/>
      <w:bookmarkStart w:id="112" w:name="_Toc3638"/>
      <w:bookmarkStart w:id="113" w:name="_Toc24465"/>
      <w:r>
        <w:rPr>
          <w:rFonts w:hint="eastAsia" w:ascii="仿宋" w:hAnsi="仿宋" w:eastAsia="仿宋" w:cs="仿宋"/>
          <w:b/>
          <w:color w:val="auto"/>
          <w:sz w:val="24"/>
          <w:highlight w:val="none"/>
        </w:rPr>
        <w:t>2.12 税费</w:t>
      </w:r>
      <w:bookmarkEnd w:id="109"/>
      <w:bookmarkEnd w:id="110"/>
      <w:bookmarkEnd w:id="111"/>
      <w:bookmarkEnd w:id="112"/>
      <w:bookmarkEnd w:id="1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14" w:name="_Toc26883"/>
      <w:bookmarkStart w:id="115" w:name="_Toc30105"/>
      <w:bookmarkStart w:id="116" w:name="_Toc14814"/>
      <w:bookmarkStart w:id="117" w:name="_Toc7315"/>
      <w:bookmarkStart w:id="118" w:name="_Toc25525"/>
      <w:r>
        <w:rPr>
          <w:rFonts w:hint="eastAsia" w:ascii="仿宋" w:hAnsi="仿宋" w:eastAsia="仿宋" w:cs="仿宋"/>
          <w:b/>
          <w:color w:val="auto"/>
          <w:sz w:val="24"/>
          <w:highlight w:val="none"/>
        </w:rPr>
        <w:t>2.13 乙方破产</w:t>
      </w:r>
      <w:bookmarkEnd w:id="114"/>
      <w:bookmarkEnd w:id="115"/>
      <w:bookmarkEnd w:id="116"/>
      <w:bookmarkEnd w:id="117"/>
      <w:bookmarkEnd w:id="1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19" w:name="_Toc1123"/>
      <w:bookmarkStart w:id="120" w:name="_Toc2016"/>
      <w:bookmarkStart w:id="121" w:name="_Toc23323"/>
      <w:r>
        <w:rPr>
          <w:rFonts w:hint="eastAsia" w:ascii="仿宋" w:hAnsi="仿宋" w:eastAsia="仿宋" w:cs="仿宋"/>
          <w:b/>
          <w:color w:val="auto"/>
          <w:sz w:val="24"/>
          <w:highlight w:val="none"/>
        </w:rPr>
        <w:t>2.14 合同中止、终止</w:t>
      </w:r>
      <w:bookmarkEnd w:id="119"/>
      <w:bookmarkEnd w:id="120"/>
      <w:bookmarkEnd w:id="12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22" w:name="_Toc14525"/>
      <w:bookmarkStart w:id="123" w:name="_Toc1969"/>
      <w:bookmarkStart w:id="124" w:name="_Toc17363"/>
      <w:r>
        <w:rPr>
          <w:rFonts w:hint="eastAsia" w:ascii="仿宋" w:hAnsi="仿宋" w:eastAsia="仿宋" w:cs="仿宋"/>
          <w:b/>
          <w:color w:val="auto"/>
          <w:sz w:val="24"/>
          <w:highlight w:val="none"/>
        </w:rPr>
        <w:t>2.15 检验和验收</w:t>
      </w:r>
      <w:bookmarkEnd w:id="122"/>
      <w:bookmarkEnd w:id="123"/>
      <w:bookmarkEnd w:id="124"/>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25" w:name="_Toc2308"/>
      <w:bookmarkStart w:id="126" w:name="_Toc12666"/>
      <w:bookmarkStart w:id="127" w:name="_Toc9808"/>
      <w:bookmarkStart w:id="128" w:name="_Toc25198"/>
      <w:bookmarkStart w:id="129" w:name="_Toc31892"/>
      <w:r>
        <w:rPr>
          <w:rFonts w:hint="eastAsia" w:ascii="仿宋" w:hAnsi="仿宋" w:eastAsia="仿宋" w:cs="仿宋"/>
          <w:b/>
          <w:color w:val="auto"/>
          <w:sz w:val="24"/>
          <w:highlight w:val="none"/>
        </w:rPr>
        <w:t>2.16 通知和送达</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bookmarkStart w:id="130" w:name="_Toc18401"/>
      <w:bookmarkStart w:id="131"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0"/>
      <w:bookmarkEnd w:id="131"/>
    </w:p>
    <w:p>
      <w:pPr>
        <w:spacing w:line="560" w:lineRule="exact"/>
        <w:ind w:firstLine="482" w:firstLineChars="200"/>
        <w:outlineLvl w:val="0"/>
        <w:rPr>
          <w:rFonts w:hint="eastAsia" w:ascii="仿宋" w:hAnsi="仿宋" w:eastAsia="仿宋" w:cs="仿宋"/>
          <w:b/>
          <w:color w:val="auto"/>
          <w:sz w:val="24"/>
          <w:highlight w:val="none"/>
        </w:rPr>
      </w:pPr>
      <w:bookmarkStart w:id="132" w:name="_Toc28906"/>
      <w:bookmarkStart w:id="133" w:name="_Toc12254"/>
      <w:bookmarkStart w:id="134" w:name="_Toc20808"/>
      <w:bookmarkStart w:id="135" w:name="_Toc5063"/>
      <w:bookmarkStart w:id="136" w:name="_Toc27644"/>
      <w:r>
        <w:rPr>
          <w:rFonts w:hint="eastAsia" w:ascii="仿宋" w:hAnsi="仿宋" w:eastAsia="仿宋" w:cs="仿宋"/>
          <w:b/>
          <w:color w:val="auto"/>
          <w:sz w:val="24"/>
          <w:highlight w:val="none"/>
        </w:rPr>
        <w:t>2.17 合同使用的文字和适用的法律</w:t>
      </w:r>
      <w:bookmarkEnd w:id="132"/>
      <w:bookmarkEnd w:id="133"/>
      <w:bookmarkEnd w:id="134"/>
      <w:bookmarkEnd w:id="135"/>
      <w:bookmarkEnd w:id="13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37" w:name="_Toc18540"/>
      <w:bookmarkStart w:id="138" w:name="_Toc4355"/>
      <w:bookmarkStart w:id="139" w:name="_Toc30599"/>
      <w:r>
        <w:rPr>
          <w:rFonts w:hint="eastAsia" w:ascii="仿宋" w:hAnsi="仿宋" w:eastAsia="仿宋" w:cs="仿宋"/>
          <w:b/>
          <w:color w:val="auto"/>
          <w:sz w:val="24"/>
          <w:highlight w:val="none"/>
        </w:rPr>
        <w:t>2.18 计量单位</w:t>
      </w:r>
      <w:bookmarkEnd w:id="137"/>
      <w:bookmarkEnd w:id="138"/>
      <w:bookmarkEnd w:id="13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40" w:name="_Toc12773"/>
      <w:bookmarkStart w:id="141" w:name="_Toc279701263"/>
      <w:bookmarkStart w:id="142" w:name="_Toc18567"/>
      <w:bookmarkStart w:id="143" w:name="_Toc10330"/>
      <w:bookmarkStart w:id="144" w:name="_Toc487900373"/>
      <w:bookmarkStart w:id="145" w:name="_Toc259093692"/>
      <w:r>
        <w:rPr>
          <w:rFonts w:hint="eastAsia" w:ascii="仿宋" w:hAnsi="仿宋" w:eastAsia="仿宋" w:cs="仿宋"/>
          <w:b/>
          <w:color w:val="auto"/>
          <w:sz w:val="24"/>
          <w:highlight w:val="none"/>
        </w:rPr>
        <w:t>2.19 合同使用的文字和适用的法律</w:t>
      </w:r>
      <w:bookmarkEnd w:id="140"/>
      <w:bookmarkEnd w:id="141"/>
      <w:bookmarkEnd w:id="142"/>
      <w:bookmarkEnd w:id="143"/>
      <w:bookmarkEnd w:id="144"/>
      <w:bookmarkEnd w:id="1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outlineLvl w:val="9"/>
        <w:rPr>
          <w:rFonts w:hint="eastAsia" w:ascii="仿宋" w:hAnsi="仿宋" w:eastAsia="仿宋" w:cs="仿宋"/>
          <w:color w:val="auto"/>
          <w:kern w:val="0"/>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kern w:val="0"/>
          <w:highlight w:val="none"/>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kern w:val="0"/>
          <w:highlight w:val="none"/>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b/>
          <w:color w:val="auto"/>
          <w:sz w:val="24"/>
          <w:highlight w:val="none"/>
        </w:rPr>
      </w:pPr>
      <w:bookmarkStart w:id="146" w:name="_Toc331685784"/>
      <w:r>
        <w:rPr>
          <w:rFonts w:hint="eastAsia" w:ascii="仿宋" w:hAnsi="仿宋" w:eastAsia="仿宋" w:cs="仿宋"/>
          <w:b/>
          <w:color w:val="auto"/>
          <w:sz w:val="24"/>
          <w:highlight w:val="none"/>
        </w:rPr>
        <w:t xml:space="preserve"> </w:t>
      </w:r>
      <w:bookmarkEnd w:id="146"/>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977" w:type="dxa"/>
            <w:tcBorders>
              <w:left w:val="single" w:color="auto" w:sz="4" w:space="0"/>
            </w:tcBorders>
            <w:noWrap w:val="0"/>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noWrap w:val="0"/>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noWrap w:val="0"/>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49" w:type="dxa"/>
            <w:noWrap w:val="0"/>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top"/>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49" w:type="dxa"/>
            <w:noWrap w:val="0"/>
            <w:vAlign w:val="top"/>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977" w:type="dxa"/>
            <w:tcBorders>
              <w:left w:val="single" w:color="auto" w:sz="4" w:space="0"/>
            </w:tcBorders>
            <w:noWrap w:val="0"/>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49" w:type="dxa"/>
            <w:noWrap w:val="0"/>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977" w:type="dxa"/>
            <w:tcBorders>
              <w:left w:val="single" w:color="auto" w:sz="4" w:space="0"/>
            </w:tcBorders>
            <w:noWrap w:val="0"/>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49" w:type="dxa"/>
            <w:noWrap w:val="0"/>
            <w:vAlign w:val="center"/>
          </w:tcPr>
          <w:p>
            <w:pPr>
              <w:spacing w:line="360" w:lineRule="auto"/>
              <w:rPr>
                <w:rFonts w:ascii="仿宋_GB2312" w:hAnsi="仿宋" w:eastAsia="仿宋_GB2312"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8"/>
        <w:rPr>
          <w:rFonts w:hint="eastAsia" w:ascii="仿宋" w:hAnsi="仿宋" w:eastAsia="仿宋" w:cs="仿宋"/>
          <w:color w:val="auto"/>
          <w:sz w:val="24"/>
          <w:highlight w:val="none"/>
        </w:rPr>
      </w:pPr>
    </w:p>
    <w:p>
      <w:pPr>
        <w:rPr>
          <w:rFonts w:hint="eastAsia"/>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p>
    <w:p>
      <w:pPr>
        <w:pStyle w:val="8"/>
        <w:rPr>
          <w:rFonts w:hint="eastAsia" w:ascii="仿宋" w:hAnsi="仿宋" w:eastAsia="仿宋" w:cs="仿宋"/>
          <w:b/>
          <w:color w:val="auto"/>
          <w:sz w:val="36"/>
          <w:szCs w:val="36"/>
          <w:highlight w:val="none"/>
        </w:rPr>
      </w:pPr>
    </w:p>
    <w:p>
      <w:pPr>
        <w:rPr>
          <w:rFonts w:hint="eastAsia"/>
          <w:highlight w:val="none"/>
        </w:rPr>
      </w:pP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2.评分标准：</w:t>
      </w:r>
      <w:r>
        <w:rPr>
          <w:rFonts w:hint="eastAsia" w:ascii="仿宋" w:hAnsi="仿宋" w:eastAsia="仿宋" w:cs="仿宋"/>
          <w:color w:val="auto"/>
          <w:sz w:val="24"/>
          <w:szCs w:val="24"/>
          <w:highlight w:val="none"/>
        </w:rPr>
        <w:t>共100分，其中商务技术分</w:t>
      </w:r>
      <w:r>
        <w:rPr>
          <w:rFonts w:hint="eastAsia" w:ascii="仿宋" w:hAnsi="仿宋" w:eastAsia="仿宋" w:cs="仿宋"/>
          <w:color w:val="auto"/>
          <w:sz w:val="24"/>
          <w:szCs w:val="24"/>
          <w:highlight w:val="none"/>
          <w:lang w:val="en-US" w:eastAsia="zh-CN"/>
        </w:rPr>
        <w:t>90</w:t>
      </w:r>
      <w:r>
        <w:rPr>
          <w:rFonts w:hint="eastAsia" w:ascii="仿宋" w:hAnsi="仿宋" w:eastAsia="仿宋" w:cs="仿宋"/>
          <w:color w:val="auto"/>
          <w:sz w:val="24"/>
          <w:szCs w:val="24"/>
          <w:highlight w:val="none"/>
        </w:rPr>
        <w:t>分，价格分</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0分。评分依下述所列为评标打分依据，分值如下（计算分值时，按其算术平均值保留小数2位）。</w:t>
      </w:r>
    </w:p>
    <w:p>
      <w:pPr>
        <w:spacing w:beforeLines="0" w:afterLines="0" w:line="288" w:lineRule="auto"/>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2.1商务技术分（</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u w:val="single"/>
          <w:lang w:val="en-US" w:eastAsia="zh-CN"/>
        </w:rPr>
        <w:t>90</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分）</w:t>
      </w:r>
    </w:p>
    <w:tbl>
      <w:tblPr>
        <w:tblStyle w:val="62"/>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4"/>
        <w:gridCol w:w="1713"/>
        <w:gridCol w:w="6364"/>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400" w:lineRule="exact"/>
              <w:ind w:right="2"/>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评分项</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400" w:lineRule="exact"/>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评审依据及标准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400" w:lineRule="exact"/>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360" w:lineRule="exact"/>
              <w:ind w:right="2"/>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企业荣誉</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numPr>
                <w:ilvl w:val="0"/>
                <w:numId w:val="0"/>
              </w:numPr>
              <w:snapToGrid w:val="0"/>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年1月1日以来（以奖项落款时间为准）</w:t>
            </w:r>
            <w:r>
              <w:rPr>
                <w:rFonts w:hint="eastAsia" w:ascii="仿宋" w:hAnsi="仿宋" w:eastAsia="仿宋" w:cs="仿宋"/>
                <w:color w:val="auto"/>
                <w:sz w:val="24"/>
                <w:szCs w:val="24"/>
                <w:highlight w:val="none"/>
                <w:lang w:eastAsia="zh-CN"/>
              </w:rPr>
              <w:t>获得政府部门颁发的出版类和图书类（古籍）相关荣誉的：</w:t>
            </w:r>
            <w:r>
              <w:rPr>
                <w:rFonts w:hint="eastAsia" w:ascii="仿宋" w:hAnsi="仿宋" w:eastAsia="仿宋" w:cs="仿宋"/>
                <w:color w:val="auto"/>
                <w:sz w:val="24"/>
                <w:szCs w:val="24"/>
                <w:highlight w:val="none"/>
                <w:lang w:val="en-US" w:eastAsia="zh-CN"/>
              </w:rPr>
              <w:t>获得省级</w:t>
            </w:r>
            <w:r>
              <w:rPr>
                <w:rFonts w:hint="eastAsia" w:ascii="仿宋" w:hAnsi="仿宋" w:eastAsia="仿宋" w:cs="仿宋"/>
                <w:color w:val="auto"/>
                <w:sz w:val="24"/>
                <w:szCs w:val="24"/>
                <w:highlight w:val="none"/>
                <w:lang w:eastAsia="zh-CN"/>
              </w:rPr>
              <w:t>荣誉</w:t>
            </w:r>
            <w:r>
              <w:rPr>
                <w:rFonts w:hint="eastAsia" w:ascii="仿宋" w:hAnsi="仿宋" w:eastAsia="仿宋" w:cs="仿宋"/>
                <w:color w:val="auto"/>
                <w:sz w:val="24"/>
                <w:szCs w:val="24"/>
                <w:highlight w:val="none"/>
                <w:lang w:val="en-US" w:eastAsia="zh-CN"/>
              </w:rPr>
              <w:t>得0.5分；获得国家级</w:t>
            </w:r>
            <w:r>
              <w:rPr>
                <w:rFonts w:hint="eastAsia" w:ascii="仿宋" w:hAnsi="仿宋" w:eastAsia="仿宋" w:cs="仿宋"/>
                <w:color w:val="auto"/>
                <w:sz w:val="24"/>
                <w:szCs w:val="24"/>
                <w:highlight w:val="none"/>
                <w:lang w:eastAsia="zh-CN"/>
              </w:rPr>
              <w:t>荣誉</w:t>
            </w:r>
            <w:r>
              <w:rPr>
                <w:rFonts w:hint="eastAsia" w:ascii="仿宋" w:hAnsi="仿宋" w:eastAsia="仿宋" w:cs="仿宋"/>
                <w:color w:val="auto"/>
                <w:sz w:val="24"/>
                <w:szCs w:val="24"/>
                <w:highlight w:val="none"/>
                <w:lang w:val="en-US" w:eastAsia="zh-CN"/>
              </w:rPr>
              <w:t>得1分；本项最高得1分。</w:t>
            </w:r>
          </w:p>
          <w:p>
            <w:pPr>
              <w:pStyle w:val="33"/>
              <w:numPr>
                <w:ilvl w:val="0"/>
                <w:numId w:val="0"/>
              </w:numPr>
              <w:snapToGrid w:val="0"/>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sz w:val="24"/>
                <w:szCs w:val="24"/>
                <w:highlight w:val="none"/>
                <w:lang w:eastAsia="zh-CN"/>
              </w:rPr>
              <w:t>注：</w:t>
            </w:r>
            <w:r>
              <w:rPr>
                <w:rFonts w:hint="eastAsia" w:ascii="仿宋" w:hAnsi="仿宋" w:eastAsia="仿宋" w:cs="仿宋"/>
                <w:b w:val="0"/>
                <w:bCs/>
                <w:color w:val="auto"/>
                <w:sz w:val="24"/>
                <w:szCs w:val="24"/>
                <w:highlight w:val="none"/>
              </w:rPr>
              <w:t>证明材料以获奖文件或获奖证书或网上公示页为准，复印件加盖</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公章。</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07"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年1月1日以来（以合同签订时间为准）完成的同类案例，每有1个得</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分。</w:t>
            </w:r>
          </w:p>
          <w:p>
            <w:pPr>
              <w:pStyle w:val="33"/>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加盖投标人公章。</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6"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项目理解程度</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snapToGrid/>
              <w:spacing w:line="360" w:lineRule="exact"/>
              <w:rPr>
                <w:rFonts w:hint="eastAsia" w:ascii="仿宋" w:hAnsi="仿宋" w:eastAsia="仿宋" w:cs="仿宋"/>
                <w:color w:val="auto"/>
                <w:sz w:val="24"/>
                <w:szCs w:val="24"/>
                <w:highlight w:val="none"/>
                <w:vertAlign w:val="baseline"/>
                <w:lang w:val="zh-CN" w:eastAsia="zh-Hans"/>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供应商针对本项目的设计服务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项目管理</w:t>
            </w:r>
            <w:r>
              <w:rPr>
                <w:rFonts w:hint="eastAsia" w:ascii="仿宋" w:hAnsi="仿宋" w:eastAsia="仿宋" w:cs="仿宋"/>
                <w:color w:val="auto"/>
                <w:sz w:val="24"/>
                <w:szCs w:val="24"/>
                <w:highlight w:val="none"/>
                <w:lang w:val="en-US" w:eastAsia="zh-CN"/>
              </w:rPr>
              <w:t>、项目进度及组织协调方案详细、可行、有特色、有深度</w:t>
            </w:r>
            <w:r>
              <w:rPr>
                <w:rFonts w:hint="eastAsia" w:ascii="仿宋" w:hAnsi="仿宋" w:eastAsia="仿宋" w:cs="仿宋"/>
                <w:color w:val="auto"/>
                <w:sz w:val="24"/>
                <w:szCs w:val="24"/>
                <w:highlight w:val="none"/>
              </w:rPr>
              <w:t>进行综合评议，0-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项目重难点分析</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对本项目的重点难点以及实施难点进行的分析是否到位，0-</w:t>
            </w:r>
            <w:r>
              <w:rPr>
                <w:rFonts w:hint="default"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分。</w:t>
            </w:r>
          </w:p>
          <w:p>
            <w:pPr>
              <w:pStyle w:val="33"/>
              <w:snapToGrid w:val="0"/>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对本项目的重点难点所提出的解决方案是否具有可行性、合理性，0-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400" w:lineRule="exact"/>
              <w:jc w:val="center"/>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12" w:hRule="atLeast"/>
          <w:jc w:val="center"/>
        </w:trPr>
        <w:tc>
          <w:tcPr>
            <w:tcW w:w="704" w:type="dxa"/>
            <w:vMerge w:val="restart"/>
            <w:tcBorders>
              <w:top w:val="single" w:color="auto" w:sz="4" w:space="0"/>
              <w:left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val="en-US" w:eastAsia="zh-CN"/>
              </w:rPr>
              <w:t>5</w:t>
            </w:r>
          </w:p>
        </w:tc>
        <w:tc>
          <w:tcPr>
            <w:tcW w:w="1713" w:type="dxa"/>
            <w:vMerge w:val="restart"/>
            <w:tcBorders>
              <w:top w:val="single" w:color="auto" w:sz="4" w:space="0"/>
              <w:left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项目服务团队</w:t>
            </w:r>
          </w:p>
          <w:p>
            <w:pPr>
              <w:pStyle w:val="33"/>
              <w:snapToGrid w:val="0"/>
              <w:spacing w:line="360" w:lineRule="exact"/>
              <w:jc w:val="center"/>
              <w:rPr>
                <w:rFonts w:hint="eastAsia" w:ascii="仿宋" w:hAnsi="仿宋" w:eastAsia="仿宋" w:cs="仿宋"/>
                <w:color w:val="auto"/>
                <w:sz w:val="24"/>
                <w:szCs w:val="24"/>
                <w:highlight w:val="none"/>
                <w:u w:val="none"/>
              </w:rPr>
            </w:pP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rPr>
                <w:rFonts w:hint="eastAsia" w:ascii="仿宋" w:hAnsi="仿宋" w:eastAsia="仿宋" w:cs="仿宋"/>
                <w:b/>
                <w:bCs/>
                <w:color w:val="auto"/>
                <w:sz w:val="24"/>
                <w:highlight w:val="none"/>
                <w:u w:val="none"/>
              </w:rPr>
            </w:pPr>
            <w:r>
              <w:rPr>
                <w:rFonts w:hint="eastAsia" w:ascii="仿宋" w:hAnsi="仿宋" w:eastAsia="仿宋" w:cs="仿宋"/>
                <w:b/>
                <w:bCs/>
                <w:color w:val="auto"/>
                <w:sz w:val="24"/>
                <w:highlight w:val="none"/>
                <w:u w:val="none"/>
              </w:rPr>
              <w:t>项目负责人配备情况：</w:t>
            </w:r>
          </w:p>
          <w:p>
            <w:pPr>
              <w:pStyle w:val="33"/>
              <w:snapToGrid w:val="0"/>
              <w:spacing w:line="360" w:lineRule="exac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项目负责人具有正高职称的得</w:t>
            </w:r>
            <w:r>
              <w:rPr>
                <w:rFonts w:hint="eastAsia" w:ascii="仿宋" w:hAnsi="仿宋" w:eastAsia="仿宋" w:cs="仿宋"/>
                <w:color w:val="auto"/>
                <w:sz w:val="24"/>
                <w:szCs w:val="24"/>
                <w:highlight w:val="none"/>
                <w:u w:val="none"/>
                <w:lang w:val="en-US" w:eastAsia="zh-CN"/>
              </w:rPr>
              <w:t>4</w:t>
            </w:r>
            <w:r>
              <w:rPr>
                <w:rFonts w:hint="eastAsia" w:ascii="仿宋" w:hAnsi="仿宋" w:eastAsia="仿宋" w:cs="仿宋"/>
                <w:color w:val="auto"/>
                <w:sz w:val="24"/>
                <w:szCs w:val="24"/>
                <w:highlight w:val="none"/>
                <w:u w:val="none"/>
              </w:rPr>
              <w:t>分，具有副高职称的得</w:t>
            </w:r>
            <w:r>
              <w:rPr>
                <w:rFonts w:hint="eastAsia" w:ascii="仿宋" w:hAnsi="仿宋" w:eastAsia="仿宋" w:cs="仿宋"/>
                <w:color w:val="auto"/>
                <w:sz w:val="24"/>
                <w:szCs w:val="24"/>
                <w:highlight w:val="none"/>
                <w:u w:val="none"/>
                <w:lang w:val="en-US" w:eastAsia="zh-CN"/>
              </w:rPr>
              <w:t>3</w:t>
            </w:r>
            <w:r>
              <w:rPr>
                <w:rFonts w:hint="eastAsia" w:ascii="仿宋" w:hAnsi="仿宋" w:eastAsia="仿宋" w:cs="仿宋"/>
                <w:color w:val="auto"/>
                <w:sz w:val="24"/>
                <w:szCs w:val="24"/>
                <w:highlight w:val="none"/>
                <w:u w:val="none"/>
              </w:rPr>
              <w:t>分</w:t>
            </w:r>
            <w:r>
              <w:rPr>
                <w:rFonts w:hint="eastAsia" w:ascii="仿宋" w:hAnsi="仿宋" w:eastAsia="仿宋" w:cs="仿宋"/>
                <w:color w:val="auto"/>
                <w:sz w:val="24"/>
                <w:szCs w:val="24"/>
                <w:highlight w:val="none"/>
                <w:u w:val="none"/>
                <w:lang w:eastAsia="zh-CN"/>
              </w:rPr>
              <w:t>，中级职称的得</w:t>
            </w:r>
            <w:r>
              <w:rPr>
                <w:rFonts w:hint="eastAsia" w:ascii="仿宋" w:hAnsi="仿宋" w:eastAsia="仿宋" w:cs="仿宋"/>
                <w:color w:val="auto"/>
                <w:sz w:val="24"/>
                <w:szCs w:val="24"/>
                <w:highlight w:val="none"/>
                <w:u w:val="none"/>
                <w:lang w:val="en-US" w:eastAsia="zh-CN"/>
              </w:rPr>
              <w:t>2分，</w:t>
            </w:r>
            <w:r>
              <w:rPr>
                <w:rFonts w:hint="eastAsia" w:ascii="仿宋" w:hAnsi="仿宋" w:eastAsia="仿宋" w:cs="仿宋"/>
                <w:color w:val="auto"/>
                <w:sz w:val="24"/>
                <w:szCs w:val="24"/>
                <w:highlight w:val="none"/>
                <w:u w:val="none"/>
                <w:lang w:eastAsia="zh-CN"/>
              </w:rPr>
              <w:t>其他不得分，本项最高得</w:t>
            </w:r>
            <w:r>
              <w:rPr>
                <w:rFonts w:hint="eastAsia" w:ascii="仿宋" w:hAnsi="仿宋" w:eastAsia="仿宋" w:cs="仿宋"/>
                <w:color w:val="auto"/>
                <w:sz w:val="24"/>
                <w:szCs w:val="24"/>
                <w:highlight w:val="none"/>
                <w:u w:val="none"/>
                <w:lang w:val="en-US" w:eastAsia="zh-CN"/>
              </w:rPr>
              <w:t>4分</w:t>
            </w:r>
            <w:r>
              <w:rPr>
                <w:rFonts w:hint="eastAsia" w:ascii="仿宋" w:hAnsi="仿宋" w:eastAsia="仿宋" w:cs="仿宋"/>
                <w:color w:val="auto"/>
                <w:sz w:val="24"/>
                <w:szCs w:val="24"/>
                <w:highlight w:val="none"/>
                <w:u w:val="none"/>
              </w:rPr>
              <w:t>。</w:t>
            </w:r>
          </w:p>
          <w:p>
            <w:pPr>
              <w:pStyle w:val="33"/>
              <w:snapToGrid w:val="0"/>
              <w:spacing w:line="360" w:lineRule="exact"/>
              <w:rPr>
                <w:rFonts w:hint="eastAsia" w:ascii="仿宋" w:hAnsi="仿宋" w:eastAsia="仿宋" w:cs="仿宋"/>
                <w:color w:val="auto"/>
                <w:sz w:val="24"/>
                <w:szCs w:val="24"/>
                <w:highlight w:val="none"/>
                <w:u w:val="none"/>
                <w:lang w:val="zh-CN" w:eastAsia="zh-Hans"/>
              </w:rPr>
            </w:pPr>
            <w:r>
              <w:rPr>
                <w:rFonts w:hint="eastAsia" w:ascii="仿宋" w:hAnsi="仿宋" w:eastAsia="仿宋" w:cs="仿宋"/>
                <w:b w:val="0"/>
                <w:bCs w:val="0"/>
                <w:color w:val="auto"/>
                <w:sz w:val="24"/>
                <w:szCs w:val="24"/>
                <w:highlight w:val="none"/>
                <w:u w:val="none"/>
                <w:lang w:eastAsia="zh-CN"/>
              </w:rPr>
              <w:t>注：需提供</w:t>
            </w:r>
            <w:r>
              <w:rPr>
                <w:rFonts w:hint="eastAsia" w:ascii="仿宋" w:hAnsi="仿宋" w:eastAsia="仿宋" w:cs="仿宋"/>
                <w:b w:val="0"/>
                <w:bCs w:val="0"/>
                <w:color w:val="auto"/>
                <w:sz w:val="24"/>
                <w:szCs w:val="24"/>
                <w:highlight w:val="none"/>
                <w:u w:val="none"/>
                <w:lang w:val="zh-CN"/>
              </w:rPr>
              <w:t>项目负责人职称证书及投标人为其</w:t>
            </w:r>
            <w:r>
              <w:rPr>
                <w:rFonts w:hint="eastAsia" w:ascii="仿宋" w:hAnsi="仿宋" w:eastAsia="仿宋" w:cs="仿宋"/>
                <w:b w:val="0"/>
                <w:bCs w:val="0"/>
                <w:color w:val="auto"/>
                <w:sz w:val="24"/>
                <w:szCs w:val="24"/>
                <w:highlight w:val="none"/>
                <w:u w:val="none"/>
                <w:lang w:val="en-US" w:eastAsia="zh-CN"/>
              </w:rPr>
              <w:t>缴纳</w:t>
            </w:r>
            <w:r>
              <w:rPr>
                <w:rFonts w:hint="eastAsia" w:ascii="仿宋" w:hAnsi="仿宋" w:eastAsia="仿宋" w:cs="仿宋"/>
                <w:b w:val="0"/>
                <w:bCs w:val="0"/>
                <w:color w:val="auto"/>
                <w:sz w:val="24"/>
                <w:szCs w:val="24"/>
                <w:highlight w:val="none"/>
                <w:u w:val="none"/>
              </w:rPr>
              <w:t>的社保证明，复印件加盖</w:t>
            </w:r>
            <w:r>
              <w:rPr>
                <w:rFonts w:hint="eastAsia" w:ascii="仿宋" w:hAnsi="仿宋" w:eastAsia="仿宋" w:cs="仿宋"/>
                <w:b w:val="0"/>
                <w:bCs w:val="0"/>
                <w:color w:val="auto"/>
                <w:sz w:val="24"/>
                <w:szCs w:val="24"/>
                <w:highlight w:val="none"/>
                <w:u w:val="none"/>
                <w:lang w:val="zh-CN" w:eastAsia="zh-Hans"/>
              </w:rPr>
              <w:t>投标</w:t>
            </w:r>
            <w:r>
              <w:rPr>
                <w:rFonts w:hint="eastAsia" w:ascii="仿宋" w:hAnsi="仿宋" w:eastAsia="仿宋" w:cs="仿宋"/>
                <w:b w:val="0"/>
                <w:bCs w:val="0"/>
                <w:color w:val="auto"/>
                <w:sz w:val="24"/>
                <w:szCs w:val="24"/>
                <w:highlight w:val="none"/>
                <w:u w:val="none"/>
                <w:lang w:eastAsia="zh-CN"/>
              </w:rPr>
              <w:t>人</w:t>
            </w:r>
            <w:r>
              <w:rPr>
                <w:rFonts w:hint="eastAsia" w:ascii="仿宋" w:hAnsi="仿宋" w:eastAsia="仿宋" w:cs="仿宋"/>
                <w:b w:val="0"/>
                <w:bCs w:val="0"/>
                <w:color w:val="auto"/>
                <w:sz w:val="24"/>
                <w:szCs w:val="24"/>
                <w:highlight w:val="none"/>
                <w:u w:val="none"/>
              </w:rPr>
              <w:t>公章，否则不得分。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02" w:hRule="atLeast"/>
          <w:jc w:val="center"/>
        </w:trPr>
        <w:tc>
          <w:tcPr>
            <w:tcW w:w="704" w:type="dxa"/>
            <w:vMerge w:val="continue"/>
            <w:tcBorders>
              <w:left w:val="single" w:color="auto" w:sz="4" w:space="0"/>
              <w:bottom w:val="nil"/>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u w:val="none"/>
                <w:lang w:val="en-US" w:eastAsia="zh-CN"/>
              </w:rPr>
            </w:pPr>
          </w:p>
        </w:tc>
        <w:tc>
          <w:tcPr>
            <w:tcW w:w="1713" w:type="dxa"/>
            <w:vMerge w:val="continue"/>
            <w:tcBorders>
              <w:left w:val="single" w:color="auto" w:sz="4" w:space="0"/>
              <w:bottom w:val="nil"/>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u w:val="none"/>
              </w:rPr>
            </w:pPr>
          </w:p>
        </w:tc>
        <w:tc>
          <w:tcPr>
            <w:tcW w:w="6364" w:type="dxa"/>
            <w:tcBorders>
              <w:top w:val="single" w:color="auto" w:sz="4" w:space="0"/>
              <w:left w:val="single" w:color="auto" w:sz="4" w:space="0"/>
              <w:bottom w:val="nil"/>
              <w:right w:val="single" w:color="auto" w:sz="4" w:space="0"/>
              <w:tl2br w:val="nil"/>
              <w:tr2bl w:val="nil"/>
            </w:tcBorders>
            <w:noWrap w:val="0"/>
            <w:vAlign w:val="center"/>
          </w:tcPr>
          <w:p>
            <w:pPr>
              <w:pStyle w:val="33"/>
              <w:snapToGrid w:val="0"/>
              <w:spacing w:line="360" w:lineRule="exact"/>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eastAsia="zh-CN"/>
              </w:rPr>
              <w:t>项目组成员配备情况</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项目负责人除外，一人多证按最高类计</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w:t>
            </w:r>
          </w:p>
          <w:p>
            <w:pPr>
              <w:pStyle w:val="33"/>
              <w:widowControl/>
              <w:numPr>
                <w:ilvl w:val="0"/>
                <w:numId w:val="4"/>
              </w:numPr>
              <w:snapToGrid w:val="0"/>
              <w:spacing w:line="360" w:lineRule="exact"/>
              <w:ind w:firstLine="0"/>
              <w:jc w:val="left"/>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项目组成员具有副高或以上职称的每人得1分，具有中级职称的每人得0.5分，其他不得分，本项最高累计得6分；</w:t>
            </w:r>
          </w:p>
          <w:p>
            <w:pPr>
              <w:pStyle w:val="33"/>
              <w:widowControl/>
              <w:numPr>
                <w:ilvl w:val="0"/>
                <w:numId w:val="4"/>
              </w:numPr>
              <w:snapToGrid w:val="0"/>
              <w:spacing w:line="360" w:lineRule="exact"/>
              <w:jc w:val="left"/>
              <w:rPr>
                <w:color w:val="auto"/>
                <w:highlight w:val="none"/>
                <w:u w:val="none"/>
              </w:rPr>
            </w:pPr>
            <w:r>
              <w:rPr>
                <w:rFonts w:hint="eastAsia" w:ascii="仿宋" w:hAnsi="仿宋" w:eastAsia="仿宋" w:cs="仿宋"/>
                <w:color w:val="auto"/>
                <w:sz w:val="24"/>
                <w:szCs w:val="24"/>
                <w:highlight w:val="none"/>
                <w:u w:val="none"/>
              </w:rPr>
              <w:t>根据人员的</w:t>
            </w:r>
            <w:r>
              <w:rPr>
                <w:rFonts w:hint="eastAsia" w:ascii="仿宋" w:hAnsi="仿宋" w:eastAsia="仿宋" w:cs="仿宋"/>
                <w:color w:val="auto"/>
                <w:sz w:val="24"/>
                <w:szCs w:val="24"/>
                <w:highlight w:val="none"/>
                <w:u w:val="none"/>
                <w:lang w:eastAsia="zh-CN"/>
              </w:rPr>
              <w:t>配备</w:t>
            </w:r>
            <w:r>
              <w:rPr>
                <w:rFonts w:hint="eastAsia" w:ascii="仿宋" w:hAnsi="仿宋" w:eastAsia="仿宋" w:cs="仿宋"/>
                <w:color w:val="auto"/>
                <w:sz w:val="24"/>
                <w:szCs w:val="24"/>
                <w:highlight w:val="none"/>
                <w:u w:val="none"/>
              </w:rPr>
              <w:t>情况，配备人员的合理性，人员的服务能力</w:t>
            </w:r>
            <w:r>
              <w:rPr>
                <w:rFonts w:hint="eastAsia" w:ascii="仿宋" w:hAnsi="仿宋" w:eastAsia="仿宋" w:cs="仿宋"/>
                <w:color w:val="auto"/>
                <w:sz w:val="24"/>
                <w:szCs w:val="24"/>
                <w:highlight w:val="none"/>
                <w:u w:val="none"/>
                <w:lang w:eastAsia="zh-CN"/>
              </w:rPr>
              <w:t>、综合素质、相关工作经验</w:t>
            </w:r>
            <w:r>
              <w:rPr>
                <w:rFonts w:hint="eastAsia" w:ascii="仿宋" w:hAnsi="仿宋" w:eastAsia="仿宋" w:cs="仿宋"/>
                <w:color w:val="auto"/>
                <w:sz w:val="24"/>
                <w:szCs w:val="24"/>
                <w:highlight w:val="none"/>
                <w:u w:val="none"/>
              </w:rPr>
              <w:t>进行打分</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0-</w:t>
            </w:r>
            <w:r>
              <w:rPr>
                <w:rFonts w:hint="eastAsia" w:ascii="仿宋" w:hAnsi="仿宋" w:eastAsia="仿宋" w:cs="仿宋"/>
                <w:color w:val="auto"/>
                <w:sz w:val="24"/>
                <w:highlight w:val="none"/>
                <w:u w:val="none"/>
                <w:lang w:val="en-US" w:eastAsia="zh-CN"/>
              </w:rPr>
              <w:t>6分。</w:t>
            </w:r>
          </w:p>
          <w:p>
            <w:pPr>
              <w:pStyle w:val="33"/>
              <w:snapToGrid w:val="0"/>
              <w:spacing w:line="360" w:lineRule="exact"/>
              <w:rPr>
                <w:rFonts w:hint="eastAsia" w:ascii="仿宋" w:hAnsi="仿宋" w:eastAsia="仿宋" w:cs="仿宋"/>
                <w:b/>
                <w:bCs/>
                <w:color w:val="auto"/>
                <w:sz w:val="24"/>
                <w:szCs w:val="24"/>
                <w:highlight w:val="none"/>
                <w:u w:val="none"/>
              </w:rPr>
            </w:pPr>
            <w:r>
              <w:rPr>
                <w:rFonts w:hint="eastAsia" w:ascii="仿宋" w:hAnsi="仿宋" w:eastAsia="仿宋" w:cs="仿宋"/>
                <w:b w:val="0"/>
                <w:bCs w:val="0"/>
                <w:color w:val="auto"/>
                <w:sz w:val="24"/>
                <w:szCs w:val="24"/>
                <w:highlight w:val="none"/>
                <w:u w:val="none"/>
                <w:lang w:val="zh-CN"/>
              </w:rPr>
              <w:t>注：需提供项目组人员职称证书和相关证明材料及投标人为其</w:t>
            </w:r>
            <w:r>
              <w:rPr>
                <w:rFonts w:hint="eastAsia" w:ascii="仿宋" w:hAnsi="仿宋" w:eastAsia="仿宋" w:cs="仿宋"/>
                <w:b w:val="0"/>
                <w:bCs w:val="0"/>
                <w:color w:val="auto"/>
                <w:sz w:val="24"/>
                <w:szCs w:val="24"/>
                <w:highlight w:val="none"/>
                <w:u w:val="none"/>
                <w:lang w:val="en-US" w:eastAsia="zh-CN"/>
              </w:rPr>
              <w:t>缴纳</w:t>
            </w:r>
            <w:r>
              <w:rPr>
                <w:rFonts w:hint="eastAsia" w:ascii="仿宋" w:hAnsi="仿宋" w:eastAsia="仿宋" w:cs="仿宋"/>
                <w:b w:val="0"/>
                <w:bCs w:val="0"/>
                <w:color w:val="auto"/>
                <w:sz w:val="24"/>
                <w:szCs w:val="24"/>
                <w:highlight w:val="none"/>
                <w:u w:val="none"/>
              </w:rPr>
              <w:t>的社保证明，复印件加盖</w:t>
            </w:r>
            <w:r>
              <w:rPr>
                <w:rFonts w:hint="eastAsia" w:ascii="仿宋" w:hAnsi="仿宋" w:eastAsia="仿宋" w:cs="仿宋"/>
                <w:b w:val="0"/>
                <w:bCs w:val="0"/>
                <w:color w:val="auto"/>
                <w:sz w:val="24"/>
                <w:szCs w:val="24"/>
                <w:highlight w:val="none"/>
                <w:u w:val="none"/>
                <w:lang w:val="zh-CN" w:eastAsia="zh-Hans"/>
              </w:rPr>
              <w:t>投标</w:t>
            </w:r>
            <w:r>
              <w:rPr>
                <w:rFonts w:hint="eastAsia" w:ascii="仿宋" w:hAnsi="仿宋" w:eastAsia="仿宋" w:cs="仿宋"/>
                <w:b w:val="0"/>
                <w:bCs w:val="0"/>
                <w:color w:val="auto"/>
                <w:sz w:val="24"/>
                <w:szCs w:val="24"/>
                <w:highlight w:val="none"/>
                <w:u w:val="none"/>
                <w:lang w:eastAsia="zh-CN"/>
              </w:rPr>
              <w:t>人</w:t>
            </w:r>
            <w:r>
              <w:rPr>
                <w:rFonts w:hint="eastAsia" w:ascii="仿宋" w:hAnsi="仿宋" w:eastAsia="仿宋" w:cs="仿宋"/>
                <w:b w:val="0"/>
                <w:bCs w:val="0"/>
                <w:color w:val="auto"/>
                <w:sz w:val="24"/>
                <w:szCs w:val="24"/>
                <w:highlight w:val="none"/>
                <w:u w:val="none"/>
              </w:rPr>
              <w:t>公章，否则不得分。</w:t>
            </w:r>
          </w:p>
        </w:tc>
        <w:tc>
          <w:tcPr>
            <w:tcW w:w="750" w:type="dxa"/>
            <w:tcBorders>
              <w:top w:val="single" w:color="auto" w:sz="4" w:space="0"/>
              <w:left w:val="single" w:color="auto" w:sz="4" w:space="0"/>
              <w:bottom w:val="nil"/>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06"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项目实施方案</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numPr>
                <w:ilvl w:val="-1"/>
                <w:numId w:val="0"/>
              </w:numPr>
              <w:snapToGrid w:val="0"/>
              <w:spacing w:line="360" w:lineRule="exact"/>
              <w:rPr>
                <w:rFonts w:hint="eastAsia" w:ascii="仿宋" w:hAnsi="仿宋" w:eastAsia="仿宋" w:cs="仿宋"/>
                <w:color w:val="auto"/>
                <w:sz w:val="24"/>
                <w:szCs w:val="21"/>
                <w:highlight w:val="none"/>
                <w:lang w:val="en-US" w:eastAsia="zh-Hans"/>
              </w:rPr>
            </w:pPr>
            <w:r>
              <w:rPr>
                <w:rFonts w:hint="eastAsia" w:ascii="仿宋" w:hAnsi="仿宋" w:eastAsia="仿宋" w:cs="仿宋"/>
                <w:color w:val="auto"/>
                <w:sz w:val="24"/>
                <w:highlight w:val="none"/>
                <w:lang w:val="en-US" w:eastAsia="zh-Hans"/>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Hans"/>
              </w:rPr>
              <w:t>）</w:t>
            </w:r>
            <w:r>
              <w:rPr>
                <w:rFonts w:hint="eastAsia" w:ascii="仿宋" w:hAnsi="仿宋" w:eastAsia="仿宋" w:cs="仿宋"/>
                <w:color w:val="auto"/>
                <w:sz w:val="24"/>
                <w:highlight w:val="none"/>
                <w:lang w:eastAsia="zh-Hans"/>
              </w:rPr>
              <w:t>根据投标人</w:t>
            </w:r>
            <w:r>
              <w:rPr>
                <w:rFonts w:hint="eastAsia" w:ascii="仿宋" w:hAnsi="仿宋" w:eastAsia="仿宋" w:cs="仿宋"/>
                <w:color w:val="auto"/>
                <w:sz w:val="24"/>
                <w:highlight w:val="none"/>
                <w:lang w:val="en-US" w:eastAsia="zh-CN"/>
              </w:rPr>
              <w:t>就本项目</w:t>
            </w:r>
            <w:r>
              <w:rPr>
                <w:rFonts w:hint="eastAsia" w:ascii="仿宋" w:hAnsi="仿宋" w:eastAsia="仿宋" w:cs="仿宋"/>
                <w:color w:val="auto"/>
                <w:sz w:val="24"/>
                <w:highlight w:val="none"/>
                <w:lang w:eastAsia="zh-Hans"/>
              </w:rPr>
              <w:t>提供实施计划、生产排期详细</w:t>
            </w:r>
            <w:r>
              <w:rPr>
                <w:rFonts w:hint="eastAsia" w:ascii="仿宋" w:hAnsi="仿宋" w:eastAsia="仿宋" w:cs="仿宋"/>
                <w:color w:val="auto"/>
                <w:sz w:val="24"/>
                <w:highlight w:val="none"/>
                <w:lang w:val="en-US" w:eastAsia="zh-CN"/>
              </w:rPr>
              <w:t>计划</w:t>
            </w:r>
            <w:r>
              <w:rPr>
                <w:rFonts w:hint="eastAsia" w:ascii="仿宋" w:hAnsi="仿宋" w:eastAsia="仿宋" w:cs="仿宋"/>
                <w:color w:val="auto"/>
                <w:sz w:val="24"/>
                <w:highlight w:val="none"/>
                <w:lang w:eastAsia="zh-Hans"/>
              </w:rPr>
              <w:t>完整程度</w:t>
            </w:r>
            <w:r>
              <w:rPr>
                <w:rFonts w:hint="eastAsia" w:ascii="仿宋" w:hAnsi="仿宋" w:eastAsia="仿宋" w:cs="仿宋"/>
                <w:color w:val="auto"/>
                <w:sz w:val="24"/>
                <w:highlight w:val="none"/>
                <w:lang w:val="en-US" w:eastAsia="zh-CN"/>
              </w:rPr>
              <w:t>进行综合评议，</w:t>
            </w:r>
            <w:r>
              <w:rPr>
                <w:rFonts w:hint="eastAsia" w:ascii="仿宋" w:hAnsi="仿宋" w:eastAsia="仿宋" w:cs="仿宋"/>
                <w:color w:val="auto"/>
                <w:sz w:val="24"/>
                <w:szCs w:val="21"/>
                <w:highlight w:val="none"/>
                <w:lang w:eastAsia="zh-Hans"/>
              </w:rPr>
              <w:t>0-</w:t>
            </w:r>
            <w:r>
              <w:rPr>
                <w:rFonts w:hint="eastAsia" w:ascii="仿宋" w:hAnsi="仿宋" w:eastAsia="仿宋" w:cs="仿宋"/>
                <w:color w:val="auto"/>
                <w:sz w:val="24"/>
                <w:szCs w:val="21"/>
                <w:highlight w:val="none"/>
                <w:lang w:eastAsia="zh-CN"/>
              </w:rPr>
              <w:t>4</w:t>
            </w:r>
            <w:r>
              <w:rPr>
                <w:rFonts w:hint="eastAsia" w:ascii="仿宋" w:hAnsi="仿宋" w:eastAsia="仿宋" w:cs="仿宋"/>
                <w:color w:val="auto"/>
                <w:sz w:val="24"/>
                <w:szCs w:val="21"/>
                <w:highlight w:val="none"/>
                <w:lang w:val="en-US" w:eastAsia="zh-Hans"/>
              </w:rPr>
              <w:t>分</w:t>
            </w:r>
          </w:p>
          <w:p>
            <w:pPr>
              <w:pStyle w:val="33"/>
              <w:numPr>
                <w:ilvl w:val="-1"/>
                <w:numId w:val="0"/>
              </w:numPr>
              <w:snapToGrid w:val="0"/>
              <w:spacing w:line="360" w:lineRule="exact"/>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CN"/>
              </w:rPr>
              <w:t>（2）</w:t>
            </w:r>
            <w:r>
              <w:rPr>
                <w:rFonts w:hint="eastAsia" w:ascii="仿宋" w:hAnsi="仿宋" w:eastAsia="仿宋" w:cs="仿宋"/>
                <w:b w:val="0"/>
                <w:bCs w:val="0"/>
                <w:color w:val="auto"/>
                <w:sz w:val="24"/>
                <w:szCs w:val="24"/>
                <w:highlight w:val="none"/>
                <w:lang w:val="en-US" w:eastAsia="zh-CN"/>
              </w:rPr>
              <w:t>根据投标人提供的印刷、装订、出版、发行、成品运输方案等情况进行打分，得0-4分。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4"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内部管理制度</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numPr>
                <w:ilvl w:val="-1"/>
                <w:numId w:val="0"/>
              </w:numPr>
              <w:snapToGrid w:val="0"/>
              <w:spacing w:line="36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Hans"/>
              </w:rPr>
              <w:t>供应商建立供应商内部规章制度，包括但不限于内部管理制度、内部编纂校对制度、内部岗位责任制度、人员考核制度、人员培训制度等进行综合评分</w:t>
            </w:r>
            <w:r>
              <w:rPr>
                <w:rFonts w:hint="eastAsia" w:ascii="仿宋" w:hAnsi="仿宋" w:eastAsia="仿宋" w:cs="仿宋"/>
                <w:color w:val="auto"/>
                <w:sz w:val="24"/>
                <w:highlight w:val="none"/>
                <w:lang w:val="en-US" w:eastAsia="zh-CN"/>
              </w:rPr>
              <w:t>，0-5分。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项目质量控制及措施</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numPr>
                <w:ilvl w:val="-1"/>
                <w:numId w:val="0"/>
              </w:numPr>
              <w:snapToGrid w:val="0"/>
              <w:spacing w:line="360" w:lineRule="exact"/>
              <w:rPr>
                <w:rFonts w:hint="eastAsia" w:ascii="仿宋" w:hAnsi="仿宋" w:eastAsia="仿宋" w:cs="仿宋"/>
                <w:color w:val="auto"/>
                <w:sz w:val="24"/>
                <w:szCs w:val="24"/>
                <w:highlight w:val="none"/>
                <w:lang w:val="en-US" w:eastAsia="zh-Hans"/>
              </w:rPr>
            </w:pPr>
            <w:r>
              <w:rPr>
                <w:rFonts w:hint="eastAsia" w:ascii="仿宋" w:hAnsi="仿宋" w:eastAsia="仿宋" w:cs="仿宋"/>
                <w:bCs w:val="0"/>
                <w:color w:val="auto"/>
                <w:sz w:val="24"/>
                <w:szCs w:val="24"/>
                <w:highlight w:val="none"/>
                <w:lang w:val="en-US" w:eastAsia="zh-CN"/>
              </w:rPr>
              <w:t>（1）</w:t>
            </w:r>
            <w:r>
              <w:rPr>
                <w:rFonts w:hint="eastAsia" w:ascii="仿宋" w:hAnsi="仿宋" w:eastAsia="仿宋" w:cs="仿宋"/>
                <w:bCs w:val="0"/>
                <w:color w:val="auto"/>
                <w:sz w:val="24"/>
                <w:szCs w:val="24"/>
                <w:highlight w:val="none"/>
              </w:rPr>
              <w:t>文字、图片制版处理水平、彩页色彩搭配水平</w:t>
            </w:r>
            <w:r>
              <w:rPr>
                <w:rFonts w:hint="eastAsia" w:ascii="仿宋" w:hAnsi="仿宋" w:eastAsia="仿宋" w:cs="仿宋"/>
                <w:bCs w:val="0"/>
                <w:color w:val="auto"/>
                <w:sz w:val="24"/>
                <w:szCs w:val="24"/>
                <w:highlight w:val="none"/>
                <w:lang w:eastAsia="zh-CN"/>
              </w:rPr>
              <w:t>等方面</w:t>
            </w:r>
            <w:r>
              <w:rPr>
                <w:rFonts w:hint="eastAsia" w:ascii="仿宋" w:hAnsi="仿宋" w:eastAsia="仿宋" w:cs="仿宋"/>
                <w:bCs w:val="0"/>
                <w:color w:val="auto"/>
                <w:sz w:val="24"/>
                <w:szCs w:val="24"/>
                <w:highlight w:val="none"/>
                <w:lang w:val="en-US" w:eastAsia="zh-CN"/>
              </w:rPr>
              <w:t>进行综合评议</w:t>
            </w:r>
            <w:r>
              <w:rPr>
                <w:rFonts w:hint="eastAsia" w:ascii="仿宋" w:hAnsi="仿宋" w:eastAsia="仿宋" w:cs="仿宋"/>
                <w:bCs w:val="0"/>
                <w:color w:val="auto"/>
                <w:sz w:val="24"/>
                <w:szCs w:val="24"/>
                <w:highlight w:val="none"/>
                <w:lang w:val="en-US" w:eastAsia="zh-Hans"/>
              </w:rPr>
              <w:t>，</w:t>
            </w:r>
            <w:r>
              <w:rPr>
                <w:rFonts w:hint="eastAsia" w:ascii="仿宋" w:hAnsi="仿宋" w:eastAsia="仿宋" w:cs="仿宋"/>
                <w:color w:val="auto"/>
                <w:sz w:val="24"/>
                <w:szCs w:val="24"/>
                <w:highlight w:val="none"/>
                <w:lang w:val="en-US" w:eastAsia="zh-Hans"/>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eastAsia="zh-Hans"/>
              </w:rPr>
              <w:t>分。</w:t>
            </w:r>
          </w:p>
          <w:p>
            <w:pPr>
              <w:pStyle w:val="33"/>
              <w:snapToGrid w:val="0"/>
              <w:spacing w:before="0" w:line="360" w:lineRule="exact"/>
              <w:ind w:firstLine="0" w:firstLineChars="0"/>
              <w:jc w:val="left"/>
              <w:rPr>
                <w:rFonts w:hint="eastAsia" w:ascii="仿宋" w:hAnsi="仿宋" w:eastAsia="仿宋" w:cs="仿宋"/>
                <w:bCs w:val="0"/>
                <w:color w:val="auto"/>
                <w:sz w:val="24"/>
                <w:szCs w:val="24"/>
                <w:highlight w:val="none"/>
                <w:lang w:eastAsia="zh-Hans"/>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en-US" w:eastAsia="zh-Hans"/>
              </w:rPr>
              <w:t>根据投标人</w:t>
            </w:r>
            <w:r>
              <w:rPr>
                <w:rFonts w:hint="eastAsia" w:ascii="仿宋" w:hAnsi="仿宋" w:eastAsia="仿宋" w:cs="仿宋"/>
                <w:bCs w:val="0"/>
                <w:color w:val="auto"/>
                <w:spacing w:val="0"/>
                <w:sz w:val="24"/>
                <w:szCs w:val="24"/>
                <w:highlight w:val="none"/>
                <w:lang w:val="en-US" w:eastAsia="zh-Hans"/>
              </w:rPr>
              <w:t>对</w:t>
            </w:r>
            <w:r>
              <w:rPr>
                <w:rFonts w:hint="eastAsia" w:ascii="仿宋" w:hAnsi="仿宋" w:eastAsia="仿宋" w:cs="仿宋"/>
                <w:bCs w:val="0"/>
                <w:color w:val="auto"/>
                <w:sz w:val="24"/>
                <w:szCs w:val="24"/>
                <w:highlight w:val="none"/>
              </w:rPr>
              <w:t>印制水平，包括印制洁净度、文字清晰度、色彩饱和度、套印准确度等方面</w:t>
            </w:r>
            <w:r>
              <w:rPr>
                <w:rFonts w:hint="eastAsia" w:ascii="仿宋" w:hAnsi="仿宋" w:eastAsia="仿宋" w:cs="仿宋"/>
                <w:bCs w:val="0"/>
                <w:color w:val="auto"/>
                <w:sz w:val="24"/>
                <w:szCs w:val="24"/>
                <w:highlight w:val="none"/>
                <w:lang w:val="en-US" w:eastAsia="zh-Hans"/>
              </w:rPr>
              <w:t>进行综合评议，0-</w:t>
            </w:r>
            <w:r>
              <w:rPr>
                <w:rFonts w:hint="eastAsia" w:ascii="仿宋" w:hAnsi="仿宋" w:eastAsia="仿宋" w:cs="仿宋"/>
                <w:bCs w:val="0"/>
                <w:color w:val="auto"/>
                <w:sz w:val="24"/>
                <w:szCs w:val="24"/>
                <w:highlight w:val="none"/>
                <w:lang w:val="en-US" w:eastAsia="zh-CN"/>
              </w:rPr>
              <w:t>5</w:t>
            </w:r>
            <w:r>
              <w:rPr>
                <w:rFonts w:hint="eastAsia" w:ascii="仿宋" w:hAnsi="仿宋" w:eastAsia="仿宋" w:cs="仿宋"/>
                <w:bCs w:val="0"/>
                <w:color w:val="auto"/>
                <w:sz w:val="24"/>
                <w:szCs w:val="24"/>
                <w:highlight w:val="none"/>
                <w:lang w:val="en-US" w:eastAsia="zh-Hans"/>
              </w:rPr>
              <w:t>分。</w:t>
            </w:r>
          </w:p>
          <w:p>
            <w:pPr>
              <w:pStyle w:val="33"/>
              <w:numPr>
                <w:ilvl w:val="-1"/>
                <w:numId w:val="0"/>
              </w:numPr>
              <w:snapToGrid w:val="0"/>
              <w:spacing w:line="360" w:lineRule="exact"/>
              <w:rPr>
                <w:rFonts w:hint="eastAsia" w:ascii="仿宋" w:hAnsi="仿宋" w:eastAsia="仿宋" w:cs="仿宋"/>
                <w:bCs w:val="0"/>
                <w:color w:val="auto"/>
                <w:sz w:val="24"/>
                <w:szCs w:val="24"/>
                <w:highlight w:val="none"/>
                <w:lang w:val="en-US" w:eastAsia="zh-CN"/>
              </w:rPr>
            </w:pPr>
            <w:r>
              <w:rPr>
                <w:rFonts w:hint="eastAsia" w:ascii="仿宋" w:hAnsi="仿宋" w:eastAsia="仿宋" w:cs="仿宋"/>
                <w:bCs w:val="0"/>
                <w:color w:val="auto"/>
                <w:spacing w:val="0"/>
                <w:sz w:val="24"/>
                <w:szCs w:val="24"/>
                <w:highlight w:val="none"/>
                <w:lang w:val="en-US" w:eastAsia="zh-CN"/>
              </w:rPr>
              <w:t>（3）</w:t>
            </w:r>
            <w:r>
              <w:rPr>
                <w:rFonts w:hint="eastAsia" w:ascii="仿宋" w:hAnsi="仿宋" w:eastAsia="仿宋" w:cs="仿宋"/>
                <w:bCs w:val="0"/>
                <w:color w:val="auto"/>
                <w:spacing w:val="0"/>
                <w:sz w:val="24"/>
                <w:szCs w:val="24"/>
                <w:highlight w:val="none"/>
                <w:lang w:val="en-US" w:eastAsia="zh-Hans"/>
              </w:rPr>
              <w:t>根据投标人对</w:t>
            </w:r>
            <w:r>
              <w:rPr>
                <w:rFonts w:hint="eastAsia" w:ascii="仿宋" w:hAnsi="仿宋" w:eastAsia="仿宋" w:cs="仿宋"/>
                <w:bCs w:val="0"/>
                <w:color w:val="auto"/>
                <w:sz w:val="24"/>
                <w:szCs w:val="24"/>
                <w:highlight w:val="none"/>
              </w:rPr>
              <w:t>装帧水平（内芯装订紧密，书脊平整）</w:t>
            </w:r>
            <w:r>
              <w:rPr>
                <w:rFonts w:hint="eastAsia" w:ascii="仿宋" w:hAnsi="仿宋" w:eastAsia="仿宋" w:cs="仿宋"/>
                <w:bCs w:val="0"/>
                <w:color w:val="auto"/>
                <w:sz w:val="24"/>
                <w:szCs w:val="24"/>
                <w:highlight w:val="none"/>
                <w:lang w:eastAsia="zh-CN"/>
              </w:rPr>
              <w:t>方面</w:t>
            </w:r>
            <w:r>
              <w:rPr>
                <w:rFonts w:hint="eastAsia" w:ascii="仿宋" w:hAnsi="仿宋" w:eastAsia="仿宋" w:cs="仿宋"/>
                <w:bCs w:val="0"/>
                <w:color w:val="auto"/>
                <w:sz w:val="24"/>
                <w:szCs w:val="24"/>
                <w:highlight w:val="none"/>
                <w:lang w:val="en-US" w:eastAsia="zh-CN"/>
              </w:rPr>
              <w:t>进行综合评议</w:t>
            </w:r>
            <w:r>
              <w:rPr>
                <w:rFonts w:hint="eastAsia" w:ascii="仿宋" w:hAnsi="仿宋" w:eastAsia="仿宋" w:cs="仿宋"/>
                <w:bCs w:val="0"/>
                <w:color w:val="auto"/>
                <w:sz w:val="24"/>
                <w:szCs w:val="24"/>
                <w:highlight w:val="none"/>
                <w:lang w:val="en-US" w:eastAsia="zh-Hans"/>
              </w:rPr>
              <w:t>，0-</w:t>
            </w:r>
            <w:r>
              <w:rPr>
                <w:rFonts w:hint="eastAsia" w:ascii="仿宋" w:hAnsi="仿宋" w:eastAsia="仿宋" w:cs="仿宋"/>
                <w:bCs w:val="0"/>
                <w:color w:val="auto"/>
                <w:sz w:val="24"/>
                <w:szCs w:val="24"/>
                <w:highlight w:val="none"/>
                <w:lang w:val="en-US" w:eastAsia="zh-CN"/>
              </w:rPr>
              <w:t>5</w:t>
            </w:r>
            <w:r>
              <w:rPr>
                <w:rFonts w:hint="eastAsia" w:ascii="仿宋" w:hAnsi="仿宋" w:eastAsia="仿宋" w:cs="仿宋"/>
                <w:bCs w:val="0"/>
                <w:color w:val="auto"/>
                <w:sz w:val="24"/>
                <w:szCs w:val="24"/>
                <w:highlight w:val="none"/>
                <w:lang w:val="en-US" w:eastAsia="zh-Hans"/>
              </w:rPr>
              <w:t>分。</w:t>
            </w:r>
          </w:p>
          <w:p>
            <w:pPr>
              <w:pStyle w:val="33"/>
              <w:numPr>
                <w:ilvl w:val="-1"/>
                <w:numId w:val="0"/>
              </w:numPr>
              <w:snapToGrid w:val="0"/>
              <w:spacing w:line="360" w:lineRule="exact"/>
              <w:rPr>
                <w:rFonts w:hint="eastAsia" w:ascii="仿宋" w:hAnsi="仿宋" w:eastAsia="仿宋" w:cs="仿宋"/>
                <w:color w:val="auto"/>
                <w:sz w:val="24"/>
                <w:szCs w:val="24"/>
                <w:highlight w:val="none"/>
                <w:lang w:val="en-US" w:eastAsia="zh-CN"/>
              </w:rPr>
            </w:pPr>
            <w:r>
              <w:rPr>
                <w:rFonts w:hint="eastAsia" w:ascii="仿宋" w:hAnsi="仿宋" w:eastAsia="仿宋" w:cs="仿宋"/>
                <w:bCs w:val="0"/>
                <w:color w:val="auto"/>
                <w:sz w:val="24"/>
                <w:szCs w:val="24"/>
                <w:highlight w:val="none"/>
                <w:lang w:val="en-US" w:eastAsia="zh-CN"/>
              </w:rPr>
              <w:t>(4)</w:t>
            </w:r>
            <w:r>
              <w:rPr>
                <w:rFonts w:hint="eastAsia" w:ascii="仿宋" w:hAnsi="仿宋" w:eastAsia="仿宋" w:cs="仿宋"/>
                <w:color w:val="auto"/>
                <w:sz w:val="24"/>
                <w:szCs w:val="24"/>
                <w:highlight w:val="none"/>
                <w:lang w:val="en-US" w:eastAsia="zh-CN"/>
              </w:rPr>
              <w:t>根据投标人</w:t>
            </w:r>
            <w:r>
              <w:rPr>
                <w:rFonts w:hint="eastAsia" w:ascii="仿宋" w:hAnsi="仿宋" w:eastAsia="仿宋" w:cs="仿宋"/>
                <w:bCs w:val="0"/>
                <w:color w:val="auto"/>
                <w:spacing w:val="0"/>
                <w:sz w:val="24"/>
                <w:szCs w:val="24"/>
                <w:highlight w:val="none"/>
                <w:lang w:val="en-US" w:eastAsia="zh-CN"/>
              </w:rPr>
              <w:t>对</w:t>
            </w:r>
            <w:r>
              <w:rPr>
                <w:rFonts w:hint="eastAsia" w:ascii="仿宋" w:hAnsi="仿宋" w:eastAsia="仿宋" w:cs="仿宋"/>
                <w:bCs w:val="0"/>
                <w:color w:val="auto"/>
                <w:sz w:val="24"/>
                <w:szCs w:val="24"/>
                <w:highlight w:val="none"/>
              </w:rPr>
              <w:t>纸张材质质量、色度色差等方面</w:t>
            </w:r>
            <w:r>
              <w:rPr>
                <w:rFonts w:hint="eastAsia" w:ascii="仿宋" w:hAnsi="仿宋" w:eastAsia="仿宋" w:cs="仿宋"/>
                <w:bCs w:val="0"/>
                <w:color w:val="auto"/>
                <w:sz w:val="24"/>
                <w:szCs w:val="24"/>
                <w:highlight w:val="none"/>
                <w:lang w:val="en-US" w:eastAsia="zh-CN"/>
              </w:rPr>
              <w:t>,0-5分</w:t>
            </w:r>
            <w:r>
              <w:rPr>
                <w:rFonts w:hint="eastAsia" w:ascii="仿宋" w:hAnsi="仿宋" w:eastAsia="仿宋" w:cs="仿宋"/>
                <w:bCs w:val="0"/>
                <w:color w:val="auto"/>
                <w:sz w:val="24"/>
                <w:szCs w:val="24"/>
                <w:highlight w:val="none"/>
              </w:rPr>
              <w:t>。</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0"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售后服务情况</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0"/>
              </w:numPr>
              <w:spacing w:line="360" w:lineRule="exact"/>
              <w:rPr>
                <w:rFonts w:hint="default" w:ascii="Arial" w:hAnsi="Arial" w:eastAsia="黑体" w:cs="Times New Roman"/>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根据采购需求提供售后服务计划和技术保障措施（包括但不限于售后服务内容、响应时间、承诺、人员配置等），0-5分。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44"/>
                <w:szCs w:val="44"/>
                <w:highlight w:val="none"/>
                <w:vertAlign w:val="subscript"/>
                <w:lang w:eastAsia="zh-CN"/>
              </w:rPr>
            </w:pPr>
            <w:r>
              <w:rPr>
                <w:rFonts w:hint="default"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0"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应急预案 </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0"/>
              </w:numPr>
              <w:spacing w:line="36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_GB2312"/>
                <w:color w:val="auto"/>
                <w:kern w:val="2"/>
                <w:sz w:val="24"/>
                <w:szCs w:val="24"/>
                <w:highlight w:val="none"/>
                <w:lang w:val="en-US" w:eastAsia="zh-CN" w:bidi="ar-SA"/>
              </w:rPr>
              <w:t>对出现突发状况、意外事件等是否有相应的组织、实施应急措施，对于人员、应急物品的应急预案是否全面性、科学性等进行综合评定，0-4分。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9"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样品质量</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snapToGrid/>
              <w:spacing w:line="360" w:lineRule="exac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CN"/>
              </w:rPr>
              <w:t>根据投标人提供的古籍精装本及</w:t>
            </w:r>
            <w:r>
              <w:rPr>
                <w:rFonts w:hint="eastAsia" w:ascii="仿宋" w:hAnsi="仿宋" w:eastAsia="仿宋" w:cs="仿宋"/>
                <w:color w:val="auto"/>
                <w:sz w:val="24"/>
                <w:szCs w:val="24"/>
                <w:highlight w:val="none"/>
              </w:rPr>
              <w:t>善本影真丛览样书</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工艺主要技术、特点和质量水平、设计理念符合程度等（包括样品的封面、内页、装订情况、纸张质量等）进行综合评议，0-5分。</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9"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71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方案讲解</w:t>
            </w:r>
          </w:p>
        </w:tc>
        <w:tc>
          <w:tcPr>
            <w:tcW w:w="636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napToGrid w:val="0"/>
              <w:spacing w:line="360" w:lineRule="exact"/>
              <w:jc w:val="lef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方案讲解</w:t>
            </w:r>
            <w:r>
              <w:rPr>
                <w:rFonts w:hint="eastAsia" w:ascii="仿宋" w:hAnsi="仿宋" w:eastAsia="仿宋" w:cs="仿宋"/>
                <w:color w:val="auto"/>
                <w:sz w:val="24"/>
                <w:szCs w:val="24"/>
                <w:highlight w:val="none"/>
              </w:rPr>
              <w:t>相关要求详见“前附表”。</w:t>
            </w:r>
          </w:p>
          <w:p>
            <w:pPr>
              <w:widowControl/>
              <w:snapToGrid w:val="0"/>
              <w:spacing w:line="360" w:lineRule="exact"/>
              <w:jc w:val="left"/>
              <w:rPr>
                <w:rFonts w:hint="default" w:ascii="仿宋" w:hAnsi="仿宋" w:eastAsia="仿宋" w:cs="仿宋"/>
                <w:i w:val="0"/>
                <w:iCs w:val="0"/>
                <w:caps w:val="0"/>
                <w:color w:val="auto"/>
                <w:spacing w:val="0"/>
                <w:kern w:val="2"/>
                <w:sz w:val="24"/>
                <w:szCs w:val="24"/>
                <w:highlight w:val="none"/>
                <w:u w:val="none"/>
                <w:shd w:val="clear" w:fill="FFFFFF"/>
                <w:lang w:eastAsia="zh-CN" w:bidi="ar"/>
              </w:rPr>
            </w:pPr>
            <w:r>
              <w:rPr>
                <w:rFonts w:hint="default" w:ascii="仿宋" w:hAnsi="仿宋" w:eastAsia="仿宋" w:cs="仿宋"/>
                <w:color w:val="auto"/>
                <w:kern w:val="2"/>
                <w:sz w:val="24"/>
                <w:szCs w:val="24"/>
                <w:highlight w:val="none"/>
                <w:lang w:eastAsia="zh-CN"/>
              </w:rPr>
              <w:t>（1）</w:t>
            </w:r>
            <w:r>
              <w:rPr>
                <w:rFonts w:hint="eastAsia" w:ascii="仿宋" w:hAnsi="仿宋" w:eastAsia="仿宋" w:cs="仿宋"/>
                <w:color w:val="auto"/>
                <w:kern w:val="2"/>
                <w:sz w:val="24"/>
                <w:szCs w:val="24"/>
                <w:highlight w:val="none"/>
                <w:lang w:eastAsia="zh-CN"/>
              </w:rPr>
              <w:t>投标人根据该项目现有情况，结合自身优势，</w:t>
            </w:r>
            <w:r>
              <w:rPr>
                <w:rFonts w:hint="eastAsia" w:ascii="仿宋" w:hAnsi="仿宋" w:eastAsia="仿宋" w:cs="仿宋"/>
                <w:color w:val="auto"/>
                <w:kern w:val="2"/>
                <w:sz w:val="24"/>
                <w:szCs w:val="24"/>
                <w:highlight w:val="none"/>
                <w:lang w:val="en-US" w:eastAsia="zh-CN"/>
              </w:rPr>
              <w:t>就项目编</w:t>
            </w:r>
            <w:r>
              <w:rPr>
                <w:rFonts w:hint="eastAsia" w:ascii="仿宋" w:hAnsi="仿宋" w:eastAsia="仿宋" w:cs="仿宋"/>
                <w:i w:val="0"/>
                <w:iCs w:val="0"/>
                <w:caps w:val="0"/>
                <w:color w:val="auto"/>
                <w:spacing w:val="0"/>
                <w:kern w:val="2"/>
                <w:sz w:val="24"/>
                <w:szCs w:val="24"/>
                <w:highlight w:val="none"/>
                <w:u w:val="none"/>
                <w:shd w:val="clear" w:fill="FFFFFF"/>
                <w:lang w:val="en-US" w:eastAsia="zh-CN" w:bidi="ar"/>
              </w:rPr>
              <w:t>辑、校对、排版</w:t>
            </w:r>
            <w:r>
              <w:rPr>
                <w:rFonts w:hint="default" w:ascii="仿宋" w:hAnsi="仿宋" w:eastAsia="仿宋" w:cs="仿宋"/>
                <w:i w:val="0"/>
                <w:iCs w:val="0"/>
                <w:caps w:val="0"/>
                <w:color w:val="auto"/>
                <w:spacing w:val="0"/>
                <w:kern w:val="2"/>
                <w:sz w:val="24"/>
                <w:szCs w:val="24"/>
                <w:highlight w:val="none"/>
                <w:u w:val="none"/>
                <w:shd w:val="clear"/>
                <w:lang w:eastAsia="zh-CN" w:bidi="ar"/>
              </w:rPr>
              <w:t>、</w:t>
            </w:r>
            <w:r>
              <w:rPr>
                <w:rFonts w:hint="eastAsia" w:ascii="仿宋" w:hAnsi="仿宋" w:eastAsia="仿宋" w:cs="仿宋"/>
                <w:i w:val="0"/>
                <w:iCs w:val="0"/>
                <w:caps w:val="0"/>
                <w:color w:val="auto"/>
                <w:spacing w:val="0"/>
                <w:kern w:val="2"/>
                <w:sz w:val="24"/>
                <w:szCs w:val="24"/>
                <w:highlight w:val="none"/>
                <w:u w:val="none"/>
                <w:shd w:val="clear" w:fill="FFFFFF"/>
                <w:lang w:val="en-US" w:eastAsia="zh-CN" w:bidi="ar"/>
              </w:rPr>
              <w:t>设计等方面的创新能力和技术水平</w:t>
            </w:r>
            <w:r>
              <w:rPr>
                <w:rFonts w:hint="default" w:ascii="仿宋" w:hAnsi="仿宋" w:eastAsia="仿宋" w:cs="仿宋"/>
                <w:i w:val="0"/>
                <w:iCs w:val="0"/>
                <w:caps w:val="0"/>
                <w:color w:val="auto"/>
                <w:spacing w:val="0"/>
                <w:kern w:val="2"/>
                <w:sz w:val="24"/>
                <w:szCs w:val="24"/>
                <w:highlight w:val="none"/>
                <w:u w:val="none"/>
                <w:shd w:val="clear" w:fill="FFFFFF"/>
                <w:lang w:eastAsia="zh-CN" w:bidi="ar"/>
              </w:rPr>
              <w:t>，</w:t>
            </w:r>
            <w:r>
              <w:rPr>
                <w:rFonts w:hint="eastAsia" w:ascii="仿宋" w:hAnsi="仿宋" w:eastAsia="仿宋" w:cs="仿宋"/>
                <w:i w:val="0"/>
                <w:iCs w:val="0"/>
                <w:caps w:val="0"/>
                <w:color w:val="auto"/>
                <w:spacing w:val="0"/>
                <w:kern w:val="2"/>
                <w:sz w:val="24"/>
                <w:szCs w:val="24"/>
                <w:highlight w:val="none"/>
                <w:u w:val="none"/>
                <w:shd w:val="clear" w:fill="FFFFFF"/>
                <w:lang w:val="en-US" w:eastAsia="zh-Hans" w:bidi="ar"/>
              </w:rPr>
              <w:t>进行在线讲解</w:t>
            </w:r>
            <w:r>
              <w:rPr>
                <w:rFonts w:hint="default" w:ascii="仿宋" w:hAnsi="仿宋" w:eastAsia="仿宋" w:cs="仿宋"/>
                <w:i w:val="0"/>
                <w:iCs w:val="0"/>
                <w:caps w:val="0"/>
                <w:color w:val="auto"/>
                <w:spacing w:val="0"/>
                <w:kern w:val="2"/>
                <w:sz w:val="24"/>
                <w:szCs w:val="24"/>
                <w:highlight w:val="none"/>
                <w:u w:val="none"/>
                <w:shd w:val="clear" w:fill="FFFFFF"/>
                <w:lang w:eastAsia="zh-CN" w:bidi="ar"/>
              </w:rPr>
              <w:t>。</w:t>
            </w:r>
            <w:r>
              <w:rPr>
                <w:rFonts w:hint="default" w:ascii="仿宋" w:hAnsi="仿宋" w:eastAsia="仿宋" w:cs="仿宋"/>
                <w:i w:val="0"/>
                <w:iCs w:val="0"/>
                <w:caps w:val="0"/>
                <w:color w:val="auto"/>
                <w:spacing w:val="0"/>
                <w:kern w:val="2"/>
                <w:sz w:val="24"/>
                <w:szCs w:val="24"/>
                <w:highlight w:val="none"/>
                <w:u w:val="none"/>
                <w:shd w:val="clear"/>
                <w:lang w:eastAsia="zh-Hans" w:bidi="ar"/>
              </w:rPr>
              <w:t>0-5</w:t>
            </w:r>
            <w:r>
              <w:rPr>
                <w:rFonts w:hint="eastAsia" w:ascii="仿宋" w:hAnsi="仿宋" w:eastAsia="仿宋" w:cs="仿宋"/>
                <w:i w:val="0"/>
                <w:iCs w:val="0"/>
                <w:caps w:val="0"/>
                <w:color w:val="auto"/>
                <w:spacing w:val="0"/>
                <w:kern w:val="2"/>
                <w:sz w:val="24"/>
                <w:szCs w:val="24"/>
                <w:highlight w:val="none"/>
                <w:u w:val="none"/>
                <w:shd w:val="clear"/>
                <w:lang w:val="en-US" w:eastAsia="zh-Hans" w:bidi="ar"/>
              </w:rPr>
              <w:t>分</w:t>
            </w:r>
            <w:r>
              <w:rPr>
                <w:rFonts w:hint="default" w:ascii="仿宋" w:hAnsi="仿宋" w:eastAsia="仿宋" w:cs="仿宋"/>
                <w:i w:val="0"/>
                <w:iCs w:val="0"/>
                <w:caps w:val="0"/>
                <w:color w:val="auto"/>
                <w:spacing w:val="0"/>
                <w:kern w:val="2"/>
                <w:sz w:val="24"/>
                <w:szCs w:val="24"/>
                <w:highlight w:val="none"/>
                <w:u w:val="none"/>
                <w:shd w:val="clear"/>
                <w:lang w:eastAsia="zh-Hans" w:bidi="ar"/>
              </w:rPr>
              <w:t>。</w:t>
            </w:r>
          </w:p>
          <w:p>
            <w:pPr>
              <w:widowControl/>
              <w:snapToGrid w:val="0"/>
              <w:spacing w:line="360" w:lineRule="exact"/>
              <w:jc w:val="left"/>
              <w:rPr>
                <w:rFonts w:hint="eastAsia" w:ascii="仿宋" w:hAnsi="仿宋" w:eastAsia="仿宋" w:cs="仿宋"/>
                <w:color w:val="auto"/>
                <w:sz w:val="24"/>
                <w:highlight w:val="none"/>
                <w:lang w:val="en-US" w:eastAsia="zh-CN"/>
              </w:rPr>
            </w:pPr>
            <w:r>
              <w:rPr>
                <w:rFonts w:hint="default" w:ascii="仿宋" w:hAnsi="仿宋" w:eastAsia="仿宋" w:cs="仿宋"/>
                <w:i w:val="0"/>
                <w:iCs w:val="0"/>
                <w:caps w:val="0"/>
                <w:color w:val="auto"/>
                <w:spacing w:val="0"/>
                <w:kern w:val="2"/>
                <w:sz w:val="24"/>
                <w:szCs w:val="24"/>
                <w:highlight w:val="none"/>
                <w:u w:val="none"/>
                <w:shd w:val="clear" w:fill="FFFFFF"/>
                <w:lang w:eastAsia="zh-CN" w:bidi="ar"/>
              </w:rPr>
              <w:t>（2）</w:t>
            </w:r>
            <w:r>
              <w:rPr>
                <w:rFonts w:hint="eastAsia" w:ascii="仿宋" w:hAnsi="仿宋" w:eastAsia="仿宋" w:cs="仿宋"/>
                <w:i w:val="0"/>
                <w:iCs w:val="0"/>
                <w:caps w:val="0"/>
                <w:color w:val="auto"/>
                <w:spacing w:val="0"/>
                <w:kern w:val="2"/>
                <w:sz w:val="24"/>
                <w:szCs w:val="24"/>
                <w:highlight w:val="none"/>
                <w:u w:val="none"/>
                <w:shd w:val="clear" w:fill="FFFFFF"/>
                <w:lang w:val="en-US" w:eastAsia="zh-Hans" w:bidi="ar"/>
              </w:rPr>
              <w:t>投标人根据项目实施过程中如何</w:t>
            </w:r>
            <w:r>
              <w:rPr>
                <w:rFonts w:hint="eastAsia" w:ascii="仿宋" w:hAnsi="仿宋" w:eastAsia="仿宋" w:cs="仿宋"/>
                <w:i w:val="0"/>
                <w:iCs w:val="0"/>
                <w:caps w:val="0"/>
                <w:color w:val="auto"/>
                <w:spacing w:val="0"/>
                <w:kern w:val="2"/>
                <w:sz w:val="24"/>
                <w:szCs w:val="24"/>
                <w:highlight w:val="none"/>
                <w:u w:val="none"/>
                <w:shd w:val="clear" w:fill="FFFFFF"/>
                <w:lang w:val="en-US" w:eastAsia="zh-CN" w:bidi="ar"/>
              </w:rPr>
              <w:t>应对可能出现的风险和挑战</w:t>
            </w:r>
            <w:r>
              <w:rPr>
                <w:rFonts w:hint="eastAsia" w:ascii="仿宋" w:hAnsi="仿宋" w:eastAsia="仿宋" w:cs="仿宋"/>
                <w:i w:val="0"/>
                <w:iCs w:val="0"/>
                <w:caps w:val="0"/>
                <w:color w:val="auto"/>
                <w:spacing w:val="0"/>
                <w:kern w:val="2"/>
                <w:sz w:val="24"/>
                <w:szCs w:val="24"/>
                <w:highlight w:val="none"/>
                <w:u w:val="none"/>
                <w:shd w:val="clear"/>
                <w:lang w:val="en-US" w:eastAsia="zh-Hans" w:bidi="ar"/>
              </w:rPr>
              <w:t>进行在线讲解</w:t>
            </w:r>
            <w:r>
              <w:rPr>
                <w:rFonts w:hint="default" w:ascii="仿宋" w:hAnsi="仿宋" w:eastAsia="仿宋" w:cs="仿宋"/>
                <w:i w:val="0"/>
                <w:iCs w:val="0"/>
                <w:caps w:val="0"/>
                <w:color w:val="auto"/>
                <w:spacing w:val="0"/>
                <w:kern w:val="2"/>
                <w:sz w:val="24"/>
                <w:szCs w:val="24"/>
                <w:highlight w:val="none"/>
                <w:u w:val="none"/>
                <w:shd w:val="clear"/>
                <w:lang w:eastAsia="zh-Hans" w:bidi="ar"/>
              </w:rPr>
              <w:t>。0-5</w:t>
            </w:r>
            <w:r>
              <w:rPr>
                <w:rFonts w:hint="eastAsia" w:ascii="仿宋" w:hAnsi="仿宋" w:eastAsia="仿宋" w:cs="仿宋"/>
                <w:i w:val="0"/>
                <w:iCs w:val="0"/>
                <w:caps w:val="0"/>
                <w:color w:val="auto"/>
                <w:spacing w:val="0"/>
                <w:kern w:val="2"/>
                <w:sz w:val="24"/>
                <w:szCs w:val="24"/>
                <w:highlight w:val="none"/>
                <w:u w:val="none"/>
                <w:shd w:val="clear"/>
                <w:lang w:val="en-US" w:eastAsia="zh-Hans" w:bidi="ar"/>
              </w:rPr>
              <w:t>分</w:t>
            </w:r>
            <w:r>
              <w:rPr>
                <w:rFonts w:hint="default" w:ascii="仿宋" w:hAnsi="仿宋" w:eastAsia="仿宋" w:cs="仿宋"/>
                <w:i w:val="0"/>
                <w:iCs w:val="0"/>
                <w:caps w:val="0"/>
                <w:color w:val="auto"/>
                <w:spacing w:val="0"/>
                <w:kern w:val="2"/>
                <w:sz w:val="24"/>
                <w:szCs w:val="24"/>
                <w:highlight w:val="none"/>
                <w:u w:val="none"/>
                <w:shd w:val="clear"/>
                <w:lang w:eastAsia="zh-Hans" w:bidi="ar"/>
              </w:rPr>
              <w:t>。</w:t>
            </w:r>
          </w:p>
        </w:tc>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snapToGrid w:val="0"/>
              <w:spacing w:line="360" w:lineRule="exact"/>
              <w:jc w:val="center"/>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val="en-US" w:eastAsia="zh-CN"/>
              </w:rPr>
              <w:t>分</w:t>
            </w:r>
          </w:p>
        </w:tc>
      </w:tr>
    </w:tbl>
    <w:p>
      <w:pPr>
        <w:snapToGrid w:val="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pPr>
        <w:spacing w:beforeLines="0" w:afterLines="0" w:line="288" w:lineRule="auto"/>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2.2价格分（</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u w:val="single"/>
          <w:lang w:val="en-US" w:eastAsia="zh-CN"/>
        </w:rPr>
        <w:t>10</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分）</w:t>
      </w:r>
    </w:p>
    <w:p>
      <w:pPr>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2.2.1评标基准价：即满足招标文件要求且投标价格最低的投标报价为评标基准价，其价格分为满分。</w:t>
      </w:r>
    </w:p>
    <w:p>
      <w:pPr>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line="288" w:lineRule="auto"/>
        <w:rPr>
          <w:rFonts w:hint="default" w:eastAsia="仿宋"/>
          <w:color w:val="auto"/>
          <w:sz w:val="21"/>
          <w:szCs w:val="24"/>
          <w:highlight w:val="none"/>
        </w:rPr>
      </w:pPr>
      <w:r>
        <w:rPr>
          <w:rFonts w:hint="eastAsia" w:ascii="仿宋" w:hAnsi="仿宋" w:eastAsia="仿宋" w:cs="仿宋"/>
          <w:color w:val="auto"/>
          <w:sz w:val="24"/>
          <w:szCs w:val="24"/>
          <w:highlight w:val="none"/>
        </w:rPr>
        <w:t>即：投标报价得分=(评标基准价／投标报价)×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10</w:t>
      </w:r>
    </w:p>
    <w:p>
      <w:pPr>
        <w:pStyle w:val="24"/>
        <w:ind w:left="0" w:leftChars="0" w:firstLine="0" w:firstLineChars="0"/>
        <w:rPr>
          <w:rFonts w:hint="eastAsia"/>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pStyle w:val="8"/>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8"/>
        <w:rPr>
          <w:rFonts w:hint="eastAsia"/>
          <w:highlight w:val="none"/>
        </w:rPr>
      </w:pPr>
    </w:p>
    <w:p>
      <w:pPr>
        <w:rPr>
          <w:rFonts w:hint="eastAsia"/>
          <w:highlight w:val="none"/>
        </w:rPr>
      </w:pPr>
    </w:p>
    <w:p>
      <w:pPr>
        <w:rPr>
          <w:rFonts w:hint="eastAsia"/>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28"/>
      <w:r>
        <w:rPr>
          <w:rFonts w:hint="eastAsia" w:ascii="仿宋" w:hAnsi="仿宋" w:eastAsia="仿宋" w:cs="仿宋"/>
          <w:b/>
          <w:color w:val="auto"/>
          <w:sz w:val="36"/>
          <w:szCs w:val="20"/>
          <w:highlight w:val="none"/>
        </w:rPr>
        <w:t xml:space="preserve"> </w:t>
      </w:r>
      <w:bookmarkEnd w:id="29"/>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《绍兴大典》（第二辑）出版项目</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eepNext w:val="0"/>
        <w:keepLines w:val="0"/>
        <w:pageBreakBefore w:val="0"/>
        <w:kinsoku/>
        <w:wordWrap/>
        <w:overflowPunct/>
        <w:topLinePunct w:val="0"/>
        <w:autoSpaceDE/>
        <w:autoSpaceDN/>
        <w:bidi w:val="0"/>
        <w:snapToGrid w:val="0"/>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79"/>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val="en-US" w:eastAsia="zh-CN"/>
        </w:rPr>
        <w:t>投标</w:t>
      </w:r>
      <w:r>
        <w:rPr>
          <w:rFonts w:hint="eastAsia" w:ascii="仿宋_GB2312" w:hAnsi="仿宋_GB2312" w:eastAsia="仿宋_GB2312" w:cs="仿宋_GB2312"/>
          <w:color w:val="auto"/>
          <w:sz w:val="24"/>
          <w:highlight w:val="none"/>
        </w:rPr>
        <w:t>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footerReference r:id="rId8" w:type="first"/>
          <w:footerReference r:id="rId7"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1" w:type="first"/>
          <w:headerReference r:id="rId9" w:type="default"/>
          <w:footerReference r:id="rId10"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《绍兴大典》（第二辑）出版项目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《绍兴大典》（第二辑）出版项目</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《绍兴大典》（第二辑）出版项目</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47" w:name="_Hlk101131882"/>
      <w:r>
        <w:rPr>
          <w:rFonts w:hint="eastAsia" w:ascii="仿宋" w:hAnsi="仿宋" w:eastAsia="仿宋" w:cs="仿宋"/>
          <w:color w:val="auto"/>
          <w:kern w:val="0"/>
          <w:sz w:val="24"/>
          <w:highlight w:val="none"/>
          <w:u w:val="single"/>
        </w:rPr>
        <w:t>联合体成员X,……</w:t>
      </w:r>
      <w:bookmarkEnd w:id="14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4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48"/>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4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49"/>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《绍兴大典》（第二辑）出版项目</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0" w:name="OLE_LINK13"/>
      <w:bookmarkStart w:id="151" w:name="OLE_LINK14"/>
      <w:r>
        <w:rPr>
          <w:rFonts w:hint="eastAsia" w:ascii="仿宋" w:hAnsi="仿宋" w:eastAsia="仿宋" w:cs="仿宋"/>
          <w:b/>
          <w:color w:val="auto"/>
          <w:spacing w:val="6"/>
          <w:sz w:val="32"/>
          <w:szCs w:val="32"/>
          <w:highlight w:val="none"/>
        </w:rPr>
        <w:t>残疾人福利性单位声明函</w:t>
      </w:r>
    </w:p>
    <w:bookmarkEnd w:id="150"/>
    <w:bookmarkEnd w:id="151"/>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《绍兴大典》（第二辑）出版项目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《绍兴大典》（第二辑）出版项目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全福体"/>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00000000" w:csb1="00000000"/>
  </w:font>
  <w:font w:name="Cumberland">
    <w:altName w:val="方正全福体"/>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Times New Roman"/>
    <w:panose1 w:val="02020603050405020304"/>
    <w:charset w:val="00"/>
    <w:family w:val="modern"/>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方正全福体">
    <w:panose1 w:val="020005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52" w:name="_Toc36110187"/>
    <w:bookmarkStart w:id="153" w:name="_Toc164085800"/>
    <w:bookmarkStart w:id="154" w:name="_Toc131845147"/>
    <w:bookmarkStart w:id="155" w:name="_Toc91899912"/>
    <w:r>
      <w:rPr>
        <w:rFonts w:hint="eastAsia" w:ascii="仿宋_GB2312" w:eastAsia="仿宋_GB2312"/>
        <w:kern w:val="0"/>
        <w:szCs w:val="21"/>
      </w:rPr>
      <w:t xml:space="preserve"> 页</w:t>
    </w:r>
    <w:bookmarkEnd w:id="152"/>
    <w:bookmarkEnd w:id="153"/>
    <w:bookmarkEnd w:id="154"/>
    <w:bookmarkEnd w:id="15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CGSHZJ-2024-N001060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CGSHZJ-2024-N001060</w:t>
    </w:r>
  </w:p>
  <w:p>
    <w:pPr>
      <w:pStyle w:val="41"/>
      <w:pBdr>
        <w:bottom w:val="none" w:color="auto" w:sz="0" w:space="0"/>
      </w:pBdr>
      <w:tabs>
        <w:tab w:val="clear" w:pos="4153"/>
        <w:tab w:val="clear" w:pos="8306"/>
      </w:tabs>
      <w:jc w:val="both"/>
      <w:rPr>
        <w:rFonts w:hint="default" w:ascii="仿宋" w:hAnsi="仿宋" w:eastAsia="仿宋" w:cs="仿宋"/>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CGSHZJ-2024-N001060</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CGSHZJ-2024-N001060</w:t>
    </w:r>
  </w:p>
  <w:p>
    <w:pPr>
      <w:pStyle w:val="41"/>
      <w:pBdr>
        <w:bottom w:val="none" w:color="auto" w:sz="0" w:space="1"/>
      </w:pBdr>
      <w:jc w:val="right"/>
      <w:rPr>
        <w:rFonts w:ascii="仿宋_GB2312" w:eastAsia="仿宋_GB2312"/>
        <w:b/>
        <w:i/>
        <w:iCs/>
        <w:u w:val="single"/>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CGSHZJ-2024-N001060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0F647"/>
    <w:multiLevelType w:val="multilevel"/>
    <w:tmpl w:val="A620F647"/>
    <w:lvl w:ilvl="0" w:tentative="0">
      <w:start w:val="2"/>
      <w:numFmt w:val="chineseCounting"/>
      <w:suff w:val="nothing"/>
      <w:lvlText w:val="%1、"/>
      <w:lvlJc w:val="left"/>
      <w:pPr>
        <w:ind w:left="148"/>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B979EF8E"/>
    <w:multiLevelType w:val="multilevel"/>
    <w:tmpl w:val="B979EF8E"/>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8FDEBCB"/>
    <w:multiLevelType w:val="singleLevel"/>
    <w:tmpl w:val="08FDEBCB"/>
    <w:lvl w:ilvl="0" w:tentative="0">
      <w:start w:val="1"/>
      <w:numFmt w:val="decimal"/>
      <w:suff w:val="nothing"/>
      <w:lvlText w:val="（%1）"/>
      <w:lvlJc w:val="left"/>
      <w:rPr>
        <w:rFonts w:hint="default" w:ascii="仿宋" w:hAnsi="仿宋" w:eastAsia="仿宋" w:cs="仿宋"/>
        <w:sz w:val="24"/>
        <w:szCs w:val="24"/>
      </w:rPr>
    </w:lvl>
  </w:abstractNum>
  <w:abstractNum w:abstractNumId="5">
    <w:nsid w:val="11412996"/>
    <w:multiLevelType w:val="multilevel"/>
    <w:tmpl w:val="11412996"/>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0A95A9A"/>
    <w:rsid w:val="00B26166"/>
    <w:rsid w:val="012A3378"/>
    <w:rsid w:val="04123BD0"/>
    <w:rsid w:val="058B2716"/>
    <w:rsid w:val="05E355AA"/>
    <w:rsid w:val="0608101F"/>
    <w:rsid w:val="06842767"/>
    <w:rsid w:val="06CE6614"/>
    <w:rsid w:val="07B35DC9"/>
    <w:rsid w:val="07F7533D"/>
    <w:rsid w:val="082936CA"/>
    <w:rsid w:val="09AA3500"/>
    <w:rsid w:val="0B00275A"/>
    <w:rsid w:val="0B6D4294"/>
    <w:rsid w:val="0B8C2B6E"/>
    <w:rsid w:val="0C26308E"/>
    <w:rsid w:val="0C5A1C9D"/>
    <w:rsid w:val="0D3EF06F"/>
    <w:rsid w:val="0F096B8F"/>
    <w:rsid w:val="0F63063F"/>
    <w:rsid w:val="0F9D602C"/>
    <w:rsid w:val="141E2CF7"/>
    <w:rsid w:val="14621322"/>
    <w:rsid w:val="15E0040C"/>
    <w:rsid w:val="16D27BE2"/>
    <w:rsid w:val="16D567E2"/>
    <w:rsid w:val="18E60774"/>
    <w:rsid w:val="197D9D0A"/>
    <w:rsid w:val="1B040045"/>
    <w:rsid w:val="1B2F50C2"/>
    <w:rsid w:val="1B6E7990"/>
    <w:rsid w:val="1B7517E6"/>
    <w:rsid w:val="1C6568C1"/>
    <w:rsid w:val="1C9D2049"/>
    <w:rsid w:val="1D2F1C3B"/>
    <w:rsid w:val="1E567EBC"/>
    <w:rsid w:val="207A4F7D"/>
    <w:rsid w:val="24562CA4"/>
    <w:rsid w:val="25FF1B34"/>
    <w:rsid w:val="27F019EE"/>
    <w:rsid w:val="27F95B73"/>
    <w:rsid w:val="29326FBC"/>
    <w:rsid w:val="29A80427"/>
    <w:rsid w:val="29F973AB"/>
    <w:rsid w:val="2AB970A8"/>
    <w:rsid w:val="2C33287D"/>
    <w:rsid w:val="2C9254B0"/>
    <w:rsid w:val="2C972AC7"/>
    <w:rsid w:val="2CBC0949"/>
    <w:rsid w:val="2D8E28F5"/>
    <w:rsid w:val="2DA64CC9"/>
    <w:rsid w:val="2E3A30AA"/>
    <w:rsid w:val="2E8C4181"/>
    <w:rsid w:val="30265EC3"/>
    <w:rsid w:val="30CD01D9"/>
    <w:rsid w:val="31221C11"/>
    <w:rsid w:val="32C74407"/>
    <w:rsid w:val="33387A25"/>
    <w:rsid w:val="342A7047"/>
    <w:rsid w:val="34766FB1"/>
    <w:rsid w:val="34813382"/>
    <w:rsid w:val="357C0946"/>
    <w:rsid w:val="361909F0"/>
    <w:rsid w:val="36762F62"/>
    <w:rsid w:val="36DA1F2E"/>
    <w:rsid w:val="36EB5E62"/>
    <w:rsid w:val="37F0752F"/>
    <w:rsid w:val="38390ED6"/>
    <w:rsid w:val="38AD752A"/>
    <w:rsid w:val="38CB7945"/>
    <w:rsid w:val="3B1A753B"/>
    <w:rsid w:val="3B597AE8"/>
    <w:rsid w:val="3B9114CB"/>
    <w:rsid w:val="3C1F06C3"/>
    <w:rsid w:val="3C224364"/>
    <w:rsid w:val="3C8B5A78"/>
    <w:rsid w:val="3CC36777"/>
    <w:rsid w:val="3CDB07AE"/>
    <w:rsid w:val="3DB64D77"/>
    <w:rsid w:val="3DE15ED8"/>
    <w:rsid w:val="3FD62F2F"/>
    <w:rsid w:val="3FFBAA4E"/>
    <w:rsid w:val="405939A2"/>
    <w:rsid w:val="427E60E8"/>
    <w:rsid w:val="428E6EDE"/>
    <w:rsid w:val="44191241"/>
    <w:rsid w:val="444E2219"/>
    <w:rsid w:val="457A7BDB"/>
    <w:rsid w:val="458A750E"/>
    <w:rsid w:val="469340EB"/>
    <w:rsid w:val="47CAB444"/>
    <w:rsid w:val="4AA414CB"/>
    <w:rsid w:val="4B4E4840"/>
    <w:rsid w:val="4B847D71"/>
    <w:rsid w:val="4BD12B72"/>
    <w:rsid w:val="4CD052C8"/>
    <w:rsid w:val="4CD279DC"/>
    <w:rsid w:val="4CF40E10"/>
    <w:rsid w:val="4DFB4469"/>
    <w:rsid w:val="4E102281"/>
    <w:rsid w:val="4E1E63B1"/>
    <w:rsid w:val="4F4B3D85"/>
    <w:rsid w:val="511D0F3D"/>
    <w:rsid w:val="51E12610"/>
    <w:rsid w:val="51FF141D"/>
    <w:rsid w:val="52FC6E8F"/>
    <w:rsid w:val="537B4237"/>
    <w:rsid w:val="547C17C0"/>
    <w:rsid w:val="54DF0B0E"/>
    <w:rsid w:val="55E02539"/>
    <w:rsid w:val="56C740B3"/>
    <w:rsid w:val="56FD1D12"/>
    <w:rsid w:val="57995095"/>
    <w:rsid w:val="57E80FEC"/>
    <w:rsid w:val="583512EE"/>
    <w:rsid w:val="587F2F00"/>
    <w:rsid w:val="58CD138C"/>
    <w:rsid w:val="58F9403E"/>
    <w:rsid w:val="5996188C"/>
    <w:rsid w:val="59A004A9"/>
    <w:rsid w:val="59BA32DE"/>
    <w:rsid w:val="5A7F67C4"/>
    <w:rsid w:val="5A8C2C8F"/>
    <w:rsid w:val="5B2F47FE"/>
    <w:rsid w:val="5C7A1030"/>
    <w:rsid w:val="5CC46711"/>
    <w:rsid w:val="5CE67FA1"/>
    <w:rsid w:val="5D55F23A"/>
    <w:rsid w:val="5EE547BB"/>
    <w:rsid w:val="5F0D2797"/>
    <w:rsid w:val="5F561B6F"/>
    <w:rsid w:val="5F57E5CA"/>
    <w:rsid w:val="5FB068A2"/>
    <w:rsid w:val="5FC37153"/>
    <w:rsid w:val="60067040"/>
    <w:rsid w:val="61722A13"/>
    <w:rsid w:val="621A1E1B"/>
    <w:rsid w:val="62752540"/>
    <w:rsid w:val="62FE1710"/>
    <w:rsid w:val="63D41FBE"/>
    <w:rsid w:val="64444F91"/>
    <w:rsid w:val="64C5571C"/>
    <w:rsid w:val="64DF4A2F"/>
    <w:rsid w:val="654314F9"/>
    <w:rsid w:val="65913850"/>
    <w:rsid w:val="660D0ACA"/>
    <w:rsid w:val="665E573A"/>
    <w:rsid w:val="66666A8A"/>
    <w:rsid w:val="66747DFB"/>
    <w:rsid w:val="669C35D3"/>
    <w:rsid w:val="67140294"/>
    <w:rsid w:val="67782081"/>
    <w:rsid w:val="68531FFC"/>
    <w:rsid w:val="68CA3301"/>
    <w:rsid w:val="6B463C1C"/>
    <w:rsid w:val="6B731183"/>
    <w:rsid w:val="6B8E45DC"/>
    <w:rsid w:val="6BA00AAE"/>
    <w:rsid w:val="6C6F469A"/>
    <w:rsid w:val="6CAB47B7"/>
    <w:rsid w:val="6CFB2798"/>
    <w:rsid w:val="6D40177D"/>
    <w:rsid w:val="6DFBD41E"/>
    <w:rsid w:val="6EBE4DDA"/>
    <w:rsid w:val="6EF410D7"/>
    <w:rsid w:val="6FC37AD4"/>
    <w:rsid w:val="6FD41F9F"/>
    <w:rsid w:val="718836AF"/>
    <w:rsid w:val="71F98FC1"/>
    <w:rsid w:val="72D37886"/>
    <w:rsid w:val="74EB4D2A"/>
    <w:rsid w:val="75212D1C"/>
    <w:rsid w:val="75421CD8"/>
    <w:rsid w:val="75A67813"/>
    <w:rsid w:val="76065B94"/>
    <w:rsid w:val="762E34B3"/>
    <w:rsid w:val="768865A9"/>
    <w:rsid w:val="77EF4EBD"/>
    <w:rsid w:val="78AD1F79"/>
    <w:rsid w:val="78EDF4FE"/>
    <w:rsid w:val="793F2FBA"/>
    <w:rsid w:val="797F69DA"/>
    <w:rsid w:val="799B3619"/>
    <w:rsid w:val="7A5D04FE"/>
    <w:rsid w:val="7A7D730F"/>
    <w:rsid w:val="7A9B4BC4"/>
    <w:rsid w:val="7B0D1B94"/>
    <w:rsid w:val="7B4F2FB2"/>
    <w:rsid w:val="7BDF15E8"/>
    <w:rsid w:val="7BE97AEA"/>
    <w:rsid w:val="7C7E0232"/>
    <w:rsid w:val="7D776FF8"/>
    <w:rsid w:val="7DFF3A1B"/>
    <w:rsid w:val="7E4B3379"/>
    <w:rsid w:val="7F5F6B04"/>
    <w:rsid w:val="7F78F1E5"/>
    <w:rsid w:val="7FCE9F2A"/>
    <w:rsid w:val="7FCFF182"/>
    <w:rsid w:val="7FD95E71"/>
    <w:rsid w:val="7FFE6236"/>
    <w:rsid w:val="7FFEE4FA"/>
    <w:rsid w:val="7FFFD0AD"/>
    <w:rsid w:val="C3F77A79"/>
    <w:rsid w:val="CBEF718B"/>
    <w:rsid w:val="CBF3D0F9"/>
    <w:rsid w:val="D67C32B8"/>
    <w:rsid w:val="E7E76DBD"/>
    <w:rsid w:val="F1EFADCF"/>
    <w:rsid w:val="F56E3077"/>
    <w:rsid w:val="F7E9E6F5"/>
    <w:rsid w:val="F9749903"/>
    <w:rsid w:val="FB5F8C6E"/>
    <w:rsid w:val="FC7683B1"/>
    <w:rsid w:val="FDF88B7A"/>
    <w:rsid w:val="FF3F59ED"/>
    <w:rsid w:val="FFD2860D"/>
    <w:rsid w:val="FFDB0917"/>
    <w:rsid w:val="FFDCDA7F"/>
    <w:rsid w:val="FFEF3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 w:type="paragraph" w:customStyle="1" w:styleId="965">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43390</Words>
  <Characters>46209</Characters>
  <Paragraphs>1943</Paragraphs>
  <TotalTime>22</TotalTime>
  <ScaleCrop>false</ScaleCrop>
  <LinksUpToDate>false</LinksUpToDate>
  <CharactersWithSpaces>53616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豆浆</cp:lastModifiedBy>
  <cp:lastPrinted>2021-12-31T03:06:00Z</cp:lastPrinted>
  <dcterms:modified xsi:type="dcterms:W3CDTF">2024-10-18T00:58:45Z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4AEC903899914D84830AC2FE73C10B85_13</vt:lpwstr>
  </property>
</Properties>
</file>