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highlight w:val="none"/>
        </w:rPr>
      </w:pPr>
      <w:bookmarkStart w:id="194" w:name="_GoBack"/>
    </w:p>
    <w:p>
      <w:pPr>
        <w:spacing w:line="312" w:lineRule="auto"/>
        <w:jc w:val="center"/>
        <w:outlineLvl w:val="0"/>
        <w:rPr>
          <w:rFonts w:hint="eastAsia" w:ascii="隶书" w:hAnsi="Arial" w:eastAsia="隶书" w:cs="Arial"/>
          <w:b/>
          <w:color w:val="auto"/>
          <w:sz w:val="48"/>
          <w:szCs w:val="48"/>
          <w:highlight w:val="none"/>
          <w:lang w:eastAsia="zh-CN"/>
        </w:rPr>
      </w:pPr>
      <w:bookmarkStart w:id="0" w:name="_Hlt67893495"/>
      <w:bookmarkEnd w:id="0"/>
      <w:r>
        <w:rPr>
          <w:rFonts w:hint="eastAsia" w:ascii="隶书" w:hAnsi="Arial" w:eastAsia="隶书" w:cs="Arial"/>
          <w:b/>
          <w:color w:val="auto"/>
          <w:sz w:val="44"/>
          <w:szCs w:val="44"/>
          <w:highlight w:val="none"/>
          <w:lang w:eastAsia="zh-CN"/>
        </w:rPr>
        <w:t>绍兴市中医院流式细胞分析仪采购项目</w:t>
      </w:r>
    </w:p>
    <w:p>
      <w:pPr>
        <w:jc w:val="center"/>
        <w:outlineLvl w:val="0"/>
        <w:rPr>
          <w:rFonts w:hint="eastAsia" w:ascii="仿宋" w:hAnsi="仿宋" w:eastAsia="仿宋" w:cs="仿宋"/>
          <w:b/>
          <w:sz w:val="72"/>
          <w:szCs w:val="72"/>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pPr>
        <w:spacing w:line="312" w:lineRule="auto"/>
        <w:jc w:val="center"/>
        <w:rPr>
          <w:rFonts w:hint="eastAsia" w:ascii="隶书" w:eastAsia="隶书"/>
          <w:b/>
          <w:color w:val="auto"/>
          <w:sz w:val="28"/>
          <w:szCs w:val="28"/>
          <w:highlight w:val="none"/>
          <w:lang w:eastAsia="zh-CN"/>
        </w:rPr>
      </w:pPr>
      <w:r>
        <w:rPr>
          <w:rFonts w:hint="eastAsia" w:ascii="仿宋" w:hAnsi="仿宋" w:eastAsia="仿宋" w:cs="仿宋"/>
          <w:b/>
          <w:sz w:val="44"/>
          <w:szCs w:val="44"/>
          <w:highlight w:val="none"/>
        </w:rPr>
        <w:t xml:space="preserve"> </w:t>
      </w: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ZJXSC-2024-100</w:t>
      </w:r>
    </w:p>
    <w:tbl>
      <w:tblPr>
        <w:tblStyle w:val="64"/>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trPr>
        <w:tc>
          <w:tcPr>
            <w:tcW w:w="2356" w:type="dxa"/>
            <w:noWrap w:val="0"/>
            <w:vAlign w:val="center"/>
          </w:tcPr>
          <w:p>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center"/>
          </w:tcPr>
          <w:p>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绍兴市中医院</w:t>
            </w:r>
          </w:p>
        </w:tc>
      </w:tr>
      <w:tr>
        <w:tblPrEx>
          <w:tblCellMar>
            <w:top w:w="0" w:type="dxa"/>
            <w:left w:w="108" w:type="dxa"/>
            <w:bottom w:w="0" w:type="dxa"/>
            <w:right w:w="108" w:type="dxa"/>
          </w:tblCellMar>
        </w:tblPrEx>
        <w:trPr>
          <w:trHeight w:val="399" w:hRule="atLeast"/>
        </w:trPr>
        <w:tc>
          <w:tcPr>
            <w:tcW w:w="2356" w:type="dxa"/>
            <w:noWrap w:val="0"/>
            <w:vAlign w:val="center"/>
          </w:tcPr>
          <w:p>
            <w:pPr>
              <w:spacing w:after="100" w:afterAutospacing="1"/>
              <w:rPr>
                <w:rFonts w:ascii="隶书" w:hAnsi="宋体" w:eastAsia="隶书"/>
                <w:color w:val="auto"/>
                <w:sz w:val="28"/>
                <w:szCs w:val="28"/>
                <w:highlight w:val="none"/>
              </w:rPr>
            </w:pPr>
            <w:r>
              <w:rPr>
                <w:rFonts w:hint="eastAsia" w:ascii="隶书" w:hAnsi="宋体" w:eastAsia="隶书"/>
                <w:color w:val="auto"/>
                <w:kern w:val="0"/>
                <w:sz w:val="28"/>
                <w:szCs w:val="28"/>
                <w:highlight w:val="none"/>
              </w:rPr>
              <w:t>采购代理机构</w:t>
            </w:r>
            <w:r>
              <w:rPr>
                <w:rFonts w:hint="eastAsia" w:ascii="隶书" w:hAnsi="宋体" w:eastAsia="隶书"/>
                <w:color w:val="auto"/>
                <w:sz w:val="28"/>
                <w:szCs w:val="28"/>
                <w:highlight w:val="none"/>
              </w:rPr>
              <w:t>：</w:t>
            </w:r>
          </w:p>
        </w:tc>
        <w:tc>
          <w:tcPr>
            <w:tcW w:w="5444" w:type="dxa"/>
            <w:noWrap w:val="0"/>
            <w:vAlign w:val="top"/>
          </w:tcPr>
          <w:p>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浙江翔实建设项目管理有限公司</w:t>
            </w:r>
          </w:p>
        </w:tc>
      </w:tr>
      <w:tr>
        <w:tblPrEx>
          <w:tblCellMar>
            <w:top w:w="0" w:type="dxa"/>
            <w:left w:w="108" w:type="dxa"/>
            <w:bottom w:w="0" w:type="dxa"/>
            <w:right w:w="108" w:type="dxa"/>
          </w:tblCellMar>
        </w:tblPrEx>
        <w:trPr>
          <w:trHeight w:val="399" w:hRule="atLeast"/>
        </w:trPr>
        <w:tc>
          <w:tcPr>
            <w:tcW w:w="2356" w:type="dxa"/>
            <w:noWrap w:val="0"/>
            <w:vAlign w:val="center"/>
          </w:tcPr>
          <w:p>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监督单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top"/>
          </w:tcPr>
          <w:p>
            <w:pPr>
              <w:spacing w:after="100" w:afterAutospacing="1"/>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9" w:hRule="atLeast"/>
        </w:trPr>
        <w:tc>
          <w:tcPr>
            <w:tcW w:w="7800" w:type="dxa"/>
            <w:gridSpan w:val="2"/>
            <w:noWrap w:val="0"/>
            <w:vAlign w:val="top"/>
          </w:tcPr>
          <w:p>
            <w:pPr>
              <w:spacing w:after="100" w:afterAutospacing="1"/>
              <w:jc w:val="center"/>
              <w:rPr>
                <w:rFonts w:ascii="隶书" w:hAnsi="宋体" w:eastAsia="隶书"/>
                <w:color w:val="auto"/>
                <w:sz w:val="28"/>
                <w:szCs w:val="28"/>
                <w:highlight w:val="none"/>
              </w:rPr>
            </w:pPr>
            <w:r>
              <w:rPr>
                <w:rFonts w:hint="eastAsia" w:ascii="隶书" w:eastAsia="隶书"/>
                <w:b/>
                <w:color w:val="auto"/>
                <w:sz w:val="28"/>
                <w:szCs w:val="28"/>
                <w:highlight w:val="none"/>
              </w:rPr>
              <w:t>二</w:t>
            </w:r>
            <w:r>
              <w:rPr>
                <w:rFonts w:ascii="隶书" w:eastAsia="隶书"/>
                <w:b/>
                <w:color w:val="auto"/>
                <w:sz w:val="28"/>
                <w:szCs w:val="28"/>
                <w:highlight w:val="none"/>
              </w:rPr>
              <w:t>0</w:t>
            </w:r>
            <w:r>
              <w:rPr>
                <w:rFonts w:hint="eastAsia" w:ascii="隶书" w:eastAsia="隶书"/>
                <w:b/>
                <w:color w:val="auto"/>
                <w:sz w:val="28"/>
                <w:szCs w:val="28"/>
                <w:highlight w:val="none"/>
              </w:rPr>
              <w:t>二</w:t>
            </w:r>
            <w:r>
              <w:rPr>
                <w:rFonts w:hint="eastAsia" w:ascii="隶书" w:eastAsia="隶书"/>
                <w:b/>
                <w:color w:val="auto"/>
                <w:sz w:val="28"/>
                <w:szCs w:val="28"/>
                <w:highlight w:val="none"/>
                <w:lang w:eastAsia="zh-CN"/>
              </w:rPr>
              <w:t>四</w:t>
            </w:r>
            <w:r>
              <w:rPr>
                <w:rFonts w:hint="eastAsia" w:ascii="隶书" w:eastAsia="隶书"/>
                <w:b/>
                <w:color w:val="auto"/>
                <w:sz w:val="28"/>
                <w:szCs w:val="28"/>
                <w:highlight w:val="none"/>
              </w:rPr>
              <w:t>年</w:t>
            </w:r>
            <w:r>
              <w:rPr>
                <w:rFonts w:hint="eastAsia" w:ascii="隶书" w:eastAsia="隶书"/>
                <w:b/>
                <w:color w:val="auto"/>
                <w:sz w:val="28"/>
                <w:szCs w:val="28"/>
                <w:highlight w:val="none"/>
                <w:lang w:eastAsia="zh-CN"/>
              </w:rPr>
              <w:t>六</w:t>
            </w:r>
            <w:r>
              <w:rPr>
                <w:rFonts w:hint="eastAsia" w:ascii="隶书" w:eastAsia="隶书"/>
                <w:b/>
                <w:color w:val="auto"/>
                <w:sz w:val="28"/>
                <w:szCs w:val="28"/>
                <w:highlight w:val="none"/>
              </w:rPr>
              <w:t>月</w:t>
            </w:r>
          </w:p>
        </w:tc>
      </w:tr>
    </w:tbl>
    <w:p>
      <w:pPr>
        <w:pStyle w:val="320"/>
        <w:rPr>
          <w:color w:val="auto"/>
          <w:highlight w:val="none"/>
        </w:rPr>
      </w:pPr>
    </w:p>
    <w:p>
      <w:pPr>
        <w:pStyle w:val="320"/>
        <w:rPr>
          <w:color w:val="auto"/>
          <w:highlight w:val="none"/>
        </w:rPr>
      </w:pPr>
    </w:p>
    <w:p>
      <w:pPr>
        <w:pStyle w:val="320"/>
        <w:rPr>
          <w:color w:val="auto"/>
          <w:highlight w:val="none"/>
        </w:rPr>
      </w:pPr>
    </w:p>
    <w:p>
      <w:pPr>
        <w:pStyle w:val="320"/>
        <w:rPr>
          <w:rFonts w:hint="eastAsia"/>
          <w:color w:val="auto"/>
          <w:highlight w:val="none"/>
        </w:rPr>
      </w:pPr>
    </w:p>
    <w:p>
      <w:pPr>
        <w:pStyle w:val="637"/>
        <w:rPr>
          <w:rFonts w:hint="eastAsia" w:ascii="仿宋" w:hAnsi="仿宋" w:eastAsia="仿宋" w:cs="仿宋"/>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sz w:val="2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bookmarkEnd w:id="2"/>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07423"/>
      <w:bookmarkEnd w:id="3"/>
      <w:bookmarkStart w:id="4" w:name="_Hlt74649545"/>
      <w:bookmarkEnd w:id="4"/>
      <w:bookmarkStart w:id="5" w:name="_Hlt74728647"/>
      <w:bookmarkEnd w:id="5"/>
      <w:bookmarkStart w:id="6" w:name="_Hlt74729822"/>
      <w:bookmarkEnd w:id="6"/>
      <w:bookmarkStart w:id="7" w:name="第二部分"/>
      <w:bookmarkStart w:id="8" w:name="_Toc91899870"/>
      <w:bookmarkStart w:id="9"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绍兴市中医院流式细胞分析仪采购项目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8"/>
          <w:rFonts w:hint="eastAsia" w:ascii="仿宋" w:hAnsi="仿宋" w:eastAsia="仿宋" w:cs="仿宋"/>
          <w:snapToGrid/>
          <w:color w:val="auto"/>
          <w:kern w:val="2"/>
          <w:sz w:val="24"/>
          <w:szCs w:val="24"/>
          <w:highlight w:val="none"/>
        </w:rPr>
        <w:t>https://www.zcygov.cn/）获取（下载）招标文件，并于202</w:t>
      </w:r>
      <w:r>
        <w:rPr>
          <w:rStyle w:val="78"/>
          <w:rFonts w:hint="eastAsia" w:ascii="仿宋" w:hAnsi="仿宋" w:eastAsia="仿宋" w:cs="仿宋"/>
          <w:snapToGrid/>
          <w:color w:val="auto"/>
          <w:kern w:val="2"/>
          <w:sz w:val="24"/>
          <w:szCs w:val="24"/>
          <w:highlight w:val="none"/>
          <w:lang w:val="en-US" w:eastAsia="zh-CN"/>
        </w:rPr>
        <w:t>4</w:t>
      </w:r>
      <w:r>
        <w:rPr>
          <w:rStyle w:val="78"/>
          <w:rFonts w:hint="eastAsia" w:ascii="仿宋" w:hAnsi="仿宋" w:eastAsia="仿宋" w:cs="仿宋"/>
          <w:snapToGrid/>
          <w:color w:val="auto"/>
          <w:kern w:val="2"/>
          <w:sz w:val="24"/>
          <w:szCs w:val="24"/>
          <w:highlight w:val="none"/>
        </w:rPr>
        <w:t>年</w:t>
      </w:r>
      <w:r>
        <w:rPr>
          <w:rStyle w:val="78"/>
          <w:rFonts w:hint="eastAsia" w:ascii="仿宋" w:hAnsi="仿宋" w:eastAsia="仿宋" w:cs="仿宋"/>
          <w:snapToGrid/>
          <w:color w:val="auto"/>
          <w:kern w:val="2"/>
          <w:sz w:val="24"/>
          <w:szCs w:val="24"/>
          <w:highlight w:val="none"/>
          <w:lang w:val="en-US" w:eastAsia="zh-CN"/>
        </w:rPr>
        <w:t xml:space="preserve"> </w:t>
      </w:r>
      <w:r>
        <w:rPr>
          <w:rStyle w:val="78"/>
          <w:rFonts w:hint="eastAsia" w:ascii="仿宋" w:hAnsi="仿宋" w:eastAsia="仿宋" w:cs="仿宋"/>
          <w:snapToGrid/>
          <w:color w:val="auto"/>
          <w:kern w:val="2"/>
          <w:sz w:val="24"/>
          <w:szCs w:val="24"/>
          <w:highlight w:val="none"/>
        </w:rPr>
        <w:t>月</w:t>
      </w:r>
      <w:r>
        <w:rPr>
          <w:rStyle w:val="78"/>
          <w:rFonts w:hint="eastAsia" w:ascii="仿宋" w:hAnsi="仿宋" w:eastAsia="仿宋" w:cs="仿宋"/>
          <w:snapToGrid/>
          <w:color w:val="auto"/>
          <w:kern w:val="2"/>
          <w:sz w:val="24"/>
          <w:szCs w:val="24"/>
          <w:highlight w:val="none"/>
          <w:lang w:val="en-US" w:eastAsia="zh-CN"/>
        </w:rPr>
        <w:t xml:space="preserve">  </w:t>
      </w:r>
      <w:r>
        <w:rPr>
          <w:rStyle w:val="78"/>
          <w:rFonts w:hint="eastAsia" w:ascii="仿宋" w:hAnsi="仿宋" w:eastAsia="仿宋" w:cs="仿宋"/>
          <w:snapToGrid/>
          <w:color w:val="auto"/>
          <w:kern w:val="2"/>
          <w:sz w:val="24"/>
          <w:szCs w:val="24"/>
          <w:highlight w:val="none"/>
        </w:rPr>
        <w:t>日</w:t>
      </w:r>
      <w:r>
        <w:rPr>
          <w:rStyle w:val="78"/>
          <w:rFonts w:hint="eastAsia" w:ascii="仿宋" w:hAnsi="仿宋" w:eastAsia="仿宋" w:cs="仿宋"/>
          <w:snapToGrid/>
          <w:color w:val="auto"/>
          <w:kern w:val="2"/>
          <w:sz w:val="24"/>
          <w:szCs w:val="24"/>
          <w:highlight w:val="none"/>
          <w:lang w:val="en-US" w:eastAsia="zh-CN"/>
        </w:rPr>
        <w:t>9</w:t>
      </w:r>
      <w:r>
        <w:rPr>
          <w:rStyle w:val="78"/>
          <w:rFonts w:hint="eastAsia" w:ascii="仿宋" w:hAnsi="仿宋" w:eastAsia="仿宋" w:cs="仿宋"/>
          <w:snapToGrid/>
          <w:color w:val="auto"/>
          <w:kern w:val="2"/>
          <w:sz w:val="24"/>
          <w:szCs w:val="24"/>
          <w:highlight w:val="none"/>
        </w:rPr>
        <w:t>点</w:t>
      </w:r>
      <w:r>
        <w:rPr>
          <w:rStyle w:val="78"/>
          <w:rFonts w:hint="eastAsia" w:ascii="仿宋" w:hAnsi="仿宋" w:eastAsia="仿宋" w:cs="仿宋"/>
          <w:snapToGrid/>
          <w:color w:val="auto"/>
          <w:kern w:val="2"/>
          <w:sz w:val="24"/>
          <w:szCs w:val="24"/>
          <w:highlight w:val="none"/>
          <w:lang w:val="en-US" w:eastAsia="zh-CN"/>
        </w:rPr>
        <w:t>00</w:t>
      </w:r>
      <w:r>
        <w:rPr>
          <w:rStyle w:val="78"/>
          <w:rFonts w:hint="eastAsia" w:ascii="仿宋" w:hAnsi="仿宋" w:eastAsia="仿宋" w:cs="仿宋"/>
          <w:snapToGrid/>
          <w:color w:val="auto"/>
          <w:kern w:val="2"/>
          <w:sz w:val="24"/>
          <w:szCs w:val="24"/>
          <w:highlight w:val="none"/>
        </w:rPr>
        <w:t>分</w:t>
      </w:r>
      <w:r>
        <w:rPr>
          <w:rStyle w:val="78"/>
          <w:rFonts w:hint="eastAsia" w:ascii="仿宋" w:hAnsi="仿宋" w:eastAsia="仿宋" w:cs="仿宋"/>
          <w:bCs/>
          <w:snapToGrid/>
          <w:color w:val="auto"/>
          <w:kern w:val="2"/>
          <w:sz w:val="24"/>
          <w:szCs w:val="24"/>
          <w:highlight w:val="none"/>
        </w:rPr>
        <w:t>00秒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项目编号：</w:t>
      </w:r>
      <w:r>
        <w:rPr>
          <w:rFonts w:hint="eastAsia" w:ascii="仿宋" w:hAnsi="仿宋" w:eastAsia="仿宋" w:cs="仿宋"/>
          <w:b/>
          <w:color w:val="auto"/>
          <w:highlight w:val="none"/>
          <w:lang w:eastAsia="zh-CN"/>
        </w:rPr>
        <w:t>ZJXSC-2024-100</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项目名称：</w:t>
      </w:r>
      <w:r>
        <w:rPr>
          <w:rFonts w:hint="eastAsia" w:ascii="仿宋" w:hAnsi="仿宋" w:eastAsia="仿宋" w:cs="仿宋"/>
          <w:b/>
          <w:color w:val="auto"/>
          <w:highlight w:val="none"/>
          <w:lang w:eastAsia="zh-CN"/>
        </w:rPr>
        <w:t>绍兴市中医院流式细胞分析仪采购项目</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采购方式：公开招标</w:t>
      </w:r>
    </w:p>
    <w:p>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900000.00</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最高限价（元）：</w:t>
      </w:r>
      <w:r>
        <w:rPr>
          <w:rFonts w:hint="eastAsia" w:ascii="仿宋" w:hAnsi="仿宋" w:eastAsia="仿宋" w:cs="仿宋"/>
          <w:b/>
          <w:color w:val="auto"/>
          <w:highlight w:val="none"/>
          <w:lang w:val="en-US" w:eastAsia="zh-CN"/>
        </w:rPr>
        <w:t>900000.00</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采购需求：详见采购文件</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标项一:</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宋体" w:hAnsi="宋体"/>
          <w:b/>
          <w:highlight w:val="none"/>
        </w:rPr>
      </w:pPr>
      <w:r>
        <w:rPr>
          <w:rFonts w:hint="eastAsia" w:ascii="仿宋" w:hAnsi="仿宋" w:eastAsia="仿宋" w:cs="仿宋"/>
          <w:b/>
          <w:color w:val="auto"/>
          <w:highlight w:val="none"/>
        </w:rPr>
        <w:t>标项名称:</w:t>
      </w:r>
      <w:r>
        <w:rPr>
          <w:rFonts w:hint="eastAsia" w:ascii="仿宋" w:hAnsi="仿宋" w:eastAsia="仿宋" w:cs="仿宋"/>
          <w:b/>
          <w:color w:val="auto"/>
          <w:highlight w:val="none"/>
          <w:lang w:eastAsia="zh-CN"/>
        </w:rPr>
        <w:t>流式细胞分析仪</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1台</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900000.00</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简要规格描述或项目基本概况介绍、用途：详见采购文件。 </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备注：无。</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合同履约期限：按双方合同约定条款执行。</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本项目（是）接受联合体投标。</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kern w:val="0"/>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kern w:val="0"/>
          <w:sz w:val="24"/>
          <w:highlight w:val="none"/>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35393637"/>
      <w:bookmarkStart w:id="12" w:name="_Toc28359096"/>
      <w:bookmarkStart w:id="13" w:name="_Toc35393806"/>
      <w:bookmarkStart w:id="14" w:name="_Toc28359019"/>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名称：绍兴市中医院</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地址：绍兴市越城区人民中路641号</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傅利萍</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项目联系方式（询问）：0575-89109951</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质疑联系人：沈勇</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质疑联系方式：0575-89107189</w:t>
      </w:r>
    </w:p>
    <w:p>
      <w:pPr>
        <w:pStyle w:val="397"/>
        <w:snapToGrid/>
        <w:spacing w:after="120" w:line="46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2.招标代理机构信息</w:t>
      </w:r>
    </w:p>
    <w:p>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浙江翔实建设项目管理有限公司</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地址：绍兴市越城区阳明北路692号</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朱大力、</w:t>
      </w:r>
      <w:r>
        <w:rPr>
          <w:rFonts w:hint="eastAsia" w:ascii="仿宋" w:hAnsi="仿宋" w:eastAsia="仿宋" w:cs="仿宋"/>
          <w:color w:val="auto"/>
          <w:szCs w:val="24"/>
          <w:highlight w:val="none"/>
        </w:rPr>
        <w:t>娄佳琴</w:t>
      </w:r>
    </w:p>
    <w:p>
      <w:pPr>
        <w:pStyle w:val="397"/>
        <w:snapToGrid/>
        <w:spacing w:after="120" w:line="460" w:lineRule="exact"/>
        <w:ind w:firstLine="480"/>
        <w:contextualSpacing/>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项目联系方式（询问）：13376873230</w:t>
      </w:r>
      <w:r>
        <w:rPr>
          <w:rFonts w:hint="eastAsia" w:ascii="仿宋" w:hAnsi="仿宋" w:eastAsia="仿宋" w:cs="仿宋"/>
          <w:color w:val="auto"/>
          <w:szCs w:val="24"/>
          <w:highlight w:val="none"/>
          <w:lang w:val="en-US" w:eastAsia="zh-CN"/>
        </w:rPr>
        <w:t>/0575-88979683</w:t>
      </w:r>
    </w:p>
    <w:p>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质疑联系人：孙莉</w:t>
      </w:r>
    </w:p>
    <w:p>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传真：0575-85209806</w:t>
      </w:r>
    </w:p>
    <w:p>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联系人：张婷婷</w:t>
      </w:r>
    </w:p>
    <w:p>
      <w:pPr>
        <w:pStyle w:val="397"/>
        <w:snapToGrid/>
        <w:spacing w:after="120" w:line="460" w:lineRule="exact"/>
        <w:ind w:firstLine="480"/>
        <w:contextualSpacing/>
        <w:rPr>
          <w:rFonts w:hint="eastAsia" w:ascii="仿宋" w:hAnsi="仿宋" w:eastAsia="仿宋"/>
          <w:color w:val="auto"/>
          <w:kern w:val="0"/>
          <w:sz w:val="24"/>
          <w:highlight w:val="none"/>
        </w:rPr>
      </w:pPr>
      <w:r>
        <w:rPr>
          <w:rFonts w:hint="eastAsia" w:ascii="仿宋" w:hAnsi="仿宋" w:eastAsia="仿宋" w:cs="仿宋"/>
          <w:color w:val="auto"/>
          <w:szCs w:val="24"/>
          <w:highlight w:val="none"/>
        </w:rPr>
        <w:t>监督投诉电话：0575-85209806</w:t>
      </w:r>
      <w:r>
        <w:rPr>
          <w:rFonts w:hint="eastAsia" w:ascii="仿宋" w:hAnsi="仿宋" w:eastAsia="仿宋"/>
          <w:color w:val="auto"/>
          <w:kern w:val="0"/>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snapToGrid w:val="0"/>
          <w:highlight w:val="none"/>
        </w:rPr>
      </w:pPr>
      <w:r>
        <w:rPr>
          <w:rFonts w:hint="eastAsia" w:ascii="仿宋" w:hAnsi="仿宋" w:eastAsia="仿宋" w:cs="仿宋"/>
          <w:b/>
          <w:color w:val="auto"/>
          <w:sz w:val="36"/>
          <w:szCs w:val="20"/>
          <w:highlight w:val="none"/>
        </w:rPr>
        <w:br w:type="page"/>
      </w:r>
    </w:p>
    <w:bookmarkEnd w:id="7"/>
    <w:bookmarkEnd w:id="8"/>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p>
          <w:p>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rPr>
              <w:t>□B有方案讲解演示：</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pPr>
              <w:snapToGrid w:val="0"/>
              <w:spacing w:line="440" w:lineRule="exact"/>
              <w:rPr>
                <w:rFonts w:hint="eastAsia" w:ascii="仿宋" w:hAnsi="仿宋" w:eastAsia="仿宋" w:cs="仿宋"/>
                <w:b/>
                <w:kern w:val="2"/>
                <w:sz w:val="24"/>
                <w:szCs w:val="24"/>
                <w:highlight w:val="none"/>
                <w:lang w:val="en-US" w:eastAsia="zh-CN" w:bidi="ar-SA"/>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color w:val="auto"/>
                <w:kern w:val="0"/>
                <w:sz w:val="24"/>
                <w:szCs w:val="24"/>
                <w:highlight w:val="none"/>
                <w:u w:val="single"/>
                <w:lang w:val="en-US" w:eastAsia="zh-CN"/>
              </w:rPr>
              <w:t>详见招标文件</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eastAsia="zh-CN"/>
              </w:rPr>
              <w:t>标项一</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color w:val="auto"/>
                <w:kern w:val="0"/>
                <w:sz w:val="24"/>
                <w:szCs w:val="24"/>
                <w:highlight w:val="none"/>
              </w:rPr>
              <w:sym w:font="Wingdings" w:char="F0FE"/>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中标人须向采购代理机构按如下标准和规定交纳代理服务费，并在投标报价中自行考虑：</w:t>
            </w:r>
          </w:p>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w:t>
            </w:r>
            <w:r>
              <w:rPr>
                <w:rFonts w:hint="eastAsia" w:ascii="仿宋" w:hAnsi="仿宋" w:eastAsia="仿宋" w:cs="仿宋"/>
                <w:color w:val="auto"/>
                <w:sz w:val="24"/>
                <w:szCs w:val="24"/>
                <w:highlight w:val="none"/>
                <w:lang w:eastAsia="zh-CN"/>
              </w:rPr>
              <w:t>取</w:t>
            </w:r>
            <w:r>
              <w:rPr>
                <w:rFonts w:hint="eastAsia" w:ascii="仿宋" w:hAnsi="仿宋" w:eastAsia="仿宋" w:cs="仿宋"/>
                <w:color w:val="auto"/>
                <w:sz w:val="24"/>
                <w:szCs w:val="24"/>
                <w:highlight w:val="none"/>
              </w:rPr>
              <w:t>。</w:t>
            </w:r>
          </w:p>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招标代理服务费的交纳方式：</w:t>
            </w:r>
          </w:p>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用银行支票、汇票、电汇、现金等付款方式直接交纳招标代理服务费。</w:t>
            </w:r>
          </w:p>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公司名称：浙江翔实建设项目管理有限公司</w:t>
            </w:r>
          </w:p>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开户行：建行绍兴越城支行 </w:t>
            </w:r>
          </w:p>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号：33001653549053003519</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szCs w:val="21"/>
                <w:highlight w:val="none"/>
                <w:lang w:eastAsia="zh-CN"/>
              </w:rPr>
            </w:pPr>
            <w:r>
              <w:rPr>
                <w:rFonts w:hint="eastAsia" w:ascii="仿宋" w:hAnsi="仿宋" w:eastAsia="仿宋" w:cs="仿宋"/>
                <w:color w:val="auto"/>
                <w:sz w:val="24"/>
                <w:szCs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sz w:val="32"/>
          <w:szCs w:val="20"/>
          <w:highlight w:val="none"/>
        </w:rPr>
      </w:pPr>
    </w:p>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bookmarkStart w:id="15" w:name="_Hlt75236011"/>
      <w:bookmarkEnd w:id="15"/>
      <w:bookmarkStart w:id="16" w:name="_Hlt74707468"/>
      <w:bookmarkEnd w:id="16"/>
      <w:bookmarkStart w:id="17" w:name="_Hlt74729768"/>
      <w:bookmarkEnd w:id="17"/>
      <w:bookmarkStart w:id="18" w:name="_Hlt68403820"/>
      <w:bookmarkEnd w:id="18"/>
      <w:bookmarkStart w:id="19" w:name="_Hlt75236290"/>
      <w:bookmarkEnd w:id="19"/>
      <w:bookmarkStart w:id="20" w:name="_Hlt68057669"/>
      <w:bookmarkEnd w:id="20"/>
      <w:bookmarkStart w:id="21" w:name="_Hlt74714665"/>
      <w:bookmarkEnd w:id="21"/>
      <w:bookmarkStart w:id="22" w:name="_Hlt75236101"/>
      <w:bookmarkEnd w:id="22"/>
      <w:bookmarkStart w:id="23" w:name="_Hlt74730295"/>
      <w:bookmarkEnd w:id="23"/>
      <w:bookmarkStart w:id="24" w:name="_Hlt68072990"/>
      <w:bookmarkEnd w:id="24"/>
      <w:bookmarkStart w:id="25" w:name="_Hlt68073093"/>
      <w:bookmarkEnd w:id="25"/>
      <w:bookmarkStart w:id="26" w:name="_Hlt68072998"/>
      <w:bookmarkEnd w:id="26"/>
      <w:bookmarkStart w:id="27" w:name="_Toc164416483"/>
      <w:bookmarkStart w:id="28" w:name="第三部分"/>
      <w:r>
        <w:rPr>
          <w:rFonts w:hint="eastAsia" w:ascii="仿宋" w:hAnsi="仿宋" w:eastAsia="仿宋" w:cs="仿宋"/>
          <w:b/>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highlight w:val="none"/>
          <w:lang w:val="en" w:eastAsia="zh-CN"/>
        </w:rPr>
        <w:t>☑</w:t>
      </w:r>
      <w:r>
        <w:rPr>
          <w:rFonts w:hint="eastAsia" w:ascii="仿宋" w:hAnsi="仿宋" w:eastAsia="仿宋" w:cs="仿宋"/>
          <w:sz w:val="24"/>
          <w:highlight w:val="none"/>
        </w:rPr>
        <w:t>” 系指适用本项目的要求，“☐” 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3.4支持科技创新创新发展</w:t>
      </w:r>
    </w:p>
    <w:p>
      <w:pPr>
        <w:spacing w:line="440" w:lineRule="exact"/>
        <w:ind w:firstLine="480" w:firstLineChars="200"/>
        <w:rPr>
          <w:rFonts w:hint="eastAsia"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仿宋" w:eastAsia="仿宋_GB2312"/>
          <w:b/>
          <w:bCs/>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hint="eastAsia"/>
          <w:highlight w:val="none"/>
        </w:rPr>
      </w:pPr>
    </w:p>
    <w:p>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5"/>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 投标文件的组成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w:t>
      </w:r>
      <w:r>
        <w:rPr>
          <w:rFonts w:hint="eastAsia" w:ascii="仿宋" w:hAnsi="仿宋" w:eastAsia="仿宋" w:cs="仿宋"/>
          <w:sz w:val="24"/>
          <w:highlight w:val="none"/>
          <w:lang w:eastAsia="zh-CN"/>
        </w:rPr>
        <w:t>“资格文件”、</w:t>
      </w:r>
      <w:r>
        <w:rPr>
          <w:rFonts w:hint="eastAsia" w:ascii="仿宋" w:hAnsi="仿宋" w:eastAsia="仿宋" w:cs="仿宋"/>
          <w:sz w:val="24"/>
          <w:highlight w:val="none"/>
        </w:rPr>
        <w:t>“商务技术（资信）文件资料”、“报价文件资料”</w:t>
      </w:r>
      <w:r>
        <w:rPr>
          <w:rFonts w:hint="eastAsia" w:ascii="仿宋" w:hAnsi="仿宋" w:eastAsia="仿宋" w:cs="仿宋"/>
          <w:sz w:val="24"/>
          <w:highlight w:val="none"/>
          <w:lang w:eastAsia="zh-CN"/>
        </w:rPr>
        <w:t>三</w:t>
      </w:r>
      <w:r>
        <w:rPr>
          <w:rFonts w:hint="eastAsia" w:ascii="仿宋" w:hAnsi="仿宋" w:eastAsia="仿宋" w:cs="仿宋"/>
          <w:sz w:val="24"/>
          <w:highlight w:val="none"/>
        </w:rPr>
        <w:t>部分组成，其中</w:t>
      </w:r>
      <w:r>
        <w:rPr>
          <w:rFonts w:hint="eastAsia" w:ascii="仿宋" w:hAnsi="仿宋" w:eastAsia="仿宋" w:cs="仿宋"/>
          <w:b/>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highlight w:val="none"/>
          <w:lang w:eastAsia="zh-CN"/>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2.2.3授权代表社保证明；</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2.2.4法定代表人身份证明书；</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2.2.15培训计划（如有）；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2.2.16验收方案；</w:t>
      </w:r>
    </w:p>
    <w:p>
      <w:pPr>
        <w:snapToGrid w:val="0"/>
        <w:spacing w:line="336" w:lineRule="auto"/>
        <w:ind w:firstLine="720" w:firstLineChars="3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17</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2.3.</w:t>
      </w: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3</w:t>
      </w: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32"/>
        <w:snapToGrid w:val="0"/>
        <w:spacing w:before="0" w:line="440" w:lineRule="exact"/>
        <w:ind w:firstLine="0" w:firstLineChars="0"/>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pPr>
        <w:pStyle w:val="132"/>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29" w:name="_Toc91899903"/>
      <w:r>
        <w:rPr>
          <w:rFonts w:hint="eastAsia" w:ascii="仿宋" w:hAnsi="仿宋" w:eastAsia="仿宋" w:cs="仿宋"/>
          <w:b/>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29"/>
    <w:p>
      <w:pPr>
        <w:pStyle w:val="35"/>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30" w:name="_Toc81372776"/>
      <w:bookmarkStart w:id="31" w:name="_Toc81372953"/>
      <w:bookmarkStart w:id="32" w:name="_Toc84325929"/>
      <w:r>
        <w:rPr>
          <w:rFonts w:hint="eastAsia" w:ascii="仿宋" w:hAnsi="仿宋" w:eastAsia="仿宋" w:cs="仿宋"/>
          <w:b/>
          <w:sz w:val="32"/>
          <w:szCs w:val="32"/>
          <w:highlight w:val="none"/>
        </w:rPr>
        <w:t>五、授予合同</w:t>
      </w:r>
    </w:p>
    <w:bookmarkEnd w:id="30"/>
    <w:bookmarkEnd w:id="31"/>
    <w:bookmarkEnd w:id="32"/>
    <w:p>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5.1中标人应当在中标通知书发出之日起30天内与采购人签订合同，自采购合同签订之日起</w:t>
      </w:r>
      <w:r>
        <w:rPr>
          <w:rFonts w:hint="eastAsia" w:ascii="仿宋" w:hAnsi="仿宋" w:eastAsia="仿宋" w:cs="仿宋"/>
          <w:b/>
          <w:bCs/>
          <w:sz w:val="24"/>
          <w:highlight w:val="none"/>
          <w:lang w:val="en-US" w:eastAsia="zh-CN"/>
        </w:rPr>
        <w:t>3个工作日内</w:t>
      </w:r>
      <w:r>
        <w:rPr>
          <w:rFonts w:hint="eastAsia" w:ascii="仿宋" w:hAnsi="仿宋" w:eastAsia="仿宋" w:cs="仿宋"/>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27"/>
    <w:bookmarkEnd w:id="28"/>
    <w:p>
      <w:pPr>
        <w:spacing w:line="360" w:lineRule="auto"/>
        <w:outlineLvl w:val="0"/>
        <w:rPr>
          <w:rFonts w:hint="eastAsia" w:ascii="仿宋" w:hAnsi="仿宋" w:eastAsia="仿宋" w:cs="仿宋"/>
          <w:b/>
          <w:sz w:val="36"/>
          <w:szCs w:val="36"/>
          <w:highlight w:val="none"/>
        </w:rPr>
      </w:pPr>
      <w:bookmarkStart w:id="33" w:name="_Toc86217003"/>
      <w:bookmarkStart w:id="34" w:name="第五部分"/>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8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1.6所有货物到现场安装使用前，招标人将进行抽样检验或试验。</w:t>
      </w:r>
    </w:p>
    <w:p>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如遇本次招标没有涉及的设备或服务时，由中标人提供申请，招标人确认后实施。</w:t>
      </w:r>
    </w:p>
    <w:p>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4.2中标人提供的负责培训的人员应具备同类设备五年以上的经验。</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pPr>
        <w:pStyle w:val="27"/>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4.4.1原理、构成和功能的描述。</w:t>
      </w:r>
    </w:p>
    <w:p>
      <w:pPr>
        <w:pStyle w:val="27"/>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4.4.2常见故障的处理或排除。</w:t>
      </w:r>
    </w:p>
    <w:p>
      <w:pPr>
        <w:pStyle w:val="27"/>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4.4.3各系统部件（设备）的检查、调整和维护。</w:t>
      </w:r>
    </w:p>
    <w:p>
      <w:pPr>
        <w:pStyle w:val="27"/>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4.4.4对使用者关于设备基本操作技能的培训。</w:t>
      </w:r>
    </w:p>
    <w:p>
      <w:pPr>
        <w:pStyle w:val="27"/>
        <w:numPr>
          <w:ilvl w:val="0"/>
          <w:numId w:val="0"/>
        </w:numPr>
        <w:spacing w:line="440" w:lineRule="exact"/>
        <w:rPr>
          <w:rFonts w:ascii="仿宋_GB2312" w:hAnsi="宋体" w:eastAsia="仿宋_GB2312"/>
          <w:b/>
          <w:color w:val="auto"/>
          <w:szCs w:val="24"/>
          <w:highlight w:val="none"/>
        </w:rPr>
      </w:pPr>
      <w:r>
        <w:rPr>
          <w:rFonts w:hint="eastAsia" w:ascii="仿宋_GB2312" w:hAnsi="宋体" w:eastAsia="仿宋_GB2312"/>
          <w:b/>
          <w:color w:val="auto"/>
          <w:szCs w:val="24"/>
          <w:highlight w:val="none"/>
        </w:rPr>
        <w:t>5.售后服务</w:t>
      </w:r>
    </w:p>
    <w:p>
      <w:pPr>
        <w:pStyle w:val="6"/>
        <w:spacing w:line="440" w:lineRule="exact"/>
        <w:ind w:firstLine="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5.2中标人必须有可靠的售后服务保障包括但不限于在</w:t>
      </w:r>
      <w:r>
        <w:rPr>
          <w:rFonts w:hint="eastAsia" w:ascii="仿宋_GB2312" w:hAnsi="宋体" w:eastAsia="仿宋_GB2312"/>
          <w:b/>
          <w:color w:val="auto"/>
          <w:sz w:val="24"/>
          <w:highlight w:val="none"/>
          <w:u w:val="single"/>
        </w:rPr>
        <w:t>绍兴附近</w:t>
      </w:r>
      <w:r>
        <w:rPr>
          <w:rFonts w:hint="eastAsia" w:ascii="仿宋_GB2312" w:hAnsi="宋体" w:eastAsia="仿宋_GB2312"/>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6.1设备</w:t>
      </w:r>
      <w:r>
        <w:rPr>
          <w:rFonts w:hint="eastAsia" w:ascii="仿宋_GB2312" w:hAnsi="宋体" w:eastAsia="仿宋_GB2312"/>
          <w:color w:val="auto"/>
          <w:sz w:val="24"/>
          <w:highlight w:val="none"/>
          <w:lang w:eastAsia="zh-CN"/>
        </w:rPr>
        <w:t>保修</w:t>
      </w:r>
      <w:r>
        <w:rPr>
          <w:rFonts w:hint="eastAsia" w:ascii="仿宋_GB2312" w:hAnsi="宋体" w:eastAsia="仿宋_GB2312"/>
          <w:color w:val="auto"/>
          <w:sz w:val="24"/>
          <w:highlight w:val="none"/>
        </w:rPr>
        <w:t>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项目实施人员费用</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pPr>
        <w:snapToGrid w:val="0"/>
        <w:spacing w:line="44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8.招标项目设备名称及数量：</w:t>
      </w:r>
    </w:p>
    <w:p>
      <w:pPr>
        <w:pStyle w:val="24"/>
        <w:rPr>
          <w:rFonts w:hint="eastAsia"/>
          <w:color w:val="auto"/>
          <w:highlight w:val="none"/>
        </w:rPr>
      </w:pPr>
    </w:p>
    <w:p>
      <w:pPr>
        <w:numPr>
          <w:ilvl w:val="0"/>
          <w:numId w:val="1"/>
        </w:numPr>
        <w:autoSpaceDE w:val="0"/>
        <w:autoSpaceDN w:val="0"/>
        <w:spacing w:line="360" w:lineRule="auto"/>
        <w:textAlignment w:val="bottom"/>
        <w:rPr>
          <w:rFonts w:ascii="宋体" w:hAnsi="宋体"/>
          <w:color w:val="auto"/>
          <w:sz w:val="24"/>
          <w:highlight w:val="none"/>
        </w:rPr>
      </w:pPr>
      <w:r>
        <w:rPr>
          <w:rFonts w:hint="eastAsia" w:ascii="宋体" w:hAnsi="宋体"/>
          <w:color w:val="auto"/>
          <w:sz w:val="24"/>
          <w:highlight w:val="none"/>
        </w:rPr>
        <w:t>项目</w:t>
      </w:r>
      <w:r>
        <w:rPr>
          <w:rFonts w:ascii="宋体" w:hAnsi="宋体"/>
          <w:color w:val="auto"/>
          <w:sz w:val="24"/>
          <w:highlight w:val="none"/>
        </w:rPr>
        <w:t>编号：</w:t>
      </w:r>
      <w:r>
        <w:rPr>
          <w:rFonts w:hint="eastAsia" w:ascii="宋体" w:hAnsi="宋体"/>
          <w:color w:val="auto"/>
          <w:sz w:val="24"/>
          <w:highlight w:val="none"/>
          <w:lang w:eastAsia="zh-CN"/>
        </w:rPr>
        <w:t>ZJXSC-2024-100</w:t>
      </w:r>
    </w:p>
    <w:p>
      <w:pPr>
        <w:numPr>
          <w:ilvl w:val="0"/>
          <w:numId w:val="1"/>
        </w:numPr>
        <w:autoSpaceDE w:val="0"/>
        <w:autoSpaceDN w:val="0"/>
        <w:spacing w:line="360" w:lineRule="auto"/>
        <w:textAlignment w:val="bottom"/>
        <w:rPr>
          <w:rFonts w:hint="eastAsia" w:ascii="宋体" w:hAnsi="宋体"/>
          <w:color w:val="auto"/>
          <w:sz w:val="24"/>
          <w:highlight w:val="none"/>
        </w:rPr>
      </w:pPr>
      <w:r>
        <w:rPr>
          <w:rFonts w:ascii="宋体" w:hAnsi="宋体"/>
          <w:color w:val="auto"/>
          <w:sz w:val="24"/>
          <w:highlight w:val="none"/>
        </w:rPr>
        <w:t>采购单位名称：</w:t>
      </w:r>
      <w:r>
        <w:rPr>
          <w:rFonts w:hint="eastAsia" w:ascii="宋体" w:hAnsi="宋体"/>
          <w:color w:val="auto"/>
          <w:sz w:val="24"/>
          <w:highlight w:val="none"/>
          <w:lang w:eastAsia="zh-CN"/>
        </w:rPr>
        <w:t>绍兴市中医院</w:t>
      </w:r>
    </w:p>
    <w:p>
      <w:pPr>
        <w:numPr>
          <w:ilvl w:val="0"/>
          <w:numId w:val="1"/>
        </w:numPr>
        <w:autoSpaceDE w:val="0"/>
        <w:autoSpaceDN w:val="0"/>
        <w:spacing w:line="360" w:lineRule="auto"/>
        <w:textAlignment w:val="bottom"/>
        <w:rPr>
          <w:rFonts w:hint="eastAsia" w:ascii="宋体" w:hAnsi="宋体"/>
          <w:color w:val="auto"/>
          <w:sz w:val="24"/>
          <w:highlight w:val="none"/>
        </w:rPr>
      </w:pPr>
      <w:r>
        <w:rPr>
          <w:rFonts w:hint="eastAsia" w:ascii="宋体" w:hAnsi="宋体"/>
          <w:color w:val="auto"/>
          <w:sz w:val="24"/>
          <w:highlight w:val="none"/>
        </w:rPr>
        <w:t>采购内容：</w:t>
      </w:r>
    </w:p>
    <w:tbl>
      <w:tblPr>
        <w:tblStyle w:val="64"/>
        <w:tblW w:w="85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3"/>
        <w:gridCol w:w="4213"/>
        <w:gridCol w:w="223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120" w:afterLines="50"/>
              <w:jc w:val="center"/>
              <w:outlineLvl w:val="0"/>
              <w:rPr>
                <w:rFonts w:hint="eastAsia" w:ascii="宋体" w:hAnsi="宋体"/>
                <w:b/>
                <w:color w:val="auto"/>
                <w:spacing w:val="-4"/>
                <w:sz w:val="24"/>
                <w:highlight w:val="none"/>
              </w:rPr>
            </w:pPr>
            <w:r>
              <w:rPr>
                <w:rFonts w:hint="eastAsia" w:ascii="宋体" w:hAnsi="宋体"/>
                <w:b/>
                <w:color w:val="auto"/>
                <w:spacing w:val="-4"/>
                <w:sz w:val="24"/>
                <w:highlight w:val="none"/>
              </w:rPr>
              <w:t>标项号</w:t>
            </w:r>
          </w:p>
        </w:tc>
        <w:tc>
          <w:tcPr>
            <w:tcW w:w="4213"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采购内容</w:t>
            </w:r>
          </w:p>
        </w:tc>
        <w:tc>
          <w:tcPr>
            <w:tcW w:w="2233"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单位及数量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pPr>
              <w:widowControl/>
              <w:spacing w:line="225" w:lineRule="atLeast"/>
              <w:jc w:val="center"/>
              <w:rPr>
                <w:rFonts w:hint="eastAsia" w:ascii="宋体" w:hAnsi="宋体"/>
                <w:color w:val="auto"/>
                <w:spacing w:val="-4"/>
                <w:sz w:val="24"/>
                <w:highlight w:val="none"/>
              </w:rPr>
            </w:pPr>
            <w:r>
              <w:rPr>
                <w:rFonts w:ascii="宋体" w:hAnsi="宋体"/>
                <w:color w:val="auto"/>
                <w:spacing w:val="-4"/>
                <w:sz w:val="24"/>
                <w:highlight w:val="none"/>
              </w:rPr>
              <w:t>1</w:t>
            </w:r>
          </w:p>
        </w:tc>
        <w:tc>
          <w:tcPr>
            <w:tcW w:w="4213" w:type="dxa"/>
            <w:tcBorders>
              <w:top w:val="single" w:color="auto" w:sz="4" w:space="0"/>
              <w:left w:val="single" w:color="auto" w:sz="4" w:space="0"/>
              <w:bottom w:val="single" w:color="auto" w:sz="4" w:space="0"/>
              <w:right w:val="single" w:color="auto" w:sz="4" w:space="0"/>
            </w:tcBorders>
            <w:noWrap w:val="0"/>
            <w:vAlign w:val="center"/>
          </w:tcPr>
          <w:p>
            <w:pPr>
              <w:widowControl/>
              <w:spacing w:line="225" w:lineRule="atLeast"/>
              <w:jc w:val="center"/>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流式细胞分析仪</w:t>
            </w:r>
          </w:p>
        </w:tc>
        <w:tc>
          <w:tcPr>
            <w:tcW w:w="2233" w:type="dxa"/>
            <w:tcBorders>
              <w:top w:val="single" w:color="auto" w:sz="4" w:space="0"/>
              <w:left w:val="single" w:color="auto" w:sz="4" w:space="0"/>
              <w:bottom w:val="single" w:color="auto" w:sz="4" w:space="0"/>
              <w:right w:val="single" w:color="auto" w:sz="4" w:space="0"/>
            </w:tcBorders>
            <w:noWrap w:val="0"/>
            <w:vAlign w:val="center"/>
          </w:tcPr>
          <w:p>
            <w:pPr>
              <w:widowControl/>
              <w:spacing w:line="225" w:lineRule="atLeast"/>
              <w:jc w:val="center"/>
              <w:rPr>
                <w:rFonts w:hint="default" w:ascii="宋体" w:hAnsi="宋体" w:eastAsia="宋体"/>
                <w:color w:val="auto"/>
                <w:spacing w:val="-4"/>
                <w:sz w:val="24"/>
                <w:highlight w:val="none"/>
                <w:lang w:val="en-US" w:eastAsia="zh-CN"/>
              </w:rPr>
            </w:pPr>
            <w:r>
              <w:rPr>
                <w:rFonts w:hint="eastAsia" w:ascii="宋体" w:hAnsi="宋体"/>
                <w:color w:val="auto"/>
                <w:spacing w:val="-4"/>
                <w:sz w:val="24"/>
                <w:highlight w:val="none"/>
                <w:lang w:val="en-US" w:eastAsia="zh-CN"/>
              </w:rPr>
              <w:t>1台</w:t>
            </w:r>
          </w:p>
        </w:tc>
      </w:tr>
    </w:tbl>
    <w:p>
      <w:pPr>
        <w:numPr>
          <w:ilvl w:val="0"/>
          <w:numId w:val="1"/>
        </w:numPr>
        <w:autoSpaceDE w:val="0"/>
        <w:autoSpaceDN w:val="0"/>
        <w:spacing w:line="360"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技术需求及商务要求</w:t>
      </w:r>
    </w:p>
    <w:p>
      <w:pPr>
        <w:ind w:firstLine="0" w:firstLineChars="0"/>
        <w:jc w:val="left"/>
        <w:rPr>
          <w:b/>
          <w:highlight w:val="none"/>
        </w:rPr>
      </w:pPr>
      <w:r>
        <w:rPr>
          <w:rFonts w:hint="eastAsia"/>
          <w:b/>
          <w:highlight w:val="none"/>
          <w:bdr w:val="single" w:color="auto" w:sz="4" w:space="0"/>
        </w:rPr>
        <w:t>01标</w:t>
      </w:r>
      <w:r>
        <w:rPr>
          <w:rFonts w:hint="eastAsia"/>
          <w:b/>
          <w:highlight w:val="none"/>
        </w:rPr>
        <w:t>流式细胞分析仪 预算90万元</w:t>
      </w:r>
    </w:p>
    <w:tbl>
      <w:tblPr>
        <w:tblStyle w:val="6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7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highlight w:val="none"/>
              </w:rPr>
            </w:pPr>
            <w:r>
              <w:rPr>
                <w:highlight w:val="none"/>
              </w:rPr>
              <w:t>二、适用范围：</w:t>
            </w:r>
            <w:r>
              <w:rPr>
                <w:rFonts w:hint="eastAsia"/>
                <w:highlight w:val="none"/>
              </w:rPr>
              <w:t>用于临床检验工作中</w:t>
            </w:r>
            <w:r>
              <w:rPr>
                <w:highlight w:val="none"/>
              </w:rPr>
              <w:t>对细胞已标记信号的定量分析，包括</w:t>
            </w:r>
            <w:r>
              <w:rPr>
                <w:rFonts w:hint="eastAsia"/>
                <w:highlight w:val="none"/>
              </w:rPr>
              <w:t>但不限于</w:t>
            </w:r>
            <w:r>
              <w:rPr>
                <w:highlight w:val="none"/>
              </w:rPr>
              <w:t>细胞凋亡、周期、免疫分型等。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ind w:firstLine="0" w:firstLineChars="0"/>
              <w:jc w:val="left"/>
              <w:rPr>
                <w:highlight w:val="none"/>
              </w:rPr>
            </w:pPr>
            <w:r>
              <w:rPr>
                <w:highlight w:val="none"/>
              </w:rPr>
              <w:t>三、主要技术要求（技术参数和功能）及配置要求：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highlight w:val="none"/>
              </w:rPr>
              <w:t>3.1 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★3.1.1</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highlight w:val="none"/>
              </w:rPr>
              <w:t>配备三种全固体激光器，分别为蓝色、红色、紫色固体激光器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3.1.2</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highlight w:val="none"/>
              </w:rPr>
              <w:t>具备激光温度控制功能，自动监测并调节激光功率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3.1.3</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highlight w:val="none"/>
              </w:rPr>
              <w:t>滤光片可灵活插拔，不影响光路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3.1.4</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color w:val="000000"/>
                <w:highlight w:val="none"/>
              </w:rPr>
              <w:t>可同时激发</w:t>
            </w:r>
            <w:r>
              <w:rPr>
                <w:rFonts w:hint="eastAsia"/>
                <w:color w:val="000000"/>
                <w:highlight w:val="none"/>
                <w:lang w:val="en-US" w:eastAsia="zh-CN"/>
              </w:rPr>
              <w:t>≥</w:t>
            </w:r>
            <w:r>
              <w:rPr>
                <w:color w:val="000000"/>
                <w:highlight w:val="none"/>
              </w:rPr>
              <w:t>1</w:t>
            </w:r>
            <w:r>
              <w:rPr>
                <w:rFonts w:hint="eastAsia"/>
                <w:color w:val="000000"/>
                <w:highlight w:val="none"/>
              </w:rPr>
              <w:t>0色荧光通道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3.1.5</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color w:val="000000"/>
                <w:highlight w:val="none"/>
              </w:rPr>
              <w:t>蓝色激光器可独立激发</w:t>
            </w:r>
            <w:r>
              <w:rPr>
                <w:rFonts w:hint="eastAsia"/>
                <w:color w:val="000000"/>
                <w:highlight w:val="none"/>
                <w:lang w:val="en-US" w:eastAsia="zh-CN"/>
              </w:rPr>
              <w:t>≥</w:t>
            </w:r>
            <w:r>
              <w:rPr>
                <w:color w:val="000000"/>
                <w:highlight w:val="none"/>
              </w:rPr>
              <w:t>5个荧光信号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▲3.1.6</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color w:val="000000"/>
                <w:highlight w:val="none"/>
              </w:rPr>
              <w:t>每个检测通道需配置独立的雪崩光电二极管检测器(FAPD检测器），配备检测器数量≥10个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3.1.7</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rFonts w:hint="eastAsia" w:eastAsia="宋体"/>
                <w:highlight w:val="none"/>
                <w:lang w:eastAsia="zh-CN"/>
              </w:rPr>
            </w:pPr>
            <w:r>
              <w:rPr>
                <w:rFonts w:hint="eastAsia"/>
                <w:highlight w:val="none"/>
              </w:rPr>
              <w:t>免校准集成光学石英流动室，NA＞</w:t>
            </w:r>
            <w:r>
              <w:rPr>
                <w:rFonts w:hint="eastAsia"/>
                <w:color w:val="FF0000"/>
                <w:highlight w:val="none"/>
              </w:rPr>
              <w:t>1.</w:t>
            </w:r>
            <w:r>
              <w:rPr>
                <w:rFonts w:hint="eastAsia"/>
                <w:color w:val="FF000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3.1.8</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highlight w:val="none"/>
              </w:rPr>
              <w:t>动态范围：0-10</w:t>
            </w:r>
            <w:r>
              <w:rPr>
                <w:rFonts w:hint="eastAsia"/>
                <w:highlight w:val="none"/>
                <w:vertAlign w:val="superscript"/>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3.1.9</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highlight w:val="none"/>
              </w:rPr>
              <w:t>数字化采样频率≥25MHz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3.1.10</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highlight w:val="none"/>
              </w:rPr>
              <w:t>荧光分辨率CV &lt;3%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▲3.1.11</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highlight w:val="none"/>
              </w:rPr>
              <w:t>配备全自动进样器，需支持单管混匀方式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▲3.1.12</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highlight w:val="none"/>
              </w:rPr>
              <w:t>样本流速需连续可调，最大流速应≥240uL/min，最大分析速度（细胞获取速度）≥30000细胞/秒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3.1.13</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highlight w:val="none"/>
              </w:rPr>
              <w:t>可实现无微球绝对计数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3.1.14</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highlight w:val="none"/>
              </w:rPr>
              <w:t>荧光灵敏度要求FITC≤30 MESF、 PE≤10 MESF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3.1.15</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highlight w:val="none"/>
              </w:rPr>
              <w:t>可准确区分0.2um和0.3um的细胞或微粒，最小检测极限≤80nm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3.1.16</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highlight w:val="none"/>
              </w:rPr>
              <w:t>具有鞘液过滤器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3.1.17</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highlight w:val="none"/>
              </w:rPr>
              <w:t>具有鞘液和废液传感器，自动感应鞘液压力和废液桶液面高度，自动报警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▲3.1.18</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rFonts w:hint="default" w:eastAsia="宋体"/>
                <w:highlight w:val="none"/>
                <w:lang w:val="en-US" w:eastAsia="zh-CN"/>
              </w:rPr>
            </w:pPr>
            <w:r>
              <w:rPr>
                <w:rFonts w:hint="eastAsia"/>
                <w:highlight w:val="none"/>
              </w:rPr>
              <w:t>具备仪器同品牌的淋巴细胞亚群质控品（需获得</w:t>
            </w:r>
            <w:r>
              <w:rPr>
                <w:rFonts w:hint="eastAsia"/>
                <w:highlight w:val="none"/>
                <w:lang w:val="en-US" w:eastAsia="zh-CN"/>
              </w:rPr>
              <w:t>合格的医疗</w:t>
            </w:r>
            <w:r>
              <w:rPr>
                <w:rFonts w:hint="eastAsia"/>
                <w:highlight w:val="none"/>
              </w:rPr>
              <w:t>器械注册证）</w:t>
            </w:r>
            <w:r>
              <w:rPr>
                <w:rFonts w:hint="eastAsia"/>
                <w:highlight w:val="none"/>
                <w:lang w:eastAsia="zh-CN"/>
              </w:rPr>
              <w:t>，</w:t>
            </w:r>
            <w:r>
              <w:rPr>
                <w:rFonts w:hint="eastAsia"/>
                <w:highlight w:val="none"/>
                <w:lang w:val="en-US" w:eastAsia="zh-CN"/>
              </w:rPr>
              <w:t>试剂开放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3.1.19</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highlight w:val="none"/>
              </w:rPr>
              <w:t>需适用于</w:t>
            </w:r>
            <w:r>
              <w:rPr>
                <w:highlight w:val="none"/>
              </w:rPr>
              <w:t>Windows</w:t>
            </w:r>
            <w:r>
              <w:rPr>
                <w:rFonts w:hint="eastAsia"/>
                <w:highlight w:val="none"/>
              </w:rPr>
              <w:t>系统，具有原厂中英文界面的操作及分析软件，全部采用图形化参数调节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3.1.20</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highlight w:val="none"/>
              </w:rPr>
            </w:pPr>
            <w:r>
              <w:rPr>
                <w:rFonts w:hint="eastAsia"/>
                <w:highlight w:val="none"/>
              </w:rPr>
              <w:t>补偿功能：全矩阵补偿、脱机补偿、自动补偿等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3.2配置要求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highlight w:val="none"/>
              </w:rPr>
            </w:pPr>
            <w:r>
              <w:rPr>
                <w:rFonts w:hint="eastAsia"/>
                <w:highlight w:val="none"/>
              </w:rPr>
              <w:t>3.2.1</w:t>
            </w:r>
          </w:p>
        </w:tc>
        <w:tc>
          <w:tcPr>
            <w:tcW w:w="7036"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textAlignment w:val="bottom"/>
              <w:rPr>
                <w:highlight w:val="none"/>
              </w:rPr>
            </w:pPr>
            <w:r>
              <w:rPr>
                <w:rFonts w:hint="eastAsia"/>
                <w:highlight w:val="none"/>
              </w:rPr>
              <w:t>主机：1台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highlight w:val="none"/>
              </w:rPr>
            </w:pPr>
            <w:r>
              <w:rPr>
                <w:rFonts w:hint="eastAsia"/>
                <w:highlight w:val="none"/>
              </w:rPr>
              <w:t>3.2.2</w:t>
            </w:r>
          </w:p>
        </w:tc>
        <w:tc>
          <w:tcPr>
            <w:tcW w:w="7036"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textAlignment w:val="bottom"/>
              <w:rPr>
                <w:highlight w:val="none"/>
              </w:rPr>
            </w:pPr>
            <w:r>
              <w:rPr>
                <w:rFonts w:hint="eastAsia"/>
                <w:highlight w:val="none"/>
              </w:rPr>
              <w:t>流式数据分析软件：1套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highlight w:val="none"/>
              </w:rPr>
            </w:pPr>
            <w:r>
              <w:rPr>
                <w:rFonts w:hint="eastAsia"/>
                <w:highlight w:val="none"/>
              </w:rPr>
              <w:t>3.2.3</w:t>
            </w:r>
          </w:p>
        </w:tc>
        <w:tc>
          <w:tcPr>
            <w:tcW w:w="7036"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textAlignment w:val="bottom"/>
              <w:rPr>
                <w:highlight w:val="none"/>
              </w:rPr>
            </w:pPr>
            <w:r>
              <w:rPr>
                <w:rFonts w:hint="eastAsia"/>
                <w:highlight w:val="none"/>
              </w:rPr>
              <w:t xml:space="preserve">外置式全自动转盘式进样系统：1套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highlight w:val="none"/>
              </w:rPr>
            </w:pPr>
            <w:r>
              <w:rPr>
                <w:rFonts w:hint="eastAsia"/>
                <w:highlight w:val="none"/>
              </w:rPr>
              <w:t>3.2.4</w:t>
            </w:r>
          </w:p>
        </w:tc>
        <w:tc>
          <w:tcPr>
            <w:tcW w:w="7036"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textAlignment w:val="bottom"/>
              <w:rPr>
                <w:highlight w:val="none"/>
              </w:rPr>
            </w:pPr>
            <w:r>
              <w:rPr>
                <w:rFonts w:hint="eastAsia"/>
                <w:highlight w:val="none"/>
              </w:rPr>
              <w:t>工作站：1套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ind w:firstLine="0" w:firstLineChars="0"/>
              <w:jc w:val="left"/>
              <w:rPr>
                <w:highlight w:val="none"/>
              </w:rPr>
            </w:pPr>
            <w:r>
              <w:rPr>
                <w:highlight w:val="none"/>
              </w:rPr>
              <w:t>四、附加必备条件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4.1提供设备原厂技术参数指标。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4.2提供用户中英文操作手册、维修手册、技术参数彩色样本及塑封操作规程各1份。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4.3提供医疗器械注册证及相关证件（包括安检、商检证书）。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4.4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★4.5投标型号在国家临检中心已开展室间质评的项目必须具备独立仪器分组，提供网站截屏及成绩证明。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4.6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4.7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ind w:firstLine="0" w:firstLineChars="0"/>
              <w:jc w:val="left"/>
              <w:rPr>
                <w:highlight w:val="none"/>
              </w:rPr>
            </w:pPr>
            <w:r>
              <w:rPr>
                <w:rFonts w:hint="eastAsia"/>
                <w:highlight w:val="none"/>
              </w:rPr>
              <w:t>五、售后服务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5.1设备验收合格后免费原厂整机保修3年，保修期外只收配件费，不收维修费，提供仪器相关</w:t>
            </w:r>
            <w:r>
              <w:rPr>
                <w:rFonts w:hint="eastAsia"/>
                <w:bCs/>
                <w:color w:val="000000"/>
                <w:highlight w:val="none"/>
              </w:rPr>
              <w:t>专用耗材、</w:t>
            </w:r>
            <w:r>
              <w:rPr>
                <w:rFonts w:hint="eastAsia"/>
                <w:highlight w:val="none"/>
              </w:rPr>
              <w:t>零配件、易损件价格清单（人民币成交价）。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5.2零配件供应8年以上。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5.3接到用户维修通知后，应立即回应，并在12小时内派员到达用户现场实施维修。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5.4免费提供至少2名操作人员和1名维修人员的培训。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5.5免费终身提供软件升级。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5.6</w:t>
            </w:r>
            <w:r>
              <w:rPr>
                <w:rFonts w:hint="eastAsia"/>
                <w:highlight w:val="none"/>
                <w:lang w:val="en-US" w:eastAsia="zh-CN"/>
              </w:rPr>
              <w:t>免费接入医院</w:t>
            </w:r>
            <w:r>
              <w:rPr>
                <w:rFonts w:hint="eastAsia"/>
                <w:highlight w:val="none"/>
              </w:rPr>
              <w:t>相关</w:t>
            </w:r>
            <w:r>
              <w:rPr>
                <w:rFonts w:hint="eastAsia"/>
                <w:highlight w:val="none"/>
                <w:lang w:val="en-US" w:eastAsia="zh-CN"/>
              </w:rPr>
              <w:t>信息</w:t>
            </w:r>
            <w:r>
              <w:rPr>
                <w:rFonts w:hint="eastAsia"/>
                <w:highlight w:val="none"/>
              </w:rPr>
              <w:t>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ind w:firstLine="0" w:firstLineChars="0"/>
              <w:jc w:val="left"/>
              <w:rPr>
                <w:highlight w:val="none"/>
              </w:rPr>
            </w:pPr>
            <w:r>
              <w:rPr>
                <w:rFonts w:hint="eastAsia"/>
                <w:highlight w:val="none"/>
              </w:rPr>
              <w:t>六、安装及验收要求：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6.1到货期：合同生效后，60天内供货并安装。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6.2到货及安装地点：医院内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6.3验收标准：应与产品原始样本技术数据及标书技术文件一致，符合国家有关技术规范和技术标准，并提供所有有效证件（包括安检、商检证书）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highlight w:val="none"/>
              </w:rPr>
              <w:t>6.4如是计量强制检定设备，验收时需提供计量合格证。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ind w:firstLine="0" w:firstLineChars="0"/>
              <w:jc w:val="left"/>
              <w:rPr>
                <w:highlight w:val="none"/>
              </w:rPr>
            </w:pPr>
            <w:r>
              <w:rPr>
                <w:rFonts w:hint="eastAsia"/>
                <w:highlight w:val="none"/>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pPr>
        <w:pStyle w:val="35"/>
        <w:rPr>
          <w:rFonts w:hint="eastAsia" w:ascii="仿宋" w:hAnsi="仿宋" w:eastAsia="仿宋" w:cs="仿宋"/>
          <w:b/>
          <w:sz w:val="36"/>
          <w:szCs w:val="36"/>
          <w:highlight w:val="none"/>
        </w:rPr>
      </w:pPr>
    </w:p>
    <w:p>
      <w:pPr>
        <w:pStyle w:val="35"/>
        <w:rPr>
          <w:rFonts w:hint="eastAsia" w:ascii="仿宋" w:hAnsi="仿宋" w:eastAsia="仿宋" w:cs="仿宋"/>
          <w:b/>
          <w:sz w:val="36"/>
          <w:szCs w:val="36"/>
          <w:highlight w:val="none"/>
        </w:rPr>
      </w:pPr>
    </w:p>
    <w:p>
      <w:pPr>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pPr>
        <w:rPr>
          <w:rFonts w:hint="eastAsia" w:ascii="仿宋" w:hAnsi="仿宋" w:eastAsia="仿宋" w:cs="仿宋"/>
          <w:sz w:val="24"/>
          <w:highlight w:val="none"/>
        </w:rPr>
      </w:pPr>
    </w:p>
    <w:p>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jc w:val="center"/>
        <w:rPr>
          <w:rFonts w:hint="eastAsia" w:ascii="仿宋" w:hAnsi="仿宋" w:eastAsia="仿宋" w:cs="仿宋"/>
          <w:b/>
          <w:sz w:val="28"/>
          <w:szCs w:val="28"/>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（货物类）</w:t>
      </w:r>
    </w:p>
    <w:p>
      <w:pPr>
        <w:pStyle w:val="702"/>
        <w:ind w:left="0" w:leftChars="0" w:firstLine="0" w:firstLineChars="0"/>
        <w:rPr>
          <w:rFonts w:hint="eastAsia" w:ascii="仿宋" w:hAnsi="仿宋" w:eastAsia="仿宋" w:cs="仿宋"/>
          <w:szCs w:val="24"/>
          <w:highlight w:val="none"/>
        </w:rPr>
      </w:pPr>
    </w:p>
    <w:p>
      <w:pPr>
        <w:pStyle w:val="702"/>
        <w:jc w:val="center"/>
        <w:rPr>
          <w:rFonts w:hint="eastAsia" w:ascii="仿宋" w:hAnsi="仿宋" w:eastAsia="仿宋" w:cs="仿宋"/>
          <w:szCs w:val="24"/>
          <w:highlight w:val="none"/>
        </w:rPr>
      </w:pPr>
    </w:p>
    <w:p>
      <w:pPr>
        <w:pStyle w:val="702"/>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pPr>
        <w:pStyle w:val="702"/>
        <w:rPr>
          <w:rFonts w:hint="eastAsia" w:ascii="仿宋" w:hAnsi="仿宋" w:eastAsia="仿宋" w:cs="仿宋"/>
          <w:szCs w:val="24"/>
          <w:highlight w:val="none"/>
        </w:rPr>
      </w:pPr>
    </w:p>
    <w:p>
      <w:pPr>
        <w:pStyle w:val="702"/>
        <w:rPr>
          <w:rFonts w:hint="eastAsia" w:ascii="仿宋" w:hAnsi="仿宋" w:eastAsia="仿宋" w:cs="仿宋"/>
          <w:szCs w:val="24"/>
          <w:highlight w:val="none"/>
        </w:rPr>
      </w:pPr>
    </w:p>
    <w:p>
      <w:pPr>
        <w:spacing w:before="120" w:line="22" w:lineRule="atLeast"/>
        <w:rPr>
          <w:rFonts w:hint="eastAsia" w:ascii="仿宋" w:hAnsi="仿宋" w:eastAsia="仿宋" w:cs="仿宋"/>
          <w:sz w:val="24"/>
          <w:highlight w:val="none"/>
        </w:rPr>
      </w:pPr>
    </w:p>
    <w:p>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pPr>
        <w:pStyle w:val="599"/>
        <w:spacing w:before="120" w:line="22" w:lineRule="atLeast"/>
        <w:rPr>
          <w:rFonts w:hint="eastAsia" w:ascii="仿宋" w:hAnsi="仿宋" w:eastAsia="仿宋" w:cs="仿宋"/>
          <w:szCs w:val="24"/>
          <w:highlight w:val="none"/>
        </w:rPr>
      </w:pPr>
    </w:p>
    <w:p>
      <w:pPr>
        <w:pStyle w:val="599"/>
        <w:spacing w:before="120" w:line="22" w:lineRule="atLeast"/>
        <w:rPr>
          <w:rFonts w:hint="eastAsia" w:ascii="仿宋" w:hAnsi="仿宋" w:eastAsia="仿宋" w:cs="仿宋"/>
          <w:szCs w:val="24"/>
          <w:highlight w:val="none"/>
        </w:rPr>
      </w:pPr>
    </w:p>
    <w:p>
      <w:pPr>
        <w:rPr>
          <w:rFonts w:hint="eastAsia" w:ascii="仿宋" w:hAnsi="仿宋" w:eastAsia="仿宋" w:cs="仿宋"/>
          <w:sz w:val="24"/>
          <w:highlight w:val="none"/>
        </w:rPr>
      </w:pPr>
    </w:p>
    <w:p>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widowControl/>
        <w:jc w:val="left"/>
        <w:rPr>
          <w:rFonts w:hint="eastAsia" w:ascii="仿宋" w:hAnsi="仿宋" w:eastAsia="仿宋" w:cs="仿宋"/>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w:t>
      </w:r>
      <w:r>
        <w:rPr>
          <w:rFonts w:hint="eastAsia" w:ascii="仿宋" w:hAnsi="仿宋" w:eastAsia="仿宋" w:cs="仿宋"/>
          <w:sz w:val="24"/>
          <w:highlight w:val="none"/>
          <w:u w:val="single"/>
        </w:rPr>
        <w:t xml:space="preserve">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w:t>
      </w:r>
      <w:r>
        <w:rPr>
          <w:rFonts w:hint="eastAsia" w:ascii="仿宋" w:hAnsi="仿宋" w:eastAsia="仿宋" w:cs="仿宋"/>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560" w:lineRule="exact"/>
        <w:ind w:firstLine="482" w:firstLineChars="200"/>
        <w:outlineLvl w:val="0"/>
        <w:rPr>
          <w:rFonts w:hint="eastAsia" w:ascii="仿宋" w:hAnsi="仿宋" w:eastAsia="仿宋" w:cs="仿宋"/>
          <w:b/>
          <w:sz w:val="24"/>
          <w:highlight w:val="none"/>
        </w:rPr>
      </w:pPr>
      <w:bookmarkStart w:id="35" w:name="_Toc24059"/>
      <w:bookmarkStart w:id="36" w:name="_Toc2232"/>
      <w:bookmarkStart w:id="37" w:name="_Toc3029"/>
      <w:r>
        <w:rPr>
          <w:rFonts w:hint="eastAsia" w:ascii="仿宋" w:hAnsi="仿宋" w:eastAsia="仿宋" w:cs="仿宋"/>
          <w:b/>
          <w:sz w:val="24"/>
          <w:highlight w:val="none"/>
        </w:rPr>
        <w:t>1.1 合同组成部分</w:t>
      </w:r>
      <w:bookmarkEnd w:id="35"/>
      <w:bookmarkEnd w:id="36"/>
      <w:bookmarkEnd w:id="3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pPr>
        <w:spacing w:line="560" w:lineRule="exact"/>
        <w:ind w:firstLine="482" w:firstLineChars="200"/>
        <w:outlineLvl w:val="0"/>
        <w:rPr>
          <w:rFonts w:hint="eastAsia" w:ascii="仿宋" w:hAnsi="仿宋" w:eastAsia="仿宋" w:cs="仿宋"/>
          <w:b/>
          <w:sz w:val="24"/>
          <w:highlight w:val="none"/>
        </w:rPr>
      </w:pPr>
      <w:bookmarkStart w:id="38" w:name="_Toc21295"/>
      <w:bookmarkStart w:id="39" w:name="_Toc24300"/>
      <w:bookmarkStart w:id="40" w:name="_Toc27126"/>
      <w:r>
        <w:rPr>
          <w:rFonts w:hint="eastAsia" w:ascii="仿宋" w:hAnsi="仿宋" w:eastAsia="仿宋" w:cs="仿宋"/>
          <w:b/>
          <w:sz w:val="24"/>
          <w:highlight w:val="none"/>
        </w:rPr>
        <w:t>1.2 货物</w:t>
      </w:r>
      <w:bookmarkEnd w:id="38"/>
      <w:bookmarkEnd w:id="39"/>
      <w:bookmarkEnd w:id="40"/>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1.2.3 货物质量：</w:t>
      </w:r>
      <w:r>
        <w:rPr>
          <w:rFonts w:hint="eastAsia" w:ascii="仿宋" w:hAnsi="仿宋" w:eastAsia="仿宋" w:cs="仿宋"/>
          <w:sz w:val="24"/>
          <w:highlight w:val="none"/>
          <w:u w:val="single"/>
        </w:rPr>
        <w:t>　　　　　　　　　                      　      ；</w:t>
      </w:r>
    </w:p>
    <w:p>
      <w:pPr>
        <w:spacing w:line="560" w:lineRule="exact"/>
        <w:ind w:firstLine="482" w:firstLineChars="200"/>
        <w:outlineLvl w:val="0"/>
        <w:rPr>
          <w:rFonts w:hint="eastAsia" w:ascii="仿宋" w:hAnsi="仿宋" w:eastAsia="仿宋" w:cs="仿宋"/>
          <w:b/>
          <w:sz w:val="24"/>
          <w:highlight w:val="none"/>
        </w:rPr>
      </w:pPr>
      <w:bookmarkStart w:id="41" w:name="_Toc21631"/>
      <w:bookmarkStart w:id="42" w:name="_Toc23292"/>
      <w:bookmarkStart w:id="43" w:name="_Toc21551"/>
      <w:r>
        <w:rPr>
          <w:rFonts w:hint="eastAsia" w:ascii="仿宋" w:hAnsi="仿宋" w:eastAsia="仿宋" w:cs="仿宋"/>
          <w:b/>
          <w:sz w:val="24"/>
          <w:highlight w:val="none"/>
        </w:rPr>
        <w:t>1.3 价款</w:t>
      </w:r>
      <w:bookmarkEnd w:id="41"/>
      <w:bookmarkEnd w:id="42"/>
      <w:bookmarkEnd w:id="4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sz w:val="24"/>
                <w:szCs w:val="24"/>
                <w:highlight w:val="none"/>
              </w:rPr>
            </w:pPr>
          </w:p>
        </w:tc>
      </w:tr>
    </w:tbl>
    <w:p>
      <w:pPr>
        <w:pStyle w:val="959"/>
        <w:spacing w:before="0" w:beforeAutospacing="0" w:after="0" w:afterAutospacing="0" w:line="360" w:lineRule="auto"/>
        <w:ind w:firstLine="480"/>
        <w:rPr>
          <w:rFonts w:hint="eastAsia" w:ascii="仿宋" w:hAnsi="仿宋" w:eastAsia="仿宋" w:cs="仿宋"/>
          <w:b/>
          <w:highlight w:val="none"/>
        </w:rPr>
      </w:pPr>
      <w:bookmarkStart w:id="44" w:name="_Toc22618"/>
      <w:bookmarkStart w:id="45" w:name="_Toc1814"/>
      <w:bookmarkStart w:id="46" w:name="_Toc10340"/>
      <w:r>
        <w:rPr>
          <w:rFonts w:hint="eastAsia" w:ascii="仿宋" w:hAnsi="仿宋" w:eastAsia="仿宋" w:cs="仿宋"/>
          <w:b/>
          <w:highlight w:val="none"/>
        </w:rPr>
        <w:t>1.4履约保证金</w:t>
      </w:r>
    </w:p>
    <w:p>
      <w:pPr>
        <w:pStyle w:val="959"/>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pPr>
        <w:spacing w:line="56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spacing w:line="56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4"/>
        <w:tabs>
          <w:tab w:val="clear" w:pos="432"/>
        </w:tabs>
        <w:spacing w:line="560" w:lineRule="exact"/>
        <w:ind w:left="0" w:firstLine="480" w:firstLineChars="200"/>
        <w:rPr>
          <w:rFonts w:hint="eastAsia" w:ascii="仿宋" w:hAnsi="仿宋" w:eastAsia="仿宋" w:cs="仿宋"/>
          <w:highlight w:val="none"/>
          <w:lang w:val="en-US"/>
        </w:rPr>
      </w:pPr>
      <w:r>
        <w:rPr>
          <w:rFonts w:hint="eastAsia" w:ascii="仿宋" w:hAns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highlight w:val="none"/>
        </w:rPr>
      </w:pPr>
      <w:r>
        <w:rPr>
          <w:rFonts w:hint="eastAsia" w:ascii="仿宋" w:hAnsi="仿宋" w:eastAsia="仿宋" w:cs="仿宋"/>
          <w:kern w:val="0"/>
          <w:sz w:val="24"/>
          <w:highlight w:val="none"/>
        </w:rPr>
        <w:t>1.4.4 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pPr>
        <w:spacing w:line="56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44"/>
      <w:bookmarkEnd w:id="45"/>
      <w:bookmarkEnd w:id="46"/>
      <w:r>
        <w:rPr>
          <w:rFonts w:hint="eastAsia" w:ascii="仿宋" w:hAnsi="仿宋" w:eastAsia="仿宋" w:cs="仿宋"/>
          <w:b/>
          <w:sz w:val="24"/>
          <w:highlight w:val="none"/>
        </w:rPr>
        <w:t>预付款</w:t>
      </w:r>
    </w:p>
    <w:p>
      <w:pPr>
        <w:pStyle w:val="959"/>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959"/>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59"/>
        <w:spacing w:before="0" w:beforeAutospacing="0" w:after="0" w:afterAutospacing="0" w:line="360" w:lineRule="auto"/>
        <w:ind w:firstLine="480"/>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59"/>
        <w:spacing w:before="0" w:beforeAutospacing="0" w:after="0" w:afterAutospacing="0" w:line="360" w:lineRule="auto"/>
        <w:ind w:firstLine="480"/>
        <w:rPr>
          <w:rFonts w:hint="eastAsia" w:ascii="仿宋" w:hAnsi="仿宋" w:eastAsia="仿宋" w:cs="仿宋"/>
          <w:b/>
          <w:bCs/>
          <w:highlight w:val="none"/>
        </w:rPr>
      </w:pPr>
      <w:r>
        <w:rPr>
          <w:rFonts w:hint="eastAsia" w:ascii="仿宋" w:hAnsi="仿宋" w:eastAsia="仿宋" w:cs="仿宋"/>
          <w:b/>
          <w:bCs/>
          <w:highlight w:val="none"/>
        </w:rPr>
        <w:t>1.6资金支付</w:t>
      </w:r>
    </w:p>
    <w:p>
      <w:pPr>
        <w:pStyle w:val="959"/>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47" w:name="_Toc2846"/>
      <w:bookmarkStart w:id="48" w:name="_Toc32071"/>
      <w:bookmarkStart w:id="49" w:name="_Toc19304"/>
      <w:r>
        <w:rPr>
          <w:rFonts w:hint="eastAsia" w:ascii="仿宋" w:hAnsi="仿宋" w:eastAsia="仿宋" w:cs="仿宋"/>
          <w:b/>
          <w:sz w:val="24"/>
          <w:highlight w:val="none"/>
        </w:rPr>
        <w:t>1.7货物交付期限、地点和方式</w:t>
      </w:r>
      <w:bookmarkEnd w:id="47"/>
      <w:bookmarkEnd w:id="48"/>
      <w:bookmarkEnd w:id="49"/>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1.7.1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50" w:name="_Toc19554"/>
      <w:bookmarkStart w:id="51" w:name="_Toc27250"/>
      <w:bookmarkStart w:id="52" w:name="_Toc21423"/>
      <w:r>
        <w:rPr>
          <w:rFonts w:hint="eastAsia" w:ascii="仿宋" w:hAnsi="仿宋" w:eastAsia="仿宋" w:cs="仿宋"/>
          <w:b/>
          <w:sz w:val="24"/>
          <w:highlight w:val="none"/>
        </w:rPr>
        <w:t>1.8违约责任</w:t>
      </w:r>
      <w:bookmarkEnd w:id="50"/>
      <w:bookmarkEnd w:id="51"/>
      <w:bookmarkEnd w:id="52"/>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highlight w:val="none"/>
        </w:rPr>
      </w:pPr>
      <w:r>
        <w:rPr>
          <w:rFonts w:hint="eastAsia" w:ascii="仿宋" w:hAnsi="仿宋" w:eastAsia="仿宋" w:cs="仿宋"/>
          <w:sz w:val="24"/>
          <w:highlight w:val="none"/>
        </w:rPr>
        <w:t>1.8.6违约责任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pPr>
        <w:spacing w:line="560" w:lineRule="exact"/>
        <w:ind w:firstLine="482" w:firstLineChars="200"/>
        <w:outlineLvl w:val="0"/>
        <w:rPr>
          <w:rFonts w:hint="eastAsia" w:ascii="仿宋" w:hAnsi="仿宋" w:eastAsia="仿宋" w:cs="仿宋"/>
          <w:b/>
          <w:sz w:val="24"/>
          <w:highlight w:val="none"/>
        </w:rPr>
      </w:pPr>
      <w:bookmarkStart w:id="53" w:name="_Toc15583"/>
      <w:bookmarkStart w:id="54" w:name="_Toc28375"/>
      <w:bookmarkStart w:id="55" w:name="_Toc16021"/>
      <w:r>
        <w:rPr>
          <w:rFonts w:hint="eastAsia" w:ascii="仿宋" w:hAnsi="仿宋" w:eastAsia="仿宋" w:cs="仿宋"/>
          <w:b/>
          <w:sz w:val="24"/>
          <w:highlight w:val="none"/>
        </w:rPr>
        <w:t>1.9合同争议的解决</w:t>
      </w:r>
      <w:bookmarkEnd w:id="53"/>
      <w:bookmarkEnd w:id="54"/>
      <w:bookmarkEnd w:id="55"/>
    </w:p>
    <w:p>
      <w:pPr>
        <w:spacing w:line="560" w:lineRule="exact"/>
        <w:ind w:left="-61" w:leftChars="-29" w:right="-420" w:rightChars="-200" w:firstLine="240" w:firstLineChars="100"/>
        <w:rPr>
          <w:rFonts w:hint="eastAsia"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pPr>
        <w:spacing w:line="560" w:lineRule="exact"/>
        <w:ind w:left="-420" w:leftChars="-200" w:right="-420" w:rightChars="-200" w:firstLine="840" w:firstLineChars="350"/>
        <w:rPr>
          <w:rFonts w:hint="eastAsia"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560" w:lineRule="exact"/>
        <w:ind w:firstLine="482" w:firstLineChars="200"/>
        <w:outlineLvl w:val="0"/>
        <w:rPr>
          <w:rFonts w:hint="eastAsia" w:ascii="仿宋" w:hAnsi="仿宋" w:eastAsia="仿宋" w:cs="仿宋"/>
          <w:b/>
          <w:sz w:val="24"/>
          <w:highlight w:val="none"/>
        </w:rPr>
      </w:pPr>
      <w:bookmarkStart w:id="56" w:name="_Toc11173"/>
      <w:bookmarkStart w:id="57" w:name="_Toc7245"/>
      <w:bookmarkStart w:id="58" w:name="_Toc15322"/>
      <w:r>
        <w:rPr>
          <w:rFonts w:hint="eastAsia" w:ascii="仿宋" w:hAnsi="仿宋" w:eastAsia="仿宋" w:cs="仿宋"/>
          <w:b/>
          <w:sz w:val="24"/>
          <w:highlight w:val="none"/>
        </w:rPr>
        <w:t>2.0 合同生效</w:t>
      </w:r>
      <w:bookmarkEnd w:id="56"/>
      <w:bookmarkEnd w:id="57"/>
      <w:bookmarkEnd w:id="58"/>
    </w:p>
    <w:p>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本合同自双方当事人盖章签字时生效。</w:t>
      </w:r>
    </w:p>
    <w:p>
      <w:pPr>
        <w:autoSpaceDE w:val="0"/>
        <w:autoSpaceDN w:val="0"/>
        <w:spacing w:line="56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autoSpaceDE w:val="0"/>
        <w:autoSpaceDN w:val="0"/>
        <w:spacing w:line="56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pPr>
        <w:pStyle w:val="4"/>
        <w:rPr>
          <w:rFonts w:hint="eastAsia" w:ascii="仿宋" w:hAnsi="仿宋" w:eastAsia="仿宋" w:cs="仿宋"/>
          <w:sz w:val="24"/>
          <w:highlight w:val="none"/>
        </w:rPr>
      </w:pPr>
    </w:p>
    <w:p>
      <w:pPr>
        <w:rPr>
          <w:rFonts w:hint="eastAsia" w:ascii="仿宋" w:hAnsi="仿宋" w:eastAsia="仿宋" w:cs="仿宋"/>
          <w:sz w:val="24"/>
          <w:highlight w:val="none"/>
        </w:rPr>
      </w:pPr>
    </w:p>
    <w:p>
      <w:pPr>
        <w:pStyle w:val="4"/>
        <w:rPr>
          <w:rFonts w:hint="eastAsia" w:ascii="仿宋" w:hAnsi="仿宋" w:eastAsia="仿宋" w:cs="仿宋"/>
          <w:sz w:val="24"/>
          <w:highlight w:val="none"/>
        </w:rPr>
      </w:pPr>
    </w:p>
    <w:p>
      <w:pPr>
        <w:rPr>
          <w:rFonts w:hint="eastAsia" w:ascii="仿宋" w:hAnsi="仿宋" w:eastAsia="仿宋" w:cs="仿宋"/>
          <w:sz w:val="24"/>
          <w:highlight w:val="none"/>
        </w:rPr>
      </w:pPr>
    </w:p>
    <w:p>
      <w:pPr>
        <w:pStyle w:val="4"/>
        <w:rPr>
          <w:rFonts w:hint="eastAsia" w:ascii="仿宋" w:hAnsi="仿宋" w:eastAsia="仿宋" w:cs="仿宋"/>
          <w:sz w:val="24"/>
          <w:highlight w:val="none"/>
        </w:rPr>
      </w:pPr>
    </w:p>
    <w:p>
      <w:pPr>
        <w:rPr>
          <w:rFonts w:hint="eastAsia" w:ascii="仿宋" w:hAnsi="仿宋" w:eastAsia="仿宋" w:cs="仿宋"/>
          <w:sz w:val="24"/>
          <w:highlight w:val="none"/>
        </w:rPr>
      </w:pPr>
    </w:p>
    <w:p>
      <w:pPr>
        <w:pStyle w:val="702"/>
        <w:spacing w:line="560" w:lineRule="exact"/>
        <w:ind w:firstLine="482"/>
        <w:jc w:val="center"/>
        <w:rPr>
          <w:rFonts w:hint="eastAsia" w:ascii="仿宋" w:hAnsi="仿宋" w:eastAsia="仿宋" w:cs="仿宋"/>
          <w:b/>
          <w:szCs w:val="24"/>
          <w:highlight w:val="none"/>
        </w:rPr>
      </w:pPr>
      <w:r>
        <w:rPr>
          <w:rFonts w:hint="eastAsia" w:ascii="仿宋" w:hAnsi="仿宋" w:eastAsia="仿宋" w:cs="仿宋"/>
          <w:b/>
          <w:szCs w:val="24"/>
          <w:highlight w:val="none"/>
        </w:rPr>
        <w:t>第二部分 合同一般条款</w:t>
      </w:r>
    </w:p>
    <w:p>
      <w:pPr>
        <w:spacing w:line="560" w:lineRule="exact"/>
        <w:ind w:firstLine="482" w:firstLineChars="200"/>
        <w:outlineLvl w:val="0"/>
        <w:rPr>
          <w:rFonts w:hint="eastAsia" w:ascii="仿宋" w:hAnsi="仿宋" w:eastAsia="仿宋" w:cs="仿宋"/>
          <w:b/>
          <w:sz w:val="24"/>
          <w:highlight w:val="none"/>
        </w:rPr>
      </w:pPr>
      <w:bookmarkStart w:id="59" w:name="_Ref467379195"/>
      <w:bookmarkStart w:id="60" w:name="_Ref467379205"/>
      <w:bookmarkStart w:id="61" w:name="_Ref467379094"/>
      <w:bookmarkStart w:id="62" w:name="_Ref467379225"/>
      <w:bookmarkStart w:id="63" w:name="_Ref467379109"/>
      <w:bookmarkStart w:id="64" w:name="_Toc28763"/>
      <w:bookmarkStart w:id="65" w:name="_Toc279701240"/>
      <w:bookmarkStart w:id="66" w:name="_Toc16917"/>
      <w:bookmarkStart w:id="67" w:name="_Toc19614"/>
      <w:bookmarkStart w:id="68" w:name="_Ref467378499"/>
      <w:bookmarkStart w:id="69" w:name="_Toc259093669"/>
      <w:bookmarkStart w:id="70" w:name="_Ref467378463"/>
      <w:bookmarkStart w:id="71" w:name="_Toc487900349"/>
      <w:bookmarkStart w:id="72" w:name="_Ref467378404"/>
      <w:bookmarkStart w:id="73" w:name="_Ref467379214"/>
      <w:bookmarkStart w:id="74" w:name="_Ref467379101"/>
      <w:r>
        <w:rPr>
          <w:rFonts w:hint="eastAsia" w:ascii="仿宋" w:hAnsi="仿宋" w:eastAsia="仿宋" w:cs="仿宋"/>
          <w:b/>
          <w:sz w:val="24"/>
          <w:highlight w:val="none"/>
        </w:rPr>
        <w:t>2.1 定义</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sz w:val="24"/>
          <w:highlight w:val="none"/>
        </w:rPr>
      </w:pPr>
      <w:bookmarkStart w:id="75" w:name="_Ref467378840"/>
      <w:r>
        <w:rPr>
          <w:rFonts w:hint="eastAsia" w:ascii="仿宋" w:hAnsi="仿宋" w:eastAsia="仿宋" w:cs="仿宋"/>
          <w:sz w:val="24"/>
          <w:highlight w:val="none"/>
        </w:rPr>
        <w:t>2.1.4 “甲方”系指与中标或成交供应商签署合同的采购人</w:t>
      </w:r>
      <w:bookmarkEnd w:id="75"/>
      <w:r>
        <w:rPr>
          <w:rFonts w:hint="eastAsia" w:ascii="仿宋" w:hAnsi="仿宋" w:eastAsia="仿宋" w:cs="仿宋"/>
          <w:sz w:val="24"/>
          <w:highlight w:val="none"/>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highlight w:val="none"/>
        </w:rPr>
      </w:pPr>
      <w:bookmarkStart w:id="76" w:name="_Ref467379400"/>
      <w:r>
        <w:rPr>
          <w:rFonts w:hint="eastAsia" w:ascii="仿宋" w:hAnsi="仿宋" w:eastAsia="仿宋" w:cs="仿宋"/>
          <w:sz w:val="24"/>
          <w:highlight w:val="none"/>
        </w:rPr>
        <w:t>2.1.5 “乙方”系指根据合同约定交付货物的中标或成交供应商</w:t>
      </w:r>
      <w:bookmarkEnd w:id="76"/>
      <w:r>
        <w:rPr>
          <w:rFonts w:hint="eastAsia" w:ascii="仿宋" w:hAnsi="仿宋" w:eastAsia="仿宋" w:cs="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highlight w:val="none"/>
        </w:rPr>
      </w:pPr>
      <w:bookmarkStart w:id="77" w:name="_Ref467379436"/>
      <w:r>
        <w:rPr>
          <w:rFonts w:hint="eastAsia" w:ascii="仿宋" w:hAnsi="仿宋" w:eastAsia="仿宋" w:cs="仿宋"/>
          <w:sz w:val="24"/>
          <w:highlight w:val="none"/>
        </w:rPr>
        <w:t>2.1.6 “现场”系指合同约定货物将要运至或者安装的地点。</w:t>
      </w:r>
      <w:bookmarkEnd w:id="77"/>
    </w:p>
    <w:p>
      <w:pPr>
        <w:spacing w:line="560" w:lineRule="exact"/>
        <w:ind w:firstLine="482" w:firstLineChars="200"/>
        <w:outlineLvl w:val="0"/>
        <w:rPr>
          <w:rFonts w:hint="eastAsia" w:ascii="仿宋" w:hAnsi="仿宋" w:eastAsia="仿宋" w:cs="仿宋"/>
          <w:b/>
          <w:sz w:val="24"/>
          <w:highlight w:val="none"/>
        </w:rPr>
      </w:pPr>
      <w:bookmarkStart w:id="78" w:name="_Toc27635"/>
      <w:bookmarkStart w:id="79" w:name="_Toc279701241"/>
      <w:bookmarkStart w:id="80" w:name="_Toc13336"/>
      <w:bookmarkStart w:id="81" w:name="_Toc32504"/>
      <w:bookmarkStart w:id="82" w:name="_Toc487900350"/>
      <w:bookmarkStart w:id="83" w:name="_Toc259093670"/>
      <w:r>
        <w:rPr>
          <w:rFonts w:hint="eastAsia" w:ascii="仿宋" w:hAnsi="仿宋" w:eastAsia="仿宋" w:cs="仿宋"/>
          <w:b/>
          <w:sz w:val="24"/>
          <w:highlight w:val="none"/>
        </w:rPr>
        <w:t>2.2 技术规范</w:t>
      </w:r>
      <w:bookmarkEnd w:id="78"/>
      <w:bookmarkEnd w:id="79"/>
      <w:bookmarkEnd w:id="80"/>
      <w:bookmarkEnd w:id="81"/>
      <w:bookmarkEnd w:id="82"/>
      <w:bookmarkEnd w:id="8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highlight w:val="none"/>
        </w:rPr>
      </w:pPr>
      <w:bookmarkStart w:id="84" w:name="_Toc27853"/>
      <w:bookmarkStart w:id="85" w:name="_Toc31634"/>
      <w:bookmarkStart w:id="86" w:name="_Toc279701242"/>
      <w:bookmarkStart w:id="87" w:name="_Toc487900351"/>
      <w:bookmarkStart w:id="88" w:name="_Toc259093671"/>
      <w:bookmarkStart w:id="89" w:name="_Toc9829"/>
      <w:r>
        <w:rPr>
          <w:rFonts w:hint="eastAsia" w:ascii="仿宋" w:hAnsi="仿宋" w:eastAsia="仿宋" w:cs="仿宋"/>
          <w:b/>
          <w:sz w:val="24"/>
          <w:highlight w:val="none"/>
        </w:rPr>
        <w:t>2.3 知识产权</w:t>
      </w:r>
      <w:bookmarkEnd w:id="84"/>
      <w:bookmarkEnd w:id="85"/>
      <w:bookmarkEnd w:id="86"/>
      <w:bookmarkEnd w:id="87"/>
      <w:bookmarkEnd w:id="88"/>
      <w:bookmarkEnd w:id="8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2.3.2具有知识产权的计算机软件等货物的知识产权归属，详见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90" w:name="_Toc4194"/>
      <w:bookmarkStart w:id="91" w:name="_Toc11932"/>
      <w:bookmarkStart w:id="92" w:name="_Toc29149"/>
      <w:r>
        <w:rPr>
          <w:rFonts w:hint="eastAsia" w:ascii="仿宋" w:hAnsi="仿宋" w:eastAsia="仿宋" w:cs="仿宋"/>
          <w:b/>
          <w:sz w:val="24"/>
          <w:highlight w:val="none"/>
        </w:rPr>
        <w:t>2.4 包装和装运</w:t>
      </w:r>
      <w:bookmarkEnd w:id="90"/>
      <w:bookmarkEnd w:id="91"/>
      <w:bookmarkEnd w:id="92"/>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2.4.3 装运货物的要求和通知，详见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93" w:name="_Ref467379536"/>
      <w:bookmarkStart w:id="94" w:name="_Ref467378591"/>
      <w:bookmarkStart w:id="95" w:name="_Ref467379527"/>
      <w:bookmarkStart w:id="96" w:name="_Toc259093674"/>
      <w:bookmarkStart w:id="97" w:name="_Toc487900354"/>
      <w:bookmarkStart w:id="98" w:name="_Toc279701245"/>
      <w:bookmarkStart w:id="99" w:name="_Ref467378541"/>
      <w:bookmarkStart w:id="100" w:name="_Ref467379542"/>
      <w:bookmarkStart w:id="101" w:name="_Toc19074"/>
      <w:bookmarkStart w:id="102" w:name="_Toc26182"/>
      <w:bookmarkStart w:id="103" w:name="_Toc30272"/>
      <w:r>
        <w:rPr>
          <w:rFonts w:hint="eastAsia" w:ascii="仿宋" w:hAnsi="仿宋" w:eastAsia="仿宋" w:cs="仿宋"/>
          <w:b/>
          <w:sz w:val="24"/>
          <w:highlight w:val="none"/>
        </w:rPr>
        <w:t>2.</w:t>
      </w:r>
      <w:bookmarkEnd w:id="93"/>
      <w:bookmarkEnd w:id="94"/>
      <w:bookmarkEnd w:id="95"/>
      <w:bookmarkEnd w:id="96"/>
      <w:bookmarkEnd w:id="97"/>
      <w:bookmarkEnd w:id="98"/>
      <w:bookmarkEnd w:id="99"/>
      <w:bookmarkEnd w:id="100"/>
      <w:r>
        <w:rPr>
          <w:rFonts w:hint="eastAsia" w:ascii="仿宋" w:hAnsi="仿宋" w:eastAsia="仿宋" w:cs="仿宋"/>
          <w:b/>
          <w:sz w:val="24"/>
          <w:highlight w:val="none"/>
        </w:rPr>
        <w:t>5 履约检查和问题反馈</w:t>
      </w:r>
      <w:bookmarkEnd w:id="101"/>
      <w:bookmarkEnd w:id="102"/>
      <w:bookmarkEnd w:id="103"/>
    </w:p>
    <w:p>
      <w:pPr>
        <w:spacing w:line="560" w:lineRule="exact"/>
        <w:ind w:firstLine="480" w:firstLineChars="200"/>
        <w:rPr>
          <w:rFonts w:hint="eastAsia" w:ascii="仿宋" w:hAnsi="仿宋" w:eastAsia="仿宋" w:cs="仿宋"/>
          <w:sz w:val="24"/>
          <w:highlight w:val="none"/>
        </w:rPr>
      </w:pPr>
      <w:bookmarkStart w:id="104" w:name="_Ref467379657"/>
      <w:r>
        <w:rPr>
          <w:rFonts w:hint="eastAsia" w:ascii="仿宋" w:hAnsi="仿宋" w:eastAsia="仿宋" w:cs="仿宋"/>
          <w:sz w:val="24"/>
          <w:highlight w:val="none"/>
        </w:rPr>
        <w:t>2.5.1</w:t>
      </w:r>
      <w:bookmarkEnd w:id="104"/>
      <w:bookmarkStart w:id="105" w:name="_Toc186431854"/>
      <w:bookmarkStart w:id="106" w:name="_Toc487900357"/>
      <w:bookmarkStart w:id="107" w:name="_Ref467379793"/>
      <w:bookmarkStart w:id="108" w:name="_Toc259093676"/>
      <w:bookmarkStart w:id="109" w:name="_Ref467379807"/>
      <w:bookmarkStart w:id="110" w:name="_Toc279701247"/>
      <w:r>
        <w:rPr>
          <w:rFonts w:hint="eastAsia" w:ascii="仿宋" w:hAnsi="仿宋" w:eastAsia="仿宋" w:cs="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2.5.2 合同履行期间，甲方有权将履行过程中出现的问题反馈给乙方，双方当事人应以书面形式约定需要完善和改进的内容</w:t>
      </w:r>
      <w:bookmarkEnd w:id="105"/>
      <w:bookmarkStart w:id="111" w:name="_Toc186431855"/>
      <w:r>
        <w:rPr>
          <w:rFonts w:hint="eastAsia" w:ascii="仿宋" w:hAnsi="仿宋" w:eastAsia="仿宋" w:cs="仿宋"/>
          <w:sz w:val="24"/>
          <w:highlight w:val="none"/>
        </w:rPr>
        <w:t>。</w:t>
      </w:r>
    </w:p>
    <w:bookmarkEnd w:id="106"/>
    <w:bookmarkEnd w:id="107"/>
    <w:bookmarkEnd w:id="108"/>
    <w:bookmarkEnd w:id="109"/>
    <w:bookmarkEnd w:id="110"/>
    <w:bookmarkEnd w:id="111"/>
    <w:p>
      <w:pPr>
        <w:spacing w:line="560" w:lineRule="exact"/>
        <w:ind w:firstLine="482" w:firstLineChars="200"/>
        <w:outlineLvl w:val="0"/>
        <w:rPr>
          <w:rFonts w:hint="eastAsia" w:ascii="仿宋" w:hAnsi="仿宋" w:eastAsia="仿宋" w:cs="仿宋"/>
          <w:b/>
          <w:sz w:val="24"/>
          <w:highlight w:val="none"/>
        </w:rPr>
      </w:pPr>
      <w:bookmarkStart w:id="112" w:name="_Toc259093677"/>
      <w:bookmarkStart w:id="113" w:name="_Ref467379923"/>
      <w:bookmarkStart w:id="114" w:name="_Ref467379852"/>
      <w:bookmarkStart w:id="115" w:name="_Ref467379863"/>
      <w:bookmarkStart w:id="116" w:name="_Toc487900358"/>
      <w:bookmarkStart w:id="117" w:name="_Toc279701248"/>
      <w:bookmarkStart w:id="118" w:name="_Toc3225"/>
      <w:bookmarkStart w:id="119" w:name="_Toc774"/>
      <w:bookmarkStart w:id="120" w:name="_Toc16110"/>
      <w:r>
        <w:rPr>
          <w:rFonts w:hint="eastAsia" w:ascii="仿宋" w:hAnsi="仿宋" w:eastAsia="仿宋" w:cs="仿宋"/>
          <w:b/>
          <w:sz w:val="24"/>
          <w:highlight w:val="none"/>
        </w:rPr>
        <w:t>2.6 技术资料</w:t>
      </w:r>
      <w:bookmarkEnd w:id="112"/>
      <w:bookmarkEnd w:id="113"/>
      <w:bookmarkEnd w:id="114"/>
      <w:bookmarkEnd w:id="115"/>
      <w:bookmarkEnd w:id="116"/>
      <w:bookmarkEnd w:id="117"/>
      <w:r>
        <w:rPr>
          <w:rFonts w:hint="eastAsia" w:ascii="仿宋" w:hAnsi="仿宋" w:eastAsia="仿宋" w:cs="仿宋"/>
          <w:b/>
          <w:sz w:val="24"/>
          <w:highlight w:val="none"/>
        </w:rPr>
        <w:t>和保密义务</w:t>
      </w:r>
      <w:bookmarkEnd w:id="118"/>
      <w:bookmarkEnd w:id="119"/>
      <w:bookmarkEnd w:id="12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highlight w:val="none"/>
        </w:rPr>
      </w:pPr>
      <w:bookmarkStart w:id="121" w:name="_Toc7860"/>
      <w:r>
        <w:rPr>
          <w:rFonts w:hint="eastAsia" w:ascii="仿宋" w:hAnsi="仿宋" w:eastAsia="仿宋" w:cs="仿宋"/>
          <w:b/>
          <w:sz w:val="24"/>
          <w:highlight w:val="none"/>
        </w:rPr>
        <w:t>2.7 质量保证</w:t>
      </w:r>
      <w:bookmarkEnd w:id="12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highlight w:val="none"/>
        </w:rPr>
      </w:pPr>
      <w:bookmarkStart w:id="122" w:name="_Toc17244"/>
      <w:bookmarkStart w:id="123" w:name="_Toc279701252"/>
      <w:bookmarkStart w:id="124" w:name="_Toc487900362"/>
      <w:bookmarkStart w:id="125" w:name="_Toc259093681"/>
      <w:r>
        <w:rPr>
          <w:rFonts w:hint="eastAsia" w:ascii="仿宋" w:hAnsi="仿宋" w:eastAsia="仿宋" w:cs="仿宋"/>
          <w:b/>
          <w:sz w:val="24"/>
          <w:highlight w:val="none"/>
        </w:rPr>
        <w:t>2.8 货物的风险负担</w:t>
      </w:r>
      <w:bookmarkEnd w:id="122"/>
    </w:p>
    <w:p>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货物或者在途货物或者交付给第一承运人后的货物毁损、灭失的风险负担详见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126" w:name="_Toc14055"/>
      <w:r>
        <w:rPr>
          <w:rFonts w:hint="eastAsia" w:ascii="仿宋" w:hAnsi="仿宋" w:eastAsia="仿宋" w:cs="仿宋"/>
          <w:b/>
          <w:sz w:val="24"/>
          <w:highlight w:val="none"/>
        </w:rPr>
        <w:t>2.9 延迟交货</w:t>
      </w:r>
      <w:bookmarkEnd w:id="123"/>
      <w:bookmarkEnd w:id="124"/>
      <w:bookmarkEnd w:id="125"/>
      <w:bookmarkEnd w:id="12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sz w:val="24"/>
          <w:highlight w:val="none"/>
        </w:rPr>
      </w:pPr>
      <w:bookmarkStart w:id="127" w:name="_Toc7502"/>
      <w:bookmarkStart w:id="128" w:name="_Toc487900364"/>
      <w:bookmarkStart w:id="129" w:name="_Toc259093683"/>
      <w:bookmarkStart w:id="130" w:name="_Ref467378121"/>
      <w:bookmarkStart w:id="131" w:name="_Toc279701254"/>
      <w:r>
        <w:rPr>
          <w:rFonts w:hint="eastAsia" w:ascii="仿宋" w:hAnsi="仿宋" w:eastAsia="仿宋" w:cs="仿宋"/>
          <w:b/>
          <w:sz w:val="24"/>
          <w:highlight w:val="none"/>
        </w:rPr>
        <w:t>2.10 合同变更</w:t>
      </w:r>
      <w:bookmarkEnd w:id="12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32" w:name="_Toc487900369"/>
      <w:bookmarkStart w:id="133" w:name="_Toc259093688"/>
      <w:bookmarkStart w:id="134" w:name="_Toc279701259"/>
    </w:p>
    <w:p>
      <w:pPr>
        <w:spacing w:line="560" w:lineRule="exact"/>
        <w:ind w:firstLine="482" w:firstLineChars="200"/>
        <w:outlineLvl w:val="0"/>
        <w:rPr>
          <w:rFonts w:hint="eastAsia" w:ascii="仿宋" w:hAnsi="仿宋" w:eastAsia="仿宋" w:cs="仿宋"/>
          <w:b/>
          <w:sz w:val="24"/>
          <w:highlight w:val="none"/>
        </w:rPr>
      </w:pPr>
      <w:bookmarkStart w:id="135" w:name="_Toc15237"/>
      <w:bookmarkStart w:id="136" w:name="_Toc22955"/>
      <w:bookmarkStart w:id="137" w:name="_Toc10366"/>
      <w:r>
        <w:rPr>
          <w:rFonts w:hint="eastAsia" w:ascii="仿宋" w:hAnsi="仿宋" w:eastAsia="仿宋" w:cs="仿宋"/>
          <w:b/>
          <w:sz w:val="24"/>
          <w:highlight w:val="none"/>
        </w:rPr>
        <w:t>2.11 合同转让</w:t>
      </w:r>
      <w:bookmarkEnd w:id="132"/>
      <w:bookmarkEnd w:id="133"/>
      <w:bookmarkEnd w:id="134"/>
      <w:r>
        <w:rPr>
          <w:rFonts w:hint="eastAsia" w:ascii="仿宋" w:hAnsi="仿宋" w:eastAsia="仿宋" w:cs="仿宋"/>
          <w:b/>
          <w:sz w:val="24"/>
          <w:highlight w:val="none"/>
        </w:rPr>
        <w:t>和分包</w:t>
      </w:r>
      <w:bookmarkEnd w:id="135"/>
      <w:bookmarkEnd w:id="136"/>
      <w:bookmarkEnd w:id="13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highlight w:val="none"/>
        </w:rPr>
      </w:pPr>
      <w:bookmarkStart w:id="138" w:name="_Toc16508"/>
      <w:bookmarkStart w:id="139" w:name="_Toc13566"/>
      <w:bookmarkStart w:id="140" w:name="_Toc14066"/>
      <w:r>
        <w:rPr>
          <w:rFonts w:hint="eastAsia" w:ascii="仿宋" w:hAnsi="仿宋" w:eastAsia="仿宋" w:cs="仿宋"/>
          <w:b/>
          <w:sz w:val="24"/>
          <w:highlight w:val="none"/>
        </w:rPr>
        <w:t>2.12 不可抗力</w:t>
      </w:r>
      <w:bookmarkEnd w:id="138"/>
      <w:bookmarkEnd w:id="139"/>
      <w:bookmarkEnd w:id="14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highlight w:val="none"/>
        </w:rPr>
      </w:pPr>
      <w:bookmarkStart w:id="141" w:name="_Toc689"/>
      <w:bookmarkStart w:id="142" w:name="_Toc279701255"/>
      <w:bookmarkStart w:id="143" w:name="_Toc6969"/>
      <w:bookmarkStart w:id="144" w:name="_Toc30676"/>
      <w:bookmarkStart w:id="145" w:name="_Toc259093684"/>
      <w:bookmarkStart w:id="146" w:name="_Toc487900365"/>
      <w:r>
        <w:rPr>
          <w:rFonts w:hint="eastAsia" w:ascii="仿宋" w:hAnsi="仿宋" w:eastAsia="仿宋" w:cs="仿宋"/>
          <w:b/>
          <w:sz w:val="24"/>
          <w:highlight w:val="none"/>
        </w:rPr>
        <w:t>2.13 税费</w:t>
      </w:r>
      <w:bookmarkEnd w:id="141"/>
      <w:bookmarkEnd w:id="142"/>
      <w:bookmarkEnd w:id="143"/>
      <w:bookmarkEnd w:id="144"/>
      <w:bookmarkEnd w:id="145"/>
      <w:bookmarkEnd w:id="14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highlight w:val="none"/>
        </w:rPr>
      </w:pPr>
      <w:bookmarkStart w:id="147" w:name="_Toc259093687"/>
      <w:bookmarkStart w:id="148" w:name="_Toc8298"/>
      <w:bookmarkStart w:id="149" w:name="_Toc7102"/>
      <w:bookmarkStart w:id="150" w:name="_Toc279701258"/>
      <w:bookmarkStart w:id="151" w:name="_Toc16959"/>
      <w:bookmarkStart w:id="152" w:name="_Toc487900368"/>
      <w:r>
        <w:rPr>
          <w:rFonts w:hint="eastAsia" w:ascii="仿宋" w:hAnsi="仿宋" w:eastAsia="仿宋" w:cs="仿宋"/>
          <w:b/>
          <w:sz w:val="24"/>
          <w:highlight w:val="none"/>
        </w:rPr>
        <w:t>2.14乙方破产</w:t>
      </w:r>
      <w:bookmarkEnd w:id="147"/>
      <w:bookmarkEnd w:id="148"/>
      <w:bookmarkEnd w:id="149"/>
      <w:bookmarkEnd w:id="150"/>
      <w:bookmarkEnd w:id="151"/>
      <w:bookmarkEnd w:id="152"/>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highlight w:val="none"/>
        </w:rPr>
      </w:pPr>
      <w:bookmarkStart w:id="153" w:name="_Toc15387"/>
      <w:bookmarkStart w:id="154" w:name="_Toc29333"/>
      <w:bookmarkStart w:id="155" w:name="_Toc6134"/>
      <w:r>
        <w:rPr>
          <w:rFonts w:hint="eastAsia" w:ascii="仿宋" w:hAnsi="仿宋" w:eastAsia="仿宋" w:cs="仿宋"/>
          <w:b/>
          <w:sz w:val="24"/>
          <w:highlight w:val="none"/>
        </w:rPr>
        <w:t>2.15 合同中止、终止</w:t>
      </w:r>
      <w:bookmarkEnd w:id="153"/>
      <w:bookmarkEnd w:id="154"/>
      <w:bookmarkEnd w:id="155"/>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双方当事人不得擅自中止或者终止合同；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highlight w:val="none"/>
        </w:rPr>
      </w:pPr>
      <w:bookmarkStart w:id="156" w:name="_Toc14563"/>
      <w:bookmarkStart w:id="157" w:name="_Toc1125"/>
      <w:bookmarkStart w:id="158" w:name="_Toc6596"/>
      <w:r>
        <w:rPr>
          <w:rFonts w:hint="eastAsia" w:ascii="仿宋" w:hAnsi="仿宋" w:eastAsia="仿宋" w:cs="仿宋"/>
          <w:b/>
          <w:sz w:val="24"/>
          <w:highlight w:val="none"/>
        </w:rPr>
        <w:t>2.16检验和验收</w:t>
      </w:r>
      <w:bookmarkEnd w:id="156"/>
      <w:bookmarkEnd w:id="157"/>
      <w:bookmarkEnd w:id="158"/>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bookmarkEnd w:id="128"/>
    <w:bookmarkEnd w:id="129"/>
    <w:bookmarkEnd w:id="130"/>
    <w:bookmarkEnd w:id="131"/>
    <w:p>
      <w:pPr>
        <w:spacing w:line="560" w:lineRule="exact"/>
        <w:ind w:firstLine="482" w:firstLineChars="200"/>
        <w:outlineLvl w:val="0"/>
        <w:rPr>
          <w:rFonts w:hint="eastAsia" w:ascii="仿宋" w:hAnsi="仿宋" w:eastAsia="仿宋" w:cs="仿宋"/>
          <w:b/>
          <w:sz w:val="24"/>
          <w:highlight w:val="none"/>
        </w:rPr>
      </w:pPr>
      <w:bookmarkStart w:id="159" w:name="_Toc279701261"/>
      <w:bookmarkStart w:id="160" w:name="_Toc487900371"/>
      <w:bookmarkStart w:id="161" w:name="_Toc259093690"/>
      <w:bookmarkStart w:id="162" w:name="_Toc11284"/>
      <w:bookmarkStart w:id="163" w:name="_Toc19604"/>
      <w:bookmarkStart w:id="164" w:name="_Toc25182"/>
      <w:r>
        <w:rPr>
          <w:rFonts w:hint="eastAsia" w:ascii="仿宋" w:hAnsi="仿宋" w:eastAsia="仿宋" w:cs="仿宋"/>
          <w:b/>
          <w:sz w:val="24"/>
          <w:highlight w:val="none"/>
        </w:rPr>
        <w:t>2.17 通知</w:t>
      </w:r>
      <w:bookmarkEnd w:id="159"/>
      <w:bookmarkEnd w:id="160"/>
      <w:bookmarkEnd w:id="161"/>
      <w:r>
        <w:rPr>
          <w:rFonts w:hint="eastAsia" w:ascii="仿宋" w:hAnsi="仿宋" w:eastAsia="仿宋" w:cs="仿宋"/>
          <w:b/>
          <w:sz w:val="24"/>
          <w:highlight w:val="none"/>
        </w:rPr>
        <w:t>和送达</w:t>
      </w:r>
      <w:bookmarkEnd w:id="162"/>
      <w:bookmarkEnd w:id="163"/>
      <w:bookmarkEnd w:id="164"/>
    </w:p>
    <w:p>
      <w:pPr>
        <w:spacing w:line="560" w:lineRule="exact"/>
        <w:ind w:firstLine="480" w:firstLineChars="200"/>
        <w:rPr>
          <w:rFonts w:hint="eastAsia" w:ascii="仿宋" w:hAnsi="仿宋" w:eastAsia="仿宋" w:cs="仿宋"/>
          <w:sz w:val="24"/>
          <w:highlight w:val="none"/>
        </w:rPr>
      </w:pPr>
      <w:bookmarkStart w:id="165" w:name="_Toc6698"/>
      <w:bookmarkStart w:id="166" w:name="_Toc3135"/>
      <w:bookmarkStart w:id="167" w:name="_Toc279701262"/>
      <w:bookmarkStart w:id="168" w:name="_Toc259093691"/>
      <w:bookmarkStart w:id="169" w:name="_Toc487900372"/>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bookmarkEnd w:id="165"/>
      <w:bookmarkEnd w:id="166"/>
    </w:p>
    <w:p>
      <w:pPr>
        <w:spacing w:line="560" w:lineRule="exact"/>
        <w:ind w:firstLine="480" w:firstLineChars="200"/>
        <w:rPr>
          <w:rFonts w:hint="eastAsia" w:ascii="仿宋" w:hAnsi="仿宋" w:eastAsia="仿宋" w:cs="仿宋"/>
          <w:sz w:val="24"/>
          <w:highlight w:val="none"/>
        </w:rPr>
      </w:pPr>
      <w:bookmarkStart w:id="170" w:name="_Toc23294"/>
      <w:bookmarkStart w:id="171" w:name="_Toc23128"/>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pPr>
        <w:spacing w:line="560" w:lineRule="exact"/>
        <w:ind w:firstLine="482" w:firstLineChars="200"/>
        <w:outlineLvl w:val="0"/>
        <w:rPr>
          <w:rFonts w:hint="eastAsia" w:ascii="仿宋" w:hAnsi="仿宋" w:eastAsia="仿宋" w:cs="仿宋"/>
          <w:b/>
          <w:sz w:val="24"/>
          <w:highlight w:val="none"/>
        </w:rPr>
      </w:pPr>
      <w:bookmarkStart w:id="172" w:name="_Toc18540"/>
      <w:bookmarkStart w:id="173" w:name="_Toc30599"/>
      <w:bookmarkStart w:id="174" w:name="_Toc4355"/>
      <w:r>
        <w:rPr>
          <w:rFonts w:hint="eastAsia" w:ascii="仿宋" w:hAnsi="仿宋" w:eastAsia="仿宋" w:cs="仿宋"/>
          <w:b/>
          <w:sz w:val="24"/>
          <w:highlight w:val="none"/>
        </w:rPr>
        <w:t>2.18 计量单位</w:t>
      </w:r>
      <w:bookmarkEnd w:id="167"/>
      <w:bookmarkEnd w:id="168"/>
      <w:bookmarkEnd w:id="169"/>
      <w:bookmarkEnd w:id="172"/>
      <w:bookmarkEnd w:id="173"/>
      <w:bookmarkEnd w:id="174"/>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highlight w:val="none"/>
        </w:rPr>
      </w:pPr>
      <w:bookmarkStart w:id="175" w:name="_Toc18567"/>
      <w:bookmarkStart w:id="176" w:name="_Toc487900373"/>
      <w:bookmarkStart w:id="177" w:name="_Toc259093692"/>
      <w:bookmarkStart w:id="178" w:name="_Toc12773"/>
      <w:bookmarkStart w:id="179" w:name="_Toc10330"/>
      <w:bookmarkStart w:id="180" w:name="_Toc279701263"/>
      <w:r>
        <w:rPr>
          <w:rFonts w:hint="eastAsia" w:ascii="仿宋" w:hAnsi="仿宋" w:eastAsia="仿宋" w:cs="仿宋"/>
          <w:b/>
          <w:sz w:val="24"/>
          <w:highlight w:val="none"/>
        </w:rPr>
        <w:t>2.19 合同使用的文字和适用的法律</w:t>
      </w:r>
      <w:bookmarkEnd w:id="175"/>
      <w:bookmarkEnd w:id="176"/>
      <w:bookmarkEnd w:id="177"/>
      <w:bookmarkEnd w:id="178"/>
      <w:bookmarkEnd w:id="179"/>
      <w:bookmarkEnd w:id="18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outlineLvl w:val="0"/>
        <w:rPr>
          <w:rFonts w:hint="eastAsia" w:ascii="仿宋" w:hAnsi="仿宋" w:eastAsia="仿宋" w:cs="仿宋"/>
          <w:b/>
          <w:sz w:val="24"/>
          <w:highlight w:val="none"/>
        </w:rPr>
      </w:pPr>
      <w:bookmarkStart w:id="181" w:name="_Toc6885"/>
      <w:bookmarkStart w:id="182" w:name="_Toc14001"/>
      <w:bookmarkStart w:id="183" w:name="_Toc19890"/>
      <w:r>
        <w:rPr>
          <w:rFonts w:hint="eastAsia" w:ascii="仿宋" w:hAnsi="仿宋" w:eastAsia="仿宋" w:cs="仿宋"/>
          <w:b/>
          <w:sz w:val="24"/>
          <w:highlight w:val="none"/>
        </w:rPr>
        <w:t>2.20 合同份数</w:t>
      </w:r>
      <w:bookmarkEnd w:id="181"/>
      <w:bookmarkEnd w:id="182"/>
      <w:bookmarkEnd w:id="18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adjustRightInd/>
        <w:spacing w:line="360" w:lineRule="auto"/>
        <w:ind w:firstLine="480" w:firstLineChars="200"/>
        <w:jc w:val="center"/>
        <w:outlineLvl w:val="0"/>
        <w:rPr>
          <w:rFonts w:hint="eastAsia" w:ascii="仿宋" w:hAnsi="仿宋" w:eastAsia="仿宋" w:cs="仿宋"/>
          <w:b/>
          <w:highlight w:val="none"/>
        </w:rPr>
      </w:pPr>
      <w:r>
        <w:rPr>
          <w:rFonts w:hint="eastAsia" w:ascii="仿宋" w:hAnsi="仿宋" w:eastAsia="仿宋" w:cs="仿宋"/>
          <w:sz w:val="24"/>
          <w:highlight w:val="none"/>
        </w:rPr>
        <w:br w:type="page"/>
      </w:r>
      <w:r>
        <w:rPr>
          <w:rFonts w:hint="eastAsia" w:ascii="仿宋" w:hAnsi="仿宋" w:eastAsia="仿宋" w:cs="仿宋"/>
          <w:b/>
          <w:sz w:val="32"/>
          <w:szCs w:val="20"/>
          <w:highlight w:val="none"/>
        </w:rPr>
        <w:t xml:space="preserve"> </w:t>
      </w:r>
      <w:r>
        <w:rPr>
          <w:rFonts w:hint="eastAsia" w:ascii="仿宋" w:hAnsi="仿宋" w:eastAsia="仿宋" w:cs="仿宋"/>
          <w:b/>
          <w:kern w:val="2"/>
          <w:sz w:val="24"/>
          <w:szCs w:val="24"/>
          <w:highlight w:val="none"/>
          <w:lang w:val="en-US" w:eastAsia="zh-CN" w:bidi="ar-SA"/>
        </w:rPr>
        <w:t>第三部分  合同专用条款</w:t>
      </w:r>
    </w:p>
    <w:p>
      <w:pPr>
        <w:spacing w:line="560" w:lineRule="exact"/>
        <w:ind w:left="-420" w:leftChars="-200" w:right="-420" w:rightChars="-200" w:firstLine="480" w:firstLineChars="200"/>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76"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1.4.2</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1.5.1</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1.5.2 </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1.5.3</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1.6.2</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1.7.3</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1.8.6</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2.4.3</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2.8 </w:t>
            </w:r>
          </w:p>
        </w:tc>
        <w:tc>
          <w:tcPr>
            <w:tcW w:w="8176" w:type="dxa"/>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2.12.3</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2.12.4</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2.16.1</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2.16.3</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 xml:space="preserve">2.20 </w:t>
            </w:r>
          </w:p>
        </w:tc>
        <w:tc>
          <w:tcPr>
            <w:tcW w:w="8176" w:type="dxa"/>
            <w:vAlign w:val="center"/>
          </w:tcPr>
          <w:p>
            <w:pPr>
              <w:spacing w:line="360" w:lineRule="auto"/>
              <w:rPr>
                <w:rFonts w:hint="eastAsia" w:ascii="仿宋" w:hAnsi="仿宋" w:eastAsia="仿宋" w:cs="仿宋"/>
                <w:sz w:val="24"/>
                <w:highlight w:val="none"/>
              </w:rPr>
            </w:pPr>
          </w:p>
        </w:tc>
      </w:tr>
    </w:tbl>
    <w:p>
      <w:pPr>
        <w:rPr>
          <w:rFonts w:hint="eastAsia" w:ascii="仿宋" w:hAnsi="仿宋" w:eastAsia="仿宋" w:cs="仿宋"/>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pacing w:line="440" w:lineRule="exact"/>
        <w:jc w:val="left"/>
        <w:rPr>
          <w:rFonts w:ascii="宋体" w:hAnsi="宋体"/>
          <w:b/>
          <w:szCs w:val="21"/>
          <w:highlight w:val="none"/>
        </w:rPr>
      </w:pPr>
      <w:r>
        <w:rPr>
          <w:rFonts w:hint="eastAsia" w:ascii="宋体" w:hAnsi="宋体"/>
          <w:b/>
          <w:szCs w:val="21"/>
          <w:highlight w:val="none"/>
        </w:rPr>
        <w:t>1、评标方法：</w:t>
      </w:r>
    </w:p>
    <w:p>
      <w:pPr>
        <w:spacing w:line="440" w:lineRule="exact"/>
        <w:ind w:firstLine="420" w:firstLineChars="200"/>
        <w:jc w:val="left"/>
        <w:rPr>
          <w:rFonts w:hint="eastAsia" w:ascii="宋体" w:hAnsi="宋体"/>
          <w:szCs w:val="21"/>
          <w:highlight w:val="none"/>
        </w:rPr>
      </w:pPr>
      <w:r>
        <w:rPr>
          <w:rFonts w:hint="eastAsia" w:ascii="宋体" w:hAnsi="宋体"/>
          <w:szCs w:val="21"/>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13" w:firstLineChars="196"/>
        <w:jc w:val="left"/>
        <w:rPr>
          <w:rFonts w:hint="eastAsia" w:ascii="宋体" w:hAnsi="宋体"/>
          <w:b/>
          <w:szCs w:val="21"/>
          <w:highlight w:val="none"/>
        </w:rPr>
      </w:pPr>
      <w:r>
        <w:rPr>
          <w:rFonts w:hint="eastAsia" w:ascii="宋体" w:hAnsi="宋体"/>
          <w:b/>
          <w:szCs w:val="21"/>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22" w:firstLineChars="200"/>
        <w:jc w:val="left"/>
        <w:rPr>
          <w:rFonts w:hint="eastAsia" w:ascii="宋体" w:hAnsi="宋体"/>
          <w:szCs w:val="21"/>
          <w:highlight w:val="none"/>
        </w:rPr>
      </w:pPr>
      <w:r>
        <w:rPr>
          <w:rFonts w:hint="eastAsia" w:ascii="宋体" w:hAnsi="宋体"/>
          <w:b/>
          <w:szCs w:val="21"/>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宋体" w:hAnsi="宋体"/>
          <w:szCs w:val="21"/>
          <w:highlight w:val="none"/>
        </w:rPr>
      </w:pPr>
      <w:r>
        <w:rPr>
          <w:rFonts w:hint="eastAsia" w:ascii="宋体" w:hAnsi="宋体"/>
          <w:b/>
          <w:szCs w:val="21"/>
          <w:highlight w:val="none"/>
        </w:rPr>
        <w:t>2.评分标准：</w:t>
      </w:r>
      <w:r>
        <w:rPr>
          <w:rFonts w:hint="eastAsia" w:ascii="宋体" w:hAnsi="宋体"/>
          <w:szCs w:val="21"/>
          <w:highlight w:val="none"/>
        </w:rPr>
        <w:t>共100分，其中商务技术分70分，价格分30分。评分依下述所列为评标打分依据，分值如下（计算分值时，按其算术平均值保留小数2位）。</w:t>
      </w:r>
    </w:p>
    <w:p>
      <w:pPr>
        <w:spacing w:line="440" w:lineRule="exact"/>
        <w:rPr>
          <w:rFonts w:hint="eastAsia" w:ascii="宋体" w:hAnsi="宋体"/>
          <w:b/>
          <w:szCs w:val="21"/>
          <w:highlight w:val="none"/>
          <w:bdr w:val="single" w:color="auto" w:sz="4" w:space="0"/>
        </w:rPr>
      </w:pPr>
      <w:r>
        <w:rPr>
          <w:rFonts w:hint="eastAsia" w:ascii="宋体" w:hAnsi="宋体"/>
          <w:b/>
          <w:bCs/>
          <w:iCs/>
          <w:szCs w:val="21"/>
          <w:highlight w:val="none"/>
        </w:rPr>
        <w:t>2.1商务技术分（70分）</w:t>
      </w:r>
    </w:p>
    <w:tbl>
      <w:tblPr>
        <w:tblStyle w:val="6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8181"/>
        <w:gridCol w:w="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序号</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评 分 说 明</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1</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rFonts w:ascii="仿宋" w:hAnsi="仿宋" w:eastAsia="仿宋" w:cs="仿宋"/>
                <w:sz w:val="24"/>
                <w:highlight w:val="none"/>
              </w:rPr>
            </w:pPr>
            <w:r>
              <w:rPr>
                <w:rFonts w:hint="eastAsia" w:ascii="仿宋" w:hAnsi="仿宋" w:eastAsia="仿宋" w:cs="仿宋"/>
                <w:sz w:val="24"/>
                <w:szCs w:val="24"/>
                <w:highlight w:val="none"/>
              </w:rPr>
              <w:t>完全满足招标文件要求的得30分，打▲指标出现负偏离每项扣3分；其他一般性指标负偏离扣1分，扣完为止；打★指标负偏离的无效投标处理；非量化类的，若是功能一样，表述方式不一样则为符合，量化类的由评委视情况讨论决定，共30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2</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rFonts w:ascii="仿宋" w:hAnsi="仿宋" w:eastAsia="仿宋" w:cs="仿宋"/>
                <w:sz w:val="24"/>
                <w:highlight w:val="none"/>
              </w:rPr>
            </w:pPr>
            <w:r>
              <w:rPr>
                <w:rFonts w:hint="eastAsia" w:ascii="仿宋" w:hAnsi="仿宋" w:eastAsia="仿宋" w:cs="仿宋"/>
                <w:sz w:val="24"/>
                <w:szCs w:val="24"/>
                <w:highlight w:val="none"/>
              </w:rPr>
              <w:t>提供2021年1月1日（以签订合同时间为准）至今，提供所投标产品成功销售的合同（提供完整的合同复印件，复印件能清楚的辨析设备名称、型号，否则不得分），每有一份合同得1分，最高得3分。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3</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rFonts w:ascii="仿宋" w:hAnsi="仿宋" w:eastAsia="仿宋" w:cs="仿宋"/>
                <w:sz w:val="24"/>
                <w:highlight w:val="none"/>
              </w:rPr>
            </w:pPr>
            <w:r>
              <w:rPr>
                <w:rFonts w:hint="eastAsia" w:ascii="仿宋" w:hAnsi="仿宋" w:eastAsia="仿宋" w:cs="仿宋"/>
                <w:sz w:val="24"/>
                <w:szCs w:val="24"/>
                <w:highlight w:val="none"/>
              </w:rPr>
              <w:t>根据投标设备的技术先进性、易用性、稳定性进行评价，考虑所投产品的成熟性、用户认可度等方面打分；全面符合项目需求的得6.1-8.0分，基本符合项目需求的得4.1-6.0分，部分符合项目需求的得0.1-4.0分,不符合项目需求的得0分，共8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4</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rFonts w:ascii="仿宋" w:hAnsi="仿宋" w:eastAsia="仿宋" w:cs="仿宋"/>
                <w:sz w:val="24"/>
                <w:highlight w:val="none"/>
              </w:rPr>
            </w:pPr>
            <w:r>
              <w:rPr>
                <w:rFonts w:hint="eastAsia" w:ascii="仿宋" w:hAnsi="仿宋" w:eastAsia="仿宋" w:cs="仿宋"/>
                <w:sz w:val="24"/>
                <w:szCs w:val="24"/>
                <w:highlight w:val="none"/>
              </w:rPr>
              <w:t>对公司技术力量情况、供货安装进度的安排合理性、现场安全措施的可行性等方面打分；全面符合项目需求的得5.1-7.0分，基本符合项目需求的得3.1-5.0分，部分符合项目需求的得0.1-3.0分,不符合项目需求的得0分，共7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5</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rFonts w:ascii="仿宋" w:hAnsi="仿宋" w:eastAsia="仿宋" w:cs="仿宋"/>
                <w:sz w:val="24"/>
                <w:highlight w:val="none"/>
              </w:rPr>
            </w:pPr>
            <w:r>
              <w:rPr>
                <w:rFonts w:hint="eastAsia" w:ascii="仿宋" w:hAnsi="仿宋" w:eastAsia="仿宋" w:cs="仿宋"/>
                <w:sz w:val="24"/>
                <w:szCs w:val="24"/>
                <w:highlight w:val="none"/>
              </w:rPr>
              <w:t>在满足招标文件免费质保年限要求的基础上，每延长免费原厂质保期</w:t>
            </w:r>
            <w:r>
              <w:rPr>
                <w:rFonts w:hint="eastAsia" w:ascii="仿宋" w:hAnsi="仿宋" w:eastAsia="仿宋" w:cs="仿宋"/>
                <w:sz w:val="24"/>
                <w:szCs w:val="24"/>
                <w:highlight w:val="none"/>
                <w:lang w:val="en-US" w:eastAsia="zh-CN"/>
              </w:rPr>
              <w:t>1年</w:t>
            </w:r>
            <w:r>
              <w:rPr>
                <w:rFonts w:hint="eastAsia" w:ascii="仿宋" w:hAnsi="仿宋" w:eastAsia="仿宋" w:cs="仿宋"/>
                <w:sz w:val="24"/>
                <w:szCs w:val="24"/>
                <w:highlight w:val="none"/>
              </w:rPr>
              <w:t>加</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分，不足</w:t>
            </w:r>
            <w:r>
              <w:rPr>
                <w:rFonts w:hint="eastAsia" w:ascii="仿宋" w:hAnsi="仿宋" w:eastAsia="仿宋" w:cs="仿宋"/>
                <w:sz w:val="24"/>
                <w:szCs w:val="24"/>
                <w:highlight w:val="none"/>
                <w:lang w:val="en-US" w:eastAsia="zh-CN"/>
              </w:rPr>
              <w:t>1年</w:t>
            </w:r>
            <w:r>
              <w:rPr>
                <w:rFonts w:hint="eastAsia" w:ascii="仿宋" w:hAnsi="仿宋" w:eastAsia="仿宋" w:cs="仿宋"/>
                <w:sz w:val="24"/>
                <w:szCs w:val="24"/>
                <w:highlight w:val="none"/>
              </w:rPr>
              <w:t>不计分，最高得4分。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6</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rFonts w:ascii="仿宋" w:hAnsi="仿宋" w:eastAsia="仿宋" w:cs="仿宋"/>
                <w:sz w:val="24"/>
                <w:highlight w:val="none"/>
              </w:rPr>
            </w:pPr>
            <w:r>
              <w:rPr>
                <w:rFonts w:hint="eastAsia" w:ascii="仿宋" w:hAnsi="仿宋" w:eastAsia="仿宋" w:cs="仿宋"/>
                <w:sz w:val="24"/>
                <w:szCs w:val="24"/>
                <w:highlight w:val="none"/>
              </w:rPr>
              <w:t>根据提供相应产品的培训，培训方案、时间、内容、地点、人员数等方面打分；全面符合项目需求的得4.1-5.0分，基本符合项目需求的得2.1-4.0分，部分符合项目需求的得0.1-2.0分,不符合项目需求的得0分，共5分。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7</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rFonts w:ascii="仿宋" w:hAnsi="仿宋" w:eastAsia="仿宋" w:cs="仿宋"/>
                <w:sz w:val="24"/>
                <w:highlight w:val="none"/>
              </w:rPr>
            </w:pPr>
            <w:r>
              <w:rPr>
                <w:rFonts w:hint="eastAsia" w:ascii="仿宋" w:hAnsi="仿宋" w:eastAsia="仿宋" w:cs="仿宋"/>
                <w:sz w:val="24"/>
                <w:szCs w:val="24"/>
                <w:highlight w:val="none"/>
              </w:rPr>
              <w:t>对提供的售后服务的响应情况（维修网点、维修人员、维修能力、定期巡检、故障响应等）及配件供应、优惠条件情况等方面打分；全面符合项目需求的得6.1-8.0分，基本符合项目需求的得4.1-6.0分，部分符合项目需求的得0.1-4.0分,不符合项目需求的得0分，共8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8</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rFonts w:ascii="仿宋" w:hAnsi="仿宋" w:eastAsia="仿宋" w:cs="仿宋"/>
                <w:sz w:val="24"/>
                <w:highlight w:val="none"/>
              </w:rPr>
            </w:pPr>
            <w:r>
              <w:rPr>
                <w:rFonts w:hint="eastAsia" w:ascii="仿宋" w:hAnsi="仿宋" w:eastAsia="仿宋" w:cs="仿宋"/>
                <w:sz w:val="24"/>
                <w:szCs w:val="24"/>
                <w:highlight w:val="none"/>
              </w:rPr>
              <w:t>运行成本（根据保修价格、年运行费用和消耗品、易耗品价格），随机提供的耗材、备品配件、易损件是否齐全，保修期内外选购价格合理性等因素综合打分；全面符合项目需求的得3.1-5.0分，基本符合项目需求的得1.1-3.0分，部分符合项目需求的得0.1-1.0分,不符合项目需求的得0分，共5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sz w:val="24"/>
                <w:highlight w:val="none"/>
              </w:rPr>
            </w:pPr>
            <w:r>
              <w:rPr>
                <w:rFonts w:hint="eastAsia" w:ascii="仿宋" w:hAnsi="仿宋" w:eastAsia="仿宋" w:cs="仿宋"/>
                <w:sz w:val="24"/>
                <w:szCs w:val="24"/>
                <w:highlight w:val="none"/>
              </w:rPr>
              <w:t>5</w:t>
            </w:r>
          </w:p>
        </w:tc>
      </w:tr>
    </w:tbl>
    <w:p>
      <w:pPr>
        <w:spacing w:line="440" w:lineRule="exact"/>
        <w:rPr>
          <w:rFonts w:hint="eastAsia" w:ascii="宋体" w:hAnsi="宋体"/>
          <w:b/>
          <w:bCs/>
          <w:iCs/>
          <w:szCs w:val="21"/>
          <w:highlight w:val="none"/>
        </w:rPr>
      </w:pPr>
    </w:p>
    <w:p>
      <w:pPr>
        <w:spacing w:line="440" w:lineRule="exact"/>
        <w:rPr>
          <w:rFonts w:hint="eastAsia" w:ascii="宋体" w:hAnsi="宋体"/>
          <w:b/>
          <w:szCs w:val="21"/>
          <w:highlight w:val="none"/>
        </w:rPr>
      </w:pPr>
      <w:r>
        <w:rPr>
          <w:rFonts w:hint="eastAsia" w:ascii="宋体" w:hAnsi="宋体"/>
          <w:b/>
          <w:bCs/>
          <w:iCs/>
          <w:szCs w:val="21"/>
          <w:highlight w:val="none"/>
        </w:rPr>
        <w:t>2.2价格分</w:t>
      </w:r>
      <w:r>
        <w:rPr>
          <w:rFonts w:hint="eastAsia" w:ascii="宋体" w:hAnsi="宋体"/>
          <w:b/>
          <w:szCs w:val="21"/>
          <w:highlight w:val="none"/>
        </w:rPr>
        <w:t>30分</w:t>
      </w:r>
    </w:p>
    <w:p>
      <w:pPr>
        <w:spacing w:line="440" w:lineRule="exact"/>
        <w:rPr>
          <w:rFonts w:hint="eastAsia" w:ascii="宋体" w:hAnsi="宋体"/>
          <w:bCs/>
          <w:iCs/>
          <w:szCs w:val="21"/>
          <w:highlight w:val="none"/>
        </w:rPr>
      </w:pPr>
      <w:r>
        <w:rPr>
          <w:rFonts w:hint="eastAsia" w:ascii="宋体" w:hAnsi="宋体"/>
          <w:bCs/>
          <w:iCs/>
          <w:szCs w:val="21"/>
          <w:highlight w:val="none"/>
        </w:rPr>
        <w:t>2.2.1评标基准价：即满足招标文件要求且投标价格最低的投标报价为评标基准价，其价格分为满分。</w:t>
      </w:r>
    </w:p>
    <w:p>
      <w:pPr>
        <w:spacing w:line="440" w:lineRule="exact"/>
        <w:rPr>
          <w:rFonts w:hint="eastAsia" w:ascii="宋体" w:hAnsi="宋体"/>
          <w:bCs/>
          <w:iCs/>
          <w:szCs w:val="21"/>
          <w:highlight w:val="none"/>
        </w:rPr>
      </w:pPr>
      <w:r>
        <w:rPr>
          <w:rFonts w:hint="eastAsia" w:ascii="宋体" w:hAnsi="宋体"/>
          <w:bCs/>
          <w:iCs/>
          <w:szCs w:val="21"/>
          <w:highlight w:val="none"/>
        </w:rPr>
        <w:t>2.2.2其他投标人的价格分统一按照下列公式计算(</w:t>
      </w:r>
      <w:r>
        <w:rPr>
          <w:rFonts w:hint="eastAsia" w:ascii="宋体" w:hAnsi="宋体"/>
          <w:szCs w:val="21"/>
          <w:highlight w:val="none"/>
        </w:rPr>
        <w:t>保留小数2位</w:t>
      </w:r>
      <w:r>
        <w:rPr>
          <w:rFonts w:hint="eastAsia" w:ascii="宋体" w:hAnsi="宋体"/>
          <w:bCs/>
          <w:iCs/>
          <w:szCs w:val="21"/>
          <w:highlight w:val="none"/>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bCs/>
          <w:iCs/>
          <w:szCs w:val="21"/>
          <w:highlight w:val="none"/>
        </w:rPr>
      </w:pPr>
      <w:r>
        <w:rPr>
          <w:rFonts w:hint="eastAsia" w:ascii="宋体" w:hAnsi="宋体"/>
          <w:bCs/>
          <w:iCs/>
          <w:szCs w:val="21"/>
          <w:highlight w:val="none"/>
        </w:rPr>
        <w:t>投标报价得分=(评标基准价／投标报价)×价格权值×100</w:t>
      </w:r>
    </w:p>
    <w:p>
      <w:pPr>
        <w:snapToGrid w:val="0"/>
        <w:rPr>
          <w:rFonts w:ascii="宋体" w:hAnsi="宋体"/>
          <w:b/>
          <w:szCs w:val="21"/>
          <w:highlight w:val="none"/>
          <w:u w:val="single"/>
        </w:rPr>
      </w:pPr>
      <w:r>
        <w:rPr>
          <w:rFonts w:hint="eastAsia" w:ascii="宋体" w:hAnsi="宋体"/>
          <w:b/>
          <w:szCs w:val="21"/>
          <w:highlight w:val="none"/>
          <w:u w:val="single"/>
        </w:rPr>
        <w:t>即：投标报价得分=(评标基准价／投标报价)×30</w:t>
      </w:r>
    </w:p>
    <w:p>
      <w:pPr>
        <w:spacing w:line="360" w:lineRule="auto"/>
        <w:ind w:left="720" w:firstLine="723" w:firstLineChars="200"/>
        <w:outlineLvl w:val="0"/>
        <w:rPr>
          <w:rFonts w:hint="eastAsia" w:ascii="仿宋" w:hAnsi="仿宋" w:eastAsia="仿宋" w:cs="仿宋"/>
          <w:b/>
          <w:sz w:val="36"/>
          <w:szCs w:val="20"/>
          <w:highlight w:val="none"/>
        </w:rPr>
      </w:pPr>
    </w:p>
    <w:p>
      <w:pPr>
        <w:pStyle w:val="2"/>
        <w:rPr>
          <w:rFonts w:hint="eastAsia" w:ascii="仿宋" w:hAnsi="仿宋" w:eastAsia="仿宋" w:cs="仿宋"/>
          <w:b/>
          <w:sz w:val="36"/>
          <w:szCs w:val="20"/>
          <w:highlight w:val="none"/>
        </w:rPr>
      </w:pPr>
    </w:p>
    <w:p>
      <w:pPr>
        <w:pStyle w:val="2"/>
        <w:rPr>
          <w:rFonts w:hint="eastAsia" w:ascii="仿宋" w:hAnsi="仿宋" w:eastAsia="仿宋" w:cs="仿宋"/>
          <w:b/>
          <w:sz w:val="36"/>
          <w:szCs w:val="20"/>
          <w:highlight w:val="none"/>
        </w:rPr>
      </w:pPr>
    </w:p>
    <w:p>
      <w:pPr>
        <w:pStyle w:val="2"/>
        <w:rPr>
          <w:rFonts w:hint="eastAsia" w:ascii="仿宋" w:hAnsi="仿宋" w:eastAsia="仿宋" w:cs="仿宋"/>
          <w:b/>
          <w:sz w:val="36"/>
          <w:szCs w:val="20"/>
          <w:highlight w:val="none"/>
        </w:rPr>
      </w:pPr>
    </w:p>
    <w:p>
      <w:pPr>
        <w:pStyle w:val="2"/>
        <w:rPr>
          <w:rFonts w:hint="eastAsia" w:ascii="仿宋" w:hAnsi="仿宋" w:eastAsia="仿宋" w:cs="仿宋"/>
          <w:b/>
          <w:sz w:val="36"/>
          <w:szCs w:val="20"/>
          <w:highlight w:val="none"/>
        </w:rPr>
      </w:pPr>
    </w:p>
    <w:p>
      <w:pPr>
        <w:pStyle w:val="2"/>
        <w:rPr>
          <w:rFonts w:hint="eastAsia" w:ascii="仿宋" w:hAnsi="仿宋" w:eastAsia="仿宋" w:cs="仿宋"/>
          <w:b/>
          <w:sz w:val="36"/>
          <w:szCs w:val="20"/>
          <w:highlight w:val="none"/>
        </w:rPr>
      </w:pPr>
    </w:p>
    <w:p>
      <w:pPr>
        <w:pStyle w:val="2"/>
        <w:rPr>
          <w:rFonts w:hint="eastAsia" w:ascii="仿宋" w:hAnsi="仿宋" w:eastAsia="仿宋" w:cs="仿宋"/>
          <w:b/>
          <w:sz w:val="36"/>
          <w:szCs w:val="20"/>
          <w:highlight w:val="none"/>
        </w:rPr>
      </w:pPr>
    </w:p>
    <w:p>
      <w:pPr>
        <w:pStyle w:val="2"/>
        <w:rPr>
          <w:rFonts w:hint="eastAsia" w:ascii="仿宋" w:hAnsi="仿宋" w:eastAsia="仿宋" w:cs="仿宋"/>
          <w:b/>
          <w:sz w:val="36"/>
          <w:szCs w:val="20"/>
          <w:highlight w:val="none"/>
        </w:rPr>
      </w:pPr>
    </w:p>
    <w:p>
      <w:pPr>
        <w:rPr>
          <w:rFonts w:hint="eastAsia"/>
          <w:highlight w:val="none"/>
        </w:rPr>
      </w:pPr>
    </w:p>
    <w:bookmarkEnd w:id="33"/>
    <w:bookmarkEnd w:id="34"/>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pPr>
        <w:spacing w:line="360" w:lineRule="auto"/>
        <w:jc w:val="center"/>
        <w:outlineLvl w:val="0"/>
        <w:rPr>
          <w:rFonts w:hint="eastAsia" w:ascii="仿宋" w:hAnsi="仿宋" w:eastAsia="仿宋" w:cs="仿宋"/>
          <w:b/>
          <w:kern w:val="0"/>
          <w:sz w:val="36"/>
          <w:szCs w:val="36"/>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4"/>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pPr>
        <w:snapToGrid w:val="0"/>
        <w:spacing w:line="360" w:lineRule="auto"/>
        <w:rPr>
          <w:rFonts w:hint="eastAsia" w:ascii="仿宋" w:hAnsi="仿宋" w:eastAsia="仿宋" w:cs="仿宋"/>
          <w:sz w:val="24"/>
          <w:highlight w:val="none"/>
        </w:rPr>
      </w:pPr>
    </w:p>
    <w:p>
      <w:pPr>
        <w:snapToGrid w:val="0"/>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hint="eastAsia" w:ascii="仿宋" w:hAnsi="仿宋" w:eastAsia="仿宋" w:cs="仿宋"/>
          <w:b/>
          <w:kern w:val="0"/>
          <w:sz w:val="32"/>
          <w:szCs w:val="32"/>
          <w:highlight w:val="none"/>
        </w:rPr>
      </w:pPr>
    </w:p>
    <w:p>
      <w:pPr>
        <w:pStyle w:val="3"/>
        <w:rPr>
          <w:rFonts w:hint="eastAsia" w:ascii="仿宋" w:hAnsi="仿宋" w:eastAsia="仿宋" w:cs="仿宋"/>
          <w:b/>
          <w:kern w:val="0"/>
          <w:sz w:val="32"/>
          <w:szCs w:val="32"/>
          <w:highlight w:val="none"/>
        </w:rPr>
      </w:pPr>
    </w:p>
    <w:p>
      <w:pPr>
        <w:rPr>
          <w:rFonts w:hint="eastAsia"/>
          <w:highlight w:val="none"/>
        </w:rPr>
      </w:pP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1"/>
        <w:rPr>
          <w:rFonts w:hint="eastAsia"/>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highlight w:val="none"/>
        </w:rPr>
      </w:pPr>
    </w:p>
    <w:p>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lang w:eastAsia="zh-CN"/>
        </w:rPr>
        <w:t>投标函</w:t>
      </w:r>
      <w:r>
        <w:rPr>
          <w:rFonts w:hint="eastAsia" w:ascii="仿宋" w:eastAsia="仿宋" w:cs="仿宋"/>
          <w:highlight w:val="none"/>
        </w:rPr>
        <w:t>…………………………………………………………………………（页码）</w:t>
      </w:r>
    </w:p>
    <w:p>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法定代表人授权书 ………………………………………………………… （页码）</w:t>
      </w:r>
    </w:p>
    <w:p>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法定代表人及其授权代表身份证复印件（复印件）…………………………（页码）</w:t>
      </w:r>
    </w:p>
    <w:p>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法定代表人身份证明书……………………………………………………… （页码）</w:t>
      </w:r>
    </w:p>
    <w:p>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rPr>
        <w:t>商务技术</w:t>
      </w:r>
      <w:r>
        <w:rPr>
          <w:rFonts w:hint="eastAsia" w:ascii="仿宋" w:eastAsia="仿宋" w:cs="仿宋"/>
          <w:highlight w:val="none"/>
          <w:lang w:eastAsia="zh-CN"/>
        </w:rPr>
        <w:t>偏离表</w:t>
      </w:r>
      <w:r>
        <w:rPr>
          <w:rFonts w:hint="eastAsia" w:ascii="仿宋" w:eastAsia="仿宋" w:cs="仿宋"/>
          <w:highlight w:val="none"/>
        </w:rPr>
        <w:t>……………………………………………………………… （页码）</w:t>
      </w:r>
    </w:p>
    <w:p>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pPr>
        <w:adjustRightInd w:val="0"/>
        <w:spacing w:line="360" w:lineRule="auto"/>
        <w:ind w:right="-510" w:rightChars="-243"/>
        <w:jc w:val="both"/>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7</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w:t>
      </w:r>
      <w:r>
        <w:rPr>
          <w:rFonts w:hint="eastAsia" w:ascii="仿宋" w:eastAsia="仿宋" w:cs="仿宋"/>
          <w:highlight w:val="none"/>
        </w:rPr>
        <w:t>……</w:t>
      </w:r>
      <w:r>
        <w:rPr>
          <w:rFonts w:hint="eastAsia" w:ascii="仿宋_GB2312" w:hAnsi="仿宋_GB2312" w:eastAsia="仿宋_GB2312" w:cs="仿宋_GB2312"/>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10</w:t>
      </w:r>
      <w:r>
        <w:rPr>
          <w:rFonts w:hint="eastAsia" w:ascii="仿宋_GB2312" w:hAnsi="仿宋_GB2312" w:eastAsia="仿宋_GB2312" w:cs="仿宋_GB2312"/>
          <w:kern w:val="0"/>
          <w:sz w:val="24"/>
          <w:highlight w:val="none"/>
        </w:rPr>
        <w:t>）售后服务方案……………………………………………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11）</w:t>
      </w:r>
      <w:r>
        <w:rPr>
          <w:rFonts w:hint="eastAsia" w:ascii="仿宋_GB2312" w:hAnsi="仿宋_GB2312" w:eastAsia="仿宋_GB2312" w:cs="仿宋_GB2312"/>
          <w:sz w:val="24"/>
          <w:highlight w:val="none"/>
        </w:rPr>
        <w:t>供应商售后服务证明材料……………………………………………………（页码）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12</w:t>
      </w:r>
      <w:r>
        <w:rPr>
          <w:rFonts w:hint="eastAsia" w:ascii="仿宋_GB2312" w:hAnsi="仿宋_GB2312" w:eastAsia="仿宋_GB2312" w:cs="仿宋_GB2312"/>
          <w:kern w:val="0"/>
          <w:sz w:val="24"/>
          <w:highlight w:val="none"/>
        </w:rPr>
        <w:t>）项目小组人员名单………………………………………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 w:eastAsia="仿宋" w:cs="仿宋"/>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jc w:val="both"/>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17</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pPr>
        <w:snapToGrid w:val="0"/>
        <w:spacing w:line="360" w:lineRule="auto"/>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highlight w:val="none"/>
          <w:lang w:val="zh-CN"/>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三</w:t>
      </w:r>
      <w:r>
        <w:rPr>
          <w:rFonts w:hint="eastAsia" w:ascii="仿宋" w:hAnsi="仿宋" w:eastAsia="仿宋" w:cs="仿宋"/>
          <w:b/>
          <w:sz w:val="30"/>
          <w:szCs w:val="30"/>
          <w:highlight w:val="none"/>
        </w:rPr>
        <w:t>、法定代表人及其授权代表身份证复印件（正反面）</w:t>
      </w: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四</w:t>
      </w:r>
      <w:r>
        <w:rPr>
          <w:rFonts w:hint="eastAsia" w:ascii="仿宋" w:hAnsi="仿宋" w:eastAsia="仿宋" w:cs="仿宋"/>
          <w:b/>
          <w:sz w:val="30"/>
          <w:szCs w:val="30"/>
          <w:highlight w:val="none"/>
        </w:rPr>
        <w:t>、法定代表人身份证明书(格式)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hint="eastAsia" w:ascii="仿宋" w:hAnsi="仿宋" w:eastAsia="仿宋" w:cs="仿宋"/>
          <w:sz w:val="24"/>
          <w:highlight w:val="none"/>
        </w:rPr>
      </w:pP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pPr>
        <w:spacing w:line="440" w:lineRule="exact"/>
        <w:ind w:right="480"/>
        <w:rPr>
          <w:rFonts w:hint="eastAsia" w:ascii="仿宋" w:hAnsi="仿宋" w:eastAsia="仿宋" w:cs="仿宋"/>
          <w:sz w:val="24"/>
          <w:highlight w:val="none"/>
        </w:rPr>
      </w:pPr>
    </w:p>
    <w:p>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rPr>
          <w:rFonts w:hint="eastAsia"/>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bl>
    <w:p>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hint="eastAsia" w:ascii="仿宋" w:hAnsi="仿宋" w:eastAsia="仿宋" w:cs="仿宋"/>
          <w:b/>
          <w:kern w:val="0"/>
          <w:sz w:val="32"/>
          <w:szCs w:val="32"/>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ind w:firstLine="1911" w:firstLineChars="595"/>
        <w:rPr>
          <w:rFonts w:hint="eastAsia" w:ascii="仿宋" w:hAnsi="仿宋" w:eastAsia="仿宋" w:cs="仿宋"/>
          <w:b/>
          <w:bCs/>
          <w:sz w:val="32"/>
          <w:szCs w:val="32"/>
          <w:highlight w:val="none"/>
        </w:rPr>
      </w:pPr>
    </w:p>
    <w:p>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eastAsia="zh-CN"/>
        </w:rPr>
        <w:t>六</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hint="eastAsia" w:ascii="仿宋" w:hAnsi="仿宋" w:eastAsia="仿宋" w:cs="仿宋"/>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hint="eastAsia" w:ascii="仿宋" w:hAnsi="仿宋" w:eastAsia="仿宋" w:cs="仿宋"/>
          <w:b/>
          <w:bCs/>
          <w:sz w:val="24"/>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jc w:val="center"/>
        <w:rPr>
          <w:rFonts w:hint="eastAsia" w:ascii="仿宋_GB2312" w:hAnsi="仿宋_GB2312" w:eastAsia="仿宋_GB2312" w:cs="仿宋_GB2312"/>
          <w:b/>
          <w:sz w:val="32"/>
          <w:szCs w:val="32"/>
          <w:highlight w:val="none"/>
          <w:lang w:eastAsia="zh-CN"/>
        </w:rPr>
      </w:pPr>
    </w:p>
    <w:p>
      <w:pPr>
        <w:spacing w:line="360" w:lineRule="auto"/>
        <w:jc w:val="center"/>
        <w:rPr>
          <w:rFonts w:hint="eastAsia" w:ascii="仿宋_GB2312" w:hAnsi="仿宋_GB2312" w:eastAsia="仿宋_GB2312" w:cs="仿宋_GB2312"/>
          <w:b/>
          <w:sz w:val="32"/>
          <w:szCs w:val="32"/>
          <w:highlight w:val="none"/>
          <w:lang w:eastAsia="zh-CN"/>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eastAsia="zh-CN"/>
        </w:rPr>
        <w:t>七</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trike w:val="0"/>
          <w:sz w:val="24"/>
          <w:highlight w:val="none"/>
        </w:rPr>
      </w:pPr>
      <w:r>
        <w:rPr>
          <w:rFonts w:hint="eastAsia" w:ascii="仿宋_GB2312" w:hAnsi="仿宋_GB2312" w:eastAsia="仿宋_GB2312" w:cs="仿宋_GB2312"/>
          <w:b/>
          <w:sz w:val="24"/>
          <w:highlight w:val="none"/>
        </w:rPr>
        <w:t>注：供应商可按上述的格式自行编制，须随表提交相应的合同复印</w:t>
      </w:r>
      <w:r>
        <w:rPr>
          <w:rFonts w:hint="eastAsia" w:ascii="仿宋_GB2312" w:hAnsi="仿宋_GB2312" w:eastAsia="仿宋_GB2312" w:cs="仿宋_GB2312"/>
          <w:b/>
          <w:strike w:val="0"/>
          <w:sz w:val="24"/>
          <w:highlight w:val="none"/>
        </w:rPr>
        <w:t>件。</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49"/>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八</w:t>
      </w:r>
      <w:r>
        <w:rPr>
          <w:rFonts w:hint="eastAsia" w:ascii="仿宋_GB2312" w:hAnsi="仿宋_GB2312" w:eastAsia="仿宋_GB2312" w:cs="仿宋_GB2312"/>
          <w:b/>
          <w:bCs/>
          <w:sz w:val="32"/>
          <w:szCs w:val="32"/>
          <w:highlight w:val="none"/>
        </w:rPr>
        <w:t>、技术解决方案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九、组织实施方案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1"/>
        <w:rPr>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rPr>
        <w:t>、售后服务方案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1"/>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_GB2312" w:hAnsi="仿宋_GB2312" w:eastAsia="仿宋_GB2312" w:cs="仿宋_GB2312"/>
          <w:b/>
          <w:sz w:val="30"/>
          <w:szCs w:val="30"/>
          <w:highlight w:val="none"/>
          <w:lang w:eastAsia="zh-CN"/>
        </w:rPr>
      </w:pPr>
    </w:p>
    <w:p>
      <w:pPr>
        <w:spacing w:line="360" w:lineRule="auto"/>
        <w:rPr>
          <w:rFonts w:hint="eastAsia" w:ascii="仿宋_GB2312" w:hAnsi="仿宋_GB2312" w:eastAsia="仿宋_GB2312" w:cs="仿宋_GB2312"/>
          <w:b/>
          <w:sz w:val="30"/>
          <w:szCs w:val="30"/>
          <w:highlight w:val="none"/>
          <w:lang w:eastAsia="zh-CN"/>
        </w:rPr>
      </w:pPr>
    </w:p>
    <w:p>
      <w:pPr>
        <w:spacing w:line="360" w:lineRule="auto"/>
        <w:rPr>
          <w:rFonts w:hint="eastAsia" w:ascii="仿宋_GB2312" w:hAnsi="仿宋_GB2312" w:eastAsia="仿宋_GB2312" w:cs="仿宋_GB2312"/>
          <w:b/>
          <w:sz w:val="30"/>
          <w:szCs w:val="30"/>
          <w:highlight w:val="none"/>
          <w:lang w:eastAsia="zh-CN"/>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十一</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w:t>
      </w:r>
      <w:r>
        <w:rPr>
          <w:rFonts w:hint="eastAsia" w:ascii="仿宋_GB2312" w:hAnsi="仿宋_GB2312" w:eastAsia="仿宋_GB2312" w:cs="仿宋_GB2312"/>
          <w:sz w:val="24"/>
          <w:highlight w:val="none"/>
          <w:lang w:eastAsia="zh-CN"/>
        </w:rPr>
        <w:t>招标</w:t>
      </w:r>
      <w:r>
        <w:rPr>
          <w:rFonts w:hint="eastAsia" w:ascii="仿宋_GB2312" w:hAnsi="仿宋_GB2312" w:eastAsia="仿宋_GB2312" w:cs="仿宋_GB2312"/>
          <w:sz w:val="24"/>
          <w:highlight w:val="none"/>
        </w:rPr>
        <w:t>文件要求编制）</w:t>
      </w:r>
    </w:p>
    <w:p>
      <w:pPr>
        <w:spacing w:line="336" w:lineRule="auto"/>
        <w:ind w:firstLine="3600" w:firstLineChars="1500"/>
        <w:rPr>
          <w:rFonts w:hint="eastAsia" w:ascii="仿宋" w:hAnsi="仿宋" w:eastAsia="仿宋" w:cs="仿宋"/>
          <w:sz w:val="24"/>
          <w:highlight w:val="none"/>
        </w:rPr>
      </w:pPr>
    </w:p>
    <w:p>
      <w:pPr>
        <w:pStyle w:val="81"/>
        <w:rPr>
          <w:rFonts w:hint="eastAsia"/>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十二</w:t>
      </w:r>
      <w:r>
        <w:rPr>
          <w:rFonts w:hint="eastAsia" w:ascii="仿宋_GB2312" w:hAnsi="仿宋_GB2312" w:eastAsia="仿宋_GB2312" w:cs="仿宋_GB2312"/>
          <w:b/>
          <w:bCs/>
          <w:sz w:val="32"/>
          <w:szCs w:val="32"/>
          <w:highlight w:val="none"/>
        </w:rPr>
        <w:t>、项目小组人员名单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81"/>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81"/>
        <w:rPr>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jc w:val="both"/>
        <w:rPr>
          <w:rFonts w:hint="eastAsia" w:ascii="仿宋_GB2312" w:hAnsi="仿宋_GB2312" w:eastAsia="仿宋_GB2312" w:cs="仿宋_GB2312"/>
          <w:kern w:val="0"/>
          <w:sz w:val="24"/>
          <w:highlight w:val="none"/>
          <w:lang w:val="zh-CN"/>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十三</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十六</w:t>
      </w:r>
      <w:r>
        <w:rPr>
          <w:rFonts w:hint="eastAsia" w:ascii="仿宋_GB2312" w:hAnsi="仿宋_GB2312" w:eastAsia="仿宋_GB2312" w:cs="仿宋_GB2312"/>
          <w:b/>
          <w:bCs/>
          <w:sz w:val="32"/>
          <w:szCs w:val="32"/>
          <w:highlight w:val="none"/>
        </w:rPr>
        <w:t>、验收方案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十七</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24"/>
          <w:highlight w:val="none"/>
        </w:rPr>
      </w:pPr>
    </w:p>
    <w:p>
      <w:pPr>
        <w:pStyle w:val="81"/>
        <w:rPr>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2"/>
        <w:rPr>
          <w:rFonts w:hint="eastAsia"/>
          <w:highlight w:val="none"/>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（2）中小企业声明函………………………………………………………………（页码）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（3）残疾人福利性单位声明函……………………………………………………（页码）</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both"/>
        <w:rPr>
          <w:rFonts w:hint="eastAsia" w:ascii="仿宋" w:hAnsi="仿宋" w:eastAsia="仿宋" w:cs="仿宋"/>
          <w:b/>
          <w:kern w:val="0"/>
          <w:sz w:val="32"/>
          <w:szCs w:val="32"/>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pPr>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br w:type="page"/>
      </w: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417"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417"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c>
          <w:tcPr>
            <w:tcW w:w="1417" w:type="dxa"/>
            <w:vAlign w:val="center"/>
          </w:tcPr>
          <w:p>
            <w:pPr>
              <w:snapToGrid w:val="0"/>
              <w:spacing w:line="360" w:lineRule="auto"/>
              <w:jc w:val="center"/>
              <w:rPr>
                <w:rFonts w:ascii="仿宋" w:hAnsi="仿宋" w:eastAsia="仿宋" w:cs="仿宋"/>
                <w:sz w:val="24"/>
                <w:highlight w:val="none"/>
              </w:rPr>
            </w:pP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p>
        </w:tc>
        <w:tc>
          <w:tcPr>
            <w:tcW w:w="1417" w:type="dxa"/>
            <w:vAlign w:val="center"/>
          </w:tcPr>
          <w:p>
            <w:pPr>
              <w:snapToGrid w:val="0"/>
              <w:spacing w:line="360" w:lineRule="auto"/>
              <w:jc w:val="center"/>
              <w:rPr>
                <w:rFonts w:ascii="仿宋" w:hAnsi="仿宋" w:eastAsia="仿宋" w:cs="仿宋"/>
                <w:sz w:val="24"/>
                <w:highlight w:val="none"/>
              </w:rPr>
            </w:pP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pPr>
              <w:spacing w:line="360" w:lineRule="auto"/>
              <w:jc w:val="center"/>
              <w:rPr>
                <w:rFonts w:ascii="仿宋" w:hAnsi="仿宋" w:eastAsia="仿宋" w:cs="仿宋"/>
                <w:sz w:val="24"/>
                <w:highlight w:val="none"/>
              </w:rPr>
            </w:pPr>
          </w:p>
        </w:tc>
      </w:tr>
    </w:tbl>
    <w:p>
      <w:pPr>
        <w:snapToGrid w:val="0"/>
        <w:spacing w:line="360" w:lineRule="auto"/>
        <w:ind w:left="480"/>
        <w:rPr>
          <w:rFonts w:ascii="仿宋" w:hAnsi="仿宋" w:eastAsia="仿宋" w:cs="仿宋"/>
          <w:b/>
          <w:kern w:val="0"/>
          <w:sz w:val="24"/>
          <w:highlight w:val="none"/>
          <w:lang w:val="zh-CN"/>
        </w:rPr>
      </w:pPr>
    </w:p>
    <w:p>
      <w:pPr>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9240" w:firstLineChars="38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474" w:right="1814" w:bottom="1474" w:left="181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w:t>
      </w:r>
      <w:bookmarkStart w:id="184" w:name="_Hlk101259491"/>
      <w:r>
        <w:rPr>
          <w:rFonts w:hint="eastAsia" w:ascii="仿宋" w:hAnsi="仿宋" w:eastAsia="仿宋" w:cs="仿宋"/>
          <w:sz w:val="32"/>
          <w:szCs w:val="32"/>
          <w:highlight w:val="none"/>
        </w:rPr>
        <w:t>（如果有）</w:t>
      </w:r>
      <w:bookmarkEnd w:id="184"/>
    </w:p>
    <w:p>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auto"/>
          <w:highlight w:val="none"/>
        </w:rPr>
      </w:pPr>
    </w:p>
    <w:p>
      <w:pPr>
        <w:pStyle w:val="82"/>
        <w:rPr>
          <w:rFonts w:ascii="仿宋" w:hAnsi="仿宋" w:eastAsia="仿宋" w:cs="仿宋"/>
          <w:b/>
          <w:sz w:val="24"/>
          <w:highlight w:val="none"/>
        </w:rPr>
      </w:pPr>
    </w:p>
    <w:p>
      <w:pPr>
        <w:rPr>
          <w:rFonts w:ascii="仿宋" w:hAnsi="仿宋" w:eastAsia="仿宋" w:cs="仿宋"/>
          <w:b/>
          <w:sz w:val="24"/>
          <w:highlight w:val="none"/>
        </w:rPr>
      </w:pPr>
    </w:p>
    <w:p>
      <w:pPr>
        <w:pStyle w:val="81"/>
        <w:rPr>
          <w:rFonts w:ascii="仿宋" w:hAnsi="仿宋" w:eastAsia="仿宋" w:cs="仿宋"/>
          <w:b/>
          <w:color w:val="auto"/>
          <w:highlight w:val="none"/>
        </w:rPr>
      </w:pPr>
    </w:p>
    <w:p>
      <w:pPr>
        <w:pStyle w:val="82"/>
        <w:rPr>
          <w:highlight w:val="none"/>
        </w:rPr>
      </w:pPr>
    </w:p>
    <w:p>
      <w:pPr>
        <w:pStyle w:val="82"/>
        <w:rPr>
          <w:highlight w:val="none"/>
        </w:rPr>
      </w:pPr>
    </w:p>
    <w:p>
      <w:pPr>
        <w:widowControl/>
        <w:spacing w:line="360" w:lineRule="auto"/>
        <w:ind w:firstLine="161" w:firstLineChars="50"/>
        <w:jc w:val="center"/>
        <w:rPr>
          <w:rFonts w:ascii="仿宋" w:hAnsi="仿宋" w:eastAsia="仿宋" w:cs="仿宋"/>
          <w:b/>
          <w:sz w:val="24"/>
          <w:highlight w:val="none"/>
        </w:rPr>
      </w:pPr>
      <w:r>
        <w:rPr>
          <w:rFonts w:ascii="仿宋" w:hAnsi="仿宋" w:eastAsia="仿宋"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highlight w:val="none"/>
        </w:rPr>
      </w:pPr>
      <w:r>
        <w:rPr>
          <w:rFonts w:ascii="仿宋" w:hAnsi="仿宋" w:eastAsia="仿宋" w:cs="仿宋"/>
          <w:b/>
          <w:bCs/>
          <w:snapToGrid w:val="0"/>
          <w:sz w:val="24"/>
          <w:szCs w:val="21"/>
          <w:highlight w:val="none"/>
          <w:lang w:val="zh-CN"/>
        </w:rPr>
        <w:t>[符合条件的残疾人福利性单位，提供残疾人福利性单位声明函(附件</w:t>
      </w:r>
      <w:r>
        <w:rPr>
          <w:rFonts w:hint="eastAsia" w:ascii="仿宋" w:hAnsi="仿宋" w:eastAsia="仿宋" w:cs="仿宋"/>
          <w:b/>
          <w:bCs/>
          <w:snapToGrid w:val="0"/>
          <w:sz w:val="24"/>
          <w:szCs w:val="21"/>
          <w:highlight w:val="none"/>
        </w:rPr>
        <w:t>6</w:t>
      </w:r>
      <w:r>
        <w:rPr>
          <w:rFonts w:ascii="仿宋" w:hAnsi="仿宋" w:eastAsia="仿宋" w:cs="仿宋"/>
          <w:b/>
          <w:bCs/>
          <w:snapToGrid w:val="0"/>
          <w:sz w:val="24"/>
          <w:szCs w:val="21"/>
          <w:highlight w:val="none"/>
          <w:lang w:val="zh-CN"/>
        </w:rPr>
        <w:t>)，否则不需要提供。]</w:t>
      </w:r>
    </w:p>
    <w:p>
      <w:pPr>
        <w:pStyle w:val="81"/>
        <w:widowControl/>
        <w:spacing w:line="360" w:lineRule="auto"/>
        <w:ind w:firstLine="120" w:firstLineChars="50"/>
        <w:rPr>
          <w:rFonts w:ascii="仿宋" w:hAnsi="仿宋" w:eastAsia="仿宋" w:cs="仿宋"/>
          <w:b/>
          <w:color w:val="auto"/>
          <w:highlight w:val="none"/>
        </w:rPr>
      </w:pPr>
    </w:p>
    <w:p>
      <w:pPr>
        <w:pStyle w:val="82"/>
        <w:spacing w:line="360" w:lineRule="auto"/>
        <w:ind w:left="0" w:firstLine="120" w:firstLineChars="50"/>
        <w:jc w:val="left"/>
        <w:rPr>
          <w:rFonts w:ascii="仿宋" w:hAnsi="仿宋" w:eastAsia="仿宋" w:cs="仿宋"/>
          <w:b/>
          <w:sz w:val="24"/>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highlight w:val="none"/>
        </w:rPr>
      </w:pPr>
    </w:p>
    <w:p>
      <w:pPr>
        <w:pStyle w:val="81"/>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pPr>
        <w:pStyle w:val="82"/>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bookmarkStart w:id="185" w:name="_Toc465665161"/>
      <w:r>
        <w:rPr>
          <w:rFonts w:hint="eastAsia" w:ascii="仿宋" w:hAnsi="仿宋" w:eastAsia="仿宋" w:cs="仿宋"/>
          <w:highlight w:val="none"/>
        </w:rPr>
        <w:t>附件</w:t>
      </w:r>
      <w:bookmarkEnd w:id="185"/>
    </w:p>
    <w:p>
      <w:pPr>
        <w:spacing w:line="360" w:lineRule="auto"/>
        <w:rPr>
          <w:rFonts w:hint="eastAsia" w:ascii="仿宋" w:hAnsi="仿宋" w:eastAsia="仿宋" w:cs="仿宋"/>
          <w:b/>
          <w:sz w:val="24"/>
          <w:highlight w:val="none"/>
        </w:rPr>
      </w:pP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1</w:t>
      </w:r>
      <w:r>
        <w:rPr>
          <w:rFonts w:hint="eastAsia" w:ascii="仿宋" w:hAnsi="仿宋" w:eastAsia="仿宋" w:cs="仿宋"/>
          <w:b/>
          <w:spacing w:val="6"/>
          <w:sz w:val="32"/>
          <w:szCs w:val="32"/>
          <w:highlight w:val="none"/>
        </w:rPr>
        <w:t>：质疑函范本及制作说明</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3</w:t>
      </w:r>
      <w:r>
        <w:rPr>
          <w:rFonts w:hint="eastAsia" w:ascii="仿宋" w:hAnsi="仿宋" w:eastAsia="仿宋" w:cs="仿宋"/>
          <w:b/>
          <w:spacing w:val="6"/>
          <w:sz w:val="32"/>
          <w:szCs w:val="32"/>
          <w:highlight w:val="none"/>
        </w:rPr>
        <w:t>：</w:t>
      </w:r>
      <w:r>
        <w:rPr>
          <w:rFonts w:hint="eastAsia" w:ascii="仿宋" w:hAnsi="仿宋" w:eastAsia="仿宋" w:cs="仿宋"/>
          <w:b/>
          <w:bCs/>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w:t>
      </w:r>
      <w:r>
        <w:rPr>
          <w:rFonts w:hint="eastAsia" w:ascii="仿宋" w:hAnsi="仿宋" w:eastAsia="仿宋" w:cs="仿宋"/>
          <w:bCs/>
          <w:sz w:val="24"/>
          <w:highlight w:val="none"/>
        </w:rPr>
        <w:t>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1"/>
        <w:rPr>
          <w:rFonts w:hint="eastAsia"/>
          <w:highlight w:val="none"/>
        </w:rPr>
      </w:pPr>
    </w:p>
    <w:p>
      <w:pPr>
        <w:rPr>
          <w:rFonts w:hint="eastAsia"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81"/>
        <w:rPr>
          <w:rFonts w:hint="eastAsia" w:ascii="仿宋" w:hAnsi="仿宋" w:eastAsia="仿宋" w:cs="仿宋"/>
          <w:b/>
          <w:spacing w:val="6"/>
          <w:sz w:val="32"/>
          <w:szCs w:val="32"/>
          <w:highlight w:val="none"/>
        </w:rPr>
      </w:pPr>
    </w:p>
    <w:p>
      <w:pPr>
        <w:pStyle w:val="82"/>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81"/>
        <w:rPr>
          <w:rFonts w:hint="eastAsia" w:ascii="仿宋" w:hAnsi="仿宋" w:eastAsia="仿宋" w:cs="仿宋"/>
          <w:b/>
          <w:spacing w:val="6"/>
          <w:sz w:val="32"/>
          <w:szCs w:val="32"/>
          <w:highlight w:val="none"/>
        </w:rPr>
      </w:pPr>
    </w:p>
    <w:p>
      <w:pPr>
        <w:pStyle w:val="82"/>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81"/>
        <w:rPr>
          <w:rFonts w:hint="eastAsia" w:ascii="仿宋" w:hAnsi="仿宋" w:eastAsia="仿宋" w:cs="仿宋"/>
          <w:b/>
          <w:spacing w:val="6"/>
          <w:sz w:val="32"/>
          <w:szCs w:val="32"/>
          <w:highlight w:val="none"/>
        </w:rPr>
      </w:pPr>
    </w:p>
    <w:p>
      <w:pPr>
        <w:pStyle w:val="82"/>
        <w:rPr>
          <w:rFonts w:hint="eastAsia" w:ascii="仿宋" w:hAnsi="仿宋" w:eastAsia="仿宋" w:cs="仿宋"/>
          <w:b/>
          <w:spacing w:val="6"/>
          <w:sz w:val="32"/>
          <w:szCs w:val="32"/>
          <w:highlight w:val="none"/>
        </w:rPr>
      </w:pPr>
    </w:p>
    <w:p>
      <w:pPr>
        <w:rPr>
          <w:rFonts w:hint="eastAsia"/>
          <w:highlight w:val="none"/>
        </w:rPr>
      </w:pP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4</w:t>
      </w:r>
      <w:r>
        <w:rPr>
          <w:rFonts w:hint="eastAsia" w:ascii="仿宋" w:hAnsi="仿宋" w:eastAsia="仿宋" w:cs="仿宋"/>
          <w:b/>
          <w:kern w:val="0"/>
          <w:sz w:val="32"/>
          <w:szCs w:val="32"/>
          <w:highlight w:val="none"/>
        </w:rPr>
        <w:t>：联合协议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360" w:lineRule="auto"/>
        <w:ind w:firstLine="576"/>
        <w:rPr>
          <w:rFonts w:hint="eastAsia" w:ascii="仿宋" w:hAnsi="仿宋" w:eastAsia="仿宋" w:cs="仿宋"/>
          <w:kern w:val="0"/>
          <w:sz w:val="24"/>
          <w:highlight w:val="none"/>
          <w:lang w:val="zh-CN"/>
        </w:rPr>
      </w:pPr>
      <w:bookmarkStart w:id="186"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186"/>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5</w:t>
      </w:r>
      <w:r>
        <w:rPr>
          <w:rFonts w:hint="eastAsia" w:ascii="仿宋" w:hAnsi="仿宋" w:eastAsia="仿宋" w:cs="仿宋"/>
          <w:b/>
          <w:kern w:val="0"/>
          <w:sz w:val="32"/>
          <w:szCs w:val="32"/>
          <w:highlight w:val="none"/>
        </w:rPr>
        <w:t>：分包意向协议</w:t>
      </w:r>
    </w:p>
    <w:p>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4"/>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87"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187"/>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81"/>
        <w:rPr>
          <w:rFonts w:hint="eastAsia" w:ascii="仿宋" w:hAnsi="仿宋" w:eastAsia="仿宋" w:cs="仿宋"/>
          <w:b/>
          <w:spacing w:val="6"/>
          <w:sz w:val="32"/>
          <w:szCs w:val="32"/>
          <w:highlight w:val="none"/>
        </w:rPr>
      </w:pPr>
    </w:p>
    <w:p>
      <w:pPr>
        <w:pStyle w:val="82"/>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81"/>
        <w:rPr>
          <w:rFonts w:hint="eastAsia" w:ascii="仿宋" w:hAnsi="仿宋" w:eastAsia="仿宋" w:cs="仿宋"/>
          <w:b/>
          <w:spacing w:val="6"/>
          <w:sz w:val="32"/>
          <w:szCs w:val="32"/>
          <w:highlight w:val="none"/>
        </w:rPr>
      </w:pPr>
    </w:p>
    <w:p>
      <w:pPr>
        <w:pStyle w:val="82"/>
        <w:rPr>
          <w:rFonts w:hint="eastAsia"/>
          <w:highlight w:val="none"/>
        </w:rPr>
      </w:pPr>
    </w:p>
    <w:p>
      <w:pPr>
        <w:spacing w:line="360" w:lineRule="auto"/>
        <w:jc w:val="both"/>
        <w:rPr>
          <w:rFonts w:hint="eastAsia" w:ascii="仿宋" w:hAnsi="仿宋" w:eastAsia="仿宋" w:cs="仿宋"/>
          <w:b/>
          <w:spacing w:val="6"/>
          <w:sz w:val="32"/>
          <w:szCs w:val="32"/>
          <w:highlight w:val="none"/>
        </w:rPr>
      </w:pPr>
      <w:bookmarkStart w:id="188" w:name="OLE_LINK14"/>
      <w:bookmarkStart w:id="189" w:name="OLE_LINK13"/>
    </w:p>
    <w:p>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188"/>
    <w:bookmarkEnd w:id="189"/>
    <w:p>
      <w:pPr>
        <w:spacing w:line="360" w:lineRule="auto"/>
        <w:rPr>
          <w:rFonts w:hint="eastAsia" w:ascii="仿宋" w:hAnsi="仿宋" w:eastAsia="仿宋" w:cs="仿宋"/>
          <w:b/>
          <w:spacing w:val="6"/>
          <w:sz w:val="30"/>
          <w:szCs w:val="30"/>
          <w:highlight w:val="none"/>
        </w:rPr>
      </w:pP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35"/>
        <w:rPr>
          <w:rFonts w:hint="eastAsia" w:ascii="仿宋" w:hAnsi="仿宋" w:eastAsia="仿宋" w:cs="仿宋"/>
          <w:b/>
          <w:spacing w:val="6"/>
          <w:sz w:val="32"/>
          <w:szCs w:val="32"/>
          <w:highlight w:val="none"/>
        </w:rPr>
      </w:pPr>
    </w:p>
    <w:p>
      <w:pPr>
        <w:pStyle w:val="35"/>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pPr>
        <w:spacing w:line="360" w:lineRule="auto"/>
        <w:jc w:val="center"/>
        <w:rPr>
          <w:rFonts w:hint="eastAsia" w:ascii="仿宋" w:hAnsi="仿宋" w:eastAsia="仿宋" w:cs="仿宋"/>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jc w:val="left"/>
        <w:rPr>
          <w:rFonts w:hint="eastAsia"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4"/>
        <w:rPr>
          <w:rFonts w:hint="eastAsia"/>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360" w:lineRule="auto"/>
        <w:ind w:right="420"/>
        <w:rPr>
          <w:rFonts w:hint="eastAsia" w:ascii="仿宋" w:hAnsi="仿宋" w:eastAsia="仿宋" w:cs="仿宋"/>
          <w:highlight w:val="none"/>
        </w:rPr>
      </w:pPr>
    </w:p>
    <w:p>
      <w:pPr>
        <w:spacing w:line="360" w:lineRule="auto"/>
        <w:rPr>
          <w:rFonts w:ascii="宋体" w:hAnsi="宋体" w:cs="宋体"/>
          <w:bCs/>
          <w:sz w:val="24"/>
          <w:highlight w:val="none"/>
        </w:rPr>
      </w:pPr>
    </w:p>
    <w:p>
      <w:pPr>
        <w:spacing w:line="360" w:lineRule="auto"/>
        <w:jc w:val="center"/>
        <w:rPr>
          <w:rFonts w:ascii="宋体" w:hAnsi="宋体" w:cs="宋体"/>
          <w:b/>
          <w:sz w:val="32"/>
          <w:szCs w:val="32"/>
          <w:highlight w:val="none"/>
        </w:rPr>
      </w:pPr>
    </w:p>
    <w:p>
      <w:pPr>
        <w:spacing w:line="360" w:lineRule="auto"/>
        <w:rPr>
          <w:rFonts w:ascii="宋体" w:hAnsi="宋体" w:cs="宋体"/>
          <w:bCs/>
          <w:sz w:val="24"/>
          <w:highlight w:val="none"/>
        </w:rPr>
      </w:pPr>
    </w:p>
    <w:bookmarkEnd w:id="194"/>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000020204"/>
    <w:charset w:val="86"/>
    <w:family w:val="swiss"/>
    <w:pitch w:val="default"/>
    <w:sig w:usb0="00000000" w:usb1="00000000" w:usb2="0000003F" w:usb3="00000000" w:csb0="003F01FF" w:csb1="0000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0" w:name="_Toc131845147"/>
    <w:bookmarkStart w:id="191" w:name="_Toc36110187"/>
    <w:bookmarkStart w:id="192" w:name="_Toc91899912"/>
    <w:bookmarkStart w:id="193" w:name="_Toc164085800"/>
    <w:r>
      <w:rPr>
        <w:rFonts w:hint="eastAsia" w:ascii="仿宋_GB2312" w:eastAsia="仿宋_GB2312"/>
        <w:kern w:val="0"/>
        <w:szCs w:val="21"/>
      </w:rPr>
      <w:t xml:space="preserve"> 页</w:t>
    </w:r>
    <w:bookmarkEnd w:id="190"/>
    <w:bookmarkEnd w:id="191"/>
    <w:bookmarkEnd w:id="192"/>
    <w:bookmarkEnd w:id="19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ZJXSC-2024-100</w:t>
    </w:r>
    <w:r>
      <w:rPr>
        <w:rFonts w:hint="eastAsia" w:ascii="仿宋" w:hAnsi="仿宋" w:eastAsia="仿宋" w:cs="仿宋"/>
        <w:lang w:val="en-US" w:eastAsia="zh-CN"/>
      </w:rPr>
      <w:t xml:space="preserve"> </w:t>
    </w:r>
  </w:p>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ZJXSC-2024-100</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ZJXSC-2024-100</w:t>
    </w:r>
    <w:r>
      <w:rPr>
        <w:rFonts w:hint="eastAsia" w:ascii="仿宋" w:hAnsi="仿宋" w:eastAsia="仿宋" w:cs="仿宋"/>
        <w:lang w:val="en-US" w:eastAsia="zh-CN"/>
      </w:rPr>
      <w:t xml:space="preserve"> </w:t>
    </w:r>
    <w:r>
      <w:rPr>
        <w:rFonts w:hint="eastAsia" w:ascii="仿宋" w:hAnsi="仿宋" w:eastAsia="仿宋" w:cs="仿宋"/>
      </w:rPr>
      <w:t xml:space="preserve">    </w:t>
    </w:r>
  </w:p>
  <w:p>
    <w:pPr>
      <w:pStyle w:val="43"/>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t></w:t>
    </w:r>
  </w:p>
  <w:p>
    <w:pPr>
      <w:pStyle w:val="43"/>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ZJXSC-2024-100</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rPr>
      <w:t xml:space="preserve"> </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ZJXSC-2024-100</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ZJXSC-2024-100</w:t>
    </w:r>
    <w:r>
      <w:rPr>
        <w:rFonts w:hint="eastAsia" w:ascii="仿宋" w:hAnsi="仿宋" w:eastAsia="仿宋" w:cs="仿宋"/>
        <w:lang w:val="en-US" w:eastAsia="zh-CN"/>
      </w:rPr>
      <w:t xml:space="preserve"> </w:t>
    </w:r>
  </w:p>
  <w:p>
    <w:pPr>
      <w:pStyle w:val="43"/>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ZJXSC-2024-100</w:t>
    </w:r>
    <w:r>
      <w:rPr>
        <w:rFonts w:hint="eastAsia" w:ascii="仿宋" w:hAnsi="仿宋" w:eastAsia="仿宋" w:cs="仿宋"/>
        <w:lang w:val="en-US" w:eastAsia="zh-CN"/>
      </w:rPr>
      <w:t xml:space="preserve">  </w:t>
    </w:r>
  </w:p>
  <w:p>
    <w:pPr>
      <w:pStyle w:val="43"/>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ZJXSC-2024-100</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000000"/>
    <w:rsid w:val="006D363B"/>
    <w:rsid w:val="008B12B3"/>
    <w:rsid w:val="026E2EE1"/>
    <w:rsid w:val="033E089E"/>
    <w:rsid w:val="05A10891"/>
    <w:rsid w:val="06D74677"/>
    <w:rsid w:val="06FB15E8"/>
    <w:rsid w:val="0838424D"/>
    <w:rsid w:val="0983157E"/>
    <w:rsid w:val="0ECE1DE4"/>
    <w:rsid w:val="0FA0239A"/>
    <w:rsid w:val="14127BE9"/>
    <w:rsid w:val="14164AE9"/>
    <w:rsid w:val="169E17AF"/>
    <w:rsid w:val="1880083A"/>
    <w:rsid w:val="203435B5"/>
    <w:rsid w:val="23D63880"/>
    <w:rsid w:val="253F23A5"/>
    <w:rsid w:val="2605622A"/>
    <w:rsid w:val="2A524392"/>
    <w:rsid w:val="2CDA6E57"/>
    <w:rsid w:val="306B31D8"/>
    <w:rsid w:val="35D129A2"/>
    <w:rsid w:val="36967B0F"/>
    <w:rsid w:val="36EF6EE9"/>
    <w:rsid w:val="3DF02037"/>
    <w:rsid w:val="3F326AC0"/>
    <w:rsid w:val="41C6334A"/>
    <w:rsid w:val="46F5164D"/>
    <w:rsid w:val="47326228"/>
    <w:rsid w:val="48B169CB"/>
    <w:rsid w:val="4CEC1049"/>
    <w:rsid w:val="4DE4148C"/>
    <w:rsid w:val="4EA43381"/>
    <w:rsid w:val="4FAE554B"/>
    <w:rsid w:val="50C301CB"/>
    <w:rsid w:val="57DAE6E1"/>
    <w:rsid w:val="598D188B"/>
    <w:rsid w:val="5D6F2F67"/>
    <w:rsid w:val="5F665FB3"/>
    <w:rsid w:val="634D37F4"/>
    <w:rsid w:val="642152E2"/>
    <w:rsid w:val="64E95A2C"/>
    <w:rsid w:val="65077AE2"/>
    <w:rsid w:val="659A338A"/>
    <w:rsid w:val="65D82061"/>
    <w:rsid w:val="65FF701E"/>
    <w:rsid w:val="68E83E5E"/>
    <w:rsid w:val="6AEF1016"/>
    <w:rsid w:val="6C1556D0"/>
    <w:rsid w:val="6CE54E57"/>
    <w:rsid w:val="729E74BD"/>
    <w:rsid w:val="735F212F"/>
    <w:rsid w:val="74D508E1"/>
    <w:rsid w:val="782477E1"/>
    <w:rsid w:val="7CA34238"/>
    <w:rsid w:val="7CAB5B65"/>
    <w:rsid w:val="7E307B0A"/>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sz w:val="24"/>
      <w:szCs w:val="20"/>
    </w:rPr>
  </w:style>
  <w:style w:type="paragraph" w:styleId="6">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0"/>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1"/>
    <w:qFormat/>
    <w:uiPriority w:val="0"/>
    <w:pPr>
      <w:ind w:firstLine="420"/>
    </w:pPr>
    <w:rPr>
      <w:rFonts w:hAnsi="Calibri" w:cs="Times New Roman"/>
      <w:snapToGrid/>
      <w:szCs w:val="20"/>
    </w:rPr>
  </w:style>
  <w:style w:type="paragraph" w:styleId="26">
    <w:name w:val="Body Text Indent"/>
    <w:basedOn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index 4"/>
    <w:basedOn w:val="1"/>
    <w:next w:val="1"/>
    <w:unhideWhenUsed/>
    <w:qFormat/>
    <w:uiPriority w:val="99"/>
    <w:pPr>
      <w:ind w:left="600" w:leftChars="600"/>
    </w:p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6"/>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2"/>
    <w:qFormat/>
    <w:uiPriority w:val="0"/>
    <w:pPr>
      <w:ind w:left="100" w:leftChars="2500"/>
    </w:pPr>
    <w:rPr>
      <w:rFonts w:ascii="宋体"/>
      <w:sz w:val="24"/>
      <w:szCs w:val="21"/>
      <w:lang w:val="zh-CN"/>
    </w:rPr>
  </w:style>
  <w:style w:type="paragraph" w:styleId="39">
    <w:name w:val="Body Text Indent 2"/>
    <w:basedOn w:val="1"/>
    <w:link w:val="308"/>
    <w:qFormat/>
    <w:uiPriority w:val="0"/>
    <w:pPr>
      <w:spacing w:line="360" w:lineRule="auto"/>
      <w:ind w:firstLine="601"/>
      <w:textAlignment w:val="baseline"/>
    </w:pPr>
    <w:rPr>
      <w:rFonts w:ascii="宋体"/>
      <w:kern w:val="0"/>
      <w:sz w:val="28"/>
      <w:szCs w:val="20"/>
    </w:rPr>
  </w:style>
  <w:style w:type="paragraph" w:styleId="40">
    <w:name w:val="endnote text"/>
    <w:basedOn w:val="1"/>
    <w:link w:val="931"/>
    <w:qFormat/>
    <w:uiPriority w:val="0"/>
    <w:rPr>
      <w:lang w:val="zh-CN"/>
    </w:rPr>
  </w:style>
  <w:style w:type="paragraph" w:styleId="41">
    <w:name w:val="Balloon Text"/>
    <w:basedOn w:val="1"/>
    <w:link w:val="189"/>
    <w:qFormat/>
    <w:uiPriority w:val="0"/>
    <w:rPr>
      <w:sz w:val="18"/>
      <w:szCs w:val="18"/>
    </w:rPr>
  </w:style>
  <w:style w:type="paragraph" w:styleId="42">
    <w:name w:val="footer"/>
    <w:basedOn w:val="1"/>
    <w:link w:val="383"/>
    <w:qFormat/>
    <w:uiPriority w:val="99"/>
    <w:pPr>
      <w:tabs>
        <w:tab w:val="center" w:pos="4153"/>
        <w:tab w:val="right" w:pos="8306"/>
      </w:tabs>
      <w:snapToGrid w:val="0"/>
      <w:jc w:val="left"/>
    </w:pPr>
    <w:rPr>
      <w:sz w:val="18"/>
      <w:szCs w:val="18"/>
    </w:rPr>
  </w:style>
  <w:style w:type="paragraph" w:styleId="43">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6"/>
    <w:link w:val="310"/>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5"/>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2"/>
    <w:qFormat/>
    <w:uiPriority w:val="0"/>
    <w:pPr>
      <w:spacing w:after="120" w:line="480" w:lineRule="auto"/>
    </w:pPr>
  </w:style>
  <w:style w:type="paragraph" w:styleId="59">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0"/>
    <w:next w:val="20"/>
    <w:link w:val="97"/>
    <w:qFormat/>
    <w:uiPriority w:val="0"/>
    <w:rPr>
      <w:b/>
      <w:bCs/>
    </w:rPr>
  </w:style>
  <w:style w:type="paragraph" w:styleId="63">
    <w:name w:val="Body Text First Indent 2"/>
    <w:basedOn w:val="26"/>
    <w:link w:val="122"/>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2"/>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3"/>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1"/>
    <w:qFormat/>
    <w:uiPriority w:val="0"/>
    <w:rPr>
      <w:rFonts w:ascii="Arial" w:hAnsi="Arial" w:eastAsia="黑体" w:cs="Arial"/>
      <w:snapToGrid w:val="0"/>
      <w:kern w:val="0"/>
      <w:szCs w:val="21"/>
    </w:rPr>
  </w:style>
  <w:style w:type="character" w:customStyle="1" w:styleId="126">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9"/>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9"/>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8"/>
    <w:qFormat/>
    <w:uiPriority w:val="0"/>
    <w:rPr>
      <w:rFonts w:ascii="宋体"/>
      <w:kern w:val="2"/>
      <w:sz w:val="24"/>
      <w:szCs w:val="21"/>
      <w:lang w:val="zh-CN"/>
    </w:rPr>
  </w:style>
  <w:style w:type="character" w:customStyle="1" w:styleId="183">
    <w:name w:val="标题 9 Char"/>
    <w:link w:val="12"/>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1"/>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1"/>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7"/>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1"/>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9"/>
    <w:qFormat/>
    <w:uiPriority w:val="0"/>
    <w:rPr>
      <w:rFonts w:ascii="黑体" w:hAnsi="Courier New" w:eastAsia="黑体"/>
    </w:rPr>
  </w:style>
  <w:style w:type="character" w:customStyle="1" w:styleId="302">
    <w:name w:val="正文文本 2 Char1"/>
    <w:link w:val="58"/>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0"/>
    <w:qFormat/>
    <w:uiPriority w:val="0"/>
    <w:rPr>
      <w:b/>
      <w:bCs/>
      <w:kern w:val="2"/>
      <w:sz w:val="24"/>
      <w:szCs w:val="24"/>
    </w:rPr>
  </w:style>
  <w:style w:type="character" w:customStyle="1" w:styleId="308">
    <w:name w:val="正文文本缩进 2 Char"/>
    <w:link w:val="39"/>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2"/>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5"/>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qFormat/>
    <w:uiPriority w:val="0"/>
    <w:rPr>
      <w:kern w:val="2"/>
      <w:sz w:val="21"/>
      <w:szCs w:val="24"/>
    </w:rPr>
  </w:style>
  <w:style w:type="character" w:customStyle="1" w:styleId="345">
    <w:name w:val="签名 Char"/>
    <w:link w:val="44"/>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5"/>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2"/>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3"/>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1"/>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1">
    <w:name w:val="gray6"/>
    <w:basedOn w:val="71"/>
    <w:qFormat/>
    <w:uiPriority w:val="0"/>
    <w:rPr>
      <w:rFonts w:ascii="Arial" w:hAnsi="Arial" w:eastAsia="黑体" w:cs="Arial"/>
      <w:snapToGrid w:val="0"/>
      <w:kern w:val="0"/>
      <w:szCs w:val="21"/>
    </w:rPr>
  </w:style>
  <w:style w:type="character" w:customStyle="1" w:styleId="432">
    <w:name w:val="hui"/>
    <w:basedOn w:val="71"/>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8"/>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9"/>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5"/>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40"/>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1"/>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44344</Words>
  <Characters>47450</Characters>
  <Paragraphs>2030</Paragraphs>
  <TotalTime>1</TotalTime>
  <ScaleCrop>false</ScaleCrop>
  <LinksUpToDate>false</LinksUpToDate>
  <CharactersWithSpaces>54565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Mr黄油is娄儿</cp:lastModifiedBy>
  <cp:lastPrinted>2023-09-26T02:17:00Z</cp:lastPrinted>
  <dcterms:modified xsi:type="dcterms:W3CDTF">2024-06-04T08:09:53Z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57B8802B826D48E7B1552728DB28C6A6_13</vt:lpwstr>
  </property>
</Properties>
</file>