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_GB2312" w:hAnsi="仿宋_GB2312" w:eastAsia="仿宋_GB2312" w:cs="仿宋_GB2312"/>
          <w:b/>
          <w:color w:val="auto"/>
          <w:spacing w:val="-12"/>
          <w:sz w:val="48"/>
          <w:szCs w:val="48"/>
          <w:highlight w:val="none"/>
          <w:lang w:eastAsia="zh-CN"/>
        </w:rPr>
      </w:pPr>
      <w:r>
        <w:rPr>
          <w:rFonts w:hint="eastAsia" w:ascii="仿宋_GB2312" w:hAnsi="仿宋_GB2312" w:eastAsia="仿宋_GB2312" w:cs="仿宋_GB2312"/>
          <w:b/>
          <w:color w:val="auto"/>
          <w:spacing w:val="-12"/>
          <w:sz w:val="48"/>
          <w:szCs w:val="48"/>
          <w:highlight w:val="none"/>
          <w:lang w:eastAsia="zh-CN"/>
        </w:rPr>
        <w:t>绍兴市自然灾害应急能力提升工程基层防灾项目（第二批）</w:t>
      </w:r>
    </w:p>
    <w:p>
      <w:pPr>
        <w:outlineLvl w:val="0"/>
        <w:rPr>
          <w:rFonts w:ascii="仿宋_GB2312" w:hAnsi="仿宋_GB2312" w:eastAsia="仿宋_GB2312" w:cs="仿宋_GB2312"/>
          <w:color w:val="auto"/>
          <w:sz w:val="44"/>
          <w:highlight w:val="none"/>
        </w:rPr>
      </w:pPr>
    </w:p>
    <w:p>
      <w:pP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pPr>
        <w:jc w:val="center"/>
        <w:outlineLvl w:val="0"/>
        <w:rPr>
          <w:rFonts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pPr>
        <w:jc w:val="center"/>
        <w:outlineLvl w:val="0"/>
        <w:rPr>
          <w:rFonts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pPr>
        <w:jc w:val="center"/>
        <w:outlineLvl w:val="0"/>
        <w:rPr>
          <w:rFonts w:ascii="仿宋_GB2312" w:hAnsi="仿宋_GB2312" w:eastAsia="仿宋_GB2312" w:cs="仿宋_GB2312"/>
          <w:color w:val="auto"/>
          <w:sz w:val="44"/>
          <w:highlight w:val="none"/>
        </w:rPr>
      </w:pPr>
    </w:p>
    <w:p>
      <w:pPr>
        <w:jc w:val="center"/>
        <w:outlineLvl w:val="0"/>
        <w:rPr>
          <w:rFonts w:ascii="仿宋_GB2312" w:hAnsi="仿宋_GB2312" w:eastAsia="仿宋_GB2312" w:cs="仿宋_GB2312"/>
          <w:color w:val="auto"/>
          <w:sz w:val="44"/>
          <w:highlight w:val="none"/>
        </w:rPr>
      </w:pPr>
    </w:p>
    <w:p>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CGSHZJ-2024-N000988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rPr>
              <w:t>采购单</w:t>
            </w:r>
            <w:r>
              <w:rPr>
                <w:rFonts w:hint="eastAsia" w:ascii="仿宋_GB2312" w:hAnsi="仿宋_GB2312" w:eastAsia="仿宋_GB2312" w:cs="仿宋_GB2312"/>
                <w:color w:val="auto"/>
                <w:spacing w:val="1"/>
                <w:kern w:val="0"/>
                <w:sz w:val="28"/>
                <w:szCs w:val="28"/>
                <w:highlight w:val="none"/>
              </w:rPr>
              <w:t>位</w:t>
            </w:r>
            <w:r>
              <w:rPr>
                <w:rFonts w:hint="eastAsia" w:ascii="仿宋_GB2312" w:hAnsi="仿宋_GB2312" w:eastAsia="仿宋_GB2312" w:cs="仿宋_GB2312"/>
                <w:color w:val="auto"/>
                <w:sz w:val="28"/>
                <w:szCs w:val="28"/>
                <w:highlight w:val="none"/>
              </w:rPr>
              <w:t>：</w:t>
            </w:r>
          </w:p>
        </w:tc>
        <w:tc>
          <w:tcPr>
            <w:tcW w:w="5445" w:type="dxa"/>
            <w:vAlign w:val="center"/>
          </w:tcPr>
          <w:p>
            <w:pPr>
              <w:spacing w:line="320" w:lineRule="exact"/>
              <w:outlineLvl w:val="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绍兴市应急管理局, 绍兴市越城区应急管理局, 绍兴市柯桥区应急管理局,绍兴市上虞区应急管理局, 诸暨市应急管理局,嵊州市应急管理局</w:t>
            </w:r>
            <w:r>
              <w:rPr>
                <w:rFonts w:hint="eastAsia" w:ascii="仿宋_GB2312" w:hAnsi="仿宋_GB2312" w:eastAsia="仿宋_GB2312" w:cs="仿宋_GB2312"/>
                <w:color w:val="auto"/>
                <w:sz w:val="28"/>
                <w:szCs w:val="28"/>
                <w:highlight w:val="none"/>
                <w:lang w:eastAsia="zh-CN"/>
              </w:rPr>
              <w:t>，新昌县应急管理局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0"/>
                <w:w w:val="100"/>
                <w:kern w:val="0"/>
                <w:sz w:val="28"/>
                <w:szCs w:val="28"/>
                <w:highlight w:val="none"/>
                <w:fitText w:val="1680" w:id="1"/>
              </w:rPr>
              <w:t>采购代理机构</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93"/>
                <w:kern w:val="0"/>
                <w:sz w:val="28"/>
                <w:szCs w:val="28"/>
                <w:highlight w:val="none"/>
                <w:fitText w:val="1680" w:id="2"/>
              </w:rPr>
              <w:t>监督单</w:t>
            </w:r>
            <w:r>
              <w:rPr>
                <w:rFonts w:hint="eastAsia" w:ascii="仿宋_GB2312" w:hAnsi="仿宋_GB2312" w:eastAsia="仿宋_GB2312" w:cs="仿宋_GB2312"/>
                <w:color w:val="auto"/>
                <w:spacing w:val="1"/>
                <w:kern w:val="0"/>
                <w:sz w:val="28"/>
                <w:szCs w:val="28"/>
                <w:highlight w:val="none"/>
                <w:fitText w:val="1680" w:id="2"/>
              </w:rPr>
              <w:t>位</w:t>
            </w:r>
            <w:r>
              <w:rPr>
                <w:rFonts w:hint="eastAsia" w:ascii="仿宋_GB2312" w:hAnsi="仿宋_GB2312" w:eastAsia="仿宋_GB2312" w:cs="仿宋_GB2312"/>
                <w:color w:val="auto"/>
                <w:sz w:val="28"/>
                <w:szCs w:val="28"/>
                <w:highlight w:val="none"/>
              </w:rPr>
              <w:t>：</w:t>
            </w: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仿宋_GB2312" w:hAnsi="仿宋_GB2312" w:eastAsia="仿宋_GB2312" w:cs="仿宋_GB2312"/>
                <w:color w:val="auto"/>
                <w:sz w:val="28"/>
                <w:szCs w:val="28"/>
                <w:highlight w:val="none"/>
              </w:rPr>
            </w:pPr>
          </w:p>
        </w:tc>
        <w:tc>
          <w:tcPr>
            <w:tcW w:w="5445" w:type="dxa"/>
          </w:tcPr>
          <w:p>
            <w:pPr>
              <w:spacing w:after="100" w:afterAutospacing="1" w:line="440" w:lineRule="exact"/>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二○二四年</w:t>
            </w:r>
            <w:r>
              <w:rPr>
                <w:rFonts w:hint="eastAsia" w:ascii="仿宋_GB2312" w:hAnsi="仿宋_GB2312" w:eastAsia="仿宋_GB2312" w:cs="仿宋_GB2312"/>
                <w:color w:val="auto"/>
                <w:sz w:val="28"/>
                <w:szCs w:val="28"/>
                <w:highlight w:val="none"/>
                <w:lang w:eastAsia="zh-CN"/>
              </w:rPr>
              <w:t>六</w:t>
            </w:r>
            <w:r>
              <w:rPr>
                <w:rFonts w:hint="eastAsia" w:ascii="仿宋_GB2312" w:hAnsi="仿宋_GB2312" w:eastAsia="仿宋_GB2312" w:cs="仿宋_GB2312"/>
                <w:color w:val="auto"/>
                <w:sz w:val="28"/>
                <w:szCs w:val="28"/>
                <w:highlight w:val="none"/>
              </w:rPr>
              <w:t>月</w:t>
            </w:r>
          </w:p>
        </w:tc>
      </w:tr>
    </w:tbl>
    <w:p>
      <w:pPr>
        <w:jc w:val="center"/>
        <w:rPr>
          <w:rFonts w:ascii="隶书" w:eastAsia="隶书"/>
          <w:b/>
          <w:color w:val="auto"/>
          <w:sz w:val="44"/>
          <w:szCs w:val="44"/>
          <w:highlight w:val="none"/>
        </w:rPr>
        <w:sectPr>
          <w:headerReference r:id="rId4" w:type="first"/>
          <w:headerReference r:id="rId3"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80"/>
        <w:rPr>
          <w:color w:val="auto"/>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8"/>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绍兴市自然灾害应急能力提升工程基层防灾项目（第二批）</w:t>
                  </w:r>
                  <w:r>
                    <w:rPr>
                      <w:rFonts w:hint="eastAsia" w:ascii="仿宋_GB2312" w:hAnsi="新宋体" w:eastAsia="仿宋_GB2312"/>
                      <w:color w:val="auto"/>
                      <w:szCs w:val="24"/>
                      <w:highlight w:val="none"/>
                    </w:rPr>
                    <w:t>招标项目的潜在投标人应在政采云平台（https://www.zcygov.cn/）获取（下载）招标文件，并于2024年</w:t>
                  </w:r>
                  <w:r>
                    <w:rPr>
                      <w:rFonts w:hint="eastAsia" w:ascii="仿宋_GB2312" w:hAnsi="新宋体" w:eastAsia="仿宋_GB2312"/>
                      <w:color w:val="auto"/>
                      <w:szCs w:val="24"/>
                      <w:highlight w:val="none"/>
                      <w:lang w:val="en-US" w:eastAsia="zh-CN"/>
                    </w:rPr>
                    <w:t>06</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20</w:t>
                  </w:r>
                  <w:r>
                    <w:rPr>
                      <w:rFonts w:hint="eastAsia" w:ascii="仿宋_GB2312" w:hAnsi="新宋体" w:eastAsia="仿宋_GB2312"/>
                      <w:color w:val="auto"/>
                      <w:szCs w:val="24"/>
                      <w:highlight w:val="none"/>
                    </w:rPr>
                    <w:t>日9点00分00秒（北京时间）前递交（上传）投标文件。</w:t>
                  </w:r>
                </w:p>
              </w:tc>
            </w:tr>
          </w:tbl>
          <w:p>
            <w:pPr>
              <w:pStyle w:val="98"/>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8"/>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CGSHZJ-2024-N000988</w:t>
            </w:r>
          </w:p>
          <w:p>
            <w:pPr>
              <w:pStyle w:val="98"/>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绍兴市自然灾害应急能力提升工程基层防灾项目（第二批）</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b/>
                <w:color w:val="auto"/>
                <w:szCs w:val="24"/>
                <w:highlight w:val="none"/>
                <w:lang w:val="en-US" w:eastAsia="zh-CN"/>
              </w:rPr>
              <w:t>50559000</w:t>
            </w:r>
          </w:p>
          <w:p>
            <w:pPr>
              <w:pStyle w:val="98"/>
              <w:spacing w:afterLines="0" w:line="440" w:lineRule="exact"/>
              <w:ind w:firstLine="482"/>
              <w:rPr>
                <w:rFonts w:ascii="仿宋_GB2312" w:hAnsi="新宋体" w:eastAsia="仿宋_GB2312"/>
                <w:bCs/>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
                <w:color w:val="auto"/>
                <w:szCs w:val="24"/>
                <w:highlight w:val="none"/>
                <w:lang w:val="en-US" w:eastAsia="zh-CN"/>
              </w:rPr>
              <w:t>50559000</w:t>
            </w:r>
            <w:r>
              <w:rPr>
                <w:rFonts w:hint="eastAsia" w:ascii="仿宋_GB2312" w:hAnsi="新宋体" w:eastAsia="仿宋_GB2312"/>
                <w:bCs/>
                <w:color w:val="auto"/>
                <w:szCs w:val="24"/>
                <w:highlight w:val="none"/>
              </w:rPr>
              <w:t>（标项一：</w:t>
            </w:r>
            <w:r>
              <w:rPr>
                <w:rFonts w:hint="eastAsia" w:ascii="仿宋_GB2312" w:hAnsi="新宋体" w:eastAsia="仿宋_GB2312"/>
                <w:bCs/>
                <w:color w:val="auto"/>
                <w:szCs w:val="24"/>
                <w:highlight w:val="none"/>
                <w:lang w:val="en-US" w:eastAsia="zh-CN"/>
              </w:rPr>
              <w:t>12217000</w:t>
            </w:r>
            <w:r>
              <w:rPr>
                <w:rFonts w:hint="eastAsia" w:ascii="仿宋_GB2312" w:hAnsi="新宋体" w:eastAsia="仿宋_GB2312"/>
                <w:bCs/>
                <w:color w:val="auto"/>
                <w:szCs w:val="24"/>
                <w:highlight w:val="none"/>
              </w:rPr>
              <w:t>元；标项二：</w:t>
            </w:r>
            <w:r>
              <w:rPr>
                <w:rFonts w:hint="eastAsia" w:ascii="仿宋_GB2312" w:hAnsi="新宋体" w:eastAsia="仿宋_GB2312"/>
                <w:bCs/>
                <w:color w:val="auto"/>
                <w:szCs w:val="24"/>
                <w:highlight w:val="none"/>
                <w:lang w:val="en-US" w:eastAsia="zh-CN"/>
              </w:rPr>
              <w:t>8397500</w:t>
            </w:r>
            <w:r>
              <w:rPr>
                <w:rFonts w:hint="eastAsia" w:ascii="仿宋_GB2312" w:hAnsi="新宋体" w:eastAsia="仿宋_GB2312"/>
                <w:bCs/>
                <w:color w:val="auto"/>
                <w:szCs w:val="24"/>
                <w:highlight w:val="none"/>
              </w:rPr>
              <w:t>元</w:t>
            </w:r>
            <w:r>
              <w:rPr>
                <w:rFonts w:hint="eastAsia" w:ascii="仿宋_GB2312" w:hAnsi="新宋体" w:eastAsia="仿宋_GB2312"/>
                <w:bCs/>
                <w:color w:val="auto"/>
                <w:szCs w:val="24"/>
                <w:highlight w:val="none"/>
                <w:lang w:val="en-US" w:eastAsia="zh-CN"/>
              </w:rPr>
              <w:t>；</w:t>
            </w:r>
            <w:r>
              <w:rPr>
                <w:rFonts w:hint="eastAsia" w:ascii="仿宋_GB2312" w:hAnsi="新宋体" w:eastAsia="仿宋_GB2312"/>
                <w:bCs/>
                <w:color w:val="auto"/>
                <w:szCs w:val="24"/>
                <w:highlight w:val="none"/>
              </w:rPr>
              <w:t>标项</w:t>
            </w:r>
            <w:r>
              <w:rPr>
                <w:rFonts w:hint="eastAsia" w:ascii="仿宋_GB2312" w:hAnsi="新宋体" w:eastAsia="仿宋_GB2312"/>
                <w:bCs/>
                <w:color w:val="auto"/>
                <w:szCs w:val="24"/>
                <w:highlight w:val="none"/>
                <w:lang w:eastAsia="zh-CN"/>
              </w:rPr>
              <w:t>三</w:t>
            </w:r>
            <w:r>
              <w:rPr>
                <w:rFonts w:hint="eastAsia" w:ascii="仿宋_GB2312" w:hAnsi="新宋体" w:eastAsia="仿宋_GB2312"/>
                <w:bCs/>
                <w:color w:val="auto"/>
                <w:szCs w:val="24"/>
                <w:highlight w:val="none"/>
              </w:rPr>
              <w:t>：</w:t>
            </w:r>
            <w:r>
              <w:rPr>
                <w:rFonts w:hint="eastAsia" w:ascii="仿宋_GB2312" w:hAnsi="新宋体" w:eastAsia="仿宋_GB2312"/>
                <w:bCs/>
                <w:color w:val="auto"/>
                <w:szCs w:val="24"/>
                <w:highlight w:val="none"/>
                <w:lang w:val="en-US" w:eastAsia="zh-CN"/>
              </w:rPr>
              <w:t>9056500</w:t>
            </w:r>
            <w:r>
              <w:rPr>
                <w:rFonts w:hint="eastAsia" w:ascii="仿宋_GB2312" w:hAnsi="新宋体" w:eastAsia="仿宋_GB2312"/>
                <w:bCs/>
                <w:color w:val="auto"/>
                <w:szCs w:val="24"/>
                <w:highlight w:val="none"/>
              </w:rPr>
              <w:t>元</w:t>
            </w:r>
            <w:r>
              <w:rPr>
                <w:rFonts w:hint="eastAsia" w:ascii="仿宋_GB2312" w:hAnsi="新宋体" w:eastAsia="仿宋_GB2312"/>
                <w:bCs/>
                <w:color w:val="auto"/>
                <w:szCs w:val="24"/>
                <w:highlight w:val="none"/>
                <w:lang w:eastAsia="zh-CN"/>
              </w:rPr>
              <w:t>；</w:t>
            </w:r>
            <w:r>
              <w:rPr>
                <w:rFonts w:hint="eastAsia" w:ascii="仿宋_GB2312" w:hAnsi="新宋体" w:eastAsia="仿宋_GB2312"/>
                <w:bCs/>
                <w:color w:val="auto"/>
                <w:szCs w:val="24"/>
                <w:highlight w:val="none"/>
              </w:rPr>
              <w:t>标项</w:t>
            </w:r>
            <w:r>
              <w:rPr>
                <w:rFonts w:hint="eastAsia" w:ascii="仿宋_GB2312" w:hAnsi="新宋体" w:eastAsia="仿宋_GB2312"/>
                <w:bCs/>
                <w:color w:val="auto"/>
                <w:szCs w:val="24"/>
                <w:highlight w:val="none"/>
                <w:lang w:eastAsia="zh-CN"/>
              </w:rPr>
              <w:t>四</w:t>
            </w:r>
            <w:r>
              <w:rPr>
                <w:rFonts w:hint="eastAsia" w:ascii="仿宋_GB2312" w:hAnsi="新宋体" w:eastAsia="仿宋_GB2312"/>
                <w:bCs/>
                <w:color w:val="auto"/>
                <w:szCs w:val="24"/>
                <w:highlight w:val="none"/>
              </w:rPr>
              <w:t>：</w:t>
            </w:r>
            <w:r>
              <w:rPr>
                <w:rFonts w:hint="eastAsia" w:ascii="仿宋_GB2312" w:hAnsi="新宋体" w:eastAsia="仿宋_GB2312"/>
                <w:bCs/>
                <w:color w:val="auto"/>
                <w:szCs w:val="24"/>
                <w:highlight w:val="none"/>
                <w:lang w:val="en-US" w:eastAsia="zh-CN"/>
              </w:rPr>
              <w:t>12684000</w:t>
            </w:r>
            <w:r>
              <w:rPr>
                <w:rFonts w:hint="eastAsia" w:ascii="仿宋_GB2312" w:hAnsi="新宋体" w:eastAsia="仿宋_GB2312"/>
                <w:bCs/>
                <w:color w:val="auto"/>
                <w:szCs w:val="24"/>
                <w:highlight w:val="none"/>
              </w:rPr>
              <w:t>元</w:t>
            </w:r>
            <w:r>
              <w:rPr>
                <w:rFonts w:hint="eastAsia" w:ascii="仿宋_GB2312" w:hAnsi="新宋体" w:eastAsia="仿宋_GB2312"/>
                <w:bCs/>
                <w:color w:val="auto"/>
                <w:szCs w:val="24"/>
                <w:highlight w:val="none"/>
                <w:lang w:eastAsia="zh-CN"/>
              </w:rPr>
              <w:t>；</w:t>
            </w:r>
            <w:r>
              <w:rPr>
                <w:rFonts w:hint="eastAsia" w:ascii="仿宋_GB2312" w:hAnsi="新宋体" w:eastAsia="仿宋_GB2312"/>
                <w:bCs/>
                <w:color w:val="auto"/>
                <w:szCs w:val="24"/>
                <w:highlight w:val="none"/>
              </w:rPr>
              <w:t>标项</w:t>
            </w:r>
            <w:r>
              <w:rPr>
                <w:rFonts w:hint="eastAsia" w:ascii="仿宋_GB2312" w:hAnsi="新宋体" w:eastAsia="仿宋_GB2312"/>
                <w:bCs/>
                <w:color w:val="auto"/>
                <w:szCs w:val="24"/>
                <w:highlight w:val="none"/>
                <w:lang w:eastAsia="zh-CN"/>
              </w:rPr>
              <w:t>五</w:t>
            </w:r>
            <w:r>
              <w:rPr>
                <w:rFonts w:hint="eastAsia" w:ascii="仿宋_GB2312" w:hAnsi="新宋体" w:eastAsia="仿宋_GB2312"/>
                <w:bCs/>
                <w:color w:val="auto"/>
                <w:szCs w:val="24"/>
                <w:highlight w:val="none"/>
              </w:rPr>
              <w:t>：</w:t>
            </w:r>
            <w:r>
              <w:rPr>
                <w:rFonts w:hint="eastAsia" w:ascii="仿宋_GB2312" w:hAnsi="新宋体" w:eastAsia="仿宋_GB2312"/>
                <w:bCs/>
                <w:color w:val="auto"/>
                <w:szCs w:val="24"/>
                <w:highlight w:val="none"/>
                <w:lang w:val="en-US" w:eastAsia="zh-CN"/>
              </w:rPr>
              <w:t>8204000</w:t>
            </w:r>
            <w:r>
              <w:rPr>
                <w:rFonts w:hint="eastAsia" w:ascii="仿宋_GB2312" w:hAnsi="新宋体" w:eastAsia="仿宋_GB2312"/>
                <w:bCs/>
                <w:color w:val="auto"/>
                <w:szCs w:val="24"/>
                <w:highlight w:val="none"/>
              </w:rPr>
              <w:t>元）</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98"/>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仿宋_GB2312" w:eastAsia="仿宋_GB2312" w:cs="仿宋_GB2312"/>
                <w:b w:val="0"/>
                <w:bCs w:val="0"/>
                <w:color w:val="auto"/>
                <w:sz w:val="24"/>
                <w:highlight w:val="none"/>
                <w:lang w:eastAsia="zh-CN"/>
              </w:rPr>
              <w:t>森林消防泵</w:t>
            </w:r>
            <w:r>
              <w:rPr>
                <w:rFonts w:hint="eastAsia" w:ascii="仿宋_GB2312" w:hAnsi="仿宋_GB2312" w:eastAsia="仿宋_GB2312" w:cs="仿宋_GB2312"/>
                <w:b w:val="0"/>
                <w:bCs w:val="0"/>
                <w:color w:val="auto"/>
                <w:sz w:val="24"/>
                <w:highlight w:val="none"/>
                <w:lang w:val="en-US" w:eastAsia="zh-CN"/>
              </w:rPr>
              <w:t>项目</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98"/>
              <w:spacing w:afterLines="0" w:line="440" w:lineRule="exact"/>
              <w:ind w:firstLine="480"/>
              <w:rPr>
                <w:rFonts w:hint="eastAsia" w:ascii="仿宋_GB2312" w:hAnsi="新宋体" w:eastAsia="仿宋_GB2312"/>
                <w:bCs/>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12217000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备注：无。</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标项二:</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仿宋_GB2312" w:eastAsia="仿宋_GB2312" w:cs="仿宋_GB2312"/>
                <w:b w:val="0"/>
                <w:bCs w:val="0"/>
                <w:color w:val="auto"/>
                <w:sz w:val="24"/>
                <w:highlight w:val="none"/>
                <w:lang w:eastAsia="zh-CN"/>
              </w:rPr>
              <w:t>森林（草原）火灾扑救</w:t>
            </w:r>
            <w:r>
              <w:rPr>
                <w:rFonts w:hint="eastAsia" w:ascii="仿宋_GB2312" w:hAnsi="仿宋_GB2312" w:eastAsia="仿宋_GB2312" w:cs="仿宋_GB2312"/>
                <w:b w:val="0"/>
                <w:bCs w:val="0"/>
                <w:color w:val="auto"/>
                <w:sz w:val="24"/>
                <w:highlight w:val="none"/>
                <w:lang w:val="en-US" w:eastAsia="zh-CN"/>
              </w:rPr>
              <w:t>项目</w:t>
            </w:r>
            <w:r>
              <w:rPr>
                <w:rFonts w:ascii="仿宋_GB2312" w:hAnsi="新宋体" w:eastAsia="仿宋_GB2312"/>
                <w:color w:val="auto"/>
                <w:szCs w:val="24"/>
                <w:highlight w:val="none"/>
              </w:rPr>
              <w:t>  </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98"/>
              <w:spacing w:afterLines="0" w:line="440" w:lineRule="exact"/>
              <w:ind w:firstLine="480"/>
              <w:rPr>
                <w:rFonts w:hint="eastAsia" w:ascii="仿宋_GB2312" w:hAnsi="新宋体" w:eastAsia="仿宋_GB2312"/>
                <w:bCs/>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8397500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备注：无。</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eastAsia="zh-CN"/>
              </w:rPr>
              <w:t>三</w:t>
            </w:r>
            <w:r>
              <w:rPr>
                <w:rFonts w:hint="eastAsia" w:ascii="仿宋_GB2312" w:hAnsi="新宋体" w:eastAsia="仿宋_GB2312"/>
                <w:color w:val="auto"/>
                <w:szCs w:val="24"/>
                <w:highlight w:val="none"/>
              </w:rPr>
              <w:t>:</w:t>
            </w:r>
          </w:p>
          <w:p>
            <w:pPr>
              <w:pStyle w:val="98"/>
              <w:spacing w:afterLines="0" w:line="440" w:lineRule="exact"/>
              <w:ind w:firstLine="480"/>
              <w:rPr>
                <w:rFonts w:hint="eastAsia" w:ascii="仿宋_GB2312" w:hAnsi="新宋体" w:eastAsia="仿宋_GB2312"/>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仿宋_GB2312" w:eastAsia="仿宋_GB2312" w:cs="仿宋_GB2312"/>
                <w:b w:val="0"/>
                <w:bCs w:val="0"/>
                <w:color w:val="auto"/>
                <w:sz w:val="24"/>
                <w:highlight w:val="none"/>
                <w:lang w:eastAsia="zh-CN"/>
              </w:rPr>
              <w:t>地震地质灾害救援</w:t>
            </w:r>
            <w:r>
              <w:rPr>
                <w:rFonts w:hint="eastAsia" w:ascii="仿宋_GB2312" w:hAnsi="仿宋_GB2312" w:eastAsia="仿宋_GB2312" w:cs="仿宋_GB2312"/>
                <w:b w:val="0"/>
                <w:bCs w:val="0"/>
                <w:color w:val="auto"/>
                <w:sz w:val="24"/>
                <w:highlight w:val="none"/>
                <w:lang w:val="en-US" w:eastAsia="zh-CN"/>
              </w:rPr>
              <w:t>项目</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98"/>
              <w:spacing w:afterLines="0" w:line="440" w:lineRule="exact"/>
              <w:ind w:firstLine="480"/>
              <w:rPr>
                <w:rFonts w:hint="eastAsia" w:ascii="仿宋_GB2312" w:hAnsi="新宋体" w:eastAsia="仿宋_GB2312"/>
                <w:bCs/>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9056500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备注：无。</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eastAsia="zh-CN"/>
              </w:rPr>
              <w:t>四</w:t>
            </w:r>
            <w:r>
              <w:rPr>
                <w:rFonts w:hint="eastAsia" w:ascii="仿宋_GB2312" w:hAnsi="新宋体" w:eastAsia="仿宋_GB2312"/>
                <w:color w:val="auto"/>
                <w:szCs w:val="24"/>
                <w:highlight w:val="none"/>
              </w:rPr>
              <w:t>:</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仿宋_GB2312" w:eastAsia="仿宋_GB2312" w:cs="仿宋_GB2312"/>
                <w:b w:val="0"/>
                <w:bCs w:val="0"/>
                <w:color w:val="auto"/>
                <w:sz w:val="24"/>
                <w:highlight w:val="none"/>
                <w:lang w:eastAsia="zh-CN"/>
              </w:rPr>
              <w:t>消防车辆</w:t>
            </w:r>
            <w:r>
              <w:rPr>
                <w:rFonts w:hint="eastAsia" w:ascii="仿宋_GB2312" w:hAnsi="仿宋_GB2312" w:eastAsia="仿宋_GB2312" w:cs="仿宋_GB2312"/>
                <w:b w:val="0"/>
                <w:bCs w:val="0"/>
                <w:color w:val="auto"/>
                <w:sz w:val="24"/>
                <w:highlight w:val="none"/>
                <w:lang w:val="en-US" w:eastAsia="zh-CN"/>
              </w:rPr>
              <w:t>项目</w:t>
            </w:r>
            <w:r>
              <w:rPr>
                <w:rFonts w:ascii="仿宋_GB2312" w:hAnsi="新宋体" w:eastAsia="仿宋_GB2312"/>
                <w:b w:val="0"/>
                <w:bCs w:val="0"/>
                <w:color w:val="auto"/>
                <w:szCs w:val="24"/>
                <w:highlight w:val="none"/>
              </w:rPr>
              <w:t> </w:t>
            </w:r>
            <w:r>
              <w:rPr>
                <w:rFonts w:ascii="仿宋_GB2312" w:hAnsi="新宋体" w:eastAsia="仿宋_GB2312"/>
                <w:color w:val="auto"/>
                <w:szCs w:val="24"/>
                <w:highlight w:val="none"/>
              </w:rPr>
              <w:t> </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98"/>
              <w:spacing w:afterLines="0" w:line="440" w:lineRule="exact"/>
              <w:ind w:firstLine="480"/>
              <w:rPr>
                <w:rFonts w:hint="eastAsia" w:ascii="仿宋_GB2312" w:hAnsi="新宋体" w:eastAsia="仿宋_GB2312"/>
                <w:bCs/>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12684000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备注：无。</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eastAsia="zh-CN"/>
              </w:rPr>
              <w:t>五</w:t>
            </w:r>
            <w:r>
              <w:rPr>
                <w:rFonts w:hint="eastAsia" w:ascii="仿宋_GB2312" w:hAnsi="新宋体" w:eastAsia="仿宋_GB2312"/>
                <w:color w:val="auto"/>
                <w:szCs w:val="24"/>
                <w:highlight w:val="none"/>
              </w:rPr>
              <w:t>:</w:t>
            </w:r>
            <w:bookmarkStart w:id="168" w:name="_GoBack"/>
            <w:bookmarkEnd w:id="168"/>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仿宋_GB2312" w:eastAsia="仿宋_GB2312" w:cs="仿宋_GB2312"/>
                <w:b w:val="0"/>
                <w:bCs w:val="0"/>
                <w:color w:val="auto"/>
                <w:sz w:val="24"/>
                <w:highlight w:val="none"/>
                <w:lang w:eastAsia="zh-CN"/>
              </w:rPr>
              <w:t>综合保障</w:t>
            </w:r>
            <w:r>
              <w:rPr>
                <w:rFonts w:hint="eastAsia" w:ascii="仿宋_GB2312" w:hAnsi="仿宋_GB2312" w:eastAsia="仿宋_GB2312" w:cs="仿宋_GB2312"/>
                <w:b w:val="0"/>
                <w:bCs w:val="0"/>
                <w:color w:val="auto"/>
                <w:sz w:val="24"/>
                <w:highlight w:val="none"/>
                <w:lang w:val="en-US" w:eastAsia="zh-CN"/>
              </w:rPr>
              <w:t>项目</w:t>
            </w:r>
            <w:r>
              <w:rPr>
                <w:rFonts w:ascii="仿宋_GB2312" w:hAnsi="新宋体" w:eastAsia="仿宋_GB2312"/>
                <w:color w:val="auto"/>
                <w:szCs w:val="24"/>
                <w:highlight w:val="none"/>
              </w:rPr>
              <w:t>  </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98"/>
              <w:spacing w:afterLines="0" w:line="440" w:lineRule="exact"/>
              <w:ind w:firstLine="480"/>
              <w:rPr>
                <w:rFonts w:hint="eastAsia" w:ascii="仿宋_GB2312" w:hAnsi="新宋体" w:eastAsia="仿宋_GB2312"/>
                <w:bCs/>
                <w:color w:val="auto"/>
                <w:szCs w:val="24"/>
                <w:highlight w:val="none"/>
                <w:lang w:eastAsia="zh-CN"/>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lang w:val="en-US" w:eastAsia="zh-CN"/>
              </w:rPr>
              <w:t>8204000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备注：无。</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是，</w:t>
            </w:r>
            <w:r>
              <w:rPr>
                <w:rFonts w:hint="eastAsia" w:ascii="MS Mincho" w:hAnsi="MS Mincho" w:eastAsia="MS Mincho" w:cs="MS Mincho"/>
                <w:b/>
                <w:color w:val="auto"/>
                <w:szCs w:val="24"/>
                <w:highlight w:val="none"/>
              </w:rPr>
              <w:t>☐</w:t>
            </w:r>
            <w:r>
              <w:rPr>
                <w:rFonts w:hint="eastAsia" w:ascii="仿宋_GB2312" w:hAnsi="新宋体" w:eastAsia="仿宋_GB2312"/>
                <w:b/>
                <w:color w:val="auto"/>
                <w:szCs w:val="24"/>
                <w:highlight w:val="none"/>
              </w:rPr>
              <w:t>否。</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keepNext w:val="0"/>
              <w:keepLines w:val="0"/>
              <w:pageBreakBefore w:val="0"/>
              <w:kinsoku/>
              <w:wordWrap/>
              <w:overflowPunct/>
              <w:topLinePunct w:val="0"/>
              <w:autoSpaceDE/>
              <w:autoSpaceDN/>
              <w:bidi w:val="0"/>
              <w:adjustRightInd/>
              <w:spacing w:afterLines="0" w:line="440" w:lineRule="exact"/>
              <w:ind w:right="0" w:righ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keepNext w:val="0"/>
              <w:keepLines w:val="0"/>
              <w:pageBreakBefore w:val="0"/>
              <w:kinsoku/>
              <w:wordWrap/>
              <w:overflowPunct/>
              <w:topLinePunct w:val="0"/>
              <w:autoSpaceDE/>
              <w:autoSpaceDN/>
              <w:bidi w:val="0"/>
              <w:adjustRightInd/>
              <w:spacing w:afterLines="0" w:line="440" w:lineRule="exact"/>
              <w:ind w:right="0" w:rightChars="0" w:firstLine="480"/>
              <w:jc w:val="left"/>
              <w:textAlignment w:val="auto"/>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8"/>
              <w:keepNext w:val="0"/>
              <w:keepLines w:val="0"/>
              <w:pageBreakBefore w:val="0"/>
              <w:kinsoku/>
              <w:wordWrap/>
              <w:overflowPunct/>
              <w:topLinePunct w:val="0"/>
              <w:autoSpaceDE/>
              <w:autoSpaceDN/>
              <w:bidi w:val="0"/>
              <w:adjustRightInd/>
              <w:spacing w:afterLines="0" w:line="240" w:lineRule="auto"/>
              <w:ind w:right="0" w:rightChars="0" w:firstLine="480"/>
              <w:textAlignment w:val="auto"/>
              <w:rPr>
                <w:rFonts w:hint="eastAsia"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keepNext w:val="0"/>
              <w:keepLines w:val="0"/>
              <w:pageBreakBefore w:val="0"/>
              <w:kinsoku/>
              <w:wordWrap/>
              <w:overflowPunct/>
              <w:topLinePunct w:val="0"/>
              <w:autoSpaceDE/>
              <w:autoSpaceDN/>
              <w:bidi w:val="0"/>
              <w:adjustRightInd/>
              <w:spacing w:afterLines="0" w:line="440" w:lineRule="exact"/>
              <w:ind w:right="0" w:rightChars="0" w:firstLine="0" w:firstLineChars="0"/>
              <w:textAlignment w:val="auto"/>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w:t>
            </w:r>
            <w:r>
              <w:rPr>
                <w:rFonts w:hint="eastAsia" w:ascii="仿宋_GB2312" w:hAnsi="新宋体" w:eastAsia="仿宋_GB2312"/>
                <w:color w:val="auto"/>
                <w:szCs w:val="24"/>
                <w:highlight w:val="none"/>
                <w:lang w:eastAsia="zh-CN"/>
              </w:rPr>
              <w:t>一</w:t>
            </w:r>
            <w:r>
              <w:rPr>
                <w:rFonts w:hint="eastAsia" w:ascii="仿宋_GB2312" w:hAnsi="新宋体" w:eastAsia="仿宋_GB2312"/>
                <w:color w:val="auto"/>
                <w:szCs w:val="24"/>
                <w:highlight w:val="none"/>
              </w:rPr>
              <w:t>、</w:t>
            </w:r>
            <w:r>
              <w:rPr>
                <w:rFonts w:hint="eastAsia" w:ascii="仿宋_GB2312" w:hAnsi="新宋体" w:eastAsia="仿宋_GB2312"/>
                <w:color w:val="auto"/>
                <w:szCs w:val="24"/>
                <w:highlight w:val="none"/>
                <w:lang w:eastAsia="zh-CN"/>
              </w:rPr>
              <w:t>二</w:t>
            </w:r>
            <w:r>
              <w:rPr>
                <w:rFonts w:hint="eastAsia" w:ascii="仿宋_GB2312" w:hAnsi="新宋体" w:eastAsia="仿宋_GB2312"/>
                <w:color w:val="auto"/>
                <w:szCs w:val="24"/>
                <w:highlight w:val="none"/>
              </w:rPr>
              <w:t>：</w:t>
            </w:r>
          </w:p>
          <w:p>
            <w:pPr>
              <w:pStyle w:val="98"/>
              <w:keepNext w:val="0"/>
              <w:keepLines w:val="0"/>
              <w:pageBreakBefore w:val="0"/>
              <w:kinsoku/>
              <w:wordWrap/>
              <w:overflowPunct/>
              <w:topLinePunct w:val="0"/>
              <w:autoSpaceDE/>
              <w:autoSpaceDN/>
              <w:bidi w:val="0"/>
              <w:adjustRightInd/>
              <w:spacing w:afterLines="0" w:line="440" w:lineRule="exact"/>
              <w:ind w:right="0" w:rightChars="0" w:firstLine="480"/>
              <w:jc w:val="left"/>
              <w:textAlignment w:val="auto"/>
              <w:rPr>
                <w:rFonts w:hint="eastAsia" w:ascii="仿宋_GB2312" w:hAnsi="新宋体" w:eastAsia="仿宋_GB2312"/>
                <w:color w:val="auto"/>
                <w:szCs w:val="24"/>
                <w:highlight w:val="none"/>
              </w:rPr>
            </w:pPr>
            <w:sdt>
              <w:sdtPr>
                <w:rPr>
                  <w:rFonts w:hint="eastAsia" w:ascii="仿宋_GB2312" w:hAnsi="新宋体" w:eastAsia="仿宋_GB2312"/>
                  <w:color w:val="auto"/>
                  <w:szCs w:val="24"/>
                  <w:highlight w:val="none"/>
                </w:rPr>
                <w:id w:val="725337177"/>
              </w:sdtPr>
              <w:sdtEndPr>
                <w:rPr>
                  <w:rFonts w:hint="eastAsia" w:ascii="仿宋_GB2312" w:hAnsi="新宋体" w:eastAsia="仿宋_GB2312"/>
                  <w:color w:val="auto"/>
                  <w:szCs w:val="24"/>
                  <w:highlight w:val="none"/>
                </w:rPr>
              </w:sdtEndPr>
              <w:sdtContent>
                <w:sdt>
                  <w:sdtPr>
                    <w:rPr>
                      <w:rFonts w:hint="eastAsia" w:ascii="仿宋_GB2312" w:hAnsi="新宋体" w:eastAsia="仿宋_GB2312" w:cs="Times New Roman"/>
                      <w:color w:val="auto"/>
                      <w:kern w:val="0"/>
                      <w:sz w:val="24"/>
                      <w:szCs w:val="24"/>
                      <w:highlight w:val="none"/>
                      <w:lang w:val="en-US" w:eastAsia="zh-CN" w:bidi="ar-SA"/>
                    </w:rPr>
                    <w:id w:val="279565509"/>
                  </w:sdtPr>
                  <w:sdtEndPr>
                    <w:rPr>
                      <w:rFonts w:hint="eastAsia" w:ascii="仿宋_GB2312" w:hAnsi="新宋体" w:eastAsia="仿宋_GB2312" w:cs="Times New Roman"/>
                      <w:color w:val="auto"/>
                      <w:kern w:val="0"/>
                      <w:sz w:val="24"/>
                      <w:szCs w:val="24"/>
                      <w:highlight w:val="none"/>
                      <w:lang w:val="en-US" w:eastAsia="zh-CN" w:bidi="ar-SA"/>
                    </w:rPr>
                  </w:sdtEndPr>
                  <w:sdtContent>
                    <w:r>
                      <w:rPr>
                        <w:rFonts w:hint="eastAsia" w:ascii="仿宋_GB2312" w:hAnsi="新宋体" w:eastAsia="仿宋_GB2312" w:cs="Times New Roman"/>
                        <w:color w:val="auto"/>
                        <w:kern w:val="0"/>
                        <w:sz w:val="24"/>
                        <w:szCs w:val="24"/>
                        <w:highlight w:val="none"/>
                        <w:lang w:val="en-US" w:eastAsia="zh-CN" w:bidi="ar-SA"/>
                      </w:rPr>
                      <w:t>☐</w:t>
                    </w:r>
                  </w:sdtContent>
                </w:sdt>
              </w:sdtContent>
            </w:sdt>
            <w:r>
              <w:rPr>
                <w:rFonts w:hint="eastAsia" w:ascii="仿宋_GB2312" w:hAnsi="新宋体" w:eastAsia="仿宋_GB2312"/>
                <w:color w:val="auto"/>
                <w:szCs w:val="24"/>
                <w:highlight w:val="none"/>
              </w:rPr>
              <w:t>无；</w:t>
            </w:r>
          </w:p>
          <w:p>
            <w:pPr>
              <w:pStyle w:val="98"/>
              <w:keepNext w:val="0"/>
              <w:keepLines w:val="0"/>
              <w:pageBreakBefore w:val="0"/>
              <w:kinsoku/>
              <w:wordWrap/>
              <w:overflowPunct/>
              <w:topLinePunct w:val="0"/>
              <w:autoSpaceDE/>
              <w:autoSpaceDN/>
              <w:bidi w:val="0"/>
              <w:adjustRightInd/>
              <w:spacing w:afterLines="0" w:line="440" w:lineRule="exact"/>
              <w:ind w:right="0" w:rightChars="0" w:firstLine="480"/>
              <w:jc w:val="left"/>
              <w:textAlignment w:val="auto"/>
              <w:rPr>
                <w:rFonts w:hint="eastAsia" w:ascii="仿宋_GB2312" w:hAnsi="新宋体" w:eastAsia="仿宋_GB2312"/>
                <w:color w:val="auto"/>
                <w:szCs w:val="24"/>
                <w:highlight w:val="none"/>
              </w:rPr>
            </w:pPr>
            <w:sdt>
              <w:sdtPr>
                <w:rPr>
                  <w:rFonts w:hint="eastAsia" w:ascii="仿宋_GB2312" w:hAnsi="新宋体" w:eastAsia="仿宋_GB2312"/>
                  <w:color w:val="auto"/>
                  <w:szCs w:val="24"/>
                  <w:highlight w:val="none"/>
                </w:rPr>
                <w:id w:val="725337177"/>
              </w:sdtPr>
              <w:sdtEndPr>
                <w:rPr>
                  <w:rFonts w:hint="eastAsia" w:ascii="仿宋_GB2312" w:hAnsi="新宋体" w:eastAsia="仿宋_GB2312"/>
                  <w:color w:val="auto"/>
                  <w:szCs w:val="24"/>
                  <w:highlight w:val="none"/>
                </w:rPr>
              </w:sdtEndPr>
              <w:sdtContent>
                <w:r>
                  <w:rPr>
                    <w:rFonts w:hint="eastAsia" w:ascii="仿宋_GB2312" w:hAnsi="新宋体" w:eastAsia="仿宋_GB2312"/>
                    <w:color w:val="auto"/>
                    <w:szCs w:val="24"/>
                    <w:highlight w:val="none"/>
                  </w:rPr>
                  <w:sym w:font="Wingdings" w:char="00FE"/>
                </w:r>
              </w:sdtContent>
            </w:sdt>
            <w:r>
              <w:rPr>
                <w:rFonts w:hint="eastAsia" w:ascii="仿宋_GB2312" w:hAnsi="新宋体" w:eastAsia="仿宋_GB2312"/>
                <w:color w:val="auto"/>
                <w:szCs w:val="24"/>
                <w:highlight w:val="none"/>
              </w:rPr>
              <w:t>专门面向中小企业</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_GB2312" w:hAnsi="新宋体" w:eastAsia="仿宋_GB2312" w:cs="Times New Roman"/>
                <w:color w:val="auto"/>
                <w:kern w:val="0"/>
                <w:sz w:val="24"/>
                <w:szCs w:val="24"/>
                <w:highlight w:val="none"/>
                <w:lang w:val="en-US" w:eastAsia="zh-CN" w:bidi="ar-SA"/>
              </w:rPr>
            </w:pPr>
            <w:sdt>
              <w:sdtPr>
                <w:rPr>
                  <w:rFonts w:hint="eastAsia" w:ascii="仿宋_GB2312" w:hAnsi="新宋体" w:eastAsia="仿宋_GB2312" w:cs="Times New Roman"/>
                  <w:color w:val="auto"/>
                  <w:kern w:val="0"/>
                  <w:sz w:val="24"/>
                  <w:szCs w:val="24"/>
                  <w:highlight w:val="none"/>
                  <w:lang w:val="en-US" w:eastAsia="zh-CN" w:bidi="ar-SA"/>
                </w:rPr>
                <w:id w:val="725337177"/>
              </w:sdtPr>
              <w:sdtEndPr>
                <w:rPr>
                  <w:rFonts w:hint="eastAsia" w:ascii="仿宋_GB2312" w:hAnsi="新宋体" w:eastAsia="仿宋_GB2312" w:cs="Times New Roman"/>
                  <w:color w:val="auto"/>
                  <w:kern w:val="0"/>
                  <w:sz w:val="24"/>
                  <w:szCs w:val="24"/>
                  <w:highlight w:val="none"/>
                  <w:lang w:val="en-US" w:eastAsia="zh-CN" w:bidi="ar-SA"/>
                </w:rPr>
              </w:sdtEndPr>
              <w:sdtContent>
                <w:r>
                  <w:rPr>
                    <w:rFonts w:hint="eastAsia" w:ascii="仿宋_GB2312" w:hAnsi="新宋体" w:eastAsia="仿宋_GB2312" w:cs="Times New Roman"/>
                    <w:color w:val="auto"/>
                    <w:kern w:val="0"/>
                    <w:sz w:val="24"/>
                    <w:szCs w:val="24"/>
                    <w:highlight w:val="none"/>
                    <w:lang w:val="en-US" w:eastAsia="zh-CN" w:bidi="ar-SA"/>
                  </w:rPr>
                  <w:sym w:font="Wingdings" w:char="00FE"/>
                </w:r>
              </w:sdtContent>
            </w:sdt>
            <w:r>
              <w:rPr>
                <w:rFonts w:hint="eastAsia" w:ascii="仿宋_GB2312" w:hAnsi="新宋体" w:eastAsia="仿宋_GB2312" w:cs="Times New Roman"/>
                <w:color w:val="auto"/>
                <w:kern w:val="0"/>
                <w:sz w:val="24"/>
                <w:szCs w:val="24"/>
                <w:highlight w:val="none"/>
                <w:lang w:val="en-US" w:eastAsia="zh-CN" w:bidi="ar-SA"/>
              </w:rPr>
              <w:t>货物全部由符合政策要求的中小企业制造，提供中小企业声明函；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_GB2312" w:hAnsi="新宋体" w:eastAsia="仿宋_GB2312" w:cs="Times New Roman"/>
                <w:color w:val="auto"/>
                <w:kern w:val="0"/>
                <w:sz w:val="24"/>
                <w:szCs w:val="24"/>
                <w:highlight w:val="none"/>
                <w:lang w:val="en-US" w:eastAsia="zh-CN" w:bidi="ar-SA"/>
              </w:rPr>
            </w:pPr>
            <w:sdt>
              <w:sdtPr>
                <w:rPr>
                  <w:rFonts w:hint="eastAsia" w:ascii="仿宋_GB2312" w:hAnsi="新宋体" w:eastAsia="仿宋_GB2312" w:cs="Times New Roman"/>
                  <w:color w:val="auto"/>
                  <w:kern w:val="0"/>
                  <w:sz w:val="24"/>
                  <w:szCs w:val="24"/>
                  <w:highlight w:val="none"/>
                  <w:lang w:val="en-US" w:eastAsia="zh-CN" w:bidi="ar-SA"/>
                </w:rPr>
                <w:id w:val="366665485"/>
              </w:sdtPr>
              <w:sdtEndPr>
                <w:rPr>
                  <w:rFonts w:hint="eastAsia" w:ascii="仿宋_GB2312" w:hAnsi="新宋体" w:eastAsia="仿宋_GB2312" w:cs="Times New Roman"/>
                  <w:color w:val="auto"/>
                  <w:kern w:val="0"/>
                  <w:sz w:val="24"/>
                  <w:szCs w:val="24"/>
                  <w:highlight w:val="none"/>
                  <w:lang w:val="en-US" w:eastAsia="zh-CN" w:bidi="ar-SA"/>
                </w:rPr>
              </w:sdtEndPr>
              <w:sdtContent>
                <w:sdt>
                  <w:sdtPr>
                    <w:rPr>
                      <w:rFonts w:hint="eastAsia" w:ascii="仿宋_GB2312" w:hAnsi="新宋体" w:eastAsia="仿宋_GB2312" w:cs="Times New Roman"/>
                      <w:color w:val="auto"/>
                      <w:kern w:val="0"/>
                      <w:sz w:val="24"/>
                      <w:szCs w:val="24"/>
                      <w:highlight w:val="none"/>
                      <w:lang w:val="en-US" w:eastAsia="zh-CN" w:bidi="ar-SA"/>
                    </w:rPr>
                    <w:id w:val="279565509"/>
                  </w:sdtPr>
                  <w:sdtEndPr>
                    <w:rPr>
                      <w:rFonts w:hint="eastAsia" w:ascii="仿宋_GB2312" w:hAnsi="新宋体" w:eastAsia="仿宋_GB2312" w:cs="Times New Roman"/>
                      <w:color w:val="auto"/>
                      <w:kern w:val="0"/>
                      <w:sz w:val="24"/>
                      <w:szCs w:val="24"/>
                      <w:highlight w:val="none"/>
                      <w:lang w:val="en-US" w:eastAsia="zh-CN" w:bidi="ar-SA"/>
                    </w:rPr>
                  </w:sdtEndPr>
                  <w:sdtContent>
                    <w:r>
                      <w:rPr>
                        <w:rFonts w:hint="eastAsia" w:ascii="仿宋_GB2312" w:hAnsi="新宋体" w:eastAsia="仿宋_GB2312" w:cs="Times New Roman"/>
                        <w:color w:val="auto"/>
                        <w:kern w:val="0"/>
                        <w:sz w:val="24"/>
                        <w:szCs w:val="24"/>
                        <w:highlight w:val="none"/>
                        <w:lang w:val="en-US" w:eastAsia="zh-CN" w:bidi="ar-SA"/>
                      </w:rPr>
                      <w:t>☐</w:t>
                    </w:r>
                  </w:sdtContent>
                </w:sdt>
              </w:sdtContent>
            </w:sdt>
            <w:r>
              <w:rPr>
                <w:rFonts w:hint="eastAsia" w:ascii="仿宋_GB2312" w:hAnsi="新宋体" w:eastAsia="仿宋_GB2312" w:cs="Times New Roman"/>
                <w:color w:val="auto"/>
                <w:kern w:val="0"/>
                <w:sz w:val="24"/>
                <w:szCs w:val="24"/>
                <w:highlight w:val="none"/>
                <w:lang w:val="en-US" w:eastAsia="zh-CN" w:bidi="ar-SA"/>
              </w:rPr>
              <w:t>货物全部由符合政策要求的小微企业制造，提供中小企业声明函；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hint="eastAsia" w:ascii="仿宋_GB2312" w:hAnsi="新宋体" w:eastAsia="仿宋_GB2312" w:cs="Times New Roman"/>
                <w:color w:val="auto"/>
                <w:kern w:val="0"/>
                <w:sz w:val="24"/>
                <w:szCs w:val="24"/>
                <w:highlight w:val="none"/>
                <w:lang w:val="en-US" w:eastAsia="zh-CN" w:bidi="ar-SA"/>
              </w:rPr>
            </w:pPr>
            <w:sdt>
              <w:sdtPr>
                <w:rPr>
                  <w:rFonts w:hint="eastAsia" w:ascii="仿宋_GB2312" w:hAnsi="新宋体" w:eastAsia="仿宋_GB2312" w:cs="Times New Roman"/>
                  <w:color w:val="auto"/>
                  <w:kern w:val="0"/>
                  <w:sz w:val="24"/>
                  <w:szCs w:val="24"/>
                  <w:highlight w:val="none"/>
                  <w:lang w:val="en-US" w:eastAsia="zh-CN" w:bidi="ar-SA"/>
                </w:rPr>
                <w:id w:val="306902902"/>
              </w:sdtPr>
              <w:sdtEndPr>
                <w:rPr>
                  <w:rFonts w:hint="eastAsia" w:ascii="仿宋_GB2312" w:hAnsi="新宋体" w:eastAsia="仿宋_GB2312" w:cs="Times New Roman"/>
                  <w:color w:val="auto"/>
                  <w:kern w:val="0"/>
                  <w:sz w:val="24"/>
                  <w:szCs w:val="24"/>
                  <w:highlight w:val="none"/>
                  <w:lang w:val="en-US" w:eastAsia="zh-CN" w:bidi="ar-SA"/>
                </w:rPr>
              </w:sdtEndPr>
              <w:sdtContent>
                <w:sdt>
                  <w:sdtPr>
                    <w:rPr>
                      <w:rFonts w:hint="eastAsia" w:ascii="仿宋_GB2312" w:hAnsi="新宋体" w:eastAsia="仿宋_GB2312" w:cs="Times New Roman"/>
                      <w:color w:val="auto"/>
                      <w:kern w:val="0"/>
                      <w:sz w:val="24"/>
                      <w:szCs w:val="24"/>
                      <w:highlight w:val="none"/>
                      <w:lang w:val="en-US" w:eastAsia="zh-CN" w:bidi="ar-SA"/>
                    </w:rPr>
                    <w:id w:val="279565511"/>
                  </w:sdtPr>
                  <w:sdtEndPr>
                    <w:rPr>
                      <w:rFonts w:hint="eastAsia" w:ascii="仿宋_GB2312" w:hAnsi="新宋体" w:eastAsia="仿宋_GB2312" w:cs="Times New Roman"/>
                      <w:color w:val="auto"/>
                      <w:kern w:val="0"/>
                      <w:sz w:val="24"/>
                      <w:szCs w:val="24"/>
                      <w:highlight w:val="none"/>
                      <w:lang w:val="en-US" w:eastAsia="zh-CN" w:bidi="ar-SA"/>
                    </w:rPr>
                  </w:sdtEndPr>
                  <w:sdtContent>
                    <w:r>
                      <w:rPr>
                        <w:rFonts w:hint="eastAsia" w:ascii="仿宋_GB2312" w:hAnsi="新宋体" w:eastAsia="仿宋_GB2312" w:cs="Times New Roman"/>
                        <w:color w:val="auto"/>
                        <w:kern w:val="0"/>
                        <w:sz w:val="24"/>
                        <w:szCs w:val="24"/>
                        <w:highlight w:val="none"/>
                        <w:lang w:val="en-US" w:eastAsia="zh-CN" w:bidi="ar-SA"/>
                      </w:rPr>
                      <w:t>☐</w:t>
                    </w:r>
                  </w:sdtContent>
                </w:sdt>
              </w:sdtContent>
            </w:sdt>
            <w:r>
              <w:rPr>
                <w:rFonts w:hint="eastAsia" w:ascii="仿宋_GB2312" w:hAnsi="新宋体" w:eastAsia="仿宋_GB2312" w:cs="Times New Roman"/>
                <w:color w:val="auto"/>
                <w:kern w:val="0"/>
                <w:sz w:val="24"/>
                <w:szCs w:val="24"/>
                <w:highlight w:val="none"/>
                <w:lang w:val="en-US" w:eastAsia="zh-CN" w:bidi="ar-SA"/>
              </w:rPr>
              <w:t>服务全部由符合政策要求的中小企业承接，提供中小企业声明函；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ascii="仿宋_GB2312" w:hAnsi="仿宋" w:eastAsia="仿宋_GB2312"/>
                <w:color w:val="auto"/>
                <w:sz w:val="24"/>
                <w:highlight w:val="none"/>
              </w:rPr>
            </w:pPr>
            <w:sdt>
              <w:sdtPr>
                <w:rPr>
                  <w:rFonts w:hint="eastAsia" w:ascii="仿宋_GB2312" w:hAnsi="新宋体" w:eastAsia="仿宋_GB2312" w:cs="Times New Roman"/>
                  <w:color w:val="auto"/>
                  <w:kern w:val="0"/>
                  <w:sz w:val="24"/>
                  <w:szCs w:val="24"/>
                  <w:highlight w:val="none"/>
                  <w:lang w:val="en-US" w:eastAsia="zh-CN" w:bidi="ar-SA"/>
                </w:rPr>
                <w:id w:val="366665486"/>
              </w:sdtPr>
              <w:sdtEndPr>
                <w:rPr>
                  <w:rFonts w:hint="eastAsia" w:ascii="仿宋_GB2312" w:hAnsi="新宋体" w:eastAsia="仿宋_GB2312" w:cs="Times New Roman"/>
                  <w:color w:val="auto"/>
                  <w:kern w:val="0"/>
                  <w:sz w:val="24"/>
                  <w:szCs w:val="24"/>
                  <w:highlight w:val="none"/>
                  <w:lang w:val="en-US" w:eastAsia="zh-CN" w:bidi="ar-SA"/>
                </w:rPr>
              </w:sdtEndPr>
              <w:sdtContent>
                <w:sdt>
                  <w:sdtPr>
                    <w:rPr>
                      <w:rFonts w:hint="eastAsia" w:ascii="仿宋_GB2312" w:hAnsi="新宋体" w:eastAsia="仿宋_GB2312" w:cs="Times New Roman"/>
                      <w:color w:val="auto"/>
                      <w:kern w:val="0"/>
                      <w:sz w:val="24"/>
                      <w:szCs w:val="24"/>
                      <w:highlight w:val="none"/>
                      <w:lang w:val="en-US" w:eastAsia="zh-CN" w:bidi="ar-SA"/>
                    </w:rPr>
                    <w:id w:val="279565513"/>
                  </w:sdtPr>
                  <w:sdtEndPr>
                    <w:rPr>
                      <w:rFonts w:hint="eastAsia" w:ascii="仿宋_GB2312" w:hAnsi="新宋体" w:eastAsia="仿宋_GB2312" w:cs="Times New Roman"/>
                      <w:color w:val="auto"/>
                      <w:kern w:val="0"/>
                      <w:sz w:val="24"/>
                      <w:szCs w:val="24"/>
                      <w:highlight w:val="none"/>
                      <w:lang w:val="en-US" w:eastAsia="zh-CN" w:bidi="ar-SA"/>
                    </w:rPr>
                  </w:sdtEndPr>
                  <w:sdtContent>
                    <w:r>
                      <w:rPr>
                        <w:rFonts w:hint="eastAsia" w:ascii="仿宋_GB2312" w:hAnsi="新宋体" w:eastAsia="仿宋_GB2312" w:cs="Times New Roman"/>
                        <w:color w:val="auto"/>
                        <w:kern w:val="0"/>
                        <w:sz w:val="24"/>
                        <w:szCs w:val="24"/>
                        <w:highlight w:val="none"/>
                        <w:lang w:val="en-US" w:eastAsia="zh-CN" w:bidi="ar-SA"/>
                      </w:rPr>
                      <w:t>☐</w:t>
                    </w:r>
                  </w:sdtContent>
                </w:sdt>
              </w:sdtContent>
            </w:sdt>
            <w:r>
              <w:rPr>
                <w:rFonts w:hint="eastAsia" w:ascii="仿宋_GB2312" w:hAnsi="新宋体" w:eastAsia="仿宋_GB2312" w:cs="Times New Roman"/>
                <w:color w:val="auto"/>
                <w:kern w:val="0"/>
                <w:sz w:val="24"/>
                <w:szCs w:val="24"/>
                <w:highlight w:val="none"/>
                <w:lang w:val="en-US" w:eastAsia="zh-CN" w:bidi="ar-SA"/>
              </w:rPr>
              <w:t>服务全部由符合政策要求的小微企</w:t>
            </w:r>
            <w:r>
              <w:rPr>
                <w:rFonts w:hint="eastAsia" w:ascii="仿宋_GB2312" w:hAnsi="仿宋" w:eastAsia="仿宋_GB2312"/>
                <w:color w:val="auto"/>
                <w:sz w:val="24"/>
                <w:highlight w:val="none"/>
              </w:rPr>
              <w:t>业承接，提供中小企业声明函；</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w:t>
            </w:r>
            <w:r>
              <w:rPr>
                <w:rFonts w:hint="eastAsia" w:ascii="仿宋_GB2312" w:hAnsi="仿宋" w:eastAsia="仿宋_GB2312"/>
                <w:color w:val="auto"/>
                <w:sz w:val="24"/>
                <w:highlight w:val="none"/>
              </w:rPr>
              <w:t>有标的均由中小企业制造、承建或承接，视同符合了资格条件，无需再向中小企业分包，无需提供分包意向协议；</w:t>
            </w:r>
          </w:p>
          <w:p>
            <w:pPr>
              <w:keepNext w:val="0"/>
              <w:keepLines w:val="0"/>
              <w:pageBreakBefore w:val="0"/>
              <w:kinsoku/>
              <w:wordWrap/>
              <w:overflowPunct/>
              <w:topLinePunct w:val="0"/>
              <w:autoSpaceDE/>
              <w:autoSpaceDN/>
              <w:bidi w:val="0"/>
              <w:adjustRightInd/>
              <w:spacing w:line="360" w:lineRule="auto"/>
              <w:ind w:right="0" w:rightChars="0"/>
              <w:textAlignment w:val="auto"/>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标项三、四</w:t>
            </w:r>
            <w:r>
              <w:rPr>
                <w:rFonts w:hint="eastAsia" w:ascii="仿宋_GB2312" w:hAnsi="仿宋" w:eastAsia="仿宋_GB2312"/>
                <w:color w:val="auto"/>
                <w:sz w:val="24"/>
                <w:highlight w:val="none"/>
                <w:lang w:eastAsia="zh-CN"/>
              </w:rPr>
              <w:t>、五</w:t>
            </w:r>
            <w:r>
              <w:rPr>
                <w:rFonts w:hint="eastAsia" w:ascii="仿宋_GB2312" w:hAnsi="仿宋" w:eastAsia="仿宋_GB2312"/>
                <w:color w:val="auto"/>
                <w:sz w:val="24"/>
                <w:highlight w:val="none"/>
              </w:rPr>
              <w:t>：</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_GB2312" w:hAnsi="仿宋" w:eastAsia="仿宋_GB2312"/>
                <w:color w:val="auto"/>
                <w:sz w:val="24"/>
                <w:highlight w:val="none"/>
                <w:lang w:eastAsia="zh-CN"/>
              </w:rPr>
            </w:pPr>
            <w:r>
              <w:rPr>
                <w:rFonts w:hint="eastAsia" w:ascii="仿宋_GB2312" w:hAnsi="仿宋" w:eastAsia="仿宋_GB2312"/>
                <w:color w:val="auto"/>
                <w:sz w:val="24"/>
                <w:highlight w:val="none"/>
              </w:rPr>
              <w:t>落实政府采购政策需满足的资格要求：</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hint="eastAsia" w:ascii="仿宋_GB2312" w:hAnsi="仿宋" w:eastAsia="仿宋_GB2312"/>
                <w:color w:val="auto"/>
                <w:sz w:val="24"/>
                <w:highlight w:val="none"/>
              </w:rPr>
            </w:pPr>
            <w:sdt>
              <w:sdtPr>
                <w:rPr>
                  <w:rFonts w:hint="eastAsia" w:ascii="仿宋_GB2312" w:hAnsi="仿宋" w:eastAsia="仿宋_GB2312"/>
                  <w:color w:val="auto"/>
                  <w:sz w:val="24"/>
                  <w:highlight w:val="none"/>
                </w:rPr>
                <w:id w:val="725337177"/>
              </w:sdtPr>
              <w:sdtEndPr>
                <w:rPr>
                  <w:rFonts w:hint="eastAsia" w:ascii="仿宋_GB2312" w:hAnsi="仿宋" w:eastAsia="仿宋_GB2312"/>
                  <w:color w:val="auto"/>
                  <w:sz w:val="24"/>
                  <w:highlight w:val="none"/>
                </w:rPr>
              </w:sdtEndPr>
              <w:sdtContent>
                <w:r>
                  <w:rPr>
                    <w:rFonts w:hint="eastAsia" w:ascii="仿宋_GB2312" w:hAnsi="仿宋" w:eastAsia="仿宋_GB2312"/>
                    <w:color w:val="auto"/>
                    <w:sz w:val="24"/>
                    <w:highlight w:val="none"/>
                  </w:rPr>
                  <w:sym w:font="Wingdings" w:char="00FE"/>
                </w:r>
              </w:sdtContent>
            </w:sdt>
            <w:r>
              <w:rPr>
                <w:rFonts w:hint="eastAsia" w:ascii="仿宋_GB2312" w:hAnsi="仿宋" w:eastAsia="仿宋_GB2312"/>
                <w:color w:val="auto"/>
                <w:sz w:val="24"/>
                <w:highlight w:val="none"/>
              </w:rPr>
              <w:t>无；</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keepNext w:val="0"/>
              <w:keepLines w:val="0"/>
              <w:pageBreakBefore w:val="0"/>
              <w:kinsoku/>
              <w:wordWrap/>
              <w:overflowPunct/>
              <w:topLinePunct w:val="0"/>
              <w:autoSpaceDE/>
              <w:autoSpaceDN/>
              <w:bidi w:val="0"/>
              <w:adjustRightInd/>
              <w:spacing w:line="360" w:lineRule="auto"/>
              <w:ind w:right="0" w:rightChars="0" w:firstLine="785" w:firstLineChars="374"/>
              <w:textAlignment w:val="auto"/>
              <w:rPr>
                <w:rFonts w:ascii="仿宋_GB2312" w:hAnsi="仿宋" w:eastAsia="仿宋_GB2312"/>
                <w:color w:val="auto"/>
                <w:sz w:val="24"/>
                <w:highlight w:val="none"/>
              </w:rPr>
            </w:pPr>
            <w:sdt>
              <w:sdtPr>
                <w:rPr>
                  <w:rFonts w:hint="default" w:ascii="仿宋_GB2312" w:hAnsi="仿宋" w:eastAsia="仿宋_GB2312" w:cs="Arial"/>
                  <w:color w:val="auto"/>
                  <w:sz w:val="21"/>
                  <w:szCs w:val="21"/>
                  <w:highlight w:val="none"/>
                  <w:lang w:val="en-US"/>
                </w:rPr>
                <w:id w:val="725337177"/>
              </w:sdtPr>
              <w:sdtEndPr>
                <w:rPr>
                  <w:rFonts w:hint="eastAsia" w:ascii="仿宋_GB2312" w:hAnsi="仿宋" w:eastAsia="仿宋_GB2312" w:cs="Arial"/>
                  <w:color w:val="auto"/>
                  <w:sz w:val="21"/>
                  <w:szCs w:val="21"/>
                  <w:highlight w:val="none"/>
                  <w:lang w:val="en-US"/>
                </w:rPr>
              </w:sdtEndPr>
              <w:sdtContent>
                <w:sdt>
                  <w:sdtPr>
                    <w:rPr>
                      <w:rFonts w:hint="default" w:ascii="仿宋_GB2312" w:hAnsi="仿宋" w:eastAsia="仿宋_GB2312" w:cs="Arial"/>
                      <w:color w:val="auto"/>
                      <w:kern w:val="0"/>
                      <w:sz w:val="24"/>
                      <w:highlight w:val="none"/>
                      <w:lang w:val="en-US"/>
                    </w:rPr>
                    <w:id w:val="279565509"/>
                  </w:sdtPr>
                  <w:sdtEndPr>
                    <w:rPr>
                      <w:rFonts w:hint="eastAsia" w:ascii="仿宋_GB2312" w:hAnsi="仿宋" w:eastAsia="仿宋_GB2312" w:cs="Arial"/>
                      <w:color w:val="auto"/>
                      <w:kern w:val="0"/>
                      <w:sz w:val="24"/>
                      <w:highlight w:val="none"/>
                      <w:lang w:val="en-US"/>
                    </w:rPr>
                  </w:sdtEndPr>
                  <w:sdtContent>
                    <w:r>
                      <w:rPr>
                        <w:rFonts w:hint="eastAsia" w:ascii="仿宋_GB2312" w:hAnsi="仿宋" w:eastAsia="仿宋_GB2312" w:cs="Arial"/>
                        <w:color w:val="auto"/>
                        <w:sz w:val="21"/>
                        <w:szCs w:val="21"/>
                        <w:highlight w:val="none"/>
                        <w:lang w:val="en-US" w:eastAsia="zh-CN"/>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货物全部由符合政策要求的中小企业制造，提供中小企业声明函；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keepNext w:val="0"/>
              <w:keepLines w:val="0"/>
              <w:pageBreakBefore w:val="0"/>
              <w:kinsoku/>
              <w:wordWrap/>
              <w:overflowPunct/>
              <w:topLinePunct w:val="0"/>
              <w:autoSpaceDE/>
              <w:autoSpaceDN/>
              <w:bidi w:val="0"/>
              <w:adjustRightInd/>
              <w:spacing w:line="360" w:lineRule="auto"/>
              <w:ind w:right="0" w:rightChars="0" w:firstLine="897" w:firstLineChars="374"/>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keepNext w:val="0"/>
              <w:keepLines w:val="0"/>
              <w:pageBreakBefore w:val="0"/>
              <w:kinsoku/>
              <w:wordWrap/>
              <w:overflowPunct/>
              <w:topLinePunct w:val="0"/>
              <w:autoSpaceDE/>
              <w:autoSpaceDN/>
              <w:bidi w:val="0"/>
              <w:adjustRightInd/>
              <w:spacing w:line="360" w:lineRule="auto"/>
              <w:ind w:right="0" w:rightChars="0" w:firstLine="480" w:firstLineChars="200"/>
              <w:textAlignment w:val="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spacing w:line="360" w:lineRule="auto"/>
              <w:ind w:firstLine="480" w:firstLineChars="200"/>
              <w:rPr>
                <w:rFonts w:hint="eastAsia" w:ascii="仿宋_GB2312" w:hAnsi="仿宋" w:eastAsia="仿宋_GB2312"/>
                <w:color w:val="auto"/>
                <w:sz w:val="24"/>
                <w:highlight w:val="none"/>
              </w:rPr>
            </w:pP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2024年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日9 点 00分00秒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2024年</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 xml:space="preserve">  </w:t>
            </w:r>
            <w:r>
              <w:rPr>
                <w:rFonts w:hint="eastAsia" w:ascii="仿宋_GB2312" w:hAnsi="仿宋" w:eastAsia="仿宋_GB2312" w:cs="仿宋"/>
                <w:color w:val="auto"/>
                <w:sz w:val="24"/>
                <w:highlight w:val="none"/>
                <w:u w:val="single"/>
              </w:rPr>
              <w:t>日9 点00 分00秒</w:t>
            </w:r>
            <w:r>
              <w:rPr>
                <w:rFonts w:hint="eastAsia" w:ascii="仿宋_GB2312" w:hAnsi="仿宋" w:eastAsia="仿宋_GB2312" w:cs="仿宋"/>
                <w:bCs/>
                <w:color w:val="auto"/>
                <w:sz w:val="24"/>
                <w:highlight w:val="none"/>
                <w:u w:val="single"/>
              </w:rPr>
              <w:t xml:space="preserve">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名称：绍兴市应急管理局</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地址：绍兴市越城区洋江西路589号</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项目联系人（询问）：杨丹</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项目联系方式（询问）：0575-85109890</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质疑联系人：傅小华</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质疑联系方式：0575-88775061</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2</w:t>
            </w:r>
            <w:r>
              <w:rPr>
                <w:rFonts w:hint="eastAsia" w:ascii="仿宋_GB2312" w:hAnsi="新宋体" w:eastAsia="仿宋_GB2312"/>
                <w:color w:val="auto"/>
                <w:szCs w:val="24"/>
                <w:highlight w:val="none"/>
              </w:rPr>
              <w:t xml:space="preserve">.采购代理机构信息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绍兴虬实企业管理咨询有限公司</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地址：绍兴市越城区迪荡街道龙湖大厦17楼SP1703室</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项目联系人（询问）：韩萍</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项目联系方式（询问）：13989509672</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质疑联系人：金琼洁</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质疑联系方式：0575-85352613</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 xml:space="preserve">.同级政府采购监督管理部门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8"/>
              <w:spacing w:afterLines="0" w:line="440" w:lineRule="exact"/>
              <w:ind w:firstLine="480"/>
              <w:jc w:val="left"/>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lang w:eastAsia="zh-CN"/>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 xml:space="preserve">01标 高扬程水泵、高压接力消防水泵、高压细水雾灭火机、消防水泵(高压接力水泵)、便携式灭火水泵 ；03标 复合气体探测器、液压破拆工具组（液压扩张器、液压机动泵、配件）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eastAsia="zh-CN"/>
              </w:rPr>
              <w:t>详见采购需求</w:t>
            </w:r>
            <w:r>
              <w:rPr>
                <w:rFonts w:hint="eastAsia" w:ascii="仿宋_GB2312" w:hAnsi="仿宋" w:eastAsia="仿宋_GB2312"/>
                <w:color w:val="auto"/>
                <w:sz w:val="24"/>
                <w:highlight w:val="none"/>
                <w:u w:val="single"/>
                <w:lang w:val="en-US" w:eastAsia="zh-CN"/>
              </w:rPr>
              <w:t xml:space="preserve"> </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val="en-US" w:eastAsia="zh-CN"/>
              </w:rPr>
              <w:t>2024年6月 日9：00以前</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绍兴市公共资源交易中心鼎盛时代大厦5楼</w:t>
            </w:r>
            <w:r>
              <w:rPr>
                <w:rFonts w:hint="eastAsia" w:ascii="仿宋" w:hAnsi="仿宋" w:eastAsia="仿宋" w:cs="仿宋"/>
                <w:snapToGrid/>
                <w:color w:val="auto"/>
                <w:sz w:val="24"/>
                <w:szCs w:val="24"/>
                <w:highlight w:val="none"/>
                <w:u w:val="single"/>
                <w:lang w:val="en-US" w:eastAsia="zh-CN"/>
              </w:rPr>
              <w:t>（样品在开标前由投标人自行保管负责，并做好包装保护）</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韩萍</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lang w:val="en-US" w:eastAsia="zh-CN"/>
              </w:rPr>
              <w:t xml:space="preserve"> 13989509672</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r>
              <w:rPr>
                <w:rFonts w:hint="eastAsia" w:ascii="仿宋_GB2312" w:hAnsi="MS Gothic" w:eastAsia="仿宋_GB2312" w:cs="Arial"/>
                <w:color w:val="auto"/>
                <w:kern w:val="0"/>
                <w:sz w:val="24"/>
                <w:highlight w:val="none"/>
              </w:rPr>
              <w:sym w:font="Wingdings" w:char="F0FE"/>
            </w:r>
            <w:r>
              <w:rPr>
                <w:rFonts w:hint="eastAsia" w:ascii="仿宋_GB2312" w:hAnsi="仿宋" w:eastAsia="仿宋_GB2312" w:cs="仿宋"/>
                <w:color w:val="auto"/>
                <w:sz w:val="24"/>
                <w:highlight w:val="none"/>
              </w:rPr>
              <w:t>A无方案讲解演示。</w:t>
            </w:r>
          </w:p>
          <w:p>
            <w:pPr>
              <w:spacing w:line="440" w:lineRule="exact"/>
              <w:rPr>
                <w:rFonts w:ascii="仿宋_GB2312" w:hAnsi="仿宋" w:eastAsia="仿宋_GB2312" w:cs="仿宋"/>
                <w:b/>
                <w:bCs/>
                <w:color w:val="auto"/>
                <w:sz w:val="24"/>
                <w:highlight w:val="none"/>
              </w:rPr>
            </w:pPr>
            <w:r>
              <w:rPr>
                <w:rFonts w:hint="eastAsia" w:ascii="仿宋_GB2312" w:hAnsi="MS Gothic" w:eastAsia="仿宋_GB2312" w:cs="Arial"/>
                <w:color w:val="auto"/>
                <w:kern w:val="0"/>
                <w:sz w:val="24"/>
                <w:highlight w:val="none"/>
              </w:rPr>
              <w:sym w:font="Wingdings" w:char="00A8"/>
            </w:r>
            <w:r>
              <w:rPr>
                <w:rFonts w:hint="eastAsia" w:ascii="仿宋_GB2312" w:hAnsi="仿宋" w:eastAsia="仿宋_GB2312" w:cs="仿宋"/>
                <w:b/>
                <w:bCs/>
                <w:color w:val="auto"/>
                <w:sz w:val="24"/>
                <w:highlight w:val="none"/>
              </w:rPr>
              <w:t>B有方案讲解演示：</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（1）在评标时安排每个供应商进行方案讲解演示。每个供应商时间不超过</w:t>
            </w:r>
            <w:r>
              <w:rPr>
                <w:rFonts w:hint="eastAsia" w:ascii="仿宋_GB2312" w:hAnsi="仿宋" w:eastAsia="仿宋_GB2312" w:cs="仿宋"/>
                <w:b/>
                <w:bCs/>
                <w:color w:val="auto"/>
                <w:sz w:val="24"/>
                <w:highlight w:val="none"/>
                <w:u w:val="single"/>
              </w:rPr>
              <w:t xml:space="preserve"> 15 </w:t>
            </w:r>
            <w:r>
              <w:rPr>
                <w:rFonts w:hint="eastAsia" w:ascii="仿宋_GB2312" w:hAnsi="仿宋" w:eastAsia="仿宋_GB2312" w:cs="仿宋"/>
                <w:b/>
                <w:bCs/>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b/>
                <w:bCs/>
                <w:color w:val="auto"/>
                <w:sz w:val="24"/>
                <w:highlight w:val="none"/>
                <w:lang w:val="zh-CN"/>
              </w:rPr>
            </w:pPr>
            <w:r>
              <w:rPr>
                <w:rFonts w:hint="eastAsia" w:ascii="仿宋_GB2312" w:hAnsi="仿宋" w:eastAsia="仿宋_GB2312" w:cs="仿宋"/>
                <w:b/>
                <w:bCs/>
                <w:color w:val="auto"/>
                <w:sz w:val="24"/>
                <w:highlight w:val="none"/>
                <w:lang w:val="zh-CN"/>
              </w:rPr>
              <w:t>（2）方案讲解演示可选择以下其中一种方式：</w:t>
            </w:r>
          </w:p>
          <w:p>
            <w:pPr>
              <w:spacing w:line="440" w:lineRule="exact"/>
              <w:rPr>
                <w:rFonts w:ascii="仿宋_GB2312" w:hAnsi="仿宋" w:eastAsia="仿宋_GB2312" w:cs="仿宋"/>
                <w:b/>
                <w:bCs/>
                <w:color w:val="auto"/>
                <w:sz w:val="24"/>
                <w:highlight w:val="none"/>
                <w:lang w:val="zh-CN"/>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r>
              <w:rPr>
                <w:rFonts w:hint="eastAsia" w:ascii="仿宋_GB2312" w:hAnsi="仿宋" w:eastAsia="仿宋_GB2312" w:cs="仿宋"/>
                <w:b/>
                <w:bCs/>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01标：高压接力消防水泵</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rPr>
              <w:t>高扬程水泵</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rPr>
              <w:t>02标：风力灭火机</w:t>
            </w:r>
            <w:r>
              <w:rPr>
                <w:rFonts w:hint="eastAsia" w:ascii="仿宋_GB2312" w:hAnsi="仿宋" w:eastAsia="仿宋_GB2312"/>
                <w:color w:val="auto"/>
                <w:sz w:val="24"/>
                <w:highlight w:val="none"/>
                <w:u w:val="single"/>
                <w:lang w:eastAsia="zh-CN"/>
              </w:rPr>
              <w:t>、红外热成像仪；</w:t>
            </w:r>
            <w:r>
              <w:rPr>
                <w:rFonts w:hint="eastAsia" w:ascii="仿宋_GB2312" w:hAnsi="仿宋" w:eastAsia="仿宋_GB2312"/>
                <w:color w:val="auto"/>
                <w:sz w:val="24"/>
                <w:highlight w:val="none"/>
                <w:u w:val="single"/>
              </w:rPr>
              <w:t>0</w:t>
            </w:r>
            <w:r>
              <w:rPr>
                <w:rFonts w:hint="eastAsia" w:ascii="仿宋_GB2312" w:hAnsi="仿宋" w:eastAsia="仿宋_GB2312"/>
                <w:color w:val="auto"/>
                <w:sz w:val="24"/>
                <w:highlight w:val="none"/>
                <w:u w:val="single"/>
                <w:lang w:val="en-US" w:eastAsia="zh-CN"/>
              </w:rPr>
              <w:t>3</w:t>
            </w:r>
            <w:r>
              <w:rPr>
                <w:rFonts w:hint="eastAsia" w:ascii="仿宋_GB2312" w:hAnsi="仿宋" w:eastAsia="仿宋_GB2312"/>
                <w:color w:val="auto"/>
                <w:sz w:val="24"/>
                <w:highlight w:val="none"/>
                <w:u w:val="single"/>
              </w:rPr>
              <w:t>标：复合气体探测器</w:t>
            </w:r>
            <w:r>
              <w:rPr>
                <w:rFonts w:hint="eastAsia" w:ascii="仿宋_GB2312" w:hAnsi="仿宋" w:eastAsia="仿宋_GB2312"/>
                <w:color w:val="auto"/>
                <w:sz w:val="24"/>
                <w:highlight w:val="none"/>
                <w:u w:val="single"/>
                <w:lang w:eastAsia="zh-CN"/>
              </w:rPr>
              <w:t>；</w:t>
            </w:r>
            <w:r>
              <w:rPr>
                <w:rFonts w:hint="eastAsia" w:ascii="仿宋_GB2312" w:hAnsi="仿宋" w:eastAsia="仿宋_GB2312"/>
                <w:color w:val="auto"/>
                <w:sz w:val="24"/>
                <w:highlight w:val="none"/>
                <w:u w:val="single"/>
                <w:lang w:val="en-US" w:eastAsia="zh-CN"/>
              </w:rPr>
              <w:t>04标：中小型水罐消防车A款；05标应急照明系统</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01、02</w:t>
            </w:r>
            <w:r>
              <w:rPr>
                <w:rFonts w:hint="eastAsia" w:ascii="仿宋_GB2312" w:hAnsi="仿宋" w:eastAsia="仿宋_GB2312" w:cs="Arial"/>
                <w:color w:val="auto"/>
                <w:kern w:val="0"/>
                <w:sz w:val="24"/>
                <w:highlight w:val="none"/>
                <w:u w:val="single"/>
                <w:lang w:eastAsia="zh-CN"/>
              </w:rPr>
              <w:t>、</w:t>
            </w:r>
            <w:r>
              <w:rPr>
                <w:rFonts w:hint="eastAsia" w:ascii="仿宋_GB2312" w:hAnsi="仿宋" w:eastAsia="仿宋_GB2312" w:cs="Arial"/>
                <w:color w:val="auto"/>
                <w:kern w:val="0"/>
                <w:sz w:val="24"/>
                <w:highlight w:val="none"/>
                <w:u w:val="single"/>
                <w:lang w:val="en-US" w:eastAsia="zh-CN"/>
              </w:rPr>
              <w:t>03、04、05</w:t>
            </w:r>
            <w:r>
              <w:rPr>
                <w:rFonts w:hint="eastAsia" w:ascii="仿宋_GB2312" w:hAnsi="仿宋" w:eastAsia="仿宋_GB2312" w:cs="Arial"/>
                <w:color w:val="auto"/>
                <w:kern w:val="0"/>
                <w:sz w:val="24"/>
                <w:highlight w:val="none"/>
                <w:u w:val="single"/>
              </w:rPr>
              <w:t xml:space="preserve">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工业  </w:t>
            </w:r>
            <w:r>
              <w:rPr>
                <w:rFonts w:hint="eastAsia" w:ascii="仿宋_GB2312" w:hAnsi="仿宋" w:eastAsia="仿宋_GB2312" w:cs="Arial"/>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16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FE"/>
                    </w:r>
                  </w:sdtContent>
                </w:sdt>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以中标通知书中确定的中标金额作为服务费的计算基数，具体比例参照《国家计委关于印发&lt;招标代理服务收费管理暂行办法&gt;的通知》（计价格[2002]1980号）文件收费标准*30%计取，不足10000元按10000元计取，超过15000元按15000元计取，各标段单独计费。</w:t>
            </w:r>
          </w:p>
          <w:p>
            <w:pPr>
              <w:keepNext w:val="0"/>
              <w:keepLines w:val="0"/>
              <w:pageBreakBefore w:val="0"/>
              <w:widowControl w:val="0"/>
              <w:kinsoku/>
              <w:wordWrap/>
              <w:overflowPunct/>
              <w:topLinePunct w:val="0"/>
              <w:bidi w:val="0"/>
              <w:adjustRightInd/>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）中标服务费的交纳方式：</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号：2006767942000015</w:t>
            </w:r>
          </w:p>
          <w:p>
            <w:pPr>
              <w:keepNext w:val="0"/>
              <w:keepLines w:val="0"/>
              <w:pageBreakBefore w:val="0"/>
              <w:widowControl w:val="0"/>
              <w:kinsoku/>
              <w:wordWrap/>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行：绍兴银行股份有限公司禹陵支行</w:t>
            </w:r>
          </w:p>
          <w:p>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）领取中标通知书前交纳。</w:t>
            </w:r>
            <w:r>
              <w:rPr>
                <w:rFonts w:hint="eastAsia" w:ascii="仿宋_GB2312" w:hAnsi="宋体" w:eastAsia="仿宋_GB2312"/>
                <w:b/>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Lines="50"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4"/>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2"/>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w:t>
      </w:r>
      <w:r>
        <w:rPr>
          <w:rFonts w:hint="eastAsia" w:ascii="仿宋_GB2312" w:hAnsi="仿宋" w:eastAsia="仿宋_GB2312" w:cs="仿宋"/>
          <w:color w:val="auto"/>
          <w:sz w:val="24"/>
          <w:highlight w:val="none"/>
          <w:lang w:eastAsia="zh-CN"/>
        </w:rPr>
        <w:t>七</w:t>
      </w:r>
      <w:r>
        <w:rPr>
          <w:rFonts w:hint="eastAsia" w:ascii="仿宋_GB2312" w:hAnsi="仿宋" w:eastAsia="仿宋_GB2312" w:cs="仿宋"/>
          <w:color w:val="auto"/>
          <w:sz w:val="24"/>
          <w:highlight w:val="none"/>
        </w:rPr>
        <w:t>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6"/>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6"/>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numPr>
          <w:ilvl w:val="0"/>
          <w:numId w:val="6"/>
        </w:numPr>
        <w:snapToGrid w:val="0"/>
        <w:spacing w:line="360" w:lineRule="auto"/>
        <w:jc w:val="center"/>
        <w:rPr>
          <w:rFonts w:hint="eastAsia"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招标项目范围及要求</w:t>
      </w:r>
    </w:p>
    <w:p>
      <w:pPr>
        <w:pStyle w:val="118"/>
        <w:numPr>
          <w:ilvl w:val="0"/>
          <w:numId w:val="0"/>
        </w:numPr>
        <w:spacing w:line="360" w:lineRule="auto"/>
        <w:ind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为认真贯彻习近平总书记关于提高突发事件响应和处置能力系列重要指示批示精神，按照《“十四五”国家应急体系规划》《“十四五”应急管理装备发展规划》中的建设要求，为加快构建“大安全、大应急、大减灾”体系，完善应急管理体制，深化推进我市应急管理事业改革发展提供了强大动力。通过项目实施，推动基层应急救援队伍先进适用应急救援装备水平，全面提升绍兴市基层防范和处置应对突发事件能力水平，为有效防范化解自然灾害风险和高效响应处置灾害突发事件提供有力支撑。</w:t>
      </w:r>
    </w:p>
    <w:p>
      <w:pPr>
        <w:pStyle w:val="118"/>
        <w:numPr>
          <w:ilvl w:val="0"/>
          <w:numId w:val="0"/>
        </w:numPr>
        <w:spacing w:line="360" w:lineRule="auto"/>
        <w:ind w:firstLine="480" w:firstLineChars="200"/>
        <w:rPr>
          <w:color w:val="auto"/>
          <w:highlight w:val="none"/>
        </w:rPr>
      </w:pPr>
      <w:r>
        <w:rPr>
          <w:rFonts w:hint="eastAsia" w:ascii="仿宋" w:hAnsi="仿宋" w:eastAsia="仿宋" w:cs="仿宋"/>
          <w:color w:val="auto"/>
          <w:sz w:val="24"/>
          <w:szCs w:val="24"/>
          <w:highlight w:val="none"/>
          <w:lang w:val="en-US" w:eastAsia="zh-CN"/>
        </w:rPr>
        <w:t>建设任务：为各级应急救援队伍配备森林火灾扑救设备、抗洪抢险设备、水域救援设备、地震地质灾害救援设备、综合保障等设备。</w:t>
      </w:r>
    </w:p>
    <w:p>
      <w:pPr>
        <w:spacing w:line="360" w:lineRule="auto"/>
        <w:rPr>
          <w:rFonts w:hint="default" w:ascii="仿宋_GB2312" w:hAnsi="仿宋_GB2312" w:eastAsia="仿宋_GB2312" w:cs="仿宋_GB2312"/>
          <w:b/>
          <w:bCs/>
          <w:color w:val="auto"/>
          <w:sz w:val="24"/>
          <w:highlight w:val="none"/>
          <w:lang w:val="en-US" w:eastAsia="zh-CN"/>
        </w:rPr>
      </w:pPr>
      <w:bookmarkStart w:id="4" w:name="_Toc7206"/>
      <w:bookmarkStart w:id="5" w:name="_Toc32678"/>
      <w:bookmarkStart w:id="6" w:name="_Toc151354173"/>
      <w:bookmarkStart w:id="7" w:name="_Toc81372964"/>
      <w:bookmarkStart w:id="8" w:name="_Toc81372787"/>
      <w:bookmarkStart w:id="9" w:name="_Toc84325981"/>
      <w:bookmarkStart w:id="10" w:name="_Toc80157775"/>
      <w:r>
        <w:rPr>
          <w:rFonts w:hint="eastAsia" w:ascii="仿宋_GB2312" w:hAnsi="仿宋_GB2312" w:eastAsia="仿宋_GB2312" w:cs="仿宋_GB2312"/>
          <w:b/>
          <w:bCs/>
          <w:color w:val="auto"/>
          <w:sz w:val="24"/>
          <w:highlight w:val="none"/>
          <w:bdr w:val="single" w:color="auto" w:sz="4" w:space="0"/>
        </w:rPr>
        <w:t>0</w:t>
      </w:r>
      <w:r>
        <w:rPr>
          <w:rFonts w:hint="eastAsia" w:ascii="仿宋_GB2312" w:hAnsi="仿宋_GB2312" w:eastAsia="仿宋_GB2312" w:cs="仿宋_GB2312"/>
          <w:b/>
          <w:bCs/>
          <w:color w:val="auto"/>
          <w:sz w:val="24"/>
          <w:highlight w:val="none"/>
          <w:bdr w:val="single" w:color="auto" w:sz="4" w:space="0"/>
          <w:lang w:val="en-US" w:eastAsia="zh-CN"/>
        </w:rPr>
        <w:t>1</w:t>
      </w:r>
      <w:r>
        <w:rPr>
          <w:rFonts w:hint="eastAsia" w:ascii="仿宋_GB2312" w:hAnsi="仿宋_GB2312" w:eastAsia="仿宋_GB2312" w:cs="仿宋_GB2312"/>
          <w:b/>
          <w:bCs/>
          <w:color w:val="auto"/>
          <w:sz w:val="24"/>
          <w:highlight w:val="none"/>
          <w:bdr w:val="single" w:color="auto" w:sz="4" w:space="0"/>
        </w:rPr>
        <w:t>标</w:t>
      </w:r>
      <w:r>
        <w:rPr>
          <w:rFonts w:hint="eastAsia" w:ascii="仿宋_GB2312" w:hAnsi="仿宋_GB2312" w:eastAsia="仿宋_GB2312" w:cs="仿宋_GB2312"/>
          <w:b/>
          <w:bCs/>
          <w:color w:val="auto"/>
          <w:sz w:val="24"/>
          <w:highlight w:val="none"/>
          <w:lang w:eastAsia="zh-CN"/>
        </w:rPr>
        <w:t>森林消防泵</w:t>
      </w:r>
      <w:r>
        <w:rPr>
          <w:rFonts w:hint="eastAsia" w:ascii="仿宋_GB2312" w:hAnsi="仿宋_GB2312" w:eastAsia="仿宋_GB2312" w:cs="仿宋_GB2312"/>
          <w:b/>
          <w:bCs/>
          <w:color w:val="auto"/>
          <w:sz w:val="24"/>
          <w:highlight w:val="none"/>
          <w:lang w:val="en-US" w:eastAsia="zh-CN"/>
        </w:rPr>
        <w:t>项目</w:t>
      </w:r>
    </w:p>
    <w:tbl>
      <w:tblPr>
        <w:tblStyle w:val="64"/>
        <w:tblW w:w="3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1751" w:type="pct"/>
          </w:tcPr>
          <w:p>
            <w:pPr>
              <w:pStyle w:val="25"/>
              <w:spacing w:line="360" w:lineRule="auto"/>
              <w:ind w:firstLine="24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353.40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嵊州市应急管理局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  新昌县应急管理局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1221.70</w:t>
            </w:r>
          </w:p>
        </w:tc>
      </w:tr>
    </w:tbl>
    <w:p>
      <w:pPr>
        <w:pStyle w:val="118"/>
        <w:numPr>
          <w:ilvl w:val="0"/>
          <w:numId w:val="0"/>
        </w:numPr>
        <w:spacing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投标人报价超过预算金额的作无效报价处理，取消其投标资格。</w:t>
      </w:r>
    </w:p>
    <w:p>
      <w:pPr>
        <w:pStyle w:val="118"/>
        <w:keepNext w:val="0"/>
        <w:keepLines w:val="0"/>
        <w:pageBreakBefore w:val="0"/>
        <w:widowControl/>
        <w:numPr>
          <w:ilvl w:val="0"/>
          <w:numId w:val="7"/>
        </w:numPr>
        <w:kinsoku/>
        <w:wordWrap/>
        <w:overflowPunct/>
        <w:topLinePunct w:val="0"/>
        <w:autoSpaceDE/>
        <w:autoSpaceDN/>
        <w:bidi w:val="0"/>
        <w:adjustRightInd/>
        <w:snapToGrid/>
        <w:spacing w:after="0" w:line="360" w:lineRule="auto"/>
        <w:ind w:left="0" w:firstLine="42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p>
      <w:pPr>
        <w:pStyle w:val="118"/>
        <w:keepNext w:val="0"/>
        <w:keepLines w:val="0"/>
        <w:pageBreakBefore w:val="0"/>
        <w:widowControl/>
        <w:numPr>
          <w:ilvl w:val="0"/>
          <w:numId w:val="8"/>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设备清单</w:t>
      </w:r>
    </w:p>
    <w:tbl>
      <w:tblPr>
        <w:tblStyle w:val="63"/>
        <w:tblW w:w="48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8"/>
        <w:gridCol w:w="1551"/>
        <w:gridCol w:w="1004"/>
        <w:gridCol w:w="930"/>
        <w:gridCol w:w="925"/>
        <w:gridCol w:w="923"/>
        <w:gridCol w:w="925"/>
        <w:gridCol w:w="941"/>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4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8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装备名称</w:t>
            </w:r>
          </w:p>
        </w:tc>
        <w:tc>
          <w:tcPr>
            <w:tcW w:w="3712"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4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87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越城区</w:t>
            </w:r>
          </w:p>
        </w:tc>
        <w:tc>
          <w:tcPr>
            <w:tcW w:w="5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柯桥区</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上虞区</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诸暨市</w:t>
            </w:r>
          </w:p>
        </w:tc>
        <w:tc>
          <w:tcPr>
            <w:tcW w:w="51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嵊州市</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新昌县</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便携式灭火水泵</w:t>
            </w: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5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32</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95</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122</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高压接力消防水泵</w:t>
            </w: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5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26</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62</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47</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高压细水雾灭火机</w:t>
            </w: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62</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高扬程水泵</w:t>
            </w: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5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8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消防水泵（高压接力水泵）</w:t>
            </w: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2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w:t>
            </w:r>
          </w:p>
        </w:tc>
        <w:tc>
          <w:tcPr>
            <w:tcW w:w="51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519"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28"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4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25</w:t>
            </w: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firstLine="0" w:firstLineChars="0"/>
        <w:textAlignment w:val="auto"/>
        <w:rPr>
          <w:rFonts w:hint="eastAsia" w:ascii="仿宋" w:hAnsi="仿宋" w:eastAsia="仿宋" w:cs="仿宋"/>
          <w:b w:val="0"/>
          <w:bCs w:val="0"/>
          <w:color w:val="auto"/>
          <w:sz w:val="24"/>
          <w:szCs w:val="24"/>
          <w:highlight w:val="none"/>
          <w:lang w:val="en-US" w:eastAsia="zh-CN"/>
        </w:rPr>
      </w:pPr>
    </w:p>
    <w:p>
      <w:pPr>
        <w:pStyle w:val="118"/>
        <w:keepNext w:val="0"/>
        <w:keepLines w:val="0"/>
        <w:pageBreakBefore w:val="0"/>
        <w:widowControl/>
        <w:numPr>
          <w:ilvl w:val="0"/>
          <w:numId w:val="9"/>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设备主要技术参数</w:t>
      </w:r>
    </w:p>
    <w:p>
      <w:pPr>
        <w:bidi w:val="0"/>
        <w:spacing w:line="360" w:lineRule="auto"/>
        <w:rPr>
          <w:rFonts w:hint="eastAsia"/>
          <w:color w:val="auto"/>
          <w:highlight w:val="none"/>
          <w:lang w:val="en-US" w:eastAsia="zh-CN"/>
        </w:rPr>
      </w:pPr>
    </w:p>
    <w:tbl>
      <w:tblPr>
        <w:tblStyle w:val="63"/>
        <w:tblW w:w="99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3"/>
        <w:gridCol w:w="717"/>
        <w:gridCol w:w="7380"/>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装备名称</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tabs>
                <w:tab w:val="left" w:pos="5112"/>
              </w:tabs>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详细性能参数</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spacing w:beforeLines="0" w:afterLines="0"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p>
            <w:pPr>
              <w:widowControl/>
              <w:tabs>
                <w:tab w:val="left" w:pos="5112"/>
              </w:tabs>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0"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高扬程水泵（需提供样品）</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top"/>
          </w:tcPr>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1.泵体结构：隔膜泵或柱塞泵，减速箱为行星减速器；</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2.配套发动机：双缸、强制风冷、四冲程，排量≥820ml，最大功率≥20kW；</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3.进水口径：≥40mm、出水口径：40mm；</w:t>
            </w:r>
          </w:p>
          <w:p>
            <w:pPr>
              <w:widowControl/>
              <w:spacing w:beforeLines="0" w:afterLines="0" w:line="360" w:lineRule="auto"/>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4.水枪出水口径：≥6mm</w:t>
            </w:r>
            <w:r>
              <w:rPr>
                <w:rFonts w:hint="eastAsia" w:ascii="仿宋" w:hAnsi="仿宋" w:eastAsia="仿宋" w:cs="仿宋"/>
                <w:color w:val="auto"/>
                <w:sz w:val="21"/>
                <w:szCs w:val="21"/>
                <w:highlight w:val="none"/>
                <w:lang w:eastAsia="zh-CN"/>
              </w:rPr>
              <w:t>；</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5.水枪射程：≥35m；</w:t>
            </w:r>
          </w:p>
          <w:p>
            <w:pPr>
              <w:spacing w:beforeLines="0" w:afterLines="0"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▲6.工作压力：≥8MPa、最大压力：≥10MPa（最大扬程1000米）；</w:t>
            </w:r>
          </w:p>
          <w:p>
            <w:pPr>
              <w:spacing w:beforeLines="0" w:afterLines="0"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7.当压力4MPa时，流量≥2.1L/s；当压力6MPa时，流量≥2.3L/s；</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★8.最大流量：≥190L/min；</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9.吸水扬程：≥7m；</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10.引水时间：≤5s；</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11.启动方式：电启动；</w:t>
            </w:r>
          </w:p>
          <w:p>
            <w:pPr>
              <w:widowControl/>
              <w:spacing w:beforeLines="0" w:afterLines="0" w:line="360" w:lineRule="auto"/>
              <w:textAlignment w:val="center"/>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rPr>
              <w:t>▲12.可同时供5把口径≥3.5mm高压直流喷枪，喷枪出口压力不小于3.3MPa</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13.净质量：≤150kg；</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14.保护装置：超压熄火保护，泵组配备泄压安全阀；</w:t>
            </w:r>
          </w:p>
          <w:p>
            <w:pPr>
              <w:widowControl/>
              <w:spacing w:beforeLines="0" w:afterLines="0" w:line="360" w:lineRule="auto"/>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▲15.配有增效管，爆破压力≥23MPa、每米重量≤160g/m、粘合度≥2.0kN/m，耐火强度试验压力为8.0MPa状态下，放于枯枝燃烧保持3min无爆破，可正常使用</w:t>
            </w:r>
            <w:r>
              <w:rPr>
                <w:rFonts w:hint="eastAsia" w:ascii="仿宋" w:hAnsi="仿宋" w:eastAsia="仿宋" w:cs="仿宋"/>
                <w:color w:val="auto"/>
                <w:sz w:val="21"/>
                <w:szCs w:val="21"/>
                <w:highlight w:val="none"/>
                <w:lang w:eastAsia="zh-CN"/>
              </w:rPr>
              <w:t>；</w:t>
            </w:r>
          </w:p>
          <w:p>
            <w:pPr>
              <w:widowControl/>
              <w:numPr>
                <w:ilvl w:val="0"/>
                <w:numId w:val="0"/>
              </w:numPr>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16.外观：杠杆式滚轮移动设计，整机外观应光洁平整，不得有锈蚀、锈痕、油漆剥落、油污、碰伤等缺陷。离合器和其它可能对人体产生伤害的运动零件周围应有护罩；</w:t>
            </w:r>
          </w:p>
          <w:p>
            <w:pPr>
              <w:widowControl/>
              <w:numPr>
                <w:ilvl w:val="0"/>
                <w:numId w:val="0"/>
              </w:numPr>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▲17.配有火场清理高压水泵：泵组为自动泄压容积泵与四冲程风冷汽油发动机组成，最大压力 ≥8MPa，最大流量≥40 L/min，装有自动调节安全溢流阀；</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18.每套配置为：一台主机，一套带过滤网吸水管，一台火场清理高压水泵、一套修理工具及备品备件、五把高压直流水枪、一个六分水器、五条增效管、一个24升外置油箱，6个脉动减震器；</w:t>
            </w:r>
          </w:p>
          <w:p>
            <w:pPr>
              <w:widowControl/>
              <w:spacing w:beforeLines="0" w:afterLines="0" w:line="360" w:lineRule="auto"/>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注：带▲参数需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3"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高压接力消防水泵（需提供样品）</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发动机及水泵结构：单缸二冲程水冷与自然风冷复合冷却发动机；三级铝合金或不锈钢叶轮离心泵；具有防反转保护结构；</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发动机排量：≥85cc；</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最大输出功率：≥10HP；</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吸水深度：≥7m；</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 xml:space="preserve">最大压力：≥2.6Mpa； </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最大扬程：≥260m；</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最大流量：≥300L/min；</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射程：≥35m；</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进水口径：50mm；出水口径：40mm；压力0.3MPa时，流量≥4.95L/s；压力0.6MPa时，流量≥4.56L/s；压力0.9MPa时，流量≥3.79L/s；压力1.2Mpa时，流量≥3.20L/s；压力1.5MPa时，流量≥2.40L/s；</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油箱容积：≥9L，独立加油口，可实现不停机加油，；</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启动方式：手启动和电启动，电启动马达与水泵主机一体式；</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启动性能：电启动和手启动；</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冷却方式：闭路循环强制水冷系统和自然风两种复合冷却方式；</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引水方式：防漏气不锈钢手泵引水/遥控自动引水；</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材质要求：缸体为耐磨镀陶缸体，泵体为铝合金材质；</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框架类型：采用全铝合金或不锈钢框架；</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保护性能：发动机应具备高温、断水（无水）、超速自动保护装置；</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设备输出：具备应急照明灯、直流5V-12V电压输出、USB/Type-C多功能电源输出端口；</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监测要求：设备具有液晶综合一体化监测显示屏，可显示机器工作压力、转速、气缸温度及累计使用时长；</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净重：≤13Kg；</w:t>
            </w:r>
          </w:p>
          <w:p>
            <w:pPr>
              <w:widowControl/>
              <w:spacing w:beforeLines="0" w:afterLines="0" w:line="360" w:lineRule="auto"/>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附件：水泵双肩安全背包；附件背包；油箱背包；止水钳2把；水带修补环6只；分水器1个；止逆阀1只；直流水枪1只；喷雾水枪1只；进水管1根；底阀1只；防淤框1只；串联进水接头1付；工具1套；</w:t>
            </w:r>
          </w:p>
          <w:p>
            <w:pPr>
              <w:widowControl/>
              <w:spacing w:beforeLines="0" w:afterLines="0" w:line="360" w:lineRule="auto"/>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要求：国产发动机；采用航空箱包装；可串联作业</w:t>
            </w:r>
            <w:r>
              <w:rPr>
                <w:rFonts w:hint="eastAsia" w:ascii="仿宋" w:hAnsi="仿宋" w:eastAsia="仿宋" w:cs="仿宋"/>
                <w:color w:val="auto"/>
                <w:sz w:val="21"/>
                <w:szCs w:val="21"/>
                <w:highlight w:val="none"/>
                <w:lang w:eastAsia="zh-CN"/>
              </w:rPr>
              <w:t>；</w:t>
            </w:r>
          </w:p>
          <w:p>
            <w:pPr>
              <w:widowControl/>
              <w:spacing w:beforeLines="0" w:afterLines="0" w:line="360" w:lineRule="auto"/>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注：带▲参数需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2"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高压细水雾灭火机（需提供样品）</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汽油机功率（HP）：≥1.8,起动性能≤5s；</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最大流量（ L/min）：≥5；</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水袋容积（ L）≥22</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射程：雾化（m）≥8，直流(m)≥13.6, 平均射程≥10m</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噪音(dB(A))：≤97；</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额定工作压力(MPa)：≥6.0，最大压力≥8.5MPa;</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枪体结构：三节伸缩杆，最大长度(m)≥1.4</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净质量( kg)≤8.5；</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高压泵采用铜质泵头，每个高压接口采用铜质快速接头</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连续工作≥15min；</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背架：304#不锈钢；</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喷头转换方式：旋转式；</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背带性能：双肩背带，背带承重≥50kg</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自动自吸距离(m)：≥7；</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更换水袋时间(s)：≤5；</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启动方式：手拉绳动启动;</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水袋参数：</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（1）水袋背包材质：军绿色高强度防水面料；</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（2）水袋材质：采用PVC材料热粘而成，抗摔耐磨</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（3）容积：容积≥22L；每台机配3个移动水袋</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（4）水袋尺寸（mm）：380×300×190；</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（5）携带方式：采用双肩背负；</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（6）进水、出水口：进水口采用螺纹盖，结实耐用，防漏收效果好，出水口采用不锈钢快速接头，密闭性能好;</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注：带▲参数需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消防水泵(高压接力水泵)（需提供样品）</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发动机型式：单缸、二冲程、强制水冷系统；</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发动机排量：≥85cc；</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最大输出功率：≥10hp/7000rpm；</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水泵形式：双（二）级离心泵；</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吸水扬程：≥7m；</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最大压力：≥2.18MPa；</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最大流量：≥4.7L/s(280 L/min)；</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最大射程：≥30m；</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进水口径：50mm；出水口径：40mm；</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工况1：压力≥1.6MPa；流量≥1.1L/s；</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工况2：压力≥0.8MPa；流量≥2.8L/s；</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工况3：压力≥0.6MPa；流量≥3.0L/s；</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油箱容积：≥9L（设置独立加油口，可实现不停机加油）；</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启动方式：手电一体启动；</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启动电源：电源充满电启动次数≥60次，同时具备LED照明、USB接口、充电功能、汽车应急启动、自带指南针、自带应急安全锤等功能；</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冷却方式：强制循环水冷系统和自然风两种复合冷却方式；</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材质要求：缸体为耐磨镀陶缸体，泵体为铝合金材质；</w:t>
            </w:r>
          </w:p>
          <w:p>
            <w:pPr>
              <w:spacing w:beforeLines="0" w:afterLines="0" w:line="360" w:lineRule="auto"/>
              <w:ind w:left="200" w:hanging="210" w:hangingChars="1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监测要求：设备具有综合一体化监测显示屏，可显示机器工作压力、转速、气缸温度及累计使用时长；</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框架类型：整体框架采用铝合金框架；</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保护性能：发动机具备高温、断水自动保护装置；</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输出设备：水泵包含配套的应急照明灯及5V-12V输出USB/Type-C接口，满足林区作业各项应急需求；</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净重：≤11.5Kg；</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附件：水泵背包；附件背包；油箱背包；止水钳2把；水带修补环6只；分水器1个；止逆阀1只；直流水枪1只；喷雾水枪1只；进水管1根；底阀1只；防淤框1只；串联进水接头1付；工具1套；应急照明灯1只；</w:t>
            </w:r>
          </w:p>
          <w:p>
            <w:pPr>
              <w:spacing w:beforeLines="0" w:afterLines="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要求：国产发动机；采用航空箱包装；可串联作业；不锈钢丝网式空滤器；</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注：带▲参数需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center"/>
              <w:textAlignment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7" w:hRule="atLeast"/>
        </w:trPr>
        <w:tc>
          <w:tcPr>
            <w:tcW w:w="723" w:type="dxa"/>
            <w:tcBorders>
              <w:top w:val="single" w:color="000000" w:sz="4" w:space="0"/>
              <w:left w:val="single" w:color="000000" w:sz="8"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71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便携式灭火水泵（需提供样品）</w:t>
            </w:r>
          </w:p>
        </w:tc>
        <w:tc>
          <w:tcPr>
            <w:tcW w:w="738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发动机：单缸，四冲程，风冷发动机，排量≥47.0C；功率≥2.0HP/7000R/min；</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启动方式：自回式手拉绳启动；</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油箱容量≥1.2L；满负荷工作时间≥95min；</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吸深≥7m；</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吸水口：2"BSP 外螺纹;</w:t>
            </w:r>
          </w:p>
          <w:p>
            <w:pPr>
              <w:widowControl/>
              <w:spacing w:beforeLines="0" w:afterLines="0"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出水口：1.5"BSP 外螺纹；</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流量≥4.0L/s，扬程≥80m</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净重≤12kg</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9</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配进水口快速接头1个、出水口快速接头2个、吸水管 1 根；直流喷枪一个</w:t>
            </w:r>
            <w:r>
              <w:rPr>
                <w:rFonts w:hint="eastAsia" w:ascii="仿宋" w:hAnsi="仿宋" w:eastAsia="仿宋" w:cs="仿宋"/>
                <w:color w:val="auto"/>
                <w:sz w:val="21"/>
                <w:szCs w:val="21"/>
                <w:highlight w:val="none"/>
                <w:lang w:eastAsia="zh-CN"/>
              </w:rPr>
              <w:t>；</w:t>
            </w:r>
          </w:p>
          <w:p>
            <w:pPr>
              <w:widowControl/>
              <w:spacing w:beforeLines="0" w:afterLines="0" w:line="360" w:lineRule="auto"/>
              <w:jc w:val="left"/>
              <w:textAlignment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注：带▲参数需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tcBorders>
              <w:top w:val="single" w:color="000000" w:sz="4" w:space="0"/>
              <w:left w:val="single" w:color="000000" w:sz="4" w:space="0"/>
              <w:bottom w:val="single" w:color="000000" w:sz="4" w:space="0"/>
              <w:right w:val="single" w:color="000000" w:sz="8" w:space="0"/>
              <w:tl2br w:val="nil"/>
              <w:tr2bl w:val="nil"/>
            </w:tcBorders>
            <w:noWrap w:val="0"/>
            <w:vAlign w:val="center"/>
          </w:tcPr>
          <w:p>
            <w:pPr>
              <w:widowControl/>
              <w:spacing w:beforeLines="0" w:afterLines="0" w:line="360" w:lineRule="auto"/>
              <w:jc w:val="center"/>
              <w:textAlignment w:val="center"/>
              <w:rPr>
                <w:rFonts w:hint="eastAsia" w:ascii="仿宋" w:hAnsi="仿宋" w:eastAsia="仿宋" w:cs="仿宋"/>
                <w:color w:val="auto"/>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281</w:t>
            </w: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二、应急物资运营管理服务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1.中标人拥有完备的装备资产管理体制，包括设备的配置、调度、保养、处理及核销等环节，确保了对装备全生命周期的有效监管。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具有应急物资管控平台服务，该平台应具备对接国家、省应急资源管理平台功能，并能够实现与市级、区县级以及行业专业部门的应急物资数据库的互联互通，平台应深度融合物联网、大数据等技术，实现物资集中化管理，构建绍兴市应急物资保障管控平台，为应急管理工作提供强有力的数据支持。</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3.中标人应拥有专业的团队，负责设备的巡检、应急救援以及物资的调拨配送工作，确保在紧急情况下能够迅速响应并有效应对，巡检要求每季度不少于一次，汛期等特殊情况按采购单位要求执行。</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4.中标人应切实配合采购人完成应急演练培训工作，每年应不少2次。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三、技术力量要求</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 具备扎实的专业知识，熟悉各类设备的性能、操作原理和使用方法。</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 掌握相关设备的维修、保养技术，能够准确判断设备故障并及时进行处理。</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 熟悉安全操作规程，确保在设备操作和维护过程中始终将安全放在首位。</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四、商务要求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1.质量保证：</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本项目投标产品需提供不少于3年原厂质保服务</w:t>
      </w:r>
      <w:r>
        <w:rPr>
          <w:rFonts w:hint="eastAsia" w:ascii="仿宋" w:hAnsi="仿宋" w:eastAsia="仿宋" w:cs="仿宋"/>
          <w:color w:val="auto"/>
          <w:sz w:val="24"/>
          <w:szCs w:val="24"/>
          <w:highlight w:val="none"/>
          <w:lang w:eastAsia="zh-CN"/>
        </w:rPr>
        <w:t>，运维服务</w:t>
      </w:r>
      <w:r>
        <w:rPr>
          <w:rFonts w:hint="eastAsia" w:ascii="仿宋" w:hAnsi="仿宋" w:eastAsia="仿宋" w:cs="仿宋"/>
          <w:color w:val="auto"/>
          <w:sz w:val="24"/>
          <w:szCs w:val="24"/>
          <w:highlight w:val="none"/>
          <w:lang w:val="en-US" w:eastAsia="zh-CN"/>
        </w:rPr>
        <w:t>5年</w:t>
      </w: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对其提供的设备进行免费维修或更换，不得收取额外费用；由于产品缺陷而引起的财产或人身损害的，由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承担相应责任。</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2.售后技术服务要求：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2.1本项目质保期内，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应提供全年7×24小时技术支持及售后服务，相关费用包含在项目总价中；</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在接到故障报告后应在</w:t>
      </w:r>
      <w:r>
        <w:rPr>
          <w:rFonts w:hint="eastAsia" w:ascii="仿宋" w:hAnsi="仿宋" w:eastAsia="仿宋" w:cs="仿宋"/>
          <w:color w:val="auto"/>
          <w:sz w:val="24"/>
          <w:szCs w:val="24"/>
          <w:highlight w:val="none"/>
          <w:lang w:val="en-US" w:eastAsia="zh-CN"/>
        </w:rPr>
        <w:t>1小时</w:t>
      </w:r>
      <w:r>
        <w:rPr>
          <w:rFonts w:hint="eastAsia" w:ascii="仿宋" w:hAnsi="仿宋" w:eastAsia="仿宋" w:cs="仿宋"/>
          <w:color w:val="auto"/>
          <w:sz w:val="24"/>
          <w:szCs w:val="24"/>
          <w:highlight w:val="none"/>
        </w:rPr>
        <w:t>内做出响应，2小时内到达现场，复杂故障应在24小时内恢复解决。若24小时内无法恢复解决的，须提供同等性能、同等配置的产品替换</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2.2备品备件及耗材要求：所投产品零配件、备品备件及耗材在该产品停产后仍需保证五年的供应。</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合同签订且收到中标人出具的符合采购人要求的正式发票后7个工作日内支付合同</w:t>
      </w:r>
      <w:r>
        <w:rPr>
          <w:rFonts w:hint="eastAsia" w:ascii="仿宋" w:hAnsi="仿宋" w:eastAsia="仿宋" w:cs="仿宋"/>
          <w:color w:val="auto"/>
          <w:sz w:val="24"/>
          <w:szCs w:val="24"/>
          <w:highlight w:val="none"/>
          <w:lang w:eastAsia="zh-CN"/>
        </w:rPr>
        <w:t>金额</w:t>
      </w:r>
      <w:r>
        <w:rPr>
          <w:rFonts w:hint="eastAsia" w:ascii="仿宋" w:hAnsi="仿宋" w:eastAsia="仿宋" w:cs="仿宋"/>
          <w:color w:val="auto"/>
          <w:sz w:val="24"/>
          <w:szCs w:val="24"/>
          <w:highlight w:val="none"/>
        </w:rPr>
        <w:t>的40%作为预付款，设备全部到货并</w:t>
      </w:r>
      <w:r>
        <w:rPr>
          <w:rFonts w:hint="eastAsia" w:ascii="仿宋" w:hAnsi="仿宋" w:eastAsia="仿宋" w:cs="仿宋"/>
          <w:color w:val="auto"/>
          <w:sz w:val="24"/>
          <w:szCs w:val="24"/>
          <w:highlight w:val="none"/>
          <w:lang w:eastAsia="zh-CN"/>
        </w:rPr>
        <w:t>验收</w:t>
      </w:r>
      <w:r>
        <w:rPr>
          <w:rFonts w:hint="eastAsia" w:ascii="仿宋" w:hAnsi="仿宋" w:eastAsia="仿宋" w:cs="仿宋"/>
          <w:color w:val="auto"/>
          <w:sz w:val="24"/>
          <w:szCs w:val="24"/>
          <w:highlight w:val="none"/>
        </w:rPr>
        <w:t>合格且收到中标人出具的正式发票后7个工作日内支付合同款的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4.培训要求：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中标人应对采购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使用人员进行安装、调试、操作等使用培训，培训时间为2天，不得限制采购单位参加培训人员数量。</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五、工期及供货地点要求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1.工期要求：本项目于</w:t>
      </w:r>
      <w:r>
        <w:rPr>
          <w:rFonts w:hint="eastAsia" w:ascii="仿宋" w:hAnsi="仿宋" w:eastAsia="仿宋" w:cs="仿宋"/>
          <w:color w:val="auto"/>
          <w:sz w:val="24"/>
          <w:szCs w:val="24"/>
          <w:highlight w:val="none"/>
          <w:lang w:eastAsia="zh-CN"/>
        </w:rPr>
        <w:t>合同签订生效后</w:t>
      </w:r>
      <w:r>
        <w:rPr>
          <w:rFonts w:hint="eastAsia" w:ascii="仿宋" w:hAnsi="仿宋" w:eastAsia="仿宋" w:cs="仿宋"/>
          <w:color w:val="auto"/>
          <w:sz w:val="24"/>
          <w:szCs w:val="24"/>
          <w:highlight w:val="none"/>
          <w:lang w:val="en-US" w:eastAsia="zh-CN"/>
        </w:rPr>
        <w:t>60天内</w:t>
      </w:r>
      <w:r>
        <w:rPr>
          <w:rFonts w:hint="eastAsia" w:ascii="仿宋" w:hAnsi="仿宋" w:eastAsia="仿宋" w:cs="仿宋"/>
          <w:color w:val="auto"/>
          <w:sz w:val="24"/>
          <w:szCs w:val="24"/>
          <w:highlight w:val="none"/>
        </w:rPr>
        <w:t>完成供货并验</w:t>
      </w:r>
      <w:r>
        <w:rPr>
          <w:rFonts w:hint="eastAsia" w:ascii="仿宋" w:hAnsi="仿宋" w:eastAsia="仿宋" w:cs="仿宋"/>
          <w:color w:val="auto"/>
          <w:sz w:val="24"/>
          <w:szCs w:val="24"/>
          <w:highlight w:val="none"/>
          <w:lang w:eastAsia="zh-CN"/>
        </w:rPr>
        <w:t>收</w:t>
      </w:r>
      <w:r>
        <w:rPr>
          <w:rFonts w:hint="eastAsia" w:ascii="仿宋" w:hAnsi="仿宋" w:eastAsia="仿宋" w:cs="仿宋"/>
          <w:color w:val="auto"/>
          <w:sz w:val="24"/>
          <w:szCs w:val="24"/>
          <w:highlight w:val="none"/>
        </w:rPr>
        <w:t>合格。</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2.供货（安装）地点要求：采购人指定地点</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lang w:val="en-US" w:eastAsia="zh-CN"/>
        </w:rPr>
        <w:t>本项目建设内容分布于绍兴市及所属区县</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六、安装、调试、验收要求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安装要求：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中标人提供货物安装、调试等服务，中标人须对货物的完整性负责，如相关货物、配件在招标清单中未列出但安装所采购货物时必需，由中标人提供，产生的一切费用均由中标人负责。</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2.调试要求：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采购人对中标人提供的货物在使用前进行调试时，中标人需负责安装并培训采购人的使用操作人员，并协助采购人一起调试，直到符合技术要求，采购人才组织验收。</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采购合同的约定和现行国家标准、行业标准以及企业标准对每一项技术、服务、安全标准的履约情况进行确认。根据项目情况，采购人有权要求中标人提供所投产品经国家认可的第三方检测机构出具的检测报告原件进行查验。采购人有权根据需要设置出厂检验、到货检验、安装调试检验、配套服务检验等多重验收环节。</w:t>
      </w:r>
    </w:p>
    <w:p>
      <w:pPr>
        <w:pageBreakBefore w:val="0"/>
        <w:numPr>
          <w:ilvl w:val="0"/>
          <w:numId w:val="10"/>
        </w:numPr>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施工安全：</w:t>
      </w:r>
    </w:p>
    <w:p>
      <w:pPr>
        <w:pageBreakBefore w:val="0"/>
        <w:kinsoku/>
        <w:wordWrap/>
        <w:overflowPunct/>
        <w:topLinePunct w:val="0"/>
        <w:autoSpaceDE/>
        <w:autoSpaceDN/>
        <w:bidi w:val="0"/>
        <w:adjustRightInd/>
        <w:spacing w:line="360" w:lineRule="auto"/>
        <w:ind w:right="0" w:righ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rPr>
        <w:t>履约过程中中标人要组织好项目现场的秩序和安全，期间发生的本企业及其人员问题及发生对第三方造成的人身伤害及其他损失（包括：人身伤害、财产损失等经济和法律责任）均由中标人全部承担，与招标人无任何关系。</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浙江省应急管理厅关于印发《浙江省增发国债自然灾害应急能力提升工程项目实施监督办法》的通知（浙应急规财﹝2024﹞41号）的要求，本项目由绍兴市应急管理局组织联合招标采购，招标结束后由绍兴市应急管理局、绍兴市越城区应急管理局、绍兴市柯桥区应急管理局、绍兴市上虞区应急管理局、诸暨市应急管理局、嵊州市应急管理局</w:t>
      </w:r>
      <w:r>
        <w:rPr>
          <w:rFonts w:hint="eastAsia" w:ascii="仿宋" w:hAnsi="仿宋" w:eastAsia="仿宋" w:cs="仿宋"/>
          <w:color w:val="auto"/>
          <w:sz w:val="24"/>
          <w:szCs w:val="24"/>
          <w:highlight w:val="none"/>
          <w:lang w:eastAsia="zh-CN"/>
        </w:rPr>
        <w:t>、新昌县应急管理局</w:t>
      </w:r>
      <w:r>
        <w:rPr>
          <w:rFonts w:hint="eastAsia" w:ascii="仿宋" w:hAnsi="仿宋" w:eastAsia="仿宋" w:cs="仿宋"/>
          <w:color w:val="auto"/>
          <w:sz w:val="24"/>
          <w:szCs w:val="24"/>
          <w:highlight w:val="none"/>
        </w:rPr>
        <w:t>和中标人共同签定合同，并对签定的合同承担相应的权利义务。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firstLine="480" w:firstLineChars="200"/>
        <w:textAlignment w:val="auto"/>
        <w:rPr>
          <w:rFonts w:hint="eastAsia" w:ascii="仿宋" w:hAnsi="仿宋" w:eastAsia="仿宋" w:cs="仿宋"/>
          <w:b w:val="0"/>
          <w:bCs w:val="0"/>
          <w:color w:val="auto"/>
          <w:sz w:val="24"/>
          <w:szCs w:val="24"/>
          <w:highlight w:val="none"/>
          <w:lang w:val="en-US" w:eastAsia="zh-CN"/>
        </w:rPr>
      </w:pPr>
    </w:p>
    <w:p>
      <w:pPr>
        <w:spacing w:line="360" w:lineRule="auto"/>
        <w:rPr>
          <w:rFonts w:hint="default"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bdr w:val="single" w:color="auto" w:sz="4" w:space="0"/>
        </w:rPr>
        <w:t>0</w:t>
      </w:r>
      <w:r>
        <w:rPr>
          <w:rFonts w:hint="eastAsia" w:ascii="仿宋_GB2312" w:hAnsi="仿宋_GB2312" w:eastAsia="仿宋_GB2312" w:cs="仿宋_GB2312"/>
          <w:b/>
          <w:bCs/>
          <w:color w:val="auto"/>
          <w:sz w:val="24"/>
          <w:highlight w:val="none"/>
          <w:bdr w:val="single" w:color="auto" w:sz="4" w:space="0"/>
          <w:lang w:val="en-US" w:eastAsia="zh-CN"/>
        </w:rPr>
        <w:t>2</w:t>
      </w:r>
      <w:r>
        <w:rPr>
          <w:rFonts w:hint="eastAsia" w:ascii="仿宋_GB2312" w:hAnsi="仿宋_GB2312" w:eastAsia="仿宋_GB2312" w:cs="仿宋_GB2312"/>
          <w:b/>
          <w:bCs/>
          <w:color w:val="auto"/>
          <w:sz w:val="24"/>
          <w:highlight w:val="none"/>
          <w:bdr w:val="single" w:color="auto" w:sz="4" w:space="0"/>
        </w:rPr>
        <w:t>标</w:t>
      </w:r>
      <w:r>
        <w:rPr>
          <w:rFonts w:hint="eastAsia" w:ascii="仿宋_GB2312" w:hAnsi="仿宋_GB2312" w:eastAsia="仿宋_GB2312" w:cs="仿宋_GB2312"/>
          <w:b/>
          <w:bCs/>
          <w:color w:val="auto"/>
          <w:sz w:val="24"/>
          <w:highlight w:val="none"/>
          <w:lang w:eastAsia="zh-CN"/>
        </w:rPr>
        <w:t>森林（草原）火灾扑救</w:t>
      </w:r>
      <w:r>
        <w:rPr>
          <w:rFonts w:hint="eastAsia" w:ascii="仿宋_GB2312" w:hAnsi="仿宋_GB2312" w:eastAsia="仿宋_GB2312" w:cs="仿宋_GB2312"/>
          <w:b/>
          <w:bCs/>
          <w:color w:val="auto"/>
          <w:sz w:val="24"/>
          <w:highlight w:val="none"/>
          <w:lang w:val="en-US" w:eastAsia="zh-CN"/>
        </w:rPr>
        <w:t>项目</w:t>
      </w:r>
    </w:p>
    <w:tbl>
      <w:tblPr>
        <w:tblStyle w:val="64"/>
        <w:tblW w:w="3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1751" w:type="pct"/>
          </w:tcPr>
          <w:p>
            <w:pPr>
              <w:pStyle w:val="25"/>
              <w:spacing w:line="360" w:lineRule="auto"/>
              <w:ind w:firstLine="24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97.30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嵊州市应急管理局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  新昌县应急管理局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751" w:type="pct"/>
            <w:vAlign w:val="center"/>
          </w:tcPr>
          <w:p>
            <w:pPr>
              <w:keepNext w:val="0"/>
              <w:keepLines w:val="0"/>
              <w:widowControl/>
              <w:suppressLineNumbers w:val="0"/>
              <w:spacing w:line="360" w:lineRule="auto"/>
              <w:jc w:val="center"/>
              <w:textAlignment w:val="center"/>
              <w:rPr>
                <w:rFonts w:hint="default" w:ascii="宋体" w:hAnsi="宋体" w:eastAsia="宋体" w:cs="宋体"/>
                <w:b/>
                <w:bCs/>
                <w:i w:val="0"/>
                <w:iCs w:val="0"/>
                <w:color w:val="auto"/>
                <w:kern w:val="2"/>
                <w:sz w:val="20"/>
                <w:szCs w:val="20"/>
                <w:highlight w:val="none"/>
                <w:u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839.75</w:t>
            </w:r>
          </w:p>
        </w:tc>
      </w:tr>
    </w:tbl>
    <w:p>
      <w:pPr>
        <w:pStyle w:val="118"/>
        <w:numPr>
          <w:ilvl w:val="0"/>
          <w:numId w:val="0"/>
        </w:numPr>
        <w:spacing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投标人报价超过预算金额的作无效报价处理，取消其投标资格。</w:t>
      </w:r>
    </w:p>
    <w:p>
      <w:pPr>
        <w:pStyle w:val="118"/>
        <w:keepNext w:val="0"/>
        <w:keepLines w:val="0"/>
        <w:pageBreakBefore w:val="0"/>
        <w:widowControl/>
        <w:numPr>
          <w:ilvl w:val="0"/>
          <w:numId w:val="11"/>
        </w:numPr>
        <w:kinsoku/>
        <w:wordWrap/>
        <w:overflowPunct/>
        <w:topLinePunct w:val="0"/>
        <w:autoSpaceDE/>
        <w:autoSpaceDN/>
        <w:bidi w:val="0"/>
        <w:adjustRightInd/>
        <w:snapToGrid/>
        <w:spacing w:after="0" w:line="360" w:lineRule="auto"/>
        <w:ind w:left="0" w:firstLine="42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p>
      <w:pPr>
        <w:pStyle w:val="118"/>
        <w:keepNext w:val="0"/>
        <w:keepLines w:val="0"/>
        <w:pageBreakBefore w:val="0"/>
        <w:widowControl/>
        <w:numPr>
          <w:ilvl w:val="0"/>
          <w:numId w:val="12"/>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设备清单</w:t>
      </w:r>
    </w:p>
    <w:tbl>
      <w:tblPr>
        <w:tblStyle w:val="63"/>
        <w:tblW w:w="508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1"/>
        <w:gridCol w:w="1688"/>
        <w:gridCol w:w="1005"/>
        <w:gridCol w:w="929"/>
        <w:gridCol w:w="923"/>
        <w:gridCol w:w="921"/>
        <w:gridCol w:w="923"/>
        <w:gridCol w:w="937"/>
        <w:gridCol w:w="9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9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装备名称</w:t>
            </w:r>
          </w:p>
        </w:tc>
        <w:tc>
          <w:tcPr>
            <w:tcW w:w="354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9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越城区</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柯桥区</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上虞区</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诸暨市</w:t>
            </w: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嵊州市</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新昌县</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风力灭火机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86</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98</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割灌机</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126</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个人护具</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113</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红外热成像仪</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绝缘剪断钳</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移动蓄水池</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69</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油锯</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74</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553"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自救呼吸器</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51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r>
    </w:tbl>
    <w:p>
      <w:pPr>
        <w:spacing w:line="360" w:lineRule="auto"/>
        <w:rPr>
          <w:color w:val="auto"/>
          <w:highlight w:val="none"/>
        </w:rPr>
      </w:pPr>
    </w:p>
    <w:p>
      <w:pPr>
        <w:pStyle w:val="118"/>
        <w:keepNext w:val="0"/>
        <w:keepLines w:val="0"/>
        <w:pageBreakBefore w:val="0"/>
        <w:widowControl/>
        <w:numPr>
          <w:ilvl w:val="0"/>
          <w:numId w:val="12"/>
        </w:numPr>
        <w:kinsoku/>
        <w:wordWrap/>
        <w:overflowPunct/>
        <w:topLinePunct w:val="0"/>
        <w:autoSpaceDE/>
        <w:autoSpaceDN/>
        <w:bidi w:val="0"/>
        <w:adjustRightInd/>
        <w:snapToGrid/>
        <w:spacing w:after="0" w:line="360" w:lineRule="auto"/>
        <w:ind w:left="420" w:leftChars="0"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设备主要技术参数</w:t>
      </w:r>
    </w:p>
    <w:tbl>
      <w:tblPr>
        <w:tblStyle w:val="63"/>
        <w:tblW w:w="577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8"/>
        <w:gridCol w:w="702"/>
        <w:gridCol w:w="7984"/>
        <w:gridCol w:w="1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lang w:eastAsia="zh-CN"/>
              </w:rPr>
            </w:pPr>
            <w:r>
              <w:rPr>
                <w:rFonts w:hint="eastAsia" w:ascii="仿宋" w:hAnsi="仿宋" w:eastAsia="仿宋" w:cs="仿宋"/>
                <w:b/>
                <w:bCs/>
                <w:i w:val="0"/>
                <w:iCs w:val="0"/>
                <w:color w:val="auto"/>
                <w:sz w:val="21"/>
                <w:szCs w:val="21"/>
                <w:highlight w:val="none"/>
                <w:u w:val="none"/>
                <w:lang w:eastAsia="zh-CN"/>
              </w:rPr>
              <w:t>序号</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lang w:eastAsia="zh-CN"/>
              </w:rPr>
            </w:pPr>
            <w:r>
              <w:rPr>
                <w:rFonts w:hint="eastAsia" w:ascii="仿宋" w:hAnsi="仿宋" w:eastAsia="仿宋" w:cs="仿宋"/>
                <w:b/>
                <w:bCs/>
                <w:color w:val="auto"/>
                <w:sz w:val="21"/>
                <w:szCs w:val="21"/>
                <w:highlight w:val="none"/>
              </w:rPr>
              <w:t>详细性能参数</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spacing w:beforeLines="0" w:afterLines="0" w:line="360" w:lineRule="auto"/>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数量</w:t>
            </w:r>
          </w:p>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lang w:eastAsia="zh-CN"/>
              </w:rPr>
            </w:pPr>
            <w:r>
              <w:rPr>
                <w:rFonts w:hint="eastAsia" w:ascii="仿宋" w:hAnsi="仿宋" w:eastAsia="仿宋" w:cs="仿宋"/>
                <w:b/>
                <w:bCs/>
                <w:color w:val="auto"/>
                <w:sz w:val="21"/>
                <w:szCs w:val="21"/>
                <w:highlight w:val="none"/>
              </w:rPr>
              <w:t>（件、套）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3"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1</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b w:val="0"/>
                <w:bCs w:val="0"/>
                <w:i w:val="0"/>
                <w:iCs w:val="0"/>
                <w:color w:val="auto"/>
                <w:kern w:val="0"/>
                <w:sz w:val="21"/>
                <w:szCs w:val="21"/>
                <w:highlight w:val="none"/>
                <w:u w:val="none"/>
                <w:lang w:val="en-US" w:eastAsia="zh-CN" w:bidi="ar"/>
              </w:rPr>
              <w:t>个人护具</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森林头盔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2.头盔由盔壳和盔壳辅件组成。盔壳辅件由其盔壳上配戴的帽徽、L型导轨及下颏带、芳纶悬挂系统、EPP模块化缓冲层、护目镜固定勾组成；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3.盔壳由碳纤维复合材料制成；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4.头盔悬挂后设有头围可调节装置，头盔后面设有护目镜固定夹；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5.下颏带、头盔悬挂系统组件完整，紧急脱扣应扣解方便，下颏带可调节；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6.悬挂带可调节长度符合相关标准，悬挂带由调节装置调整到佩戴人员所需尺寸；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7.头盔两侧设有L型导轨：L型导轨固定在护耳上方。用来固定手电、护目镜等及其他辅件，用阻燃PC/ABS树脂注塑成型；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8.头盔成品的总重量≤800g；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▲9.1冲击吸收性能：经高温预处理后，传递到头模上的力不超过3200N，经低温预处理后，传递到头模上的力不超过3400N，经过浸水预处理后做冲击测试，传递到头模上的力不超过3100N，帽壳不得有碎片脱落；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9.2耐穿刺性能：经高温低温、浸水预处理后做穿刺测试，钢锥不得接触头模表面，帽壳不得有碎片脱落；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▲9.3电绝缘性能：泄漏电流不超过0.9mA；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9.4侧向刚性：最大变形小于20mm，残余变形小于2mm，帽壳不得有碎片脱落；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9.5阻燃性能 ：续燃时间不超过3s，帽壳不得烧穿；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9.6耐熔融金属飞溅性能：帽壳耐受1400℃金属倾倒不被穿透，无损坏变形，帽壳续燃时间小于5s；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9.7下颚带抗拉强度：延伸长度小于15mm。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防火服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▲1.符合GB/T33536-2017《防护服装 森林防火服》标准要求；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标注有“▲”参数需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2.服装结构特点：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2.1款式为分体夹克式森林防火服，由上衣和裤子组成；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2.2领部双领设计，可立领和翻领，便于在各种环境下调节使用，肩部夹有隔热毡，增加穿着人员的舒适度，上衣有8个口袋设计，其上衣右侧暗袋内有挂点，(可挂置小物件）服装5处前后可视（阻燃）反光条设计，其确保扑火人员的夜间可视度。衣服腰间设有抽拉绳，可根据个人体型进行调节，裤腰两侧魔术贴收紧设计，方便救援人员快速穿脱。裤侧工具袋增加织带挂样，可悬挂小型工具，方便实用。膝盖部位采用蜂窝状凯夫拉材质补强，增加了耐磨性，裤角两侧拉链可以调节，两侧裤腿处360°可视阻燃反光条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3.服装的外观：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3.1森林防火服熨烫平整，定型充分，无烫黄和水渍，折迭端正，整洁美观。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3.2同色面料服装每套各部位表面颜色色差以及非表面颜色色差不得小于3-4级差色评定级别应符合GB/T250规定；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3.3无对产品美观和牢固有影响的瑕疵，污渍，断经，断纬和破损；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服装的缝制：森林防火服缝制工艺符合FZ/T81007-2012标准，明暗线：细线≥12针/3CM ，包缝线：≥11针/3CM；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4.面料阻燃性能：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4.1续然时间经纬向：0s；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4.2阴燃时间经纬向：≤1s；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4.3损毁长度经向：≤45mm，纬向：≤40mm；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4.4热防护TPP：≥326KW.s/㎡；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5.断裂强力（洗涤50次后）：经向：≥2300N，纬向：≥1800N；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6.pH值：4.0-8.5；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7.甲醛含量：未检出；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8.单位面积质量：≤210g/㎡；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9.水洗尺寸变化率：-2.5~+2.5%;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10.热稳定性能（260℃±5℃）：经纬向：≤1%；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11.撕破强力（洗涤50次后）：经向：≥140N，纬向：≥130N；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12.耐光色牢度：≥4级；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13.缝纫线强力：单线强力≥13N；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14.色牢度：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14.1耐洗：原样变色：≥4级，涤布沾色：≥4级，粘布沾色：≥4级；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14.2 耐水：原样变色：≥4级，涤布沾色：≥4级，粘布沾色：≥4级；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14.3耐干摩擦：≥4级；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14.4耐湿摩擦：≥4级；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14.5 耐汗渍：耐酸、耐碱汗渍：原样变色：≥4级，涤布沾色：≥4级，粘布沾色：≥4级；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15.逆反射系数值（反光带）：≥449cd/(lxx㎡）；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16.反光带阻燃性能：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16.1续燃时间：0s；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16.2阴燃时间：≤1.0s；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16.3损毁长度：≤46mm 无熔融和滴落现象；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17.反光带热稳定性能（经260℃高温5min后）：表面无碳化和脱落现象；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18.接缝强力：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18.1裤后裆：≥1200N；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18.2肩接缝：≥1200N；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18.3单衣片：≥520N；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19.附件及辅料：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19.1拉链便于连接和解脱，拉链的材质未使用易熔，易燃，易变形的材质；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19.2金属部件不与皮肤，内衣直接接触；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20.衣服印字要求∶后背可根据客户需求印字；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21.其他要求：配备全套标识标签。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扑火服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1.符合GB/T33536-2017《防护服装  森林防火服》标准，标注有“▲”参数需提供具有CMA或CNAS标识的检测机构出具的检测报告扫描件或复印件并加盖投标人公章。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2.款式为分体夹克式森林防火服，由上衣和裤子组成。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领部可立领和翻领，便于在各种环境下调节使用，胸前配备四处口袋，便于穿着人员可放置随身携带物品等。服装5处前后（阻燃）反光条设计，其确保扑火人员的夜间可视度。衣服门襟采用四合扣设计，穿脱方便，节省时间。其袖口、裤口四合扣铜扣两档可调节。裤腰局部采用弹力松紧带设计，根据个人腰围进行调节，两侧裤腿处360°可视阻燃反光条设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3.颜色：橘红色，色号;PANTONE 17-1456 TCX Tigerlily，色差≥3级；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4.面料材质;采用永久阻燃原液染色高强度芳纶纤维布料。</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5.森林防火服面料洗涤50 次后阻燃性能为：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5.1续燃时间≤1s；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5.2阴燃时间≤1s；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5.3损坏长度≤50mm；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5.4热防护系数（TPP)≥280Kw.s/m2；</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5.5熔融、滴落：无；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6.断裂强度∶经向：≥1300N、纬向：≥1200N；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7.撕破强度：经向：≥15ON、纬向：≥120N；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8.PH值为:≤7.0；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9.森林防火服的单位面积质量∶≤200g/m²，甲醛含量0mg/kg；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10.整体热稳定性（260℃±5）为∶经向：≤0%、纬向：≤1%；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11.耐光色牢度：符合（蓝标4级）；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12.缝纫线强力≥13N；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13.缝纫线热稳定性：缝纫线经260℃高温5min后，无熔滴和烧焦现象；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14.色牢度：耐洗、耐水、耐汗渍（变色/沾色）4-5级。耐干摩擦、耐湿摩擦：4级；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15.物理性能实验前的反光性能：在观测角12，入射角5°时，反光材料逆反射系数值≥360 cd/(lx x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16.反光带阻燃性能：续燃时间≤0s 阴燃时间≤1.0s，损毁长度≤40mm  无熔融、滴落现象；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17.反光带热稳定性：反光带经260℃高温5min后，表面无碳化、脱落现象；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18.接缝强力：裤后裆≥950N  肩接缝≥700N 单衣片≥800N。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应急背囊</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1.符合《森林消防救援携行包规范试行》标准要求；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2.由携行包主包、帽顶包、前挂包、背负系统、推行系统五部分组成，并配备防雨罩及收纳袋等配件；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3.主体颜色应为火焰蓝色；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4.总容积：≥100L；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5.重量≤6kg；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6.面料技术参数：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6.1主体面料断裂强力：经向≥900N，纬向≥900N；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6.2撕破强力：经向≥100N，纬向≥100N；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6.3耐磨性能：≥50000次，负荷重量≥12kPa；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6.4沾水等级：≥4级。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防火防扎鞋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b w:val="0"/>
                <w:bCs w:val="0"/>
                <w:snapToGrid w:val="0"/>
                <w:color w:val="auto"/>
                <w:kern w:val="0"/>
                <w:sz w:val="21"/>
                <w:szCs w:val="21"/>
                <w:highlight w:val="none"/>
                <w:lang w:val="en-US" w:eastAsia="zh-CN" w:bidi="ar-SA"/>
              </w:rPr>
              <w:t>1.符合XF633-2006《消防员抢险救援防护服装》标准要求，</w:t>
            </w:r>
            <w:r>
              <w:rPr>
                <w:rFonts w:hint="eastAsia" w:ascii="仿宋" w:hAnsi="仿宋" w:eastAsia="仿宋" w:cs="仿宋"/>
                <w:snapToGrid w:val="0"/>
                <w:color w:val="auto"/>
                <w:kern w:val="0"/>
                <w:sz w:val="21"/>
                <w:szCs w:val="21"/>
                <w:highlight w:val="none"/>
                <w:lang w:val="en-US" w:eastAsia="zh-CN" w:bidi="ar-SA"/>
              </w:rPr>
              <w:t>标注有“▲”参数提供具有CMA或CNAS标识的检测机构出具的检测报告扫描件或复印件并加盖投标人公章。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2.产品结构：外观：整体外观:平整、平服、平稳、清洁、对称。绷帮端正平服，内底不露钉尖，无钉尾突出。鞋帮鞋里无明显变色、脱色。鞋垫牢固、平整；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鞋帮:同双鞋相同部位的色泽、厚度、绒毛粗细、花纹基本一致无裂浆、裂面、露帮脚、白霜。无伤残；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子口:整齐严实；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缝线:线道整齐，针码均匀。底面线松紧一致。无跳线、重针、断线、翻线、开线及缝线越轨等折边沿口:基本整齐、均匀、圆滑，无剪口外露，无裂口；外底:同双鞋外底相同部位色泽、花纹基本一致；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配件:装配牢固，基本对称。色泽一致，感官无明显缺陷；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尺寸:同双鞋前帮长度偏差≤0.8mm，后帮高度偏差≤0.7mm。同双鞋后跟高度偏差≤0.6mm，前跷偏差≤0.9mm。后跟歪斜偏差≤0.7mm。同双鞋外底长度偏差≤0.7mm，宽度偏差≤0.5mm，厚度偏差≤0.3mm。外底前掌着力部位扣除花纹后的厚度≥4.2mm。后掌着地部位最薄处厚度≥5.3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3.靴头性能（㎜）：鞋头分别经10.78KN 静压力试验和冲击锤质量为23kg，落下高度为 300mm的冲击试验后，其耐压力测试≥15.5mm，冲击性能≥19.5mm；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4.靴帮耐磨性能：靴帮材料在经过20000 次循环摩擦后未出现被磨穿的现象；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5.靴帮抗切割性能：靴帮材料经抗切割试验后，未被割穿；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6.外底耐弯折：靴底经过10 万次弯折试验后，外底裂缝长度≤7.5 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7.防滑性能：始滑角≥23°；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8.电绝缘性能（mA）：在测试电压∶5000V 漏电电流左右≤0.15mA (未击穿）；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b w:val="0"/>
                <w:bCs w:val="0"/>
                <w:snapToGrid w:val="0"/>
                <w:color w:val="auto"/>
                <w:kern w:val="0"/>
                <w:sz w:val="21"/>
                <w:szCs w:val="21"/>
                <w:highlight w:val="none"/>
                <w:lang w:val="en-US" w:eastAsia="zh-CN" w:bidi="ar-SA"/>
              </w:rPr>
              <w:t>9.靴底抗刺穿性能（N）：≥1600N；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val="0"/>
                <w:bCs w:val="0"/>
                <w:snapToGrid w:val="0"/>
                <w:color w:val="auto"/>
                <w:kern w:val="0"/>
                <w:sz w:val="21"/>
                <w:szCs w:val="21"/>
                <w:highlight w:val="none"/>
                <w:lang w:val="en-US" w:eastAsia="zh-CN" w:bidi="ar-SA"/>
              </w:rPr>
            </w:pPr>
            <w:r>
              <w:rPr>
                <w:rFonts w:hint="eastAsia" w:ascii="仿宋" w:hAnsi="仿宋" w:eastAsia="仿宋" w:cs="仿宋"/>
                <w:b w:val="0"/>
                <w:bCs w:val="0"/>
                <w:snapToGrid w:val="0"/>
                <w:color w:val="auto"/>
                <w:kern w:val="0"/>
                <w:sz w:val="21"/>
                <w:szCs w:val="21"/>
                <w:highlight w:val="none"/>
                <w:lang w:val="en-US" w:eastAsia="zh-CN" w:bidi="ar-SA"/>
              </w:rPr>
              <w:t>10.阻燃性能（靴面）：火焰离开试样各试验点后，离火自熄时间（s）∶0s ，损毁长度（㎜）：≤35mm，熔融、熔滴或剥离：无。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扑火鞋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 xml:space="preserve">1.符合XF 6-2004《消防员灭火防护靴》标准要求，提供具有CMA或CNAS标识的检测机构出具的检测报告扫描件或复印件并加盖投标人公章。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2.物理机械性能：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2.1靴帮;抗张强度：横向纵向≥16.3N/mm²，靴面厚度≥3mm，撕裂强度≥182N/mm；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2.2外底：断裂拉伸强度≥16.3MPa，拉断伸长率≥497%；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外底硬度（邵尔A型）：50-80；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4.靴底耐弯折性能：靴底经过10万次弯折试验后，外底不应断裂或者裂缝程度≤7mm；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5.靴底防滑性能：在进行防滑性能试验时，始滑角&gt;15°；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6.靴帮耐弯折性能：靴帮材料在经过反复弯折20000次后，无裂纹、松面、掉浆等现象；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7.靴帮抗切割性能：靴帮材料经抗切割试验后，未被刺穿；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8.耐磨（磨痕长度）≤7mm；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9.粘着强度靴面与织物≥0.78N/mm；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10.质量≤1.5kg。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防火头套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Cs w:val="21"/>
                <w:highlight w:val="none"/>
                <w:lang w:val="en-US" w:eastAsia="zh-CN"/>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1.符合国家 GA869-2010《消防员灭火防护头套》标准要求，标注有“▲”参数需提供具有CMA或CNAS标识的检测机构出具的检测报告扫描件或复印件并加盖投标人公章；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2.材料及结构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2.1面料为针织面料，克重≥150g/㎡；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2.2本产品为双层结构，柔软舒适，耐水洗，长时间使用并多次清洗后，阻燃隔热效果不受影响；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2.3颜色为卡其色；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3.阻燃性能：经向损毁长度≤100mm、纬向损毁长度≤100mm，续燃时间0s，无熔融、滴落现象；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4.热稳定性能：尺寸变化率≤5.0%，无变色、熔融和滴落现象；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5.水洗尺寸变化率：纵向≤1.5%、横向≤4.0%；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6.抗起球性能：≥4级；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7.甲醛含量：无；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8.PH值：4.0-7.5；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9.缝纫线耐高温性能：无熔融、炭化现象；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10整体性能：接缝强力:≥1300N；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11.面部开口尺寸稳定性≤2.0%；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12.针距密度：缝制明暗线≥14针/3cm；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13质量：≤170g。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防火手套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1.应符合XF7-2004《消防手套》标准，标注有“▲”参数需提供具有CMA或CNAS标识的检测机构出具的检测报告扫描件或复印件并加盖投标人公章；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2.手套由优质牛皮和永久性阻燃芳纶面料缝合而成；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3.阻燃性能：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3.1手套外层：续燃时间(s）：经纬向≤0s；阴燃时间（s）：经纬向≤1s；损毁长度(mm):经向≤40mm，纬向≤45mm；熔融、滴落:无；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zh-CN" w:eastAsia="zh-CN" w:bidi="ar-SA"/>
              </w:rPr>
              <w:t>▲</w:t>
            </w:r>
            <w:r>
              <w:rPr>
                <w:rFonts w:hint="eastAsia" w:ascii="仿宋" w:hAnsi="仿宋" w:eastAsia="仿宋" w:cs="仿宋"/>
                <w:snapToGrid w:val="0"/>
                <w:color w:val="auto"/>
                <w:kern w:val="0"/>
                <w:sz w:val="21"/>
                <w:szCs w:val="21"/>
                <w:highlight w:val="none"/>
                <w:lang w:val="en-US" w:eastAsia="zh-CN" w:bidi="ar-SA"/>
              </w:rPr>
              <w:t>3.2 手套隔热层：续燃时间(s）：经纬向≤0s；阴燃时间（s）：经纬向≤1s；损毁长度(mm):经向≤43mm，纬向≤42mm；熔融、滴落:无；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4.抗切割性能：背面外层材料≥12.7N；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5.耐撕破性能：背面外层：经向≥180N、纬向≥110N。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头灯</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1.适用户外防汛减灾场所移动照明。适用于夜间照明、户外作业、野外露营、户外探险等场所提供应急工作照明；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2.外壳采用，抗强力冲击，防水、防尘，绝缘、耐腐蚀性能好，可在各种恶劣环境下安全可靠使用；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3.防护等级:IP68；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4.连续照明时间≥90min，亮度≥300LM；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5.光源功率:≥3W；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6.连续放电时间:强光≥50h;低亮泛光:≥200h;</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护目镜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snapToGrid w:val="0"/>
                <w:color w:val="auto"/>
                <w:kern w:val="0"/>
                <w:sz w:val="21"/>
                <w:szCs w:val="21"/>
                <w:highlight w:val="none"/>
                <w:lang w:val="en-US" w:eastAsia="zh-CN" w:bidi="ar-SA"/>
              </w:rPr>
              <w:t>1.符合国家XF1273-2015《消防员防护辅助装备-消防员护目镜》有关标准、规范，标注有“▲”参数需提供具有CMA或CNAS标识的检测机构出具的检测报告扫描件或复印件并加盖投标人公章；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2.在执行灭火救援任务是佩戴的、使眼睛免受烟雾、化学物质、金属火花、飞屑和粉尘伤害的一种保护镜；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3.护目镜可调节式头带，头带的宽度≥10mm，护目镜的质量≤150g；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4.抗高速粒子冲击性能护目镜应能承受直径为6 mm，质量为0.86g，速度不小于120m/s的钢珠在正面两个冲击面两个冲击点的冲击；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5.分别在温度为(55±2)℃和(-20士2)℃环境下持续1h后，护目镜应能承受高度为1270 mm、质量不小于500g的锥击重物的冲击；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6.耐磨性测试时广角广角散射测量值≤8%；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7.护目镜具有防起雾功能。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snapToGrid w:val="0"/>
                <w:color w:val="auto"/>
                <w:kern w:val="0"/>
                <w:sz w:val="21"/>
                <w:szCs w:val="21"/>
                <w:highlight w:val="none"/>
                <w:lang w:val="en-US" w:eastAsia="zh-CN" w:bidi="ar-SA"/>
              </w:rPr>
            </w:pPr>
            <w:r>
              <w:rPr>
                <w:rFonts w:hint="eastAsia" w:ascii="仿宋" w:hAnsi="仿宋" w:eastAsia="仿宋" w:cs="仿宋"/>
                <w:b/>
                <w:bCs/>
                <w:snapToGrid w:val="0"/>
                <w:color w:val="auto"/>
                <w:kern w:val="0"/>
                <w:sz w:val="21"/>
                <w:szCs w:val="21"/>
                <w:highlight w:val="none"/>
                <w:lang w:val="en-US" w:eastAsia="zh-CN" w:bidi="ar-SA"/>
              </w:rPr>
              <w:t>防毒面具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snapToGrid w:val="0"/>
                <w:color w:val="auto"/>
                <w:kern w:val="0"/>
                <w:sz w:val="21"/>
                <w:szCs w:val="21"/>
                <w:highlight w:val="none"/>
                <w:lang w:val="en-US" w:eastAsia="zh-CN" w:bidi="ar-SA"/>
              </w:rPr>
              <w:t>1.符合《GB 2890-2009呼吸防护 自吸过滤式防毒面具》标准要求；标注有“▲”参数需提供具有CMA或CNAS标识的检测机构出具的检测报告扫描件或复印件并加盖投标人公章；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2.产品由罩体、镜片、通话器、滤毒接头和头带组成；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3.外观：面罩边缘应光滑，无明显棱角和毛刺，无影响气密；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缺陷，为使佩戴者在协同作业时通话更清晰，传播距离更优，需配有双侧语音振膜。</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4.呼气阀气密性：当呼气阀减压至-1180Pa时，45s内负压值下降不超过250Pa；</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snapToGrid w:val="0"/>
                <w:color w:val="auto"/>
                <w:kern w:val="0"/>
                <w:sz w:val="21"/>
                <w:szCs w:val="21"/>
                <w:highlight w:val="none"/>
                <w:lang w:val="en-US" w:eastAsia="zh-CN" w:bidi="ar-SA"/>
              </w:rPr>
              <w:t>5.吸气阻力：通气量（30±0.6)L/min,P≤15Pa；</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snapToGrid w:val="0"/>
                <w:color w:val="auto"/>
                <w:kern w:val="0"/>
                <w:sz w:val="21"/>
                <w:szCs w:val="21"/>
                <w:highlight w:val="none"/>
                <w:lang w:val="en-US" w:eastAsia="zh-CN" w:bidi="ar-SA"/>
              </w:rPr>
              <w:t>6.呼气阻力：通气量（30±0.6)L/min,≤26Pa；</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8.死腔：测试结果不大于1%；</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9.泄露率：不大于0.05%；</w:t>
            </w:r>
          </w:p>
          <w:p>
            <w:pPr>
              <w:keepNext w:val="0"/>
              <w:keepLines w:val="0"/>
              <w:widowControl/>
              <w:suppressLineNumbers w:val="0"/>
              <w:spacing w:line="360" w:lineRule="auto"/>
              <w:jc w:val="left"/>
              <w:textAlignment w:val="center"/>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10.镜片透光率：不应小于90%；</w:t>
            </w:r>
          </w:p>
          <w:p>
            <w:pPr>
              <w:keepNext w:val="0"/>
              <w:keepLines w:val="0"/>
              <w:widowControl/>
              <w:suppressLineNumbers w:val="0"/>
              <w:spacing w:line="360" w:lineRule="auto"/>
              <w:jc w:val="left"/>
              <w:textAlignment w:val="center"/>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11.视野：总视野不小于85%，双目视野不小于66%，下方视野不小于40°；</w:t>
            </w:r>
          </w:p>
          <w:p>
            <w:pPr>
              <w:keepNext w:val="0"/>
              <w:keepLines w:val="0"/>
              <w:widowControl/>
              <w:suppressLineNumbers w:val="0"/>
              <w:spacing w:line="360" w:lineRule="auto"/>
              <w:jc w:val="left"/>
              <w:textAlignment w:val="center"/>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12.阻燃性：续燃时间不超过0s；</w:t>
            </w:r>
          </w:p>
          <w:p>
            <w:pPr>
              <w:keepNext w:val="0"/>
              <w:keepLines w:val="0"/>
              <w:widowControl/>
              <w:suppressLineNumbers w:val="0"/>
              <w:spacing w:line="360" w:lineRule="auto"/>
              <w:jc w:val="left"/>
              <w:textAlignment w:val="center"/>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snapToGrid w:val="0"/>
                <w:color w:val="auto"/>
                <w:kern w:val="0"/>
                <w:sz w:val="21"/>
                <w:szCs w:val="21"/>
                <w:highlight w:val="none"/>
                <w:lang w:val="en-US" w:eastAsia="zh-CN" w:bidi="ar-SA"/>
              </w:rPr>
              <w:t>13.面罩与滤毒罐接头结合强度：不小于250N，不能有明显破坏；</w:t>
            </w:r>
          </w:p>
          <w:p>
            <w:pPr>
              <w:keepNext w:val="0"/>
              <w:keepLines w:val="0"/>
              <w:widowControl/>
              <w:suppressLineNumbers w:val="0"/>
              <w:spacing w:line="360" w:lineRule="auto"/>
              <w:jc w:val="left"/>
              <w:textAlignment w:val="center"/>
              <w:rPr>
                <w:rFonts w:hint="eastAsia" w:ascii="仿宋" w:hAnsi="仿宋" w:eastAsia="仿宋" w:cs="仿宋"/>
                <w:b w:val="0"/>
                <w:bCs w:val="0"/>
                <w:i w:val="0"/>
                <w:iCs w:val="0"/>
                <w:color w:val="auto"/>
                <w:sz w:val="21"/>
                <w:szCs w:val="21"/>
                <w:highlight w:val="none"/>
                <w:u w:val="none"/>
                <w:lang w:eastAsia="zh-CN"/>
              </w:rPr>
            </w:pPr>
            <w:r>
              <w:rPr>
                <w:rFonts w:hint="eastAsia" w:ascii="仿宋" w:hAnsi="仿宋" w:eastAsia="仿宋" w:cs="仿宋"/>
                <w:snapToGrid w:val="0"/>
                <w:color w:val="auto"/>
                <w:kern w:val="0"/>
                <w:sz w:val="21"/>
                <w:szCs w:val="21"/>
                <w:highlight w:val="none"/>
                <w:lang w:val="en-US" w:eastAsia="zh-CN" w:bidi="ar-SA"/>
              </w:rPr>
              <w:t>14.头带强度：经受150N的拉力持续10s，不发生破断。</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snapToGrid w:val="0"/>
                <w:color w:val="auto"/>
                <w:kern w:val="0"/>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2</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割灌机</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1.符合《GB/T14176-2012 林业机械 以汽油机为动力的便携式割灌机和割草机》的要求，标注有“▲”参数需提供具有CMA或CNAS标识的检测机构出具的检测报告扫描件或复印件并加盖投标人公章；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2.功率：≥1.5kW/2.0hp；</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3.排量：≥41.55cm³；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4.启动性能（s）：常温启动≤7s，热机启动≤3s，低温启动≤13s；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5.怠速性能：连续稳定运转5min，转速波动≤3.5%，怠速运转时切割装置不随动，然后突加油门至最大不熄火，5s之内有最打位置突减至怠速位置不熄火；</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6.最高空载稳定转速：在最高转速下进行空载试验，稳定运转1min，没有异常声响，紧固件没有松动，转速波动≤3%；</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7.整机净质量（kg）≤7.5；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8.离合器：接合平稳，分离彻底。接合转速为怠速转速的≥1.45倍；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9.变速箱壳体温升（℃）≤31；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10.耳旁噪音dB（A）：怠速≤79，高速空转≤97；</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11.手把震动（m/s）≤5.1；</w:t>
            </w:r>
          </w:p>
          <w:p>
            <w:pPr>
              <w:keepNext w:val="0"/>
              <w:keepLines w:val="0"/>
              <w:widowControl/>
              <w:suppressLineNumbers w:val="0"/>
              <w:spacing w:line="360" w:lineRule="auto"/>
              <w:jc w:val="left"/>
              <w:textAlignment w:val="center"/>
              <w:rPr>
                <w:rFonts w:hint="eastAsia" w:ascii="仿宋" w:hAnsi="仿宋" w:eastAsia="仿宋" w:cs="仿宋"/>
                <w:b w:val="0"/>
                <w:bCs w:val="0"/>
                <w:i w:val="0"/>
                <w:iCs w:val="0"/>
                <w:color w:val="auto"/>
                <w:sz w:val="21"/>
                <w:szCs w:val="21"/>
                <w:highlight w:val="none"/>
                <w:u w:val="none"/>
                <w:lang w:eastAsia="zh-CN"/>
              </w:rPr>
            </w:pPr>
            <w:r>
              <w:rPr>
                <w:rFonts w:hint="eastAsia" w:ascii="仿宋" w:hAnsi="仿宋" w:eastAsia="仿宋" w:cs="仿宋"/>
                <w:color w:val="auto"/>
                <w:sz w:val="21"/>
                <w:szCs w:val="21"/>
                <w:highlight w:val="none"/>
                <w:vertAlign w:val="baseline"/>
                <w:lang w:val="en-US" w:eastAsia="zh-CN"/>
              </w:rPr>
              <w:t>12.整机平衡：处于平衡状态下，割灌机从地面到切割装置最低点的距离应为200±100mm，切割附件露出部分与吊挂点最小的水平投影距离应≥760mm。</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i w:val="0"/>
                <w:iCs w:val="0"/>
                <w:color w:val="auto"/>
                <w:kern w:val="0"/>
                <w:sz w:val="21"/>
                <w:szCs w:val="21"/>
                <w:highlight w:val="none"/>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9"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3</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油锯</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b/>
                <w:bCs/>
                <w:color w:val="auto"/>
                <w:sz w:val="21"/>
                <w:szCs w:val="21"/>
                <w:highlight w:val="none"/>
                <w:vertAlign w:val="baseline"/>
                <w:lang w:eastAsia="zh-CN"/>
              </w:rPr>
              <w:t>一、基础技术参数：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sz w:val="21"/>
                <w:szCs w:val="21"/>
                <w:highlight w:val="none"/>
                <w:vertAlign w:val="baseline"/>
                <w:lang w:eastAsia="zh-CN"/>
              </w:rPr>
              <w:t>排量:≥</w:t>
            </w:r>
            <w:r>
              <w:rPr>
                <w:rFonts w:hint="eastAsia" w:ascii="仿宋" w:hAnsi="仿宋" w:eastAsia="仿宋" w:cs="仿宋"/>
                <w:color w:val="auto"/>
                <w:sz w:val="21"/>
                <w:szCs w:val="21"/>
                <w:highlight w:val="none"/>
                <w:vertAlign w:val="baseline"/>
                <w:lang w:val="en-US" w:eastAsia="zh-CN"/>
              </w:rPr>
              <w:t>85</w:t>
            </w:r>
            <w:r>
              <w:rPr>
                <w:rFonts w:hint="eastAsia" w:ascii="仿宋" w:hAnsi="仿宋" w:eastAsia="仿宋" w:cs="仿宋"/>
                <w:color w:val="auto"/>
                <w:sz w:val="21"/>
                <w:szCs w:val="21"/>
                <w:highlight w:val="none"/>
                <w:vertAlign w:val="baseline"/>
                <w:lang w:eastAsia="zh-CN"/>
              </w:rPr>
              <w:t>cm³；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功率:≥5kW；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lang w:eastAsia="zh-CN"/>
              </w:rPr>
              <w:t>燃油容积:≥0.8 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lang w:eastAsia="zh-CN"/>
              </w:rPr>
              <w:t>燃油消耗率：≤500g/KW-h,锯切效率≥90c㎡/s；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lang w:eastAsia="zh-CN"/>
              </w:rPr>
              <w:t>点火间隙：0.3-0.5 mm；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6.</w:t>
            </w:r>
            <w:r>
              <w:rPr>
                <w:rFonts w:hint="eastAsia" w:ascii="仿宋" w:hAnsi="仿宋" w:eastAsia="仿宋" w:cs="仿宋"/>
                <w:color w:val="auto"/>
                <w:sz w:val="21"/>
                <w:szCs w:val="21"/>
                <w:highlight w:val="none"/>
                <w:vertAlign w:val="baseline"/>
                <w:lang w:eastAsia="zh-CN"/>
              </w:rPr>
              <w:t>怠速：≥2500rpm；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7.</w:t>
            </w:r>
            <w:r>
              <w:rPr>
                <w:rFonts w:hint="eastAsia" w:ascii="仿宋" w:hAnsi="仿宋" w:eastAsia="仿宋" w:cs="仿宋"/>
                <w:color w:val="auto"/>
                <w:sz w:val="21"/>
                <w:szCs w:val="21"/>
                <w:highlight w:val="none"/>
                <w:vertAlign w:val="baseline"/>
                <w:lang w:eastAsia="zh-CN"/>
              </w:rPr>
              <w:t>等效振动水平：≥4/5.4 m/s²；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8.</w:t>
            </w:r>
            <w:r>
              <w:rPr>
                <w:rFonts w:hint="eastAsia" w:ascii="仿宋" w:hAnsi="仿宋" w:eastAsia="仿宋" w:cs="仿宋"/>
                <w:color w:val="auto"/>
                <w:sz w:val="21"/>
                <w:szCs w:val="21"/>
                <w:highlight w:val="none"/>
                <w:vertAlign w:val="baseline"/>
                <w:lang w:eastAsia="zh-CN"/>
              </w:rPr>
              <w:t>声压级:≥110dB(A)；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9.</w:t>
            </w:r>
            <w:r>
              <w:rPr>
                <w:rFonts w:hint="eastAsia" w:ascii="仿宋" w:hAnsi="仿宋" w:eastAsia="仿宋" w:cs="仿宋"/>
                <w:color w:val="auto"/>
                <w:sz w:val="21"/>
                <w:szCs w:val="21"/>
                <w:highlight w:val="none"/>
                <w:vertAlign w:val="baseline"/>
                <w:lang w:eastAsia="zh-CN"/>
              </w:rPr>
              <w:t>声功率级:≥119dB(A)；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10.</w:t>
            </w:r>
            <w:r>
              <w:rPr>
                <w:rFonts w:hint="eastAsia" w:ascii="仿宋" w:hAnsi="仿宋" w:eastAsia="仿宋" w:cs="仿宋"/>
                <w:color w:val="auto"/>
                <w:sz w:val="21"/>
                <w:szCs w:val="21"/>
                <w:highlight w:val="none"/>
                <w:vertAlign w:val="baseline"/>
                <w:lang w:eastAsia="zh-CN"/>
              </w:rPr>
              <w:t>链条速度≥</w:t>
            </w: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lang w:eastAsia="zh-CN"/>
              </w:rPr>
              <w:t xml:space="preserve"> 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11.</w:t>
            </w:r>
            <w:r>
              <w:rPr>
                <w:rFonts w:hint="eastAsia" w:ascii="仿宋" w:hAnsi="仿宋" w:eastAsia="仿宋" w:cs="仿宋"/>
                <w:color w:val="auto"/>
                <w:sz w:val="21"/>
                <w:szCs w:val="21"/>
                <w:highlight w:val="none"/>
                <w:vertAlign w:val="baseline"/>
                <w:lang w:eastAsia="zh-CN"/>
              </w:rPr>
              <w:t>导板长度≥18-28"；</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2.</w:t>
            </w:r>
            <w:r>
              <w:rPr>
                <w:rFonts w:hint="eastAsia" w:ascii="仿宋" w:hAnsi="仿宋" w:eastAsia="仿宋" w:cs="仿宋"/>
                <w:color w:val="auto"/>
                <w:sz w:val="21"/>
                <w:szCs w:val="21"/>
                <w:highlight w:val="none"/>
                <w:vertAlign w:val="baseline"/>
                <w:lang w:eastAsia="zh-CN"/>
              </w:rPr>
              <w:t>链条速度≥</w:t>
            </w: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lang w:eastAsia="zh-CN"/>
              </w:rPr>
              <w:t xml:space="preserve"> 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lang w:eastAsia="zh-CN"/>
              </w:rPr>
              <w:t>汽油机驱动；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b/>
                <w:bCs/>
                <w:color w:val="auto"/>
                <w:sz w:val="21"/>
                <w:szCs w:val="21"/>
                <w:highlight w:val="none"/>
                <w:vertAlign w:val="baseline"/>
                <w:lang w:eastAsia="zh-CN"/>
              </w:rPr>
            </w:pPr>
            <w:r>
              <w:rPr>
                <w:rFonts w:hint="eastAsia" w:ascii="仿宋" w:hAnsi="仿宋" w:eastAsia="仿宋" w:cs="仿宋"/>
                <w:b/>
                <w:bCs/>
                <w:color w:val="auto"/>
                <w:sz w:val="21"/>
                <w:szCs w:val="21"/>
                <w:highlight w:val="none"/>
                <w:vertAlign w:val="baseline"/>
                <w:lang w:eastAsia="zh-CN"/>
              </w:rPr>
              <w:t>二、基本配置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lang w:eastAsia="zh-CN"/>
              </w:rPr>
              <w:t>重量≤</w:t>
            </w:r>
            <w:r>
              <w:rPr>
                <w:rFonts w:hint="eastAsia" w:ascii="仿宋" w:hAnsi="仿宋" w:eastAsia="仿宋" w:cs="仿宋"/>
                <w:color w:val="auto"/>
                <w:sz w:val="21"/>
                <w:szCs w:val="21"/>
                <w:highlight w:val="none"/>
                <w:vertAlign w:val="baseline"/>
                <w:lang w:val="en-US" w:eastAsia="zh-CN"/>
              </w:rPr>
              <w:t>8</w:t>
            </w:r>
            <w:r>
              <w:rPr>
                <w:rFonts w:hint="eastAsia" w:ascii="仿宋" w:hAnsi="仿宋" w:eastAsia="仿宋" w:cs="仿宋"/>
                <w:color w:val="auto"/>
                <w:sz w:val="21"/>
                <w:szCs w:val="21"/>
                <w:highlight w:val="none"/>
                <w:vertAlign w:val="baseline"/>
                <w:lang w:eastAsia="zh-CN"/>
              </w:rPr>
              <w:t>kg；</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lang w:eastAsia="zh-CN"/>
              </w:rPr>
              <w:t>连续工作时间≥60min；</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6.</w:t>
            </w:r>
            <w:r>
              <w:rPr>
                <w:rFonts w:hint="eastAsia" w:ascii="仿宋" w:hAnsi="仿宋" w:eastAsia="仿宋" w:cs="仿宋"/>
                <w:color w:val="auto"/>
                <w:sz w:val="21"/>
                <w:szCs w:val="21"/>
                <w:highlight w:val="none"/>
                <w:vertAlign w:val="baseline"/>
                <w:lang w:eastAsia="zh-CN"/>
              </w:rPr>
              <w:t>机器带有一键刹车功能且具有自动复位的停机开关；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1</w:t>
            </w:r>
            <w:r>
              <w:rPr>
                <w:rFonts w:hint="eastAsia" w:ascii="仿宋" w:hAnsi="仿宋" w:eastAsia="仿宋" w:cs="仿宋"/>
                <w:color w:val="auto"/>
                <w:sz w:val="21"/>
                <w:szCs w:val="21"/>
                <w:highlight w:val="none"/>
                <w:vertAlign w:val="baseline"/>
                <w:lang w:val="en-US" w:eastAsia="zh-CN"/>
              </w:rPr>
              <w:t>7.</w:t>
            </w:r>
            <w:r>
              <w:rPr>
                <w:rFonts w:hint="eastAsia" w:ascii="仿宋" w:hAnsi="仿宋" w:eastAsia="仿宋" w:cs="仿宋"/>
                <w:color w:val="auto"/>
                <w:sz w:val="21"/>
                <w:szCs w:val="21"/>
                <w:highlight w:val="none"/>
                <w:vertAlign w:val="baseline"/>
                <w:lang w:eastAsia="zh-CN"/>
              </w:rPr>
              <w:t>主机比质量≤2kg/kw；</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18.</w:t>
            </w:r>
            <w:r>
              <w:rPr>
                <w:rFonts w:hint="eastAsia" w:ascii="仿宋" w:hAnsi="仿宋" w:eastAsia="仿宋" w:cs="仿宋"/>
                <w:color w:val="auto"/>
                <w:sz w:val="21"/>
                <w:szCs w:val="21"/>
                <w:highlight w:val="none"/>
                <w:vertAlign w:val="baseline"/>
                <w:lang w:eastAsia="zh-CN"/>
              </w:rPr>
              <w:t>锯切部件应采用自动润滑方式，油锯应具有锯链张紧装置；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仿宋" w:hAnsi="仿宋" w:eastAsia="仿宋" w:cs="仿宋"/>
                <w:color w:val="auto"/>
                <w:sz w:val="21"/>
                <w:szCs w:val="21"/>
                <w:highlight w:val="none"/>
                <w:vertAlign w:val="baseline"/>
                <w:lang w:eastAsia="zh-CN"/>
              </w:rPr>
            </w:pPr>
            <w:r>
              <w:rPr>
                <w:rFonts w:hint="eastAsia" w:ascii="仿宋" w:hAnsi="仿宋" w:eastAsia="仿宋" w:cs="仿宋"/>
                <w:color w:val="auto"/>
                <w:sz w:val="21"/>
                <w:szCs w:val="21"/>
                <w:highlight w:val="none"/>
                <w:vertAlign w:val="baseline"/>
                <w:lang w:val="en-US" w:eastAsia="zh-CN"/>
              </w:rPr>
              <w:t>19、含背挂，携带方便，可减轻操作人员重量，降低操作人员因长时间操作疲劳，减少因机器后把手着地而造成的的磨损；</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lang w:val="en-US" w:eastAsia="zh-CN"/>
              </w:rPr>
              <w:t>20.</w:t>
            </w:r>
            <w:r>
              <w:rPr>
                <w:rFonts w:hint="eastAsia" w:ascii="仿宋" w:hAnsi="仿宋" w:eastAsia="仿宋" w:cs="仿宋"/>
                <w:color w:val="auto"/>
                <w:sz w:val="21"/>
                <w:szCs w:val="21"/>
                <w:highlight w:val="none"/>
                <w:vertAlign w:val="baseline"/>
                <w:lang w:eastAsia="zh-CN"/>
              </w:rPr>
              <w:t>产品符合国家GB/</w:t>
            </w:r>
            <w:r>
              <w:rPr>
                <w:rFonts w:hint="eastAsia" w:ascii="仿宋" w:hAnsi="仿宋" w:eastAsia="仿宋" w:cs="仿宋"/>
                <w:color w:val="auto"/>
                <w:sz w:val="21"/>
                <w:szCs w:val="21"/>
                <w:highlight w:val="none"/>
                <w:vertAlign w:val="baseline"/>
                <w:lang w:val="en-US" w:eastAsia="zh-CN"/>
              </w:rPr>
              <w:t>T</w:t>
            </w:r>
            <w:r>
              <w:rPr>
                <w:rFonts w:hint="eastAsia" w:ascii="仿宋" w:hAnsi="仿宋" w:eastAsia="仿宋" w:cs="仿宋"/>
                <w:color w:val="auto"/>
                <w:sz w:val="21"/>
                <w:szCs w:val="21"/>
                <w:highlight w:val="none"/>
                <w:vertAlign w:val="baseline"/>
                <w:lang w:eastAsia="zh-CN"/>
              </w:rPr>
              <w:t>5392-2017《林业机械</w:t>
            </w:r>
            <w:r>
              <w:rPr>
                <w:rFonts w:hint="eastAsia" w:ascii="仿宋" w:hAnsi="仿宋" w:eastAsia="仿宋" w:cs="仿宋"/>
                <w:color w:val="auto"/>
                <w:sz w:val="21"/>
                <w:szCs w:val="21"/>
                <w:highlight w:val="none"/>
                <w:vertAlign w:val="baseline"/>
                <w:lang w:val="en-US" w:eastAsia="zh-CN"/>
              </w:rPr>
              <w:t xml:space="preserve"> </w:t>
            </w:r>
            <w:r>
              <w:rPr>
                <w:rFonts w:hint="eastAsia" w:ascii="仿宋" w:hAnsi="仿宋" w:eastAsia="仿宋" w:cs="仿宋"/>
                <w:color w:val="auto"/>
                <w:sz w:val="21"/>
                <w:szCs w:val="21"/>
                <w:highlight w:val="none"/>
                <w:vertAlign w:val="baseline"/>
                <w:lang w:eastAsia="zh-CN"/>
              </w:rPr>
              <w:t>便携手持式油锯》要求，</w:t>
            </w:r>
            <w:r>
              <w:rPr>
                <w:rFonts w:hint="eastAsia" w:ascii="仿宋" w:hAnsi="仿宋" w:eastAsia="仿宋" w:cs="仿宋"/>
                <w:color w:val="auto"/>
                <w:sz w:val="21"/>
                <w:szCs w:val="21"/>
                <w:highlight w:val="none"/>
                <w:vertAlign w:val="baseline"/>
                <w:lang w:val="en-US" w:eastAsia="zh-CN"/>
              </w:rPr>
              <w:t>标注有“▲”参数需提供具有CMA或CNAS标识的检测机构出具的检测报告扫描件或复印件并加盖投标人公章。</w:t>
            </w:r>
            <w:r>
              <w:rPr>
                <w:rFonts w:hint="eastAsia" w:ascii="仿宋" w:hAnsi="仿宋" w:eastAsia="仿宋" w:cs="仿宋"/>
                <w:i w:val="0"/>
                <w:iCs w:val="0"/>
                <w:color w:val="auto"/>
                <w:kern w:val="0"/>
                <w:sz w:val="21"/>
                <w:szCs w:val="21"/>
                <w:highlight w:val="none"/>
                <w:u w:val="none"/>
                <w:lang w:val="en-US" w:eastAsia="zh-CN" w:bidi="ar"/>
              </w:rPr>
              <w:t xml:space="preserve">    </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i w:val="0"/>
                <w:iCs w:val="0"/>
                <w:color w:val="auto"/>
                <w:kern w:val="0"/>
                <w:sz w:val="21"/>
                <w:szCs w:val="21"/>
                <w:highlight w:val="none"/>
                <w:u w:val="none"/>
                <w:lang w:val="en-US" w:eastAsia="zh-CN" w:bidi="ar"/>
              </w:rPr>
              <w:t>161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9"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4</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移动蓄水池</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vertAlign w:val="baseline"/>
                <w:lang w:val="en-US" w:eastAsia="zh-CN"/>
              </w:rPr>
              <w:t>▲1.</w:t>
            </w:r>
            <w:r>
              <w:rPr>
                <w:rFonts w:hint="eastAsia" w:ascii="仿宋" w:hAnsi="仿宋" w:eastAsia="仿宋" w:cs="仿宋"/>
                <w:color w:val="auto"/>
                <w:kern w:val="2"/>
                <w:sz w:val="21"/>
                <w:szCs w:val="21"/>
                <w:highlight w:val="none"/>
                <w:lang w:val="en-US" w:eastAsia="zh-CN" w:bidi="ar-SA"/>
              </w:rPr>
              <w:t>标注有“▲”参数需提供具有CMA或CNAS标识的检测机构出具的检测报告扫描件或复印件并加盖投标人公章；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2.移动蓄水池又名软体出水囊，采用PVC或PTV涤纶高科技复合材料制成具有地面储存/车载的多功能液袋；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3.本产品材料为PVC军绿色夹网布(PVC复合布 PVC刀刮布)厚度均采用0.7-0.9mm,高强度材料制成；</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4.容积≥1吨；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5.耐磨性能：在9kPa压力下，经1600次循环摩擦后无变化；</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6.面料抗刺穿性能：≥85N；</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7.浑浊度：浑浊度增加量＜0.5；</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8.臭和味：无异臭、异味；</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9.肉眼可见物：不产生任何肉眼可见的碎片杂物等；</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10.未检出铁、锰、锌、挥发酚（以苯酚计）、汞、铬、镉、铅、银、氟化物、氯仿、四氯化碳、苯并芘等有害物质；</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11.铜含量≤0.00004mg/L ，砷含量≤0.00003mg/L；</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12.蒸发残渣增加量≤3mg/L；高锰酸钾消耗量≤0.2mg/L；</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vertAlign w:val="baseline"/>
                <w:lang w:val="en-US" w:eastAsia="zh-CN"/>
              </w:rPr>
              <w:t>▲</w:t>
            </w:r>
            <w:r>
              <w:rPr>
                <w:rFonts w:hint="eastAsia" w:ascii="仿宋" w:hAnsi="仿宋" w:eastAsia="仿宋" w:cs="仿宋"/>
                <w:color w:val="auto"/>
                <w:kern w:val="2"/>
                <w:sz w:val="21"/>
                <w:szCs w:val="21"/>
                <w:highlight w:val="none"/>
                <w:lang w:val="en-US" w:eastAsia="zh-CN" w:bidi="ar-SA"/>
              </w:rPr>
              <w:t>13.拉伸强度(N/m)：纵向≥45000，横向≥41000；</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vertAlign w:val="baseline"/>
                <w:lang w:val="en-US" w:eastAsia="zh-CN"/>
              </w:rPr>
              <w:t>▲</w:t>
            </w:r>
            <w:r>
              <w:rPr>
                <w:rFonts w:hint="eastAsia" w:ascii="仿宋" w:hAnsi="仿宋" w:eastAsia="仿宋" w:cs="仿宋"/>
                <w:color w:val="auto"/>
                <w:kern w:val="2"/>
                <w:sz w:val="21"/>
                <w:szCs w:val="21"/>
                <w:highlight w:val="none"/>
                <w:lang w:val="en-US" w:eastAsia="zh-CN" w:bidi="ar-SA"/>
              </w:rPr>
              <w:t>14.撕破强度（N）：纵向≥344，纬向≥328；</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15.剥离牢度：≥213N；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16.不需要人工树立，加水以后可以自然站立，而且产品可以用于消防蓄水，户外拉练临时存水，使用方便，可折叠收纳，随用随走，简单便捷，不占用空间。</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5</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红外热成像仪</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right="0" w:right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▲1.符合《消防用红外热像仪》标准，标注有“▲”参数需提供具有CMA或CNAS标识的检测机构出具的检测报告扫描件或复印件并加盖投标人公章；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2.组成：红外热像仪由镜头、探测器和处理电子元件、控件、数据存储设备等组成；质量不大于1.5kg（含电池）；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3.测温范围-20℃~+2000℃；</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4.探头采集像素≥384*288像素；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▲5.帧率：≥50hz；每块电池可连续工作时间：≥8小时；热灵敏度：≤30mk；</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6.用途：主要用于在浓烟中清晰地观察到目标体的图像；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7.屏幕尺寸≥4.3英寸；</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8.外壳防护等级≥IP67；</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9.特定环境温度下持续工作时间：80℃时，工作时间：≥30min；120℃时，工作时间：≥10min；260℃时，工作时间：≥5min；</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10.冷热追踪：具有火场中全屏自动最高温及最低温搜寻模式，并同时显示最高及最低温度便于火场中快速定位及冷热追踪；</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▲12.目标增强模式：开启目标增强后细节增强，支持目标增强模式；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▲13.4G：支持，Micro SIM卡，可远程传视频到app，查看人员在火场内的热像仪视角情况；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▲14.在线升级：设备支持软件在线升级。在升级过程中，如发生掉电、掉线等异常情况发生时，应能恢复到升级前的状态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▲15.局部超分：支持局部超分+数字变倍，用按键进行1x、2x、4x变倍放大。放大区域分辨率是原始的2倍</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16.彩色模式：具备不低于8种，如基本消防，黑热，白热，火灾，搜救等模式。</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4"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红外热成像仪</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▲1.符合《消防用红外热像仪》标准，</w:t>
            </w:r>
            <w:r>
              <w:rPr>
                <w:rFonts w:hint="eastAsia" w:ascii="仿宋" w:hAnsi="仿宋" w:eastAsia="仿宋" w:cs="仿宋"/>
                <w:color w:val="auto"/>
                <w:sz w:val="21"/>
                <w:szCs w:val="21"/>
                <w:highlight w:val="none"/>
                <w:vertAlign w:val="baseline"/>
                <w:lang w:eastAsia="zh-CN"/>
              </w:rPr>
              <w:t>标注有“▲”参数需提供具有CMA或CNAS标识的检测机构出具的检测报告扫描件或复印件并加盖投标人公章；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2.组成：红外热像仪由镜头、探测器和处理电子元件、控件、数据存储设备等组成；质量不大于1.5kg（含电池）；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3.测温范围-20℃~+2000℃；</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4.探头采集像素≥384*288像素；</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▲5.帧率：≥50hz；每块电池可连续工作时间：≥4小时；热灵敏度：≤30mk；</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6.用途：主要用于在浓烟中清晰地观察到目标体的图像；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7.屏幕尺寸≥4.3英寸；</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 xml:space="preserve">8.外壳防护等级≥IP67；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9.特定环境温度下持续工作时间：80℃时，工作时间：≥30min；120℃时，工作时间：≥10min；260℃时，工作时间：≥5min；</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10、冷热追踪：具有火场中全屏自动最高温及最低温搜寻模式，并同时显示最高及最低温度便于火场中快速定位及冷热追踪；</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▲11.目标增强模式：开启目标增强后细节增强，支持目标增强模式；</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▲12.在线升级：设备支持软件在线升级。在升级过程中，如发生掉电、掉线等异常情况发生时，应能恢复到升级前的状态；</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▲13.局部超分：支持局部超分+数字变倍，用按键进行1x、2x、4x变倍放大。放大区域分辨率是原始的2倍；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14.激光测距：支持激光测距功能或外挂激光测距配件实现功能；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color w:val="auto"/>
                <w:kern w:val="2"/>
                <w:sz w:val="21"/>
                <w:szCs w:val="21"/>
                <w:highlight w:val="none"/>
                <w:lang w:val="en-US" w:eastAsia="zh-CN" w:bidi="ar-SA"/>
              </w:rPr>
              <w:t>15.彩色模式：具备不低于8种，如基本消防，黑热，白热，火灾，搜救等模式。</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color w:val="auto"/>
                <w:kern w:val="2"/>
                <w:sz w:val="21"/>
                <w:szCs w:val="21"/>
                <w:highlight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9"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6</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绝缘剪断钳</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绝缘剪断钳满足事故现场电线电缆或其他带电体的剪切。</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▲剪切能力≥φ16mm电线电缆/φ12mm钢筋；</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▲剪切硬度≥HRC55—60；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▲剪柄(橡胶)耐电压≥5000V；</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▲标注有“▲”参数需提供具有CMA或CNAS标识的检测机构出具的检测报告扫描件或复印件并加盖投标人公章。</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7</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自救呼吸器</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1.▲佩戴质量（全面罩)：≤2.6kg；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2.▲耐温阻燃性能：所有部件均采用耐高温阻燃材料制造续燃时间≤0s；</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3.▲烟气过滤系统性能：滤烟效率≥96%；吸气阻力≤120Pa；单个滤芯累计防护时间≥4个小时；</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4.▲空气呼吸循环系统性能：气瓶额定工作压力30MPa，在使用时间内始终保持正压，气囊中氧浓度≥21%，二氧化碳浓度≤1.0%；动态吸气阻力≤130pa，动态呼气阻力≤300pa；</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5.面罩环境空气旁通装置：具有粉尘过滤功能，过滤粉尘颗粒粒径小于100目，开启时吸气阻力不大于80Pa；</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6.在辐射热通量达到（7.8～8.0）kw/㎡和6分钟的正压供气时间段内，脸部温度由正常温度升至42℃，额部、颈部温度由正常温度升至48℃，在592℃左右的高温环境下能有效保护面部、颈部及呼吸系统的安全；</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shd w:val="clear"/>
                <w:lang w:val="en-US" w:eastAsia="zh-CN" w:bidi="ar"/>
              </w:rPr>
              <w:t xml:space="preserve">7.标注有“▲”参数需提供具有CMA或CNAS标识的检测机构出具的检测报告扫描件或复印件并加盖投标人公章 。   </w:t>
            </w:r>
            <w:r>
              <w:rPr>
                <w:rFonts w:hint="eastAsia" w:ascii="仿宋" w:hAnsi="仿宋" w:eastAsia="仿宋" w:cs="仿宋"/>
                <w:i w:val="0"/>
                <w:iCs w:val="0"/>
                <w:color w:val="auto"/>
                <w:kern w:val="0"/>
                <w:sz w:val="21"/>
                <w:szCs w:val="21"/>
                <w:highlight w:val="none"/>
                <w:u w:val="none"/>
                <w:lang w:val="en-US" w:eastAsia="zh-CN" w:bidi="ar"/>
              </w:rPr>
              <w:t xml:space="preserve"> </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shd w:val="clear"/>
                <w:lang w:val="en-US" w:eastAsia="zh-CN" w:bidi="ar"/>
              </w:rPr>
            </w:pPr>
            <w:r>
              <w:rPr>
                <w:rFonts w:hint="eastAsia" w:ascii="仿宋" w:hAnsi="仿宋" w:eastAsia="仿宋" w:cs="仿宋"/>
                <w:i w:val="0"/>
                <w:iCs w:val="0"/>
                <w:color w:val="auto"/>
                <w:kern w:val="0"/>
                <w:sz w:val="21"/>
                <w:szCs w:val="21"/>
                <w:highlight w:val="none"/>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7" w:hRule="atLeast"/>
          <w:jc w:val="center"/>
        </w:trPr>
        <w:tc>
          <w:tcPr>
            <w:tcW w:w="348" w:type="pct"/>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lang w:val="en-US" w:eastAsia="zh-CN"/>
              </w:rPr>
            </w:pPr>
            <w:r>
              <w:rPr>
                <w:rFonts w:hint="eastAsia" w:ascii="仿宋" w:hAnsi="仿宋" w:eastAsia="仿宋" w:cs="仿宋"/>
                <w:b w:val="0"/>
                <w:bCs w:val="0"/>
                <w:i w:val="0"/>
                <w:iCs w:val="0"/>
                <w:color w:val="auto"/>
                <w:sz w:val="21"/>
                <w:szCs w:val="21"/>
                <w:highlight w:val="none"/>
                <w:u w:val="none"/>
                <w:lang w:val="en-US" w:eastAsia="zh-CN"/>
              </w:rPr>
              <w:t>8</w:t>
            </w:r>
          </w:p>
        </w:tc>
        <w:tc>
          <w:tcPr>
            <w:tcW w:w="33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风力灭火机</w:t>
            </w:r>
          </w:p>
        </w:tc>
        <w:tc>
          <w:tcPr>
            <w:tcW w:w="3763"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i w:val="0"/>
                <w:iCs w:val="0"/>
                <w:color w:val="auto"/>
                <w:kern w:val="0"/>
                <w:sz w:val="21"/>
                <w:szCs w:val="21"/>
                <w:highlight w:val="none"/>
                <w:u w:val="none"/>
                <w:lang w:val="en-US" w:eastAsia="zh-CN" w:bidi="ar"/>
              </w:rPr>
              <w:t>符合《GB/T10280-2008 林业机械 便携式风力灭火机》国家标准；</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一.基础技术参数：</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1.有效风力灭火距离：≥2m；</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2.出风口风量：≥0.</w:t>
            </w:r>
            <w:r>
              <w:rPr>
                <w:rFonts w:hint="eastAsia" w:ascii="仿宋" w:hAnsi="仿宋" w:eastAsia="仿宋" w:cs="仿宋"/>
                <w:color w:val="auto"/>
                <w:sz w:val="21"/>
                <w:szCs w:val="21"/>
                <w:highlight w:val="none"/>
                <w:vertAlign w:val="baseline"/>
                <w:lang w:val="en-US" w:eastAsia="zh-CN"/>
              </w:rPr>
              <w:t>49</w:t>
            </w:r>
            <w:r>
              <w:rPr>
                <w:rFonts w:hint="eastAsia" w:ascii="仿宋" w:hAnsi="仿宋" w:eastAsia="仿宋" w:cs="仿宋"/>
                <w:color w:val="auto"/>
                <w:sz w:val="21"/>
                <w:szCs w:val="21"/>
                <w:highlight w:val="none"/>
                <w:vertAlign w:val="baseline"/>
              </w:rPr>
              <w:t>m³/s；</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3.连续运转可靠性：在标定转速下连续运转5h未出现故障，转速下降小于标定转速的5％。二次启动后正常工作；</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4.安全防护（不漏油、不漏电）符合GB/T10280-2008规定；</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5.常温启动：≤5s；</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6.超速试验：符合GB/T10280-2008规定；</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7.叶轮静平衡试验：符合GB/T10280-2008规定；</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8.整机装配质量：装配正、确完整，运动件运转灵活，没有干涉、阻滞；</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9.翻转试验：标定转速下自水平位置上、下、左、右倾斜90°均能正常工作；</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二.发动机要求：</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10.</w:t>
            </w:r>
            <w:r>
              <w:rPr>
                <w:rFonts w:hint="eastAsia" w:ascii="仿宋" w:hAnsi="仿宋" w:eastAsia="仿宋" w:cs="仿宋"/>
                <w:i w:val="0"/>
                <w:iCs w:val="0"/>
                <w:color w:val="auto"/>
                <w:kern w:val="0"/>
                <w:sz w:val="21"/>
                <w:szCs w:val="21"/>
                <w:highlight w:val="none"/>
                <w:u w:val="none"/>
                <w:lang w:val="en-US" w:eastAsia="zh-CN" w:bidi="ar"/>
              </w:rPr>
              <w:t>发动机:2冲程发动机，满足国二以上排放标准；</w:t>
            </w:r>
            <w:r>
              <w:rPr>
                <w:rFonts w:hint="eastAsia" w:ascii="仿宋" w:hAnsi="仿宋" w:eastAsia="仿宋" w:cs="仿宋"/>
                <w:color w:val="auto"/>
                <w:sz w:val="21"/>
                <w:szCs w:val="21"/>
                <w:highlight w:val="none"/>
                <w:vertAlign w:val="baseline"/>
              </w:rPr>
              <w:t>符合GB/T10280-2008规定；</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11.发动机工作转速：符合GB/T10280-2008规定；</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12.发动机功率：≥4.</w:t>
            </w:r>
            <w:r>
              <w:rPr>
                <w:rFonts w:hint="eastAsia" w:ascii="仿宋" w:hAnsi="仿宋" w:eastAsia="仿宋" w:cs="仿宋"/>
                <w:color w:val="auto"/>
                <w:sz w:val="21"/>
                <w:szCs w:val="21"/>
                <w:highlight w:val="none"/>
                <w:vertAlign w:val="baseline"/>
                <w:lang w:val="en-US" w:eastAsia="zh-CN"/>
              </w:rPr>
              <w:t>26</w:t>
            </w:r>
            <w:r>
              <w:rPr>
                <w:rFonts w:hint="eastAsia" w:ascii="仿宋" w:hAnsi="仿宋" w:eastAsia="仿宋" w:cs="仿宋"/>
                <w:color w:val="auto"/>
                <w:sz w:val="21"/>
                <w:szCs w:val="21"/>
                <w:highlight w:val="none"/>
                <w:vertAlign w:val="baseline"/>
              </w:rPr>
              <w:t>kw；</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三.基本配置：</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13.一次加油连续工作时间：≥70min；</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14.耳旁噪声：≤105dB（A）；</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15.手感振动：≤1.7</w:t>
            </w:r>
            <w:r>
              <w:rPr>
                <w:rFonts w:hint="eastAsia" w:ascii="仿宋" w:hAnsi="仿宋" w:eastAsia="仿宋" w:cs="仿宋"/>
                <w:color w:val="auto"/>
                <w:sz w:val="21"/>
                <w:szCs w:val="21"/>
                <w:highlight w:val="none"/>
                <w:vertAlign w:val="baseline"/>
                <w:lang w:val="en-US" w:eastAsia="zh-CN"/>
              </w:rPr>
              <w:t>8</w:t>
            </w:r>
            <w:r>
              <w:rPr>
                <w:rFonts w:hint="eastAsia" w:ascii="仿宋" w:hAnsi="仿宋" w:eastAsia="仿宋" w:cs="仿宋"/>
                <w:color w:val="auto"/>
                <w:sz w:val="21"/>
                <w:szCs w:val="21"/>
                <w:highlight w:val="none"/>
                <w:vertAlign w:val="baseline"/>
              </w:rPr>
              <w:t>m/s²；</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16.净质量：≤10kg；</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17.外观质量：表面光滑，平整，无缺陷；</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18</w:t>
            </w:r>
            <w:r>
              <w:rPr>
                <w:rFonts w:hint="eastAsia" w:ascii="仿宋" w:hAnsi="仿宋" w:eastAsia="仿宋" w:cs="仿宋"/>
                <w:color w:val="auto"/>
                <w:sz w:val="21"/>
                <w:szCs w:val="21"/>
                <w:highlight w:val="none"/>
                <w:vertAlign w:val="baseline"/>
              </w:rPr>
              <w:t>.气缸排量：≥75CC；</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19</w:t>
            </w:r>
            <w:r>
              <w:rPr>
                <w:rFonts w:hint="eastAsia" w:ascii="仿宋" w:hAnsi="仿宋" w:eastAsia="仿宋" w:cs="仿宋"/>
                <w:color w:val="auto"/>
                <w:sz w:val="21"/>
                <w:szCs w:val="21"/>
                <w:highlight w:val="none"/>
                <w:vertAlign w:val="baseline"/>
              </w:rPr>
              <w:t>.最大风量 ：≥1700m³/h；</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20</w:t>
            </w:r>
            <w:r>
              <w:rPr>
                <w:rFonts w:hint="eastAsia" w:ascii="仿宋" w:hAnsi="仿宋" w:eastAsia="仿宋" w:cs="仿宋"/>
                <w:color w:val="auto"/>
                <w:sz w:val="21"/>
                <w:szCs w:val="21"/>
                <w:highlight w:val="none"/>
                <w:vertAlign w:val="baseline"/>
              </w:rPr>
              <w:t>.燃油箱容量：≥2.4</w:t>
            </w:r>
            <w:r>
              <w:rPr>
                <w:rFonts w:hint="eastAsia" w:ascii="仿宋" w:hAnsi="仿宋" w:eastAsia="仿宋" w:cs="仿宋"/>
                <w:color w:val="auto"/>
                <w:sz w:val="21"/>
                <w:szCs w:val="21"/>
                <w:highlight w:val="none"/>
                <w:vertAlign w:val="baseline"/>
                <w:lang w:val="en"/>
              </w:rPr>
              <w:t>6</w:t>
            </w:r>
            <w:r>
              <w:rPr>
                <w:rFonts w:hint="eastAsia" w:ascii="仿宋" w:hAnsi="仿宋" w:eastAsia="仿宋" w:cs="仿宋"/>
                <w:color w:val="auto"/>
                <w:sz w:val="21"/>
                <w:szCs w:val="21"/>
                <w:highlight w:val="none"/>
                <w:vertAlign w:val="baseline"/>
              </w:rPr>
              <w:t>L；</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21</w:t>
            </w:r>
            <w:r>
              <w:rPr>
                <w:rFonts w:hint="eastAsia" w:ascii="仿宋" w:hAnsi="仿宋" w:eastAsia="仿宋" w:cs="仿宋"/>
                <w:color w:val="auto"/>
                <w:sz w:val="21"/>
                <w:szCs w:val="21"/>
                <w:highlight w:val="none"/>
                <w:vertAlign w:val="baseline"/>
              </w:rPr>
              <w:t>.启动方式：手拉启动或一键式电启动；</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22</w:t>
            </w:r>
            <w:r>
              <w:rPr>
                <w:rFonts w:hint="eastAsia" w:ascii="仿宋" w:hAnsi="仿宋" w:eastAsia="仿宋" w:cs="仿宋"/>
                <w:color w:val="auto"/>
                <w:sz w:val="21"/>
                <w:szCs w:val="21"/>
                <w:highlight w:val="none"/>
                <w:vertAlign w:val="baseline"/>
              </w:rPr>
              <w:t>.要求有全封闭的油管：发动机供油管全封闭在机器外罩里，操作使用时不易被树枝意外挂断和在火场造成漏油，更安全；</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2</w:t>
            </w:r>
            <w:r>
              <w:rPr>
                <w:rFonts w:hint="eastAsia" w:ascii="仿宋" w:hAnsi="仿宋" w:eastAsia="仿宋" w:cs="仿宋"/>
                <w:color w:val="auto"/>
                <w:sz w:val="21"/>
                <w:szCs w:val="21"/>
                <w:highlight w:val="none"/>
                <w:vertAlign w:val="baseline"/>
                <w:lang w:val="en-US" w:eastAsia="zh-CN"/>
              </w:rPr>
              <w:t>3</w:t>
            </w:r>
            <w:r>
              <w:rPr>
                <w:rFonts w:hint="eastAsia" w:ascii="仿宋" w:hAnsi="仿宋" w:eastAsia="仿宋" w:cs="仿宋"/>
                <w:color w:val="auto"/>
                <w:sz w:val="21"/>
                <w:szCs w:val="21"/>
                <w:highlight w:val="none"/>
                <w:vertAlign w:val="baseline"/>
              </w:rPr>
              <w:t>.采用混合4冲程发动机或2冲程，加上优化设计制造的风机叶轮，风力强劲有力；</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2</w:t>
            </w:r>
            <w:r>
              <w:rPr>
                <w:rFonts w:hint="eastAsia" w:ascii="仿宋" w:hAnsi="仿宋" w:eastAsia="仿宋" w:cs="仿宋"/>
                <w:color w:val="auto"/>
                <w:sz w:val="21"/>
                <w:szCs w:val="21"/>
                <w:highlight w:val="none"/>
                <w:vertAlign w:val="baseline"/>
                <w:lang w:val="en-US" w:eastAsia="zh-CN"/>
              </w:rPr>
              <w:t>4</w:t>
            </w:r>
            <w:r>
              <w:rPr>
                <w:rFonts w:hint="eastAsia" w:ascii="仿宋" w:hAnsi="仿宋" w:eastAsia="仿宋" w:cs="仿宋"/>
                <w:color w:val="auto"/>
                <w:sz w:val="21"/>
                <w:szCs w:val="21"/>
                <w:highlight w:val="none"/>
                <w:vertAlign w:val="baseline"/>
              </w:rPr>
              <w:t>.机器重量分布合理：机器重心低，背负时与人体重心完美重合，无论在平地还是在坡地上，不会有后仰的趋势；</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eastAsia="zh-CN"/>
              </w:rPr>
              <w:t>▲</w:t>
            </w:r>
            <w:r>
              <w:rPr>
                <w:rFonts w:hint="eastAsia" w:ascii="仿宋" w:hAnsi="仿宋" w:eastAsia="仿宋" w:cs="仿宋"/>
                <w:color w:val="auto"/>
                <w:sz w:val="21"/>
                <w:szCs w:val="21"/>
                <w:highlight w:val="none"/>
                <w:vertAlign w:val="baseline"/>
              </w:rPr>
              <w:t>2</w:t>
            </w:r>
            <w:r>
              <w:rPr>
                <w:rFonts w:hint="eastAsia" w:ascii="仿宋" w:hAnsi="仿宋" w:eastAsia="仿宋" w:cs="仿宋"/>
                <w:color w:val="auto"/>
                <w:sz w:val="21"/>
                <w:szCs w:val="21"/>
                <w:highlight w:val="none"/>
                <w:vertAlign w:val="baseline"/>
                <w:lang w:val="en-US" w:eastAsia="zh-CN"/>
              </w:rPr>
              <w:t>5</w:t>
            </w:r>
            <w:r>
              <w:rPr>
                <w:rFonts w:hint="eastAsia" w:ascii="仿宋" w:hAnsi="仿宋" w:eastAsia="仿宋" w:cs="仿宋"/>
                <w:color w:val="auto"/>
                <w:sz w:val="21"/>
                <w:szCs w:val="21"/>
                <w:highlight w:val="none"/>
                <w:vertAlign w:val="baseline"/>
              </w:rPr>
              <w:t>.风管长度可伸缩调节，末端风管防火接头方式为不锈钢风管；</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四</w:t>
            </w:r>
            <w:r>
              <w:rPr>
                <w:rFonts w:hint="eastAsia" w:ascii="仿宋" w:hAnsi="仿宋" w:eastAsia="仿宋" w:cs="仿宋"/>
                <w:color w:val="auto"/>
                <w:sz w:val="21"/>
                <w:szCs w:val="21"/>
                <w:highlight w:val="none"/>
                <w:vertAlign w:val="baseline"/>
                <w:lang w:val="en-US" w:eastAsia="zh-CN"/>
              </w:rPr>
              <w:t>.</w:t>
            </w:r>
            <w:r>
              <w:rPr>
                <w:rFonts w:hint="eastAsia" w:ascii="仿宋" w:hAnsi="仿宋" w:eastAsia="仿宋" w:cs="仿宋"/>
                <w:color w:val="auto"/>
                <w:sz w:val="21"/>
                <w:szCs w:val="21"/>
                <w:highlight w:val="none"/>
                <w:vertAlign w:val="baseline"/>
              </w:rPr>
              <w:t>配件要求：</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2</w:t>
            </w:r>
            <w:r>
              <w:rPr>
                <w:rFonts w:hint="eastAsia" w:ascii="仿宋" w:hAnsi="仿宋" w:eastAsia="仿宋" w:cs="仿宋"/>
                <w:color w:val="auto"/>
                <w:sz w:val="21"/>
                <w:szCs w:val="21"/>
                <w:highlight w:val="none"/>
                <w:vertAlign w:val="baseline"/>
                <w:lang w:val="en-US" w:eastAsia="zh-CN"/>
              </w:rPr>
              <w:t>6</w:t>
            </w:r>
            <w:r>
              <w:rPr>
                <w:rFonts w:hint="eastAsia" w:ascii="仿宋" w:hAnsi="仿宋" w:eastAsia="仿宋" w:cs="仿宋"/>
                <w:color w:val="auto"/>
                <w:sz w:val="21"/>
                <w:szCs w:val="21"/>
                <w:highlight w:val="none"/>
                <w:vertAlign w:val="baseline"/>
              </w:rPr>
              <w:t>.配备便携式加油器，容量≥20L,质量≤3kg；</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27</w:t>
            </w:r>
            <w:r>
              <w:rPr>
                <w:rFonts w:hint="eastAsia" w:ascii="仿宋" w:hAnsi="仿宋" w:eastAsia="仿宋" w:cs="仿宋"/>
                <w:color w:val="auto"/>
                <w:sz w:val="21"/>
                <w:szCs w:val="21"/>
                <w:highlight w:val="none"/>
                <w:vertAlign w:val="baseline"/>
              </w:rPr>
              <w:t>.手柄应根据实际操作需求角度可自由调节，油门手柄应具有锁扣式功能；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28.标注有“▲”参数需提供具有CMA或CNAS标识的检测机构出具的检测报告扫描件或复印件并加盖投标人公章。</w:t>
            </w:r>
          </w:p>
        </w:tc>
        <w:tc>
          <w:tcPr>
            <w:tcW w:w="555" w:type="pct"/>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502</w:t>
            </w: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二、应急物资运营管理服务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1.中标人拥有完备的装备资产管理体制，包括设备的配置、调度、保养、处理及核销等环节，确保了对装备全生命周期的有效监管。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具有应急物资管控平台服务，该平台应具备对接国家、省应急资源管理平台功能，并能够实现与市级、区县级以及行业专业部门的应急物资数据库的互联互通，平台应深度融合物联网、大数据等技术，实现物资集中化管理，构建绍兴市应急物资保障管控平台，为应急管理工作提供强有力的数据支持。</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3.中标人应拥有专业的团队，负责设备的巡检、应急救援以及物资的调拨配送工作，确保在紧急情况下能够迅速响应并有效应对，巡检要求每季度不少于一次，汛期等特殊情况按采购单位要求执行。</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4.中标人应切实配合采购人完成应急演练培训工作，每年应不少2次。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三、技术力量要求</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 具备扎实的专业知识，熟悉各类设备的性能、操作原理和使用方法。</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 掌握相关设备的维修、保养技术，能够准确判断设备故障并及时进行处理。</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 熟悉安全操作规程，确保在设备操作和维护过程中始终将安全放在首位。</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四、商务要求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1.质量保证：</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本项目投标产品需提供不少于3年原厂质保服务</w:t>
      </w:r>
      <w:r>
        <w:rPr>
          <w:rFonts w:hint="eastAsia" w:ascii="仿宋" w:hAnsi="仿宋" w:eastAsia="仿宋" w:cs="仿宋"/>
          <w:color w:val="auto"/>
          <w:sz w:val="24"/>
          <w:szCs w:val="24"/>
          <w:highlight w:val="none"/>
          <w:lang w:eastAsia="zh-CN"/>
        </w:rPr>
        <w:t>，运维服务</w:t>
      </w:r>
      <w:r>
        <w:rPr>
          <w:rFonts w:hint="eastAsia" w:ascii="仿宋" w:hAnsi="仿宋" w:eastAsia="仿宋" w:cs="仿宋"/>
          <w:color w:val="auto"/>
          <w:sz w:val="24"/>
          <w:szCs w:val="24"/>
          <w:highlight w:val="none"/>
          <w:lang w:val="en-US" w:eastAsia="zh-CN"/>
        </w:rPr>
        <w:t>5年</w:t>
      </w: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对其提供的设备进行免费维修或更换，不得收取额外费用；由于产品缺陷而引起的财产或人身损害的，由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承担相应责任。</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2.售后技术服务要求：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2.1本项目质保期内，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应提供全年7×24小时技术支持及售后服务，相关费用包含在项目总价中；</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在接到故障报告后应在</w:t>
      </w:r>
      <w:r>
        <w:rPr>
          <w:rFonts w:hint="eastAsia" w:ascii="仿宋" w:hAnsi="仿宋" w:eastAsia="仿宋" w:cs="仿宋"/>
          <w:color w:val="auto"/>
          <w:sz w:val="24"/>
          <w:szCs w:val="24"/>
          <w:highlight w:val="none"/>
          <w:lang w:val="en-US" w:eastAsia="zh-CN"/>
        </w:rPr>
        <w:t>1小时</w:t>
      </w:r>
      <w:r>
        <w:rPr>
          <w:rFonts w:hint="eastAsia" w:ascii="仿宋" w:hAnsi="仿宋" w:eastAsia="仿宋" w:cs="仿宋"/>
          <w:color w:val="auto"/>
          <w:sz w:val="24"/>
          <w:szCs w:val="24"/>
          <w:highlight w:val="none"/>
        </w:rPr>
        <w:t>内做出响应，2小时内到达现场，复杂故障应在24小时内恢复解决。若24小时内无法恢复解决的，须提供同等性能、同等配置的产品替换</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2.2备品备件及耗材要求：所投产品零配件、备品备件及耗材在该产品停产后仍需保证五年的供应。</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合同签订且收到中标人出具的符合采购人要求的正式发票后7个工作日内支付合同</w:t>
      </w:r>
      <w:r>
        <w:rPr>
          <w:rFonts w:hint="eastAsia" w:ascii="仿宋" w:hAnsi="仿宋" w:eastAsia="仿宋" w:cs="仿宋"/>
          <w:color w:val="auto"/>
          <w:sz w:val="24"/>
          <w:szCs w:val="24"/>
          <w:highlight w:val="none"/>
          <w:lang w:eastAsia="zh-CN"/>
        </w:rPr>
        <w:t>金额</w:t>
      </w:r>
      <w:r>
        <w:rPr>
          <w:rFonts w:hint="eastAsia" w:ascii="仿宋" w:hAnsi="仿宋" w:eastAsia="仿宋" w:cs="仿宋"/>
          <w:color w:val="auto"/>
          <w:sz w:val="24"/>
          <w:szCs w:val="24"/>
          <w:highlight w:val="none"/>
        </w:rPr>
        <w:t>的40%作为预付款，设备全部到货并</w:t>
      </w:r>
      <w:r>
        <w:rPr>
          <w:rFonts w:hint="eastAsia" w:ascii="仿宋" w:hAnsi="仿宋" w:eastAsia="仿宋" w:cs="仿宋"/>
          <w:color w:val="auto"/>
          <w:sz w:val="24"/>
          <w:szCs w:val="24"/>
          <w:highlight w:val="none"/>
          <w:lang w:eastAsia="zh-CN"/>
        </w:rPr>
        <w:t>验收</w:t>
      </w:r>
      <w:r>
        <w:rPr>
          <w:rFonts w:hint="eastAsia" w:ascii="仿宋" w:hAnsi="仿宋" w:eastAsia="仿宋" w:cs="仿宋"/>
          <w:color w:val="auto"/>
          <w:sz w:val="24"/>
          <w:szCs w:val="24"/>
          <w:highlight w:val="none"/>
        </w:rPr>
        <w:t>合格且收到中标人出具的正式发票后7个工作日内支付合同款的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4.培训要求：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中标人应对采购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使用人员进行安装、调试、操作等使用培训，培训时间为2天，不得限制采购单位参加培训人员数量。</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五、工期及供货地点要求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1.工期要求：本项目于</w:t>
      </w:r>
      <w:r>
        <w:rPr>
          <w:rFonts w:hint="eastAsia" w:ascii="仿宋" w:hAnsi="仿宋" w:eastAsia="仿宋" w:cs="仿宋"/>
          <w:color w:val="auto"/>
          <w:sz w:val="24"/>
          <w:szCs w:val="24"/>
          <w:highlight w:val="none"/>
          <w:lang w:eastAsia="zh-CN"/>
        </w:rPr>
        <w:t>合同签订生效后</w:t>
      </w:r>
      <w:r>
        <w:rPr>
          <w:rFonts w:hint="eastAsia" w:ascii="仿宋" w:hAnsi="仿宋" w:eastAsia="仿宋" w:cs="仿宋"/>
          <w:color w:val="auto"/>
          <w:sz w:val="24"/>
          <w:szCs w:val="24"/>
          <w:highlight w:val="none"/>
          <w:lang w:val="en-US" w:eastAsia="zh-CN"/>
        </w:rPr>
        <w:t>60天内</w:t>
      </w:r>
      <w:r>
        <w:rPr>
          <w:rFonts w:hint="eastAsia" w:ascii="仿宋" w:hAnsi="仿宋" w:eastAsia="仿宋" w:cs="仿宋"/>
          <w:color w:val="auto"/>
          <w:sz w:val="24"/>
          <w:szCs w:val="24"/>
          <w:highlight w:val="none"/>
        </w:rPr>
        <w:t>完成供货并验</w:t>
      </w:r>
      <w:r>
        <w:rPr>
          <w:rFonts w:hint="eastAsia" w:ascii="仿宋" w:hAnsi="仿宋" w:eastAsia="仿宋" w:cs="仿宋"/>
          <w:color w:val="auto"/>
          <w:sz w:val="24"/>
          <w:szCs w:val="24"/>
          <w:highlight w:val="none"/>
          <w:lang w:eastAsia="zh-CN"/>
        </w:rPr>
        <w:t>收</w:t>
      </w:r>
      <w:r>
        <w:rPr>
          <w:rFonts w:hint="eastAsia" w:ascii="仿宋" w:hAnsi="仿宋" w:eastAsia="仿宋" w:cs="仿宋"/>
          <w:color w:val="auto"/>
          <w:sz w:val="24"/>
          <w:szCs w:val="24"/>
          <w:highlight w:val="none"/>
        </w:rPr>
        <w:t>合格。</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2.供货（安装）地点要求：采购人指定地点</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lang w:val="en-US" w:eastAsia="zh-CN"/>
        </w:rPr>
        <w:t>本项目建设内容分布于绍兴市及所属区县</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六、安装、调试、验收要求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安装要求：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中标人提供货物安装、调试等服务，中标人须对货物的完整性负责，如相关货物、配件在招标清单中未列出但安装所采购货物时必需，由中标人提供，产生的一切费用均由中标人负责。</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2.调试要求：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采购人对中标人提供的货物在使用前进行调试时，中标人需负责安装并培训采购人的使用操作人员，并协助采购人一起调试，直到符合技术要求，采购人才组织验收。</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采购合同的约定和现行国家标准、行业标准以及企业标准对每一项技术、服务、安全标准的履约情况进行确认。根据项目情况，采购人有权要求中标人提供所投产品经国家认可的第三方检测机构出具的检测报告原件进行查验。采购人有权根据需要设置出厂检验、到货检验、安装调试检验、配套服务检验等多重验收环节。</w:t>
      </w:r>
    </w:p>
    <w:p>
      <w:pPr>
        <w:pageBreakBefore w:val="0"/>
        <w:numPr>
          <w:ilvl w:val="-1"/>
          <w:numId w:val="0"/>
        </w:numPr>
        <w:kinsoku/>
        <w:wordWrap/>
        <w:overflowPunct/>
        <w:topLinePunct w:val="0"/>
        <w:autoSpaceDE/>
        <w:autoSpaceDN/>
        <w:bidi w:val="0"/>
        <w:adjustRightInd/>
        <w:spacing w:line="360" w:lineRule="auto"/>
        <w:ind w:left="420" w:leftChars="20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4.施工安全：</w:t>
      </w:r>
    </w:p>
    <w:p>
      <w:pPr>
        <w:pageBreakBefore w:val="0"/>
        <w:kinsoku/>
        <w:wordWrap/>
        <w:overflowPunct/>
        <w:topLinePunct w:val="0"/>
        <w:autoSpaceDE/>
        <w:autoSpaceDN/>
        <w:bidi w:val="0"/>
        <w:adjustRightInd/>
        <w:spacing w:line="360" w:lineRule="auto"/>
        <w:ind w:right="0" w:righ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rPr>
        <w:t>履约过程中中标人要组织好项目现场的秩序和安全，期间发生的本企业及其人员问题及发生对第三方造成的人身伤害及其他损失（包括：人身伤害、财产损失等经济和法律责任）均由中标人全部承担，与招标人无任何关系。</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浙江省应急管理厅关于印发《浙江省增发国债自然灾害应急能力提升工程项目实施监督办法》的通知（浙应急规财﹝2024﹞41号）的要求，本项目由绍兴市应急管理局组织联合招标采购，招标结束后由绍兴市应急管理局、绍兴市越城区应急管理局、绍兴市柯桥区应急管理局、绍兴市上虞区应急管理局、诸暨市应急管理局、嵊州市应急管理局</w:t>
      </w:r>
      <w:r>
        <w:rPr>
          <w:rFonts w:hint="eastAsia" w:ascii="仿宋" w:hAnsi="仿宋" w:eastAsia="仿宋" w:cs="仿宋"/>
          <w:color w:val="auto"/>
          <w:sz w:val="24"/>
          <w:szCs w:val="24"/>
          <w:highlight w:val="none"/>
          <w:lang w:eastAsia="zh-CN"/>
        </w:rPr>
        <w:t>、新昌县应急管理局</w:t>
      </w:r>
      <w:r>
        <w:rPr>
          <w:rFonts w:hint="eastAsia" w:ascii="仿宋" w:hAnsi="仿宋" w:eastAsia="仿宋" w:cs="仿宋"/>
          <w:color w:val="auto"/>
          <w:sz w:val="24"/>
          <w:szCs w:val="24"/>
          <w:highlight w:val="none"/>
        </w:rPr>
        <w:t>和中标人共同签定合同，并对签定的合同承担相应的权利义务。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p>
    <w:p>
      <w:pPr>
        <w:spacing w:line="360" w:lineRule="auto"/>
        <w:rPr>
          <w:rFonts w:hint="default"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bdr w:val="single" w:color="auto" w:sz="4" w:space="0"/>
        </w:rPr>
        <w:t>0</w:t>
      </w:r>
      <w:r>
        <w:rPr>
          <w:rFonts w:hint="eastAsia" w:ascii="仿宋_GB2312" w:hAnsi="仿宋_GB2312" w:eastAsia="仿宋_GB2312" w:cs="仿宋_GB2312"/>
          <w:b/>
          <w:bCs/>
          <w:color w:val="auto"/>
          <w:sz w:val="24"/>
          <w:highlight w:val="none"/>
          <w:bdr w:val="single" w:color="auto" w:sz="4" w:space="0"/>
          <w:lang w:val="en-US" w:eastAsia="zh-CN"/>
        </w:rPr>
        <w:t>3</w:t>
      </w:r>
      <w:r>
        <w:rPr>
          <w:rFonts w:hint="eastAsia" w:ascii="仿宋_GB2312" w:hAnsi="仿宋_GB2312" w:eastAsia="仿宋_GB2312" w:cs="仿宋_GB2312"/>
          <w:b/>
          <w:bCs/>
          <w:color w:val="auto"/>
          <w:sz w:val="24"/>
          <w:highlight w:val="none"/>
          <w:bdr w:val="single" w:color="auto" w:sz="4" w:space="0"/>
        </w:rPr>
        <w:t>标</w:t>
      </w:r>
      <w:r>
        <w:rPr>
          <w:rFonts w:hint="eastAsia" w:ascii="仿宋_GB2312" w:hAnsi="仿宋_GB2312" w:eastAsia="仿宋_GB2312" w:cs="仿宋_GB2312"/>
          <w:b/>
          <w:bCs/>
          <w:color w:val="auto"/>
          <w:sz w:val="24"/>
          <w:highlight w:val="none"/>
          <w:lang w:eastAsia="zh-CN"/>
        </w:rPr>
        <w:t>地震地质灾害救援</w:t>
      </w:r>
      <w:r>
        <w:rPr>
          <w:rFonts w:hint="eastAsia" w:ascii="仿宋_GB2312" w:hAnsi="仿宋_GB2312" w:eastAsia="仿宋_GB2312" w:cs="仿宋_GB2312"/>
          <w:b/>
          <w:bCs/>
          <w:color w:val="auto"/>
          <w:sz w:val="24"/>
          <w:highlight w:val="none"/>
          <w:lang w:val="en-US" w:eastAsia="zh-CN"/>
        </w:rPr>
        <w:t>项目</w:t>
      </w:r>
    </w:p>
    <w:tbl>
      <w:tblPr>
        <w:tblStyle w:val="64"/>
        <w:tblW w:w="3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1751" w:type="pct"/>
          </w:tcPr>
          <w:p>
            <w:pPr>
              <w:pStyle w:val="25"/>
              <w:spacing w:line="360" w:lineRule="auto"/>
              <w:ind w:firstLine="24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79.50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嵊州市应急管理局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  新昌县应急管理局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905.65</w:t>
            </w:r>
          </w:p>
        </w:tc>
      </w:tr>
    </w:tbl>
    <w:p>
      <w:pPr>
        <w:pStyle w:val="118"/>
        <w:numPr>
          <w:ilvl w:val="0"/>
          <w:numId w:val="0"/>
        </w:numPr>
        <w:spacing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投标人报价超过预算金额的作无效报价处理，取消其投标资格。</w:t>
      </w:r>
    </w:p>
    <w:p>
      <w:pPr>
        <w:pStyle w:val="118"/>
        <w:keepNext w:val="0"/>
        <w:keepLines w:val="0"/>
        <w:pageBreakBefore w:val="0"/>
        <w:widowControl/>
        <w:numPr>
          <w:ilvl w:val="0"/>
          <w:numId w:val="13"/>
        </w:numPr>
        <w:kinsoku/>
        <w:wordWrap/>
        <w:overflowPunct/>
        <w:topLinePunct w:val="0"/>
        <w:autoSpaceDE/>
        <w:autoSpaceDN/>
        <w:bidi w:val="0"/>
        <w:adjustRightInd/>
        <w:snapToGrid/>
        <w:spacing w:after="0" w:line="360" w:lineRule="auto"/>
        <w:ind w:left="0" w:firstLine="42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p>
      <w:pPr>
        <w:pStyle w:val="118"/>
        <w:keepNext w:val="0"/>
        <w:keepLines w:val="0"/>
        <w:pageBreakBefore w:val="0"/>
        <w:widowControl/>
        <w:numPr>
          <w:ilvl w:val="0"/>
          <w:numId w:val="14"/>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设备清单</w:t>
      </w:r>
    </w:p>
    <w:tbl>
      <w:tblPr>
        <w:tblStyle w:val="63"/>
        <w:tblW w:w="4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4"/>
        <w:gridCol w:w="1898"/>
        <w:gridCol w:w="894"/>
        <w:gridCol w:w="894"/>
        <w:gridCol w:w="894"/>
        <w:gridCol w:w="894"/>
        <w:gridCol w:w="894"/>
        <w:gridCol w:w="894"/>
        <w:gridCol w:w="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418" w:type="pct"/>
            <w:vMerge w:val="restart"/>
            <w:tcBorders>
              <w:top w:val="single" w:color="000000" w:sz="8" w:space="0"/>
              <w:left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066" w:type="pct"/>
            <w:vMerge w:val="restart"/>
            <w:tcBorders>
              <w:top w:val="single" w:color="000000" w:sz="8" w:space="0"/>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装备名称</w:t>
            </w:r>
          </w:p>
        </w:tc>
        <w:tc>
          <w:tcPr>
            <w:tcW w:w="3515" w:type="pct"/>
            <w:gridSpan w:val="7"/>
            <w:tcBorders>
              <w:top w:val="single" w:color="000000" w:sz="8"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418" w:type="pct"/>
            <w:vMerge w:val="continue"/>
            <w:tcBorders>
              <w:left w:val="single" w:color="000000" w:sz="8"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1066"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5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越城区</w:t>
            </w:r>
          </w:p>
        </w:tc>
        <w:tc>
          <w:tcPr>
            <w:tcW w:w="5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柯桥区</w:t>
            </w:r>
          </w:p>
        </w:tc>
        <w:tc>
          <w:tcPr>
            <w:tcW w:w="5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上虞区</w:t>
            </w:r>
          </w:p>
        </w:tc>
        <w:tc>
          <w:tcPr>
            <w:tcW w:w="5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诸暨市</w:t>
            </w:r>
          </w:p>
        </w:tc>
        <w:tc>
          <w:tcPr>
            <w:tcW w:w="50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嵊州市</w:t>
            </w:r>
          </w:p>
        </w:tc>
        <w:tc>
          <w:tcPr>
            <w:tcW w:w="502" w:type="pct"/>
            <w:tcBorders>
              <w:top w:val="nil"/>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新昌县</w:t>
            </w:r>
          </w:p>
        </w:tc>
        <w:tc>
          <w:tcPr>
            <w:tcW w:w="502" w:type="pct"/>
            <w:tcBorders>
              <w:top w:val="nil"/>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便携式防水防爆应急强光灯</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32</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120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复合气体探测器</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钢筋速断器</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高压起重气垫</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混凝土液压破拆工具组</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激光测距仪</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漏电检测仪</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牵拉器</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切割锯套装</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5</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32</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25</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生命探测仪（雷达生命探测仪）</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绳索救援套装</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160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液压破拆工具组</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液压破拆工具组（开缝器）</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液压破拆工具组(扩张器)</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16</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12</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液压破拆工具组（千斤顶）</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液压破拆工具组(液压泵)</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16</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14</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12</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17</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凿岩机</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9</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21</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418"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10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重型支撑套装</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0</w:t>
            </w:r>
          </w:p>
        </w:tc>
        <w:tc>
          <w:tcPr>
            <w:tcW w:w="502" w:type="pct"/>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bl>
    <w:p>
      <w:pPr>
        <w:pStyle w:val="118"/>
        <w:keepNext w:val="0"/>
        <w:keepLines w:val="0"/>
        <w:pageBreakBefore w:val="0"/>
        <w:widowControl/>
        <w:numPr>
          <w:ilvl w:val="-1"/>
          <w:numId w:val="0"/>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p>
    <w:p>
      <w:pPr>
        <w:pStyle w:val="118"/>
        <w:keepNext w:val="0"/>
        <w:keepLines w:val="0"/>
        <w:pageBreakBefore w:val="0"/>
        <w:widowControl/>
        <w:numPr>
          <w:ilvl w:val="0"/>
          <w:numId w:val="14"/>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设备主要技术参数</w:t>
      </w:r>
    </w:p>
    <w:tbl>
      <w:tblPr>
        <w:tblStyle w:val="63"/>
        <w:tblW w:w="8600" w:type="dxa"/>
        <w:tblInd w:w="-1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9"/>
        <w:gridCol w:w="674"/>
        <w:gridCol w:w="6317"/>
        <w:gridCol w:w="1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lang w:eastAsia="zh-CN"/>
              </w:rPr>
            </w:pPr>
            <w:r>
              <w:rPr>
                <w:rFonts w:hint="eastAsia" w:ascii="仿宋" w:hAnsi="仿宋" w:eastAsia="仿宋" w:cs="仿宋"/>
                <w:b/>
                <w:bCs/>
                <w:i w:val="0"/>
                <w:iCs w:val="0"/>
                <w:color w:val="auto"/>
                <w:sz w:val="21"/>
                <w:szCs w:val="21"/>
                <w:highlight w:val="none"/>
                <w:u w:val="none"/>
                <w:lang w:eastAsia="zh-CN"/>
              </w:rPr>
              <w:t>序号</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1"/>
                <w:szCs w:val="21"/>
                <w:highlight w:val="none"/>
                <w:u w:val="none"/>
                <w:lang w:eastAsia="zh-CN"/>
              </w:rPr>
            </w:pPr>
            <w:r>
              <w:rPr>
                <w:rFonts w:hint="eastAsia" w:ascii="仿宋" w:hAnsi="仿宋" w:eastAsia="仿宋" w:cs="仿宋"/>
                <w:b/>
                <w:color w:val="auto"/>
                <w:sz w:val="21"/>
                <w:szCs w:val="21"/>
                <w:highlight w:val="none"/>
              </w:rPr>
              <w:t>详细性能参数</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spacing w:beforeLines="0" w:afterLines="0"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p>
            <w:pPr>
              <w:keepNext w:val="0"/>
              <w:keepLines w:val="0"/>
              <w:widowControl/>
              <w:suppressLineNumbers w:val="0"/>
              <w:spacing w:line="360" w:lineRule="auto"/>
              <w:jc w:val="both"/>
              <w:textAlignment w:val="center"/>
              <w:rPr>
                <w:rFonts w:hint="default" w:ascii="仿宋" w:hAnsi="仿宋" w:eastAsia="仿宋" w:cs="仿宋"/>
                <w:b/>
                <w:bCs/>
                <w:i w:val="0"/>
                <w:iCs w:val="0"/>
                <w:color w:val="auto"/>
                <w:sz w:val="21"/>
                <w:szCs w:val="21"/>
                <w:highlight w:val="none"/>
                <w:u w:val="none"/>
                <w:lang w:val="en-US" w:eastAsia="zh-CN"/>
              </w:rPr>
            </w:pPr>
            <w:r>
              <w:rPr>
                <w:rFonts w:hint="eastAsia" w:ascii="仿宋" w:hAnsi="仿宋" w:eastAsia="仿宋" w:cs="仿宋"/>
                <w:b/>
                <w:color w:val="auto"/>
                <w:sz w:val="21"/>
                <w:szCs w:val="21"/>
                <w:highlight w:val="none"/>
              </w:rPr>
              <w:t>（件、套）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便携式防水防爆应急强光灯</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功率：≥160W</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光源：LED光源</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配光：聚光、泛光、警示光</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工作模式：强光、工作光、警示光</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工作模式：10米处照度≥1000 lx，50米处照度≥30 lx</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6</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电量指示：LCD显示屏电量显示，具备低电压报警功能</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7</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防爆等级：具备气体、粉尘双重防爆认证，Ex nR IIC T5 Gc;Ex tc IIIC T95℃ Db。产品防爆认证应满足GB/T 3836.1-2021新版标准认证（</w:t>
            </w:r>
            <w:r>
              <w:rPr>
                <w:rFonts w:hint="eastAsia" w:ascii="仿宋" w:hAnsi="仿宋" w:eastAsia="仿宋" w:cs="仿宋"/>
                <w:color w:val="auto"/>
                <w:szCs w:val="21"/>
                <w:highlight w:val="none"/>
                <w:u w:val="none"/>
              </w:rPr>
              <w:t>提供具有CMA或CNAS标识的检测机构出具的防爆合格证扫描件或复印件并加盖投标人公章；</w:t>
            </w:r>
            <w:r>
              <w:rPr>
                <w:rFonts w:hint="eastAsia" w:ascii="仿宋" w:hAnsi="仿宋" w:eastAsia="仿宋" w:cs="仿宋"/>
                <w:i w:val="0"/>
                <w:iCs w:val="0"/>
                <w:color w:val="auto"/>
                <w:sz w:val="21"/>
                <w:szCs w:val="21"/>
                <w:highlight w:val="none"/>
                <w:u w:val="none"/>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8</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电池容量：≥12Ah，300Wh</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▲9</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照明时间：聚光强光≥10h，聚光工作光≥15h，泛光强光≥10h，泛光工作光≥15h</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10</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外形尺寸：方便携带和使用，尺寸不大于（长）150×（宽）160×（高）900mm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11</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升降方式：可进行手动升降，升降高度≥2米</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12</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重量：≤12kg（不带包装）</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13</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充电时间：≤6h</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14</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工作环境温度：-20℃～40℃</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rPr>
              <w:t>15</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防护等级：≥IP66</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16</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电池循环寿命：≥1500次充放电</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17</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防腐等级：≥WF2</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18</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携带方式：可手提、肩背</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注：带</w:t>
            </w:r>
            <w:r>
              <w:rPr>
                <w:rFonts w:hint="eastAsia" w:ascii="仿宋" w:hAnsi="仿宋" w:eastAsia="仿宋" w:cs="仿宋"/>
                <w:i w:val="0"/>
                <w:iCs w:val="0"/>
                <w:strike w:val="0"/>
                <w:color w:val="auto"/>
                <w:sz w:val="21"/>
                <w:szCs w:val="21"/>
                <w:highlight w:val="none"/>
                <w:u w:val="none"/>
              </w:rPr>
              <w:t>▲</w:t>
            </w:r>
            <w:r>
              <w:rPr>
                <w:rFonts w:hint="eastAsia" w:ascii="仿宋" w:hAnsi="仿宋" w:eastAsia="仿宋" w:cs="仿宋"/>
                <w:i w:val="0"/>
                <w:iCs w:val="0"/>
                <w:strike w:val="0"/>
                <w:color w:val="auto"/>
                <w:sz w:val="21"/>
                <w:szCs w:val="21"/>
                <w:highlight w:val="none"/>
                <w:u w:val="none"/>
                <w:lang w:val="en-US" w:eastAsia="zh-CN"/>
              </w:rPr>
              <w:t>参数</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2</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凿岩机</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1.冲击频率：≥1800 n/min；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2.单次冲击能量：≥30-70J；</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3.声压等级：≤101.1dB (A)；</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4.排量：≥50CC；</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5.额定输出功率：2.4 kW/r/min；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6.燃油箱容量：≤ 1.3L；</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7.配铝合金包装箱1个。</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3</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切割锯套装</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b/>
                <w:bCs/>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一、无齿锯：</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1.功率：≥3.7 kW；</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2.气缸排量：≥74 cm³</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3.刀片直径：≤350 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4.最大切割深度：≥130 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5.噪音：≤103db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6.声功率级:≤LWA113 dB(A)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7.重量（不包括切割设备）：≤11kg；</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二、机动链锯：</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1.发动机参数气缸排量≥70 cm³；</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2.功率≥4.1 kW；</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3.怠速≥2700 rpm；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4.最高功率转速≥9600 rpm；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5.气缸缸径≤50 mm；</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三、双轮异向切割锯：</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1.汽缸排量＞70.7 CC；缸径：50 mm；活塞行程：36 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2.标准怠速≥2600 rpm；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3.无负荷最大转速：≥13500 rpm；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4.功率：≥4.1 kw；</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5.燃油箱体积≥0.7 L；</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6.机油箱容积：≥0.4 L；</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7.重量：≤12.7kg(无燃油、润滑油、锯片)；</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8.噪音水平：≤104 dB；</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9.切割深度：≥110 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10.锯片直径：≥315mm；</w:t>
            </w:r>
          </w:p>
          <w:p>
            <w:pPr>
              <w:widowControl/>
              <w:spacing w:line="360" w:lineRule="auto"/>
              <w:textAlignment w:val="center"/>
              <w:rPr>
                <w:rFonts w:hint="eastAsia" w:ascii="仿宋" w:hAnsi="仿宋" w:eastAsia="仿宋" w:cs="仿宋"/>
                <w:color w:val="auto"/>
                <w:szCs w:val="21"/>
                <w:highlight w:val="none"/>
                <w:lang w:val="en-US" w:eastAsia="zh-CN"/>
              </w:rPr>
            </w:pPr>
            <w:r>
              <w:rPr>
                <w:rFonts w:hint="eastAsia" w:ascii="仿宋" w:hAnsi="仿宋" w:eastAsia="仿宋" w:cs="仿宋"/>
                <w:i w:val="0"/>
                <w:iCs w:val="0"/>
                <w:color w:val="auto"/>
                <w:kern w:val="2"/>
                <w:sz w:val="21"/>
                <w:szCs w:val="21"/>
                <w:highlight w:val="none"/>
                <w:u w:val="none"/>
                <w:lang w:val="en-US" w:eastAsia="zh-CN" w:bidi="ar-SA"/>
              </w:rPr>
              <w:t>配置： Ø315mm 1付（2片）；铝合金箱1个，配件安装工具包一个，中文操作使用手册1份。</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4</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复合气体探测器（提供样品）</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 xml:space="preserve">1.基本参数：气体种类、量程、分辨率；可燃气、0-100%LEL 、1% LEL； 氧气、0-30%Vol 、0.1%Vol 一氧化碳、0-1999 ppm、1 ppm；硫化氢、0-1999ppm 、1 ppm。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2.物理特性:防水防尘等级为 IP68；</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▲3.每组配6套气体检测仪和一套自动标定系统；</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▲4.具备如气体读数等实时数据远程传输功能，不借助网关或中继等方式直接传送至云端平台实现监控和报警提</w:t>
            </w:r>
            <w:r>
              <w:rPr>
                <w:rFonts w:hint="eastAsia" w:ascii="仿宋" w:hAnsi="仿宋" w:eastAsia="仿宋" w:cs="仿宋"/>
                <w:i w:val="0"/>
                <w:iCs w:val="0"/>
                <w:strike w:val="0"/>
                <w:color w:val="auto"/>
                <w:kern w:val="2"/>
                <w:sz w:val="21"/>
                <w:szCs w:val="21"/>
                <w:highlight w:val="none"/>
                <w:u w:val="none"/>
                <w:lang w:val="en-US" w:eastAsia="zh-CN" w:bidi="ar-SA"/>
              </w:rPr>
              <w:t>示等；</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5.设备自带数据缓存功能，同时云端平台具有历史数据记录和报表导出功能，确保可追溯性；</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6.仪表电源:运行时间室温下24小时电源仪表配置可充电锂电池；</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7.具备定位功能，开启后可实时显示人员设备位置，并且有主动求救报警功能；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▲8.提供NAL电信设备进网许可和SRCC无线电设备核准证；</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9.提供4年质保服务；</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10.</w:t>
            </w:r>
            <w:r>
              <w:rPr>
                <w:rFonts w:hint="eastAsia" w:ascii="仿宋" w:hAnsi="仿宋" w:eastAsia="仿宋" w:cs="仿宋"/>
                <w:color w:val="auto"/>
                <w:sz w:val="21"/>
                <w:szCs w:val="21"/>
                <w:highlight w:val="none"/>
              </w:rPr>
              <w:t>提供具有CMA或CNAS标识的检测机构出具的防爆合格证扫描件或复印件并加盖投标人公章</w:t>
            </w:r>
            <w:r>
              <w:rPr>
                <w:rFonts w:hint="eastAsia" w:ascii="仿宋" w:hAnsi="仿宋" w:eastAsia="仿宋" w:cs="仿宋"/>
                <w:color w:val="auto"/>
                <w:sz w:val="21"/>
                <w:szCs w:val="21"/>
                <w:highlight w:val="none"/>
                <w:lang w:eastAsia="zh-CN"/>
              </w:rPr>
              <w:t>。</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5</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液压破拆工具组</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lang w:val="en-US" w:eastAsia="zh-CN" w:bidi="ar-SA"/>
              </w:rPr>
              <w:t>一、</w:t>
            </w:r>
            <w:r>
              <w:rPr>
                <w:rFonts w:hint="eastAsia" w:ascii="仿宋" w:hAnsi="仿宋" w:eastAsia="仿宋" w:cs="仿宋"/>
                <w:b/>
                <w:bCs/>
                <w:i w:val="0"/>
                <w:iCs w:val="0"/>
                <w:color w:val="auto"/>
                <w:kern w:val="2"/>
                <w:sz w:val="21"/>
                <w:szCs w:val="21"/>
                <w:highlight w:val="none"/>
                <w:u w:val="none"/>
                <w:lang w:val="en-US" w:eastAsia="zh-CN" w:bidi="ar-SA"/>
              </w:rPr>
              <w:t>通用部分</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1.液压破拆工具基本符合GB/T17906-2021《液压破拆工具通用技术条件》等国家相关标准，用于消防员抢险救援破拆使用；</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接口全部为优质单接口，可以带压插拔，接口采用机械螺纹旋转式连接，连接安全可靠。</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 xml:space="preserve">二、液压剪切器 </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剪切器1台：救援中用于剪切金属结构、管道、异型钢材和钢板。超强的C型刀片完美利用弧形刀片的回拉作用；</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1.工作压强≥730巴；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▲2.最大开口距离≥205mm；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▲3.剪切圆钢（Q235材料）≥35mm，剪切钢板（Q235材料）厚度≥15mm；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4.最大剪切力≥750kN；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5.重量≤15kg。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三、液压扩张器</w:t>
            </w:r>
            <w:r>
              <w:rPr>
                <w:rFonts w:hint="eastAsia" w:ascii="仿宋" w:hAnsi="仿宋" w:eastAsia="仿宋" w:cs="仿宋"/>
                <w:b/>
                <w:bCs/>
                <w:i w:val="0"/>
                <w:iCs w:val="0"/>
                <w:color w:val="auto"/>
                <w:kern w:val="0"/>
                <w:sz w:val="21"/>
                <w:szCs w:val="21"/>
                <w:highlight w:val="none"/>
                <w:u w:val="none"/>
                <w:lang w:val="en-US" w:eastAsia="zh-CN" w:bidi="ar"/>
              </w:rPr>
              <w:t>（提供样品）</w:t>
            </w:r>
            <w:r>
              <w:rPr>
                <w:rFonts w:hint="eastAsia" w:ascii="仿宋" w:hAnsi="仿宋" w:eastAsia="仿宋" w:cs="仿宋"/>
                <w:b/>
                <w:bCs/>
                <w:i w:val="0"/>
                <w:iCs w:val="0"/>
                <w:color w:val="auto"/>
                <w:kern w:val="2"/>
                <w:sz w:val="21"/>
                <w:szCs w:val="21"/>
                <w:highlight w:val="none"/>
                <w:u w:val="none"/>
                <w:lang w:val="en-US" w:eastAsia="zh-CN" w:bidi="ar-SA"/>
              </w:rPr>
              <w:t xml:space="preserve"> </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扩张器1台：扩张器在救援中用于扩张、撕裂、夹持、挤压和牵拉功能；</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特有的鲨鱼齿扩张头，具有良好的撕裂效果；按压式机械设计插取便于更换扩张头；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1.工作压强≥730巴；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▲2.最大扩张力≥380KN；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▲3.最大扩张距离≥730mm；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4.最大牵拉力≥55KN，最大牵拉距离≥560mm；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▲5.重量≤16.5kg。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四、液压开缝器</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剪扩器1台：救援中用于具有剪切、扩张和牵拉功能；☆特有的鲨鱼齿扩张头具有良好的撕裂效果；按压式机械设计插取便于更换扩张头；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1.工作压强≥730巴；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▲2.剪切圆钢（Q235A材料）直径≥35mm，剪切钢板（Q235A材料）厚度≥20mm；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▲3.最大扩张力≥125N，最大扩张距离≥365mm;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4.最大牵拉力≥60KN，最大牵拉距离≥380mm;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▲5.重量≤15kg。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五、液压千斤顶</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液压千斤顶与液压手动泵组合使用，用于撑顶事故中的重物从而解救被困于危险环境中的受害者;</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1.千斤顶A：额定工作压力≥63MPa；最大撑顶力≥5吨；闭合长度≤200mm；撑顶距离≥100mm；最大撑顶高度≥290mm；质量≤2kg；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2.千斤顶B：额定工作压力≥63MPa；最大撑顶力≥10吨；闭合长度≤300mm；撑顶距离≥200mm；最大撑顶高度≥500mm；质量≤4kg；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3.千斤顶C：额定工作压力≥63MPa；最大撑顶力≥20吨；闭合长度≤350mm；撑顶距离≥230mm；最大撑顶高度≥570mm；质量≤10kg。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六、液压撑顶器</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撑顶器1台：救援顶杆用于移动障碍物、撑顶物体、创造救援通道及保持物体稳定。活塞杆末端配有防滑齿可更容易、安全地在斜坡或平滑的地面进行救援作业，防滑齿可在360度范围内任意旋转；</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1.工作压强≥730巴;</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▲2.最大撑顶力≥140KN;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▲3.闭合长度≤470mm，活塞行程≥300mm;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4.撑顶长度≥770mm；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▲5.重量≤11kg；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七、液压机动泵</w:t>
            </w:r>
            <w:r>
              <w:rPr>
                <w:rFonts w:hint="eastAsia" w:ascii="仿宋" w:hAnsi="仿宋" w:eastAsia="仿宋" w:cs="仿宋"/>
                <w:b/>
                <w:bCs/>
                <w:i w:val="0"/>
                <w:iCs w:val="0"/>
                <w:color w:val="auto"/>
                <w:kern w:val="0"/>
                <w:sz w:val="21"/>
                <w:szCs w:val="21"/>
                <w:highlight w:val="none"/>
                <w:u w:val="none"/>
                <w:lang w:val="en-US" w:eastAsia="zh-CN" w:bidi="ar"/>
              </w:rPr>
              <w:t>（提供样品）</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机动泵1台：可同时接驳并使用两件工具，采用▲配备了双倍流量功能可使救援工具救援速度加快一倍；☆采用径向柱塞泵，设计更加高效，使用、维修更方便；</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1.工作压强≥730巴，功率≥2.2KW；</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▲2.双倍流量下，高压流量≥1.3L/min，低压流量≥5.5L/min；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3.液压油箱容量≥3L；</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▲4.重量≤24KG；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b/>
                <w:bCs/>
                <w:i w:val="0"/>
                <w:iCs w:val="0"/>
                <w:color w:val="auto"/>
                <w:kern w:val="2"/>
                <w:sz w:val="21"/>
                <w:szCs w:val="21"/>
                <w:highlight w:val="none"/>
                <w:u w:val="none"/>
                <w:lang w:val="en-US" w:eastAsia="zh-CN" w:bidi="ar-SA"/>
              </w:rPr>
              <w:t>八、配件</w:t>
            </w:r>
            <w:r>
              <w:rPr>
                <w:rFonts w:hint="eastAsia" w:ascii="仿宋" w:hAnsi="仿宋" w:eastAsia="仿宋" w:cs="仿宋"/>
                <w:b/>
                <w:bCs/>
                <w:i w:val="0"/>
                <w:iCs w:val="0"/>
                <w:color w:val="auto"/>
                <w:kern w:val="0"/>
                <w:sz w:val="21"/>
                <w:szCs w:val="21"/>
                <w:highlight w:val="none"/>
                <w:u w:val="none"/>
                <w:lang w:val="en-US" w:eastAsia="zh-CN" w:bidi="ar"/>
              </w:rPr>
              <w:t>（提供样品）</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液压油管2套：每套长度≥10m，采用双油管单接口连接，机械螺纹螺旋式连接方式；</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注：标注有“▲”参数需提供具有CMA或CNAS标识的检测机构出具的检测报告扫描件或复印件并加盖投标人公章。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6</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液压破拆工具组（千斤顶）</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i w:val="0"/>
                <w:iCs w:val="0"/>
                <w:color w:val="auto"/>
                <w:kern w:val="2"/>
                <w:sz w:val="21"/>
                <w:szCs w:val="21"/>
                <w:highlight w:val="none"/>
                <w:u w:val="none"/>
                <w:lang w:val="en-US" w:eastAsia="zh-CN" w:bidi="ar-SA"/>
              </w:rPr>
              <w:t>符合GB/T 17906-2021 消防应急救援装备液压破拆工具通用技术条件相关标准；</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1.由三种规格千斤顶（小、中、大）组成，小号千斤顶顶升力≥10T；中号千斤顶顶升力≥20T，大号 千斤顶顶升力≥50T； </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 xml:space="preserve">2.配备动力源； </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3.未展开本体高度≤215mm ；</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val="en-US" w:eastAsia="zh-CN" w:bidi="ar"/>
              </w:rPr>
              <w:t>4.工作行程≥150mm；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活塞行程≥80（mm）</w:t>
            </w:r>
            <w:r>
              <w:rPr>
                <w:rFonts w:hint="eastAsia" w:ascii="仿宋" w:hAnsi="仿宋" w:eastAsia="仿宋" w:cs="仿宋"/>
                <w:i w:val="0"/>
                <w:iCs w:val="0"/>
                <w:color w:val="auto"/>
                <w:sz w:val="21"/>
                <w:szCs w:val="21"/>
                <w:highlight w:val="none"/>
                <w:u w:val="none"/>
                <w:lang w:eastAsia="zh-CN"/>
              </w:rPr>
              <w:t>；</w:t>
            </w:r>
          </w:p>
          <w:p>
            <w:pPr>
              <w:widowControl/>
              <w:spacing w:line="360" w:lineRule="auto"/>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重量≥15KG</w:t>
            </w:r>
            <w:r>
              <w:rPr>
                <w:rFonts w:hint="eastAsia" w:ascii="仿宋" w:hAnsi="仿宋" w:eastAsia="仿宋" w:cs="仿宋"/>
                <w:i w:val="0"/>
                <w:iCs w:val="0"/>
                <w:color w:val="auto"/>
                <w:sz w:val="21"/>
                <w:szCs w:val="21"/>
                <w:highlight w:val="none"/>
                <w:u w:val="none"/>
                <w:lang w:eastAsia="zh-CN"/>
              </w:rPr>
              <w:t>。</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7</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液压破拆工具组（开缝器）</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符合GB/T 17906-2021 消防应急救援装备液压破拆工具通用技术条件相关标准。</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1.开缝器由手动泵驱动进行工作；</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2.最小楔入缝隙≤6mm；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3.最大开启距离≥50mm；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4.最大开启力≥210KN；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5.质量≤12kg（含手动泵）；</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6.额定工作压力≥60MPa；</w:t>
            </w:r>
            <w:r>
              <w:rPr>
                <w:rFonts w:hint="eastAsia" w:ascii="仿宋" w:hAnsi="仿宋" w:eastAsia="仿宋" w:cs="仿宋"/>
                <w:i w:val="0"/>
                <w:iCs w:val="0"/>
                <w:strike w:val="0"/>
                <w:color w:val="auto"/>
                <w:kern w:val="2"/>
                <w:sz w:val="21"/>
                <w:szCs w:val="21"/>
                <w:highlight w:val="none"/>
                <w:u w:val="none"/>
                <w:lang w:val="en-US" w:eastAsia="zh-CN" w:bidi="ar-SA"/>
              </w:rPr>
              <w:t>该产品</w:t>
            </w:r>
            <w:r>
              <w:rPr>
                <w:rFonts w:hint="eastAsia" w:ascii="仿宋" w:hAnsi="仿宋" w:eastAsia="仿宋" w:cs="仿宋"/>
                <w:i w:val="0"/>
                <w:iCs w:val="0"/>
                <w:strike w:val="0"/>
                <w:color w:val="auto"/>
                <w:sz w:val="21"/>
                <w:szCs w:val="21"/>
                <w:highlight w:val="none"/>
                <w:u w:val="none"/>
              </w:rPr>
              <w:t>需</w:t>
            </w:r>
            <w:r>
              <w:rPr>
                <w:rFonts w:hint="eastAsia" w:ascii="仿宋" w:hAnsi="仿宋" w:eastAsia="仿宋" w:cs="仿宋"/>
                <w:i w:val="0"/>
                <w:iCs w:val="0"/>
                <w:strike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8</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液压破拆工具组(扩张器)</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符合GB/T 17906-2021 消防应急救援装备液压破拆工具通用技术条件相关标准。</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1.工作压力≥72Mpa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2.最大扩张距离≥740mm；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 xml:space="preserve">3.额定扩张力≥50Kn（测力点距扩张臂顶端的垂直距离为25mm）；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4.重量≤15Kg产品符合GB/T 17906-2021 消防应急救援装备液压破拆工具通用技术条件相关标准。</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9</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液压破拆工具组(液压泵)</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2"/>
                <w:sz w:val="21"/>
                <w:szCs w:val="21"/>
                <w:highlight w:val="none"/>
                <w:u w:val="none"/>
                <w:lang w:val="en-US" w:eastAsia="zh-CN" w:bidi="ar-SA"/>
              </w:rPr>
              <w:t>符合GB/T 17906-2021 消防应急救援装备液压破拆工具通用技术条件相关标准；</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采用</w:t>
            </w:r>
            <w:r>
              <w:rPr>
                <w:rFonts w:hint="eastAsia" w:ascii="仿宋" w:hAnsi="仿宋" w:eastAsia="仿宋" w:cs="仿宋"/>
                <w:i w:val="0"/>
                <w:iCs w:val="0"/>
                <w:color w:val="auto"/>
                <w:sz w:val="21"/>
                <w:szCs w:val="21"/>
                <w:highlight w:val="none"/>
                <w:u w:val="none"/>
                <w:lang w:val="en-US" w:eastAsia="zh-CN"/>
              </w:rPr>
              <w:t>汽油</w:t>
            </w:r>
            <w:r>
              <w:rPr>
                <w:rFonts w:hint="eastAsia" w:ascii="仿宋" w:hAnsi="仿宋" w:eastAsia="仿宋" w:cs="仿宋"/>
                <w:i w:val="0"/>
                <w:iCs w:val="0"/>
                <w:color w:val="auto"/>
                <w:sz w:val="21"/>
                <w:szCs w:val="21"/>
                <w:highlight w:val="none"/>
                <w:u w:val="none"/>
              </w:rPr>
              <w:t>发动机作为动力源，动力强劲、性能稳定；含两套高压油管</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双输出结构，可连接两款设备同时使用</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单接口设计、可带压操作</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额定工作压力：≥72Mpa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高压输出流量≥0.75L/min；倍速模式高压输出流量≥1.4L/min</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 xml:space="preserve">        </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低压输出流量≥3.0L/min;；低压倍速模式高压输出流量≥5.8L/min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7.</w:t>
            </w:r>
            <w:r>
              <w:rPr>
                <w:rFonts w:hint="eastAsia" w:ascii="仿宋" w:hAnsi="仿宋" w:eastAsia="仿宋" w:cs="仿宋"/>
                <w:i w:val="0"/>
                <w:iCs w:val="0"/>
                <w:color w:val="auto"/>
                <w:sz w:val="21"/>
                <w:szCs w:val="21"/>
                <w:highlight w:val="none"/>
                <w:u w:val="none"/>
              </w:rPr>
              <w:t>重量≤23Kg</w:t>
            </w:r>
            <w:r>
              <w:rPr>
                <w:rFonts w:hint="eastAsia" w:ascii="仿宋" w:hAnsi="仿宋" w:eastAsia="仿宋" w:cs="仿宋"/>
                <w:i w:val="0"/>
                <w:iCs w:val="0"/>
                <w:color w:val="auto"/>
                <w:sz w:val="21"/>
                <w:szCs w:val="21"/>
                <w:highlight w:val="none"/>
                <w:u w:val="none"/>
                <w:lang w:eastAsia="zh-CN"/>
              </w:rPr>
              <w:t>。</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10</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混凝土液压破拆工具组</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numPr>
                <w:ilvl w:val="-1"/>
                <w:numId w:val="0"/>
              </w:numPr>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液压动力站:</w:t>
            </w:r>
          </w:p>
          <w:p>
            <w:pPr>
              <w:widowControl/>
              <w:spacing w:line="360" w:lineRule="auto"/>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符合</w:t>
            </w:r>
            <w:r>
              <w:rPr>
                <w:rFonts w:hint="eastAsia" w:ascii="仿宋" w:hAnsi="仿宋" w:eastAsia="仿宋" w:cs="仿宋"/>
                <w:i w:val="0"/>
                <w:iCs w:val="0"/>
                <w:color w:val="auto"/>
                <w:sz w:val="21"/>
                <w:szCs w:val="21"/>
                <w:highlight w:val="none"/>
                <w:u w:val="none"/>
              </w:rPr>
              <w:t xml:space="preserve">GB/T 17906-2021《消防应急救援装备 液压破拆工具通用技术条件》、GB/T3766-2015《液压传动系统及其元件的通用规则和安全要求》、GB/T3768-2017 </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1.汽油发动机：风冷四冲程</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▲2.液压系统最大压力：≥18Mpa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3.液压流量：≥30L/min（可调）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4.外形尺寸：≤730×550×670mm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5.裸机重量：≤75kg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6.液压油箱容积：≥10L</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7.燃油箱容积：≥6L</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8.连续工作时长：≥6H</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9.发动机功率：≥10KW</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10.启动发式：手/电启动</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11.噪声声压级dB（A）:≤85</w:t>
            </w:r>
            <w:r>
              <w:rPr>
                <w:rFonts w:hint="eastAsia" w:ascii="仿宋" w:hAnsi="仿宋" w:eastAsia="仿宋" w:cs="仿宋"/>
                <w:i w:val="0"/>
                <w:iCs w:val="0"/>
                <w:color w:val="auto"/>
                <w:sz w:val="21"/>
                <w:szCs w:val="21"/>
                <w:highlight w:val="none"/>
                <w:u w:val="none"/>
                <w:lang w:eastAsia="zh-CN"/>
              </w:rPr>
              <w:t>；</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rPr>
              <w:t>12液压管10米*1</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1"/>
                <w:numId w:val="0"/>
              </w:numPr>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液压破碎镐：</w:t>
            </w:r>
          </w:p>
          <w:p>
            <w:pPr>
              <w:widowControl/>
              <w:spacing w:line="360" w:lineRule="auto"/>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符合</w:t>
            </w:r>
            <w:r>
              <w:rPr>
                <w:rFonts w:hint="eastAsia" w:ascii="仿宋" w:hAnsi="仿宋" w:eastAsia="仿宋" w:cs="仿宋"/>
                <w:i w:val="0"/>
                <w:iCs w:val="0"/>
                <w:color w:val="auto"/>
                <w:sz w:val="21"/>
                <w:szCs w:val="21"/>
                <w:highlight w:val="none"/>
                <w:u w:val="none"/>
              </w:rPr>
              <w:t>GB/T 17906-2021《消防应急救援装备 液压破拆工具通用技术条件》、GB/T3766-2015《液压传动 系统及其元件的通用规则和安全要求》、GB/T3768-2017</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标准配置减振手柄</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配置锁止机构</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可有效破拆C20-C50等系列混凝土，破拆厚度可达350mm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.重量：≤24kg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.流量：26-34L/min可调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.最大冲击频率：≥2600次/min可调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.最大耐压：≥200bar</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.工作压力：10.5-14Map可调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7</w:t>
            </w:r>
            <w:r>
              <w:rPr>
                <w:rFonts w:hint="eastAsia" w:ascii="仿宋" w:hAnsi="仿宋" w:eastAsia="仿宋" w:cs="仿宋"/>
                <w:i w:val="0"/>
                <w:iCs w:val="0"/>
                <w:color w:val="auto"/>
                <w:sz w:val="21"/>
                <w:szCs w:val="21"/>
                <w:highlight w:val="none"/>
                <w:u w:val="none"/>
              </w:rPr>
              <w:t>.最大冲击能:≥100J</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8</w:t>
            </w:r>
            <w:r>
              <w:rPr>
                <w:rFonts w:hint="eastAsia" w:ascii="仿宋" w:hAnsi="仿宋" w:eastAsia="仿宋" w:cs="仿宋"/>
                <w:i w:val="0"/>
                <w:iCs w:val="0"/>
                <w:color w:val="auto"/>
                <w:sz w:val="21"/>
                <w:szCs w:val="21"/>
                <w:highlight w:val="none"/>
                <w:u w:val="none"/>
              </w:rPr>
              <w:t>.声压等级:≤95dB(A)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9</w:t>
            </w:r>
            <w:r>
              <w:rPr>
                <w:rFonts w:hint="eastAsia" w:ascii="仿宋" w:hAnsi="仿宋" w:eastAsia="仿宋" w:cs="仿宋"/>
                <w:i w:val="0"/>
                <w:iCs w:val="0"/>
                <w:color w:val="auto"/>
                <w:sz w:val="21"/>
                <w:szCs w:val="21"/>
                <w:highlight w:val="none"/>
                <w:u w:val="none"/>
              </w:rPr>
              <w:t>.镐钎插座尺寸：≥25*100mm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10</w:t>
            </w:r>
            <w:r>
              <w:rPr>
                <w:rFonts w:hint="eastAsia" w:ascii="仿宋" w:hAnsi="仿宋" w:eastAsia="仿宋" w:cs="仿宋"/>
                <w:i w:val="0"/>
                <w:iCs w:val="0"/>
                <w:color w:val="auto"/>
                <w:sz w:val="21"/>
                <w:szCs w:val="21"/>
                <w:highlight w:val="none"/>
                <w:u w:val="none"/>
              </w:rPr>
              <w:t>.把手形式：V型减震型（带锁止机构）</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11</w:t>
            </w:r>
            <w:r>
              <w:rPr>
                <w:rFonts w:hint="eastAsia" w:ascii="仿宋" w:hAnsi="仿宋" w:eastAsia="仿宋" w:cs="仿宋"/>
                <w:i w:val="0"/>
                <w:iCs w:val="0"/>
                <w:color w:val="auto"/>
                <w:sz w:val="21"/>
                <w:szCs w:val="21"/>
                <w:highlight w:val="none"/>
                <w:u w:val="none"/>
              </w:rPr>
              <w:t>.外形尺寸：≤700×455×140mm</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1"/>
                <w:numId w:val="0"/>
              </w:numPr>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液压圆盘切割锯：</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符合</w:t>
            </w: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具有防锯片卡死的自动停机安全保护功能（ASCO)</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配有冷却水管路</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.锯片直径：≥350mm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.裸机重量：</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13kg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.最大切割深度：≥130mm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.圆盘转速：≥4500rpm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.工作压力：≥10-14Mpa可调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7</w:t>
            </w:r>
            <w:r>
              <w:rPr>
                <w:rFonts w:hint="eastAsia" w:ascii="仿宋" w:hAnsi="仿宋" w:eastAsia="仿宋" w:cs="仿宋"/>
                <w:i w:val="0"/>
                <w:iCs w:val="0"/>
                <w:color w:val="auto"/>
                <w:sz w:val="21"/>
                <w:szCs w:val="21"/>
                <w:highlight w:val="none"/>
                <w:u w:val="none"/>
              </w:rPr>
              <w:t>.流量范围：20-40L/min可调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sz w:val="21"/>
                <w:szCs w:val="21"/>
                <w:highlight w:val="none"/>
                <w:u w:val="none"/>
                <w:lang w:val="en-US" w:eastAsia="zh-CN"/>
              </w:rPr>
              <w:t>8</w:t>
            </w:r>
            <w:r>
              <w:rPr>
                <w:rFonts w:hint="eastAsia" w:ascii="仿宋" w:hAnsi="仿宋" w:eastAsia="仿宋" w:cs="仿宋"/>
                <w:i w:val="0"/>
                <w:iCs w:val="0"/>
                <w:color w:val="auto"/>
                <w:sz w:val="21"/>
                <w:szCs w:val="21"/>
                <w:highlight w:val="none"/>
                <w:u w:val="none"/>
              </w:rPr>
              <w:t>.最大压力：≥18Mpa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9</w:t>
            </w:r>
            <w:r>
              <w:rPr>
                <w:rFonts w:hint="eastAsia" w:ascii="仿宋" w:hAnsi="仿宋" w:eastAsia="仿宋" w:cs="仿宋"/>
                <w:i w:val="0"/>
                <w:iCs w:val="0"/>
                <w:color w:val="auto"/>
                <w:sz w:val="21"/>
                <w:szCs w:val="21"/>
                <w:highlight w:val="none"/>
                <w:u w:val="none"/>
              </w:rPr>
              <w:t>.外形尺寸：</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695×230×420mm</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1"/>
                <w:numId w:val="0"/>
              </w:numPr>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液压链锯：</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符合</w:t>
            </w: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1.重量：</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12kg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2.外形尺寸：</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930×254×274mm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3.切割深度：≥380mm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4.链板尺寸：≥470×70mm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5.工作压力：10.5-14Mpa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6.流量范围：20-40L/min可调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7.最大耐压：≥18Mpa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8.声压等级:</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90dB(A)</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1"/>
                <w:numId w:val="0"/>
              </w:numPr>
              <w:suppressLineNumbers w:val="0"/>
              <w:spacing w:line="360" w:lineRule="auto"/>
              <w:ind w:left="0" w:leftChars="0" w:firstLine="0" w:firstLineChars="0"/>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液压原木链锯：</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1.最大工作压力≥185bar</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空转震动强度{三轴}≤2.7m/s²</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最大深度≥650mm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空转噪声声压级 （1m LPA）≤90dB(A)</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1"/>
                <w:numId w:val="0"/>
              </w:numPr>
              <w:suppressLineNumbers w:val="0"/>
              <w:spacing w:line="360" w:lineRule="auto"/>
              <w:ind w:left="0" w:leftChars="0" w:firstLine="0" w:firstLineChars="0"/>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rPr>
              <w:t>液压岩心钻：</w:t>
            </w:r>
          </w:p>
          <w:p>
            <w:pPr>
              <w:widowControl/>
              <w:spacing w:line="360" w:lineRule="auto"/>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符合</w:t>
            </w: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0"/>
                <w:numId w:val="0"/>
              </w:numPr>
              <w:suppressLineNumbers w:val="0"/>
              <w:spacing w:line="360" w:lineRule="auto"/>
              <w:ind w:leftChars="0"/>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1.裸机重量：＜8kg（不含包装、工具和附件）</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2.最大转速：＞790 rpm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3.钻孔直径：Φ50-200 mm（选配）</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4.流量范围：20-30L/min可调</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5.最大回油压力：＜36 bar</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6.液压油最大温升：系统液压油最大温升＜36 ℃</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7.噪声声压级：＜76 dB（A）</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8.振动加速度：＜2.5 m/s²</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9.外形尺寸：＜ 550×76×245 mm</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七、</w:t>
            </w:r>
            <w:r>
              <w:rPr>
                <w:rFonts w:hint="eastAsia" w:ascii="仿宋" w:hAnsi="仿宋" w:eastAsia="仿宋" w:cs="仿宋"/>
                <w:b/>
                <w:bCs/>
                <w:i w:val="0"/>
                <w:iCs w:val="0"/>
                <w:color w:val="auto"/>
                <w:sz w:val="21"/>
                <w:szCs w:val="21"/>
                <w:highlight w:val="none"/>
                <w:u w:val="none"/>
              </w:rPr>
              <w:t>液压增压器：</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w:t>
            </w:r>
            <w:r>
              <w:rPr>
                <w:rFonts w:hint="eastAsia" w:ascii="仿宋" w:hAnsi="仿宋" w:eastAsia="仿宋" w:cs="仿宋"/>
                <w:i w:val="0"/>
                <w:iCs w:val="0"/>
                <w:strike w:val="0"/>
                <w:color w:val="auto"/>
                <w:sz w:val="21"/>
                <w:szCs w:val="21"/>
                <w:highlight w:val="none"/>
                <w:u w:val="none"/>
                <w:lang w:val="en-US" w:eastAsia="zh-CN"/>
              </w:rPr>
              <w:t>合</w:t>
            </w:r>
            <w:r>
              <w:rPr>
                <w:rFonts w:hint="eastAsia" w:ascii="仿宋" w:hAnsi="仿宋" w:eastAsia="仿宋" w:cs="仿宋"/>
                <w:i w:val="0"/>
                <w:iCs w:val="0"/>
                <w:color w:val="auto"/>
                <w:sz w:val="21"/>
                <w:szCs w:val="21"/>
                <w:highlight w:val="none"/>
                <w:u w:val="none"/>
                <w:lang w:val="en-US" w:eastAsia="zh-CN"/>
              </w:rPr>
              <w:t xml:space="preserve"> </w:t>
            </w: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1.裸机重量：＜11.5 kg（不含包装、工具和附件）</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2.最大输入压力：＞ 200bar</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3.输入流量范围</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0-40lpm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4.输出接口</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单接口两个（每个接口可独立或者同时工作）</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5.最大输出压力</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＞720bar</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6.接口形式</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高压端：螺旋式双管单插快速接头；</w:t>
            </w:r>
          </w:p>
          <w:p>
            <w:pPr>
              <w:keepNext w:val="0"/>
              <w:keepLines w:val="0"/>
              <w:widowControl/>
              <w:suppressLineNumbers w:val="0"/>
              <w:spacing w:line="360" w:lineRule="auto"/>
              <w:ind w:firstLine="0" w:firstLineChars="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低压端：3/8平面快插接头</w:t>
            </w:r>
            <w:r>
              <w:rPr>
                <w:rFonts w:hint="eastAsia" w:ascii="仿宋" w:hAnsi="仿宋" w:eastAsia="仿宋" w:cs="仿宋"/>
                <w:i w:val="0"/>
                <w:iCs w:val="0"/>
                <w:color w:val="auto"/>
                <w:sz w:val="21"/>
                <w:szCs w:val="21"/>
                <w:highlight w:val="none"/>
                <w:u w:val="none"/>
                <w:lang w:eastAsia="zh-CN"/>
              </w:rPr>
              <w:t>。</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八、</w:t>
            </w:r>
            <w:r>
              <w:rPr>
                <w:rFonts w:hint="eastAsia" w:ascii="仿宋" w:hAnsi="仿宋" w:eastAsia="仿宋" w:cs="仿宋"/>
                <w:b/>
                <w:bCs/>
                <w:i w:val="0"/>
                <w:iCs w:val="0"/>
                <w:color w:val="auto"/>
                <w:sz w:val="21"/>
                <w:szCs w:val="21"/>
                <w:highlight w:val="none"/>
                <w:u w:val="none"/>
              </w:rPr>
              <w:t>液压渣浆泵：</w:t>
            </w:r>
          </w:p>
          <w:p>
            <w:pPr>
              <w:widowControl/>
              <w:spacing w:line="360" w:lineRule="auto"/>
              <w:jc w:val="left"/>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lang w:val="en-US" w:eastAsia="zh-CN"/>
              </w:rPr>
              <w:t>符</w:t>
            </w:r>
            <w:r>
              <w:rPr>
                <w:rFonts w:hint="eastAsia" w:ascii="仿宋" w:hAnsi="仿宋" w:eastAsia="仿宋" w:cs="仿宋"/>
                <w:i w:val="0"/>
                <w:iCs w:val="0"/>
                <w:strike w:val="0"/>
                <w:color w:val="auto"/>
                <w:sz w:val="21"/>
                <w:szCs w:val="21"/>
                <w:highlight w:val="none"/>
                <w:u w:val="none"/>
                <w:lang w:val="en-US" w:eastAsia="zh-CN"/>
              </w:rPr>
              <w:t>合</w:t>
            </w:r>
            <w:r>
              <w:rPr>
                <w:rFonts w:hint="eastAsia" w:ascii="仿宋" w:hAnsi="仿宋" w:eastAsia="仿宋" w:cs="仿宋"/>
                <w:i w:val="0"/>
                <w:iCs w:val="0"/>
                <w:color w:val="auto"/>
                <w:sz w:val="21"/>
                <w:szCs w:val="21"/>
                <w:highlight w:val="none"/>
                <w:u w:val="none"/>
              </w:rPr>
              <w:t>GB/T 17906-2021《消防应急救援装备 液压破拆工具通用技术条件》、GB/T 3766-2015《液压传动 系统及其元件的通用规则和安全要求》</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1.重量：＜26kg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2.排量：＞220m³/h</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▲3.最大扬程：＞20m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4.排水口：＞100mm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5.尺寸：＜510×410×490mm</w:t>
            </w:r>
            <w:r>
              <w:rPr>
                <w:rFonts w:hint="eastAsia" w:ascii="仿宋" w:hAnsi="仿宋" w:eastAsia="仿宋" w:cs="仿宋"/>
                <w:i w:val="0"/>
                <w:iCs w:val="0"/>
                <w:color w:val="auto"/>
                <w:sz w:val="21"/>
                <w:szCs w:val="21"/>
                <w:highlight w:val="none"/>
                <w:u w:val="none"/>
                <w:lang w:eastAsia="zh-CN"/>
              </w:rPr>
              <w:t>；</w:t>
            </w:r>
          </w:p>
          <w:p>
            <w:pPr>
              <w:widowControl/>
              <w:spacing w:line="360" w:lineRule="auto"/>
              <w:textAlignment w:val="center"/>
              <w:rPr>
                <w:rFonts w:hint="eastAsia" w:ascii="仿宋" w:hAnsi="仿宋" w:eastAsia="仿宋" w:cs="仿宋"/>
                <w:color w:val="auto"/>
                <w:szCs w:val="21"/>
                <w:highlight w:val="none"/>
                <w:lang w:eastAsia="zh-CN"/>
              </w:rPr>
            </w:pPr>
            <w:r>
              <w:rPr>
                <w:rFonts w:hint="eastAsia" w:ascii="仿宋" w:hAnsi="仿宋" w:eastAsia="仿宋" w:cs="仿宋"/>
                <w:i w:val="0"/>
                <w:iCs w:val="0"/>
                <w:color w:val="auto"/>
                <w:sz w:val="21"/>
                <w:szCs w:val="21"/>
                <w:highlight w:val="none"/>
                <w:u w:val="none"/>
              </w:rPr>
              <w:t>▲6.泵送最大颗粒：＞78mm</w:t>
            </w:r>
            <w:r>
              <w:rPr>
                <w:rFonts w:hint="eastAsia" w:ascii="仿宋" w:hAnsi="仿宋" w:eastAsia="仿宋" w:cs="仿宋"/>
                <w:i w:val="0"/>
                <w:iCs w:val="0"/>
                <w:color w:val="auto"/>
                <w:sz w:val="21"/>
                <w:szCs w:val="21"/>
                <w:highlight w:val="none"/>
                <w:u w:val="none"/>
                <w:lang w:eastAsia="zh-CN"/>
              </w:rPr>
              <w:t>。</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11</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漏电检测仪</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1.探测电压：120V/60Hz或220V/50Hz；2Kv/50Hz或15kV/50Hz ；220-380v；24Kv-46Kv；</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2.灵敏度：3种（外部开关选择）高、低、定位；</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3.信号指示：声、光（频率增加或减小）；</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4.测试频率：20～100Hz；</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5.自检：≤3s；</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6.正常使用时间：≥1年；</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7.电池报警：内显低压报警；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8.工作温度：-40°C～70°C；</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9.直径：≤46mm，长度：≥520mm；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10.重量：≤570g；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11.静电放电抗扰度性能：接触放电：6kV，空气放电：8kV，每个试验点放电10次，产品处于工作状态。</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12</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激光测距仪</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1.测量量程≥5000m；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2.光学倍率：≥8X；</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▲3.测距误差：±0.1m（0-200m )±0.2m (200-500m)±0.3M(500-1000M )±1m(1000-5000m)；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4.物镜口径：≥32mm；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5.视场：≥6.5°；</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6.千米视野：≥105m；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7.透光率:≥85；</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8.目镜口径：≤22mm；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9.出瞳直径：≤4mm；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10.激光类型：I类激光905nm；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11.USB：Typec接口；</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12.视度调节范围：≤+/-5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13.显示：内外双显示屏OLED黑、红双色字显；</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14.出瞳距离:≥24；</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15.温度显示：-45℃-130℃；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16.准测率：≥98%；</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17.重复频率：≥6次/min；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18.垂直角度:±0.1度；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19.方位角：±1度；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20.方位角范围：0-360度；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21.垂直角范围:±90°；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22.防水等级:IPX7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23.工作温度：-40＋60℃；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24.产品重量：≤400g；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注：带</w:t>
            </w:r>
            <w:r>
              <w:rPr>
                <w:rFonts w:hint="eastAsia" w:ascii="仿宋" w:hAnsi="仿宋" w:eastAsia="仿宋" w:cs="仿宋"/>
                <w:i w:val="0"/>
                <w:iCs w:val="0"/>
                <w:strike w:val="0"/>
                <w:color w:val="auto"/>
                <w:sz w:val="21"/>
                <w:szCs w:val="21"/>
                <w:highlight w:val="none"/>
                <w:u w:val="none"/>
              </w:rPr>
              <w:t>▲</w:t>
            </w:r>
            <w:r>
              <w:rPr>
                <w:rFonts w:hint="eastAsia" w:ascii="仿宋" w:hAnsi="仿宋" w:eastAsia="仿宋" w:cs="仿宋"/>
                <w:i w:val="0"/>
                <w:iCs w:val="0"/>
                <w:strike w:val="0"/>
                <w:color w:val="auto"/>
                <w:sz w:val="21"/>
                <w:szCs w:val="21"/>
                <w:highlight w:val="none"/>
                <w:u w:val="none"/>
                <w:lang w:val="en-US" w:eastAsia="zh-CN"/>
              </w:rPr>
              <w:t>参数</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13</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牵拉器</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
              </w:rPr>
              <w:t>1.具备扩张、牵引、挤压多种功能，工具与手动泵合为一体，无需外接动力源；</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2.最大开口距离：≥160mm；</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3.额定工作压力：≥63MPa；</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4.最大剪断能力(Q235材料)：Φ12mm(圆钢)；</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5.额定扩张力：≥24kN；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6.手柄力：≤300N；</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
              </w:rPr>
            </w:pPr>
            <w:r>
              <w:rPr>
                <w:rFonts w:hint="eastAsia" w:ascii="仿宋" w:hAnsi="仿宋" w:eastAsia="仿宋" w:cs="仿宋"/>
                <w:i w:val="0"/>
                <w:iCs w:val="0"/>
                <w:color w:val="auto"/>
                <w:kern w:val="2"/>
                <w:sz w:val="21"/>
                <w:szCs w:val="21"/>
                <w:highlight w:val="none"/>
                <w:u w:val="none"/>
                <w:lang w:val="en-US" w:eastAsia="zh-CN" w:bidi="ar"/>
              </w:rPr>
              <w:t>7.质量：≤10.5kg；</w:t>
            </w:r>
          </w:p>
          <w:p>
            <w:pPr>
              <w:keepNext w:val="0"/>
              <w:keepLines w:val="0"/>
              <w:widowControl/>
              <w:numPr>
                <w:ilvl w:val="0"/>
                <w:numId w:val="0"/>
              </w:numPr>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
              </w:rPr>
              <w:t>8.牵拉器牵引有效行程：≥2.5m；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
              </w:rPr>
              <w:t>9.配加长钢索：≥3m。</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14</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生命探测仪（雷达生命探测仪）</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▲1.穿透能力：穿透砖混结构实体墙厚度≥50CM；后探测到静止生命体探测距离≥20m； 运动生命体探测距离≥25m；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2.雷达探测模块具备二维定位功能，能将生命体征的二维坐标准确显示在无线接收终端；具有运动轨迹；</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3.雷达探测模块纵向平均误差≤10cm，横向平均误差≤30cm；准确率应≥95％；</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4.雷达探测模块的最大探测张角应≥120°；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▲5.雷达探测模块应具备：自动、废墟、穿墙、空气四种场景模式选择功能；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▲6.配置≥10寸无线控制终端；雷达探测和雷达无线控制终端的通讯距离应≥190m；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▲7.控制终端应具备：目标探测，探测模式调整，距离设置，坐标密度，结果显示，文件管理，灵敏度设置等功能；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8.扫描及显示：对探测区域内生命体进行区域扫描并将探测到的生命体运动及静止结果以不同图形在屏幕上显示；</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▲9.雷达探测模块单块电池连续时间≥12h；可更换式充电电池；配置2块电池；电池具有电量显著提示；支持在本机直接外接电源模式实现48小时以上不间断工作模式；</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▲10.充电方式：雷达主机电池支持拆卸座充和本机直接充电两种方式；雷达主机备用电源功能：具有2个USB快充口和无线充电功能，可以直接给无线终端充电；</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11.防护等级≥1P67；</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12.雷达主机采用防水、防尘和防摔的防护箱；带有轮子和拉杆便于携带；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13.配置辅助照明灯：重量：≤310g，配备注液发电电池一个：注液剂量≤8g/ml；注液发电照明工作时长≥70h；对液体不挑剔加入水、尿液、酒、茶水都可发电；</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注：带</w:t>
            </w:r>
            <w:r>
              <w:rPr>
                <w:rFonts w:hint="eastAsia" w:ascii="仿宋" w:hAnsi="仿宋" w:eastAsia="仿宋" w:cs="仿宋"/>
                <w:i w:val="0"/>
                <w:iCs w:val="0"/>
                <w:strike w:val="0"/>
                <w:color w:val="auto"/>
                <w:sz w:val="21"/>
                <w:szCs w:val="21"/>
                <w:highlight w:val="none"/>
                <w:u w:val="none"/>
              </w:rPr>
              <w:t>▲</w:t>
            </w:r>
            <w:r>
              <w:rPr>
                <w:rFonts w:hint="eastAsia" w:ascii="仿宋" w:hAnsi="仿宋" w:eastAsia="仿宋" w:cs="仿宋"/>
                <w:i w:val="0"/>
                <w:iCs w:val="0"/>
                <w:strike w:val="0"/>
                <w:color w:val="auto"/>
                <w:sz w:val="21"/>
                <w:szCs w:val="21"/>
                <w:highlight w:val="none"/>
                <w:u w:val="none"/>
                <w:lang w:val="en-US" w:eastAsia="zh-CN"/>
              </w:rPr>
              <w:t>参数</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15</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绳索救援套装</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一、</w:t>
            </w:r>
            <w:r>
              <w:rPr>
                <w:rFonts w:hint="eastAsia" w:ascii="仿宋" w:hAnsi="仿宋" w:eastAsia="仿宋" w:cs="仿宋"/>
                <w:b/>
                <w:bCs/>
                <w:i w:val="0"/>
                <w:iCs w:val="0"/>
                <w:color w:val="auto"/>
                <w:sz w:val="21"/>
                <w:szCs w:val="21"/>
                <w:highlight w:val="none"/>
                <w:u w:val="none"/>
              </w:rPr>
              <w:t>绳索手套</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材质：山羊皮、涤纶、氯丁橡胶、莱卡</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尺码：S、M、L、XL</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重量：≤95g（M码）</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手掌使用山羊头层皮制造，掌心、食指、拇指</w:t>
            </w:r>
            <w:r>
              <w:rPr>
                <w:rFonts w:hint="eastAsia" w:ascii="仿宋" w:hAnsi="仿宋" w:eastAsia="仿宋" w:cs="仿宋"/>
                <w:i w:val="0"/>
                <w:iCs w:val="0"/>
                <w:color w:val="auto"/>
                <w:sz w:val="21"/>
                <w:szCs w:val="21"/>
                <w:highlight w:val="none"/>
                <w:u w:val="none"/>
                <w:lang w:val="en-US" w:eastAsia="zh-CN"/>
              </w:rPr>
              <w:t>工</w:t>
            </w:r>
            <w:r>
              <w:rPr>
                <w:rFonts w:hint="eastAsia" w:ascii="仿宋" w:hAnsi="仿宋" w:eastAsia="仿宋" w:cs="仿宋"/>
                <w:i w:val="0"/>
                <w:iCs w:val="0"/>
                <w:color w:val="auto"/>
                <w:sz w:val="21"/>
                <w:szCs w:val="21"/>
                <w:highlight w:val="none"/>
                <w:u w:val="none"/>
              </w:rPr>
              <w:t>作部位双层防磨补强，补强车缝线使用黄色耐磨芳纶线</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手背使用弹</w:t>
            </w:r>
            <w:r>
              <w:rPr>
                <w:rFonts w:hint="eastAsia" w:ascii="仿宋" w:hAnsi="仿宋" w:eastAsia="仿宋" w:cs="仿宋"/>
                <w:i w:val="0"/>
                <w:iCs w:val="0"/>
                <w:color w:val="auto"/>
                <w:sz w:val="21"/>
                <w:szCs w:val="21"/>
                <w:highlight w:val="none"/>
                <w:u w:val="none"/>
                <w:lang w:val="en-US" w:eastAsia="zh-CN"/>
              </w:rPr>
              <w:t>力</w:t>
            </w:r>
            <w:r>
              <w:rPr>
                <w:rFonts w:hint="eastAsia" w:ascii="仿宋" w:hAnsi="仿宋" w:eastAsia="仿宋" w:cs="仿宋"/>
                <w:i w:val="0"/>
                <w:iCs w:val="0"/>
                <w:color w:val="auto"/>
                <w:sz w:val="21"/>
                <w:szCs w:val="21"/>
                <w:highlight w:val="none"/>
                <w:u w:val="none"/>
              </w:rPr>
              <w:t>涤纶</w:t>
            </w:r>
            <w:r>
              <w:rPr>
                <w:rFonts w:hint="eastAsia" w:ascii="仿宋" w:hAnsi="仿宋" w:eastAsia="仿宋" w:cs="仿宋"/>
                <w:i w:val="0"/>
                <w:iCs w:val="0"/>
                <w:color w:val="auto"/>
                <w:sz w:val="21"/>
                <w:szCs w:val="21"/>
                <w:highlight w:val="none"/>
                <w:u w:val="none"/>
                <w:lang w:val="en-US" w:eastAsia="zh-CN"/>
              </w:rPr>
              <w:t>面</w:t>
            </w:r>
            <w:r>
              <w:rPr>
                <w:rFonts w:hint="eastAsia" w:ascii="仿宋" w:hAnsi="仿宋" w:eastAsia="仿宋" w:cs="仿宋"/>
                <w:i w:val="0"/>
                <w:iCs w:val="0"/>
                <w:color w:val="auto"/>
                <w:sz w:val="21"/>
                <w:szCs w:val="21"/>
                <w:highlight w:val="none"/>
                <w:u w:val="none"/>
              </w:rPr>
              <w:t>料，手腕对称17mm锁孔，方便用锁挂起挂于安全带上</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二、</w:t>
            </w:r>
            <w:r>
              <w:rPr>
                <w:rFonts w:hint="eastAsia" w:ascii="仿宋" w:hAnsi="仿宋" w:eastAsia="仿宋" w:cs="仿宋"/>
                <w:b/>
                <w:bCs/>
                <w:i w:val="0"/>
                <w:iCs w:val="0"/>
                <w:color w:val="auto"/>
                <w:sz w:val="21"/>
                <w:szCs w:val="21"/>
                <w:highlight w:val="none"/>
                <w:u w:val="none"/>
              </w:rPr>
              <w:t>山岳救援头盔</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聚丙烯+ABS+聚苯乙烯(EPS)</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规格:51-62CM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重量：≤450克</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头盔四向有反光标</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顶部有不少于12个透气孔</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有不少于5个外置卡扣，可装置头灯，防晒帽檐</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两侧预留有护目镜专用孔位及防燥音耳机孔</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头盔后部有轮式调节系统，可调节头围大小，两侧调节扣可调节头盔的前后左右</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三、</w:t>
            </w:r>
            <w:r>
              <w:rPr>
                <w:rFonts w:hint="eastAsia" w:ascii="仿宋" w:hAnsi="仿宋" w:eastAsia="仿宋" w:cs="仿宋"/>
                <w:b/>
                <w:bCs/>
                <w:i w:val="0"/>
                <w:iCs w:val="0"/>
                <w:color w:val="auto"/>
                <w:sz w:val="21"/>
                <w:szCs w:val="21"/>
                <w:highlight w:val="none"/>
                <w:u w:val="none"/>
              </w:rPr>
              <w:t>头灯</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具有至少三种工作模式；</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能源：18650锂电池；</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防护等级：≥IP68</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重量≤152g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四、</w:t>
            </w:r>
            <w:r>
              <w:rPr>
                <w:rFonts w:hint="eastAsia" w:ascii="仿宋" w:hAnsi="仿宋" w:eastAsia="仿宋" w:cs="仿宋"/>
                <w:b/>
                <w:bCs/>
                <w:i w:val="0"/>
                <w:iCs w:val="0"/>
                <w:color w:val="auto"/>
                <w:sz w:val="21"/>
                <w:szCs w:val="21"/>
                <w:highlight w:val="none"/>
                <w:u w:val="none"/>
              </w:rPr>
              <w:t>护目镜</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材质:PC</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 xml:space="preserve">规格：≤15*12*10cm </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重量：≤87克</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五、</w:t>
            </w:r>
            <w:r>
              <w:rPr>
                <w:rFonts w:hint="eastAsia" w:ascii="仿宋" w:hAnsi="仿宋" w:eastAsia="仿宋" w:cs="仿宋"/>
                <w:b/>
                <w:bCs/>
                <w:i w:val="0"/>
                <w:iCs w:val="0"/>
                <w:color w:val="auto"/>
                <w:sz w:val="21"/>
                <w:szCs w:val="21"/>
                <w:highlight w:val="none"/>
                <w:u w:val="none"/>
              </w:rPr>
              <w:t>全身式安全吊带</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材质：锦纶、涤纶、EVA、铝合</w:t>
            </w:r>
            <w:r>
              <w:rPr>
                <w:rFonts w:hint="eastAsia" w:ascii="仿宋" w:hAnsi="仿宋" w:eastAsia="仿宋" w:cs="仿宋"/>
                <w:i w:val="0"/>
                <w:iCs w:val="0"/>
                <w:color w:val="auto"/>
                <w:sz w:val="21"/>
                <w:szCs w:val="21"/>
                <w:highlight w:val="none"/>
                <w:u w:val="none"/>
                <w:lang w:val="en-US" w:eastAsia="zh-CN"/>
              </w:rPr>
              <w:t>金</w:t>
            </w:r>
            <w:r>
              <w:rPr>
                <w:rFonts w:hint="eastAsia" w:ascii="仿宋" w:hAnsi="仿宋" w:eastAsia="仿宋" w:cs="仿宋"/>
                <w:i w:val="0"/>
                <w:iCs w:val="0"/>
                <w:color w:val="auto"/>
                <w:sz w:val="21"/>
                <w:szCs w:val="21"/>
                <w:highlight w:val="none"/>
                <w:u w:val="none"/>
              </w:rPr>
              <w:t>、钢 、聚氯乙烯</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重量：≤2420克</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可拆分体两用全</w:t>
            </w:r>
            <w:r>
              <w:rPr>
                <w:rFonts w:hint="eastAsia" w:ascii="仿宋" w:hAnsi="仿宋" w:eastAsia="仿宋" w:cs="仿宋"/>
                <w:i w:val="0"/>
                <w:iCs w:val="0"/>
                <w:color w:val="auto"/>
                <w:sz w:val="21"/>
                <w:szCs w:val="21"/>
                <w:highlight w:val="none"/>
                <w:u w:val="none"/>
                <w:lang w:val="en-US" w:eastAsia="zh-CN"/>
              </w:rPr>
              <w:t>身</w:t>
            </w:r>
            <w:r>
              <w:rPr>
                <w:rFonts w:hint="eastAsia" w:ascii="仿宋" w:hAnsi="仿宋" w:eastAsia="仿宋" w:cs="仿宋"/>
                <w:i w:val="0"/>
                <w:iCs w:val="0"/>
                <w:color w:val="auto"/>
                <w:sz w:val="21"/>
                <w:szCs w:val="21"/>
                <w:highlight w:val="none"/>
                <w:u w:val="none"/>
              </w:rPr>
              <w:t>式安全吊带</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可调节的宽厚腿环，配置双重防脱调节快扣</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胸式上升器使用多向受力圆环锁固定在安全带上，圆环锁外径72mm,内径45mm</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有5个挂点，腰部两侧各有1个</w:t>
            </w:r>
            <w:r>
              <w:rPr>
                <w:rFonts w:hint="eastAsia" w:ascii="仿宋" w:hAnsi="仿宋" w:eastAsia="仿宋" w:cs="仿宋"/>
                <w:i w:val="0"/>
                <w:iCs w:val="0"/>
                <w:color w:val="auto"/>
                <w:sz w:val="21"/>
                <w:szCs w:val="21"/>
                <w:highlight w:val="none"/>
                <w:u w:val="none"/>
                <w:lang w:val="en-US" w:eastAsia="zh-CN"/>
              </w:rPr>
              <w:t>工</w:t>
            </w:r>
            <w:r>
              <w:rPr>
                <w:rFonts w:hint="eastAsia" w:ascii="仿宋" w:hAnsi="仿宋" w:eastAsia="仿宋" w:cs="仿宋"/>
                <w:i w:val="0"/>
                <w:iCs w:val="0"/>
                <w:color w:val="auto"/>
                <w:sz w:val="21"/>
                <w:szCs w:val="21"/>
                <w:highlight w:val="none"/>
                <w:u w:val="none"/>
              </w:rPr>
              <w:t>作定位/限位铝合金挂点，腹部腰带正中有1个铝合</w:t>
            </w:r>
            <w:r>
              <w:rPr>
                <w:rFonts w:hint="eastAsia" w:ascii="仿宋" w:hAnsi="仿宋" w:eastAsia="仿宋" w:cs="仿宋"/>
                <w:i w:val="0"/>
                <w:iCs w:val="0"/>
                <w:color w:val="auto"/>
                <w:sz w:val="21"/>
                <w:szCs w:val="21"/>
                <w:highlight w:val="none"/>
                <w:u w:val="none"/>
                <w:lang w:val="en-US" w:eastAsia="zh-CN"/>
              </w:rPr>
              <w:t>金</w:t>
            </w:r>
            <w:r>
              <w:rPr>
                <w:rFonts w:hint="eastAsia" w:ascii="仿宋" w:hAnsi="仿宋" w:eastAsia="仿宋" w:cs="仿宋"/>
                <w:i w:val="0"/>
                <w:iCs w:val="0"/>
                <w:color w:val="auto"/>
                <w:sz w:val="21"/>
                <w:szCs w:val="21"/>
                <w:highlight w:val="none"/>
                <w:u w:val="none"/>
              </w:rPr>
              <w:t>挂点；胸前有1个坠落制动A挂点;背部1个坠落制动A挂点使</w:t>
            </w:r>
            <w:r>
              <w:rPr>
                <w:rFonts w:hint="eastAsia" w:ascii="仿宋" w:hAnsi="仿宋" w:eastAsia="仿宋" w:cs="仿宋"/>
                <w:i w:val="0"/>
                <w:iCs w:val="0"/>
                <w:color w:val="auto"/>
                <w:sz w:val="21"/>
                <w:szCs w:val="21"/>
                <w:highlight w:val="none"/>
                <w:u w:val="none"/>
                <w:lang w:val="en-US" w:eastAsia="zh-CN"/>
              </w:rPr>
              <w:t>用</w:t>
            </w:r>
            <w:r>
              <w:rPr>
                <w:rFonts w:hint="eastAsia" w:ascii="仿宋" w:hAnsi="仿宋" w:eastAsia="仿宋" w:cs="仿宋"/>
                <w:i w:val="0"/>
                <w:iCs w:val="0"/>
                <w:color w:val="auto"/>
                <w:sz w:val="21"/>
                <w:szCs w:val="21"/>
                <w:highlight w:val="none"/>
                <w:u w:val="none"/>
              </w:rPr>
              <w:t>平</w:t>
            </w:r>
            <w:r>
              <w:rPr>
                <w:rFonts w:hint="eastAsia" w:ascii="仿宋" w:hAnsi="仿宋" w:eastAsia="仿宋" w:cs="仿宋"/>
                <w:i w:val="0"/>
                <w:iCs w:val="0"/>
                <w:color w:val="auto"/>
                <w:sz w:val="21"/>
                <w:szCs w:val="21"/>
                <w:highlight w:val="none"/>
                <w:u w:val="none"/>
                <w:lang w:val="en-US" w:eastAsia="zh-CN"/>
              </w:rPr>
              <w:t>面</w:t>
            </w:r>
            <w:r>
              <w:rPr>
                <w:rFonts w:hint="eastAsia" w:ascii="仿宋" w:hAnsi="仿宋" w:eastAsia="仿宋" w:cs="仿宋"/>
                <w:i w:val="0"/>
                <w:iCs w:val="0"/>
                <w:color w:val="auto"/>
                <w:sz w:val="21"/>
                <w:szCs w:val="21"/>
                <w:highlight w:val="none"/>
                <w:u w:val="none"/>
              </w:rPr>
              <w:t>铝合金D环</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护腰带两侧首个装备环为硬质定型材质</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腰带上两侧第一个工具环为硬质环</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六、</w:t>
            </w:r>
            <w:r>
              <w:rPr>
                <w:rFonts w:hint="eastAsia" w:ascii="仿宋" w:hAnsi="仿宋" w:eastAsia="仿宋" w:cs="仿宋"/>
                <w:b/>
                <w:bCs/>
                <w:i w:val="0"/>
                <w:iCs w:val="0"/>
                <w:color w:val="auto"/>
                <w:sz w:val="21"/>
                <w:szCs w:val="21"/>
                <w:highlight w:val="none"/>
                <w:u w:val="none"/>
              </w:rPr>
              <w:t>安全绳</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安全绳整体粗细均匀、结构一致，表面无任何机械损伤，并且绳两端妥善收尾</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.整绳由绳芯、绳皮连续组合而成，绳皮材料和绳芯材料为锦纶66高强纤维，绳芯结构为8股承重绳芯交叉编织排列</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3.直径：9.5±0.5mm，长度≥20米</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4.破断强度：≥25KN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5.延伸率：当承重达到破断强度的10%时，安全绳的延伸率≤5%</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rPr>
              <w:t>6.在绳尾处采用热封方式标注永久性标签内容，包含产品型号、商标、生产日期及批次等。</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七、</w:t>
            </w:r>
            <w:r>
              <w:rPr>
                <w:rFonts w:hint="eastAsia" w:ascii="仿宋" w:hAnsi="仿宋" w:eastAsia="仿宋" w:cs="仿宋"/>
                <w:b/>
                <w:bCs/>
                <w:i w:val="0"/>
                <w:iCs w:val="0"/>
                <w:color w:val="auto"/>
                <w:sz w:val="21"/>
                <w:szCs w:val="21"/>
                <w:highlight w:val="none"/>
                <w:u w:val="none"/>
              </w:rPr>
              <w:t>安全钩</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不对称铝制锁扣是由铝合金制成；D形的外形特别适合连接下降器或定位挽索之类的装备；流畅的内部设计让使用更为简便；三段自动锁门结构；可与固定杆配合使用，能使主锁在主轴受力，减少翻转的风险，并保持与装备的连接</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开口尺寸</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≥24mm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纵向拉力</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≥27KN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横向拉力</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≥8KN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开口拉力</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≥7KN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重量</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 xml:space="preserve">≤75g。 </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八、</w:t>
            </w:r>
            <w:r>
              <w:rPr>
                <w:rFonts w:hint="eastAsia" w:ascii="仿宋" w:hAnsi="仿宋" w:eastAsia="仿宋" w:cs="仿宋"/>
                <w:b/>
                <w:bCs/>
                <w:i w:val="0"/>
                <w:iCs w:val="0"/>
                <w:color w:val="auto"/>
                <w:sz w:val="21"/>
                <w:szCs w:val="21"/>
                <w:highlight w:val="none"/>
                <w:u w:val="none"/>
              </w:rPr>
              <w:t>上升器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材质：铝合金，不锈钢，塑料</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规格：≤203×96×24 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适用绳径：8-13mm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 xml:space="preserve">工作载荷：≥100kg </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重量：≤205g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九、</w:t>
            </w:r>
            <w:r>
              <w:rPr>
                <w:rFonts w:hint="eastAsia" w:ascii="仿宋" w:hAnsi="仿宋" w:eastAsia="仿宋" w:cs="仿宋"/>
                <w:b/>
                <w:bCs/>
                <w:i w:val="0"/>
                <w:iCs w:val="0"/>
                <w:color w:val="auto"/>
                <w:sz w:val="21"/>
                <w:szCs w:val="21"/>
                <w:highlight w:val="none"/>
                <w:u w:val="none"/>
              </w:rPr>
              <w:t>抓绳器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两侧独立的安全带开关能轻松打开，安全开关上配有指示能显示其是否上锁</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兼容10-13毫米直径的绳索，颜色为金黄色</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重量≤260克</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材料</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铝</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不锈钢和尼龙</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十、</w:t>
            </w:r>
            <w:r>
              <w:rPr>
                <w:rFonts w:hint="eastAsia" w:ascii="仿宋" w:hAnsi="仿宋" w:eastAsia="仿宋" w:cs="仿宋"/>
                <w:b/>
                <w:bCs/>
                <w:i w:val="0"/>
                <w:iCs w:val="0"/>
                <w:color w:val="auto"/>
                <w:sz w:val="21"/>
                <w:szCs w:val="21"/>
                <w:highlight w:val="none"/>
                <w:u w:val="none"/>
              </w:rPr>
              <w:t>下降器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人体工程学手柄，移动侧板上有安全开关；</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rPr>
              <w:t>内标注有绳索导向和标记，内置防装错齿轮具有自动上锁系统可在用户松开手柄时自动返回，绳索会自动在装备内制停，当绳索移除时，手柄自动切换到存储位置，降低在下降器在安全带上意外钩住的风险</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材质：铝合金，钢，尼龙</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重量</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≤610g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兼容绳索直径</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10</w:t>
            </w:r>
            <w:r>
              <w:rPr>
                <w:rFonts w:hint="eastAsia" w:ascii="仿宋" w:hAnsi="仿宋" w:eastAsia="仿宋" w:cs="仿宋"/>
                <w:i w:val="0"/>
                <w:iCs w:val="0"/>
                <w:color w:val="auto"/>
                <w:kern w:val="2"/>
                <w:sz w:val="21"/>
                <w:szCs w:val="21"/>
                <w:highlight w:val="none"/>
                <w:u w:val="none"/>
                <w:lang w:val="en-US" w:eastAsia="zh-CN" w:bidi="ar-SA"/>
              </w:rPr>
              <w:t>～</w:t>
            </w:r>
            <w:r>
              <w:rPr>
                <w:rFonts w:hint="eastAsia" w:ascii="仿宋" w:hAnsi="仿宋" w:eastAsia="仿宋" w:cs="仿宋"/>
                <w:i w:val="0"/>
                <w:iCs w:val="0"/>
                <w:color w:val="auto"/>
                <w:sz w:val="21"/>
                <w:szCs w:val="21"/>
                <w:highlight w:val="none"/>
                <w:u w:val="none"/>
              </w:rPr>
              <w:t>11.5mm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最大下降</w:t>
            </w:r>
            <w:r>
              <w:rPr>
                <w:rFonts w:hint="eastAsia" w:ascii="仿宋" w:hAnsi="仿宋" w:eastAsia="仿宋" w:cs="仿宋"/>
                <w:i w:val="0"/>
                <w:iCs w:val="0"/>
                <w:color w:val="auto"/>
                <w:sz w:val="21"/>
                <w:szCs w:val="21"/>
                <w:highlight w:val="none"/>
                <w:u w:val="none"/>
                <w:lang w:val="en-US" w:eastAsia="zh-CN"/>
              </w:rPr>
              <w:t>荷载：≥</w:t>
            </w:r>
            <w:r>
              <w:rPr>
                <w:rFonts w:hint="eastAsia" w:ascii="仿宋" w:hAnsi="仿宋" w:eastAsia="仿宋" w:cs="仿宋"/>
                <w:i w:val="0"/>
                <w:iCs w:val="0"/>
                <w:color w:val="auto"/>
                <w:sz w:val="21"/>
                <w:szCs w:val="21"/>
                <w:highlight w:val="none"/>
                <w:u w:val="none"/>
              </w:rPr>
              <w:t>250kg；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下降速度</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0.5</w:t>
            </w:r>
            <w:r>
              <w:rPr>
                <w:rFonts w:hint="eastAsia" w:ascii="仿宋" w:hAnsi="仿宋" w:eastAsia="仿宋" w:cs="仿宋"/>
                <w:i w:val="0"/>
                <w:iCs w:val="0"/>
                <w:color w:val="auto"/>
                <w:kern w:val="2"/>
                <w:sz w:val="21"/>
                <w:szCs w:val="21"/>
                <w:highlight w:val="none"/>
                <w:u w:val="none"/>
                <w:lang w:val="en-US" w:eastAsia="zh-CN" w:bidi="ar-SA"/>
              </w:rPr>
              <w:t>～</w:t>
            </w:r>
            <w:r>
              <w:rPr>
                <w:rFonts w:hint="eastAsia" w:ascii="仿宋" w:hAnsi="仿宋" w:eastAsia="仿宋" w:cs="仿宋"/>
                <w:i w:val="0"/>
                <w:iCs w:val="0"/>
                <w:color w:val="auto"/>
                <w:sz w:val="21"/>
                <w:szCs w:val="21"/>
                <w:highlight w:val="none"/>
                <w:u w:val="none"/>
              </w:rPr>
              <w:t>2m/s</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十一、</w:t>
            </w:r>
            <w:r>
              <w:rPr>
                <w:rFonts w:hint="eastAsia" w:ascii="仿宋" w:hAnsi="仿宋" w:eastAsia="仿宋" w:cs="仿宋"/>
                <w:b/>
                <w:bCs/>
                <w:i w:val="0"/>
                <w:iCs w:val="0"/>
                <w:color w:val="auto"/>
                <w:sz w:val="21"/>
                <w:szCs w:val="21"/>
                <w:highlight w:val="none"/>
                <w:u w:val="none"/>
              </w:rPr>
              <w:t>滑轮</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材质：铝合</w:t>
            </w:r>
            <w:r>
              <w:rPr>
                <w:rFonts w:hint="eastAsia" w:ascii="仿宋" w:hAnsi="仿宋" w:eastAsia="仿宋" w:cs="仿宋"/>
                <w:i w:val="0"/>
                <w:iCs w:val="0"/>
                <w:color w:val="auto"/>
                <w:sz w:val="21"/>
                <w:szCs w:val="21"/>
                <w:highlight w:val="none"/>
                <w:u w:val="none"/>
                <w:lang w:val="en-US" w:eastAsia="zh-CN"/>
              </w:rPr>
              <w:t>金；</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尺</w:t>
            </w:r>
            <w:r>
              <w:rPr>
                <w:rFonts w:hint="eastAsia" w:ascii="仿宋" w:hAnsi="仿宋" w:eastAsia="仿宋" w:cs="仿宋"/>
                <w:i w:val="0"/>
                <w:iCs w:val="0"/>
                <w:color w:val="auto"/>
                <w:sz w:val="21"/>
                <w:szCs w:val="21"/>
                <w:highlight w:val="none"/>
                <w:u w:val="none"/>
                <w:lang w:val="en-US" w:eastAsia="zh-CN"/>
              </w:rPr>
              <w:t>寸</w:t>
            </w:r>
            <w:r>
              <w:rPr>
                <w:rFonts w:hint="eastAsia" w:ascii="仿宋" w:hAnsi="仿宋" w:eastAsia="仿宋" w:cs="仿宋"/>
                <w:i w:val="0"/>
                <w:iCs w:val="0"/>
                <w:color w:val="auto"/>
                <w:sz w:val="21"/>
                <w:szCs w:val="21"/>
                <w:highlight w:val="none"/>
                <w:u w:val="none"/>
              </w:rPr>
              <w:t>：≤137*65*33mm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轮径中心：≥38mm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滑轮效率：≥95%</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使用绳径：4-13mm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最小断裂强度：≥36kN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7.</w:t>
            </w:r>
            <w:r>
              <w:rPr>
                <w:rFonts w:hint="eastAsia" w:ascii="仿宋" w:hAnsi="仿宋" w:eastAsia="仿宋" w:cs="仿宋"/>
                <w:i w:val="0"/>
                <w:iCs w:val="0"/>
                <w:color w:val="auto"/>
                <w:sz w:val="21"/>
                <w:szCs w:val="21"/>
                <w:highlight w:val="none"/>
                <w:u w:val="none"/>
              </w:rPr>
              <w:t>重量：≤270g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十二、</w:t>
            </w:r>
            <w:r>
              <w:rPr>
                <w:rFonts w:hint="eastAsia" w:ascii="仿宋" w:hAnsi="仿宋" w:eastAsia="仿宋" w:cs="仿宋"/>
                <w:b/>
                <w:bCs/>
                <w:i w:val="0"/>
                <w:iCs w:val="0"/>
                <w:color w:val="auto"/>
                <w:sz w:val="21"/>
                <w:szCs w:val="21"/>
                <w:highlight w:val="none"/>
                <w:u w:val="none"/>
              </w:rPr>
              <w:t>连接带</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带钢制快速调节扣，两端配有锻钢制D环的可调节锚点扁带</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宽</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≥44mm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厚</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≥2.8mm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重量</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≤810g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5.</w:t>
            </w:r>
            <w:r>
              <w:rPr>
                <w:rFonts w:hint="eastAsia" w:ascii="仿宋" w:hAnsi="仿宋" w:eastAsia="仿宋" w:cs="仿宋"/>
                <w:i w:val="0"/>
                <w:iCs w:val="0"/>
                <w:color w:val="auto"/>
                <w:sz w:val="21"/>
                <w:szCs w:val="21"/>
                <w:highlight w:val="none"/>
                <w:u w:val="none"/>
              </w:rPr>
              <w:t>强度</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22kN</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6.</w:t>
            </w:r>
            <w:r>
              <w:rPr>
                <w:rFonts w:hint="eastAsia" w:ascii="仿宋" w:hAnsi="仿宋" w:eastAsia="仿宋" w:cs="仿宋"/>
                <w:i w:val="0"/>
                <w:iCs w:val="0"/>
                <w:color w:val="auto"/>
                <w:sz w:val="21"/>
                <w:szCs w:val="21"/>
                <w:highlight w:val="none"/>
                <w:u w:val="none"/>
              </w:rPr>
              <w:t>工作负荷</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≥550kg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7.</w:t>
            </w:r>
            <w:r>
              <w:rPr>
                <w:rFonts w:hint="eastAsia" w:ascii="仿宋" w:hAnsi="仿宋" w:eastAsia="仿宋" w:cs="仿宋"/>
                <w:i w:val="0"/>
                <w:iCs w:val="0"/>
                <w:color w:val="auto"/>
                <w:sz w:val="21"/>
                <w:szCs w:val="21"/>
                <w:highlight w:val="none"/>
                <w:u w:val="none"/>
              </w:rPr>
              <w:t>可调长度30</w:t>
            </w:r>
            <w:r>
              <w:rPr>
                <w:rFonts w:hint="eastAsia" w:ascii="仿宋" w:hAnsi="仿宋" w:eastAsia="仿宋" w:cs="仿宋"/>
                <w:i w:val="0"/>
                <w:iCs w:val="0"/>
                <w:color w:val="auto"/>
                <w:kern w:val="2"/>
                <w:sz w:val="21"/>
                <w:szCs w:val="21"/>
                <w:highlight w:val="none"/>
                <w:u w:val="none"/>
                <w:lang w:val="en-US" w:eastAsia="zh-CN" w:bidi="ar-SA"/>
              </w:rPr>
              <w:t>～</w:t>
            </w:r>
            <w:r>
              <w:rPr>
                <w:rFonts w:hint="eastAsia" w:ascii="仿宋" w:hAnsi="仿宋" w:eastAsia="仿宋" w:cs="仿宋"/>
                <w:i w:val="0"/>
                <w:iCs w:val="0"/>
                <w:color w:val="auto"/>
                <w:sz w:val="21"/>
                <w:szCs w:val="21"/>
                <w:highlight w:val="none"/>
                <w:u w:val="none"/>
              </w:rPr>
              <w:t>200cm，多余扁带可用魔术贴收起</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sz w:val="21"/>
                <w:szCs w:val="21"/>
                <w:highlight w:val="none"/>
                <w:u w:val="none"/>
                <w:lang w:val="en-US" w:eastAsia="zh-CN"/>
              </w:rPr>
              <w:t>十三、</w:t>
            </w:r>
            <w:r>
              <w:rPr>
                <w:rFonts w:hint="eastAsia" w:ascii="仿宋" w:hAnsi="仿宋" w:eastAsia="仿宋" w:cs="仿宋"/>
                <w:b/>
                <w:bCs/>
                <w:i w:val="0"/>
                <w:iCs w:val="0"/>
                <w:color w:val="auto"/>
                <w:sz w:val="21"/>
                <w:szCs w:val="21"/>
                <w:highlight w:val="none"/>
                <w:u w:val="none"/>
              </w:rPr>
              <w:t>缓冲器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sz w:val="21"/>
                <w:szCs w:val="21"/>
                <w:highlight w:val="none"/>
                <w:u w:val="none"/>
              </w:rPr>
              <w:t>配合用于移动止坠器，可双人救援使用，配有撕裂式扁带，装于拉链式包内，可视化管理，遇冲坠时势能吸收器通过织带撕裂吸收对使用者的冲击力。两端配有织带保护器，用于将连接器固定到位并保护织带免受磨损</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2.</w:t>
            </w:r>
            <w:r>
              <w:rPr>
                <w:rFonts w:hint="eastAsia" w:ascii="仿宋" w:hAnsi="仿宋" w:eastAsia="仿宋" w:cs="仿宋"/>
                <w:i w:val="0"/>
                <w:iCs w:val="0"/>
                <w:color w:val="auto"/>
                <w:sz w:val="21"/>
                <w:szCs w:val="21"/>
                <w:highlight w:val="none"/>
                <w:u w:val="none"/>
              </w:rPr>
              <w:t>长度</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≥40cm</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3.</w:t>
            </w:r>
            <w:r>
              <w:rPr>
                <w:rFonts w:hint="eastAsia" w:ascii="仿宋" w:hAnsi="仿宋" w:eastAsia="仿宋" w:cs="仿宋"/>
                <w:i w:val="0"/>
                <w:iCs w:val="0"/>
                <w:color w:val="auto"/>
                <w:sz w:val="21"/>
                <w:szCs w:val="21"/>
                <w:highlight w:val="none"/>
                <w:u w:val="none"/>
              </w:rPr>
              <w:t>重量</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rPr>
              <w:t>≤210g</w:t>
            </w:r>
            <w:r>
              <w:rPr>
                <w:rFonts w:hint="eastAsia" w:ascii="仿宋" w:hAnsi="仿宋" w:eastAsia="仿宋" w:cs="仿宋"/>
                <w:i w:val="0"/>
                <w:iCs w:val="0"/>
                <w:color w:val="auto"/>
                <w:sz w:val="21"/>
                <w:szCs w:val="21"/>
                <w:highlight w:val="none"/>
                <w:u w:val="none"/>
                <w:lang w:eastAsia="zh-CN"/>
              </w:rPr>
              <w:t>；</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auto"/>
                <w:sz w:val="21"/>
                <w:szCs w:val="21"/>
                <w:highlight w:val="none"/>
                <w:u w:val="none"/>
                <w:lang w:val="en-US" w:eastAsia="zh-CN"/>
              </w:rPr>
              <w:t>4.</w:t>
            </w:r>
            <w:r>
              <w:rPr>
                <w:rFonts w:hint="eastAsia" w:ascii="仿宋" w:hAnsi="仿宋" w:eastAsia="仿宋" w:cs="仿宋"/>
                <w:i w:val="0"/>
                <w:iCs w:val="0"/>
                <w:color w:val="auto"/>
                <w:sz w:val="21"/>
                <w:szCs w:val="21"/>
                <w:highlight w:val="none"/>
                <w:u w:val="none"/>
              </w:rPr>
              <w:t>最大负荷</w:t>
            </w:r>
            <w:r>
              <w:rPr>
                <w:rFonts w:hint="eastAsia" w:ascii="仿宋" w:hAnsi="仿宋" w:eastAsia="仿宋" w:cs="仿宋"/>
                <w:i w:val="0"/>
                <w:iCs w:val="0"/>
                <w:color w:val="auto"/>
                <w:sz w:val="21"/>
                <w:szCs w:val="21"/>
                <w:highlight w:val="none"/>
                <w:u w:val="none"/>
                <w:lang w:eastAsia="zh-CN"/>
              </w:rPr>
              <w:t>：</w:t>
            </w:r>
            <w:r>
              <w:rPr>
                <w:rFonts w:hint="eastAsia" w:ascii="仿宋" w:hAnsi="仿宋" w:eastAsia="仿宋" w:cs="仿宋"/>
                <w:i w:val="0"/>
                <w:iCs w:val="0"/>
                <w:color w:val="auto"/>
                <w:sz w:val="21"/>
                <w:szCs w:val="21"/>
                <w:highlight w:val="none"/>
                <w:u w:val="none"/>
                <w:lang w:val="en-US" w:eastAsia="zh-CN"/>
              </w:rPr>
              <w:t>≥</w:t>
            </w:r>
            <w:r>
              <w:rPr>
                <w:rFonts w:hint="eastAsia" w:ascii="仿宋" w:hAnsi="仿宋" w:eastAsia="仿宋" w:cs="仿宋"/>
                <w:i w:val="0"/>
                <w:iCs w:val="0"/>
                <w:color w:val="auto"/>
                <w:sz w:val="21"/>
                <w:szCs w:val="21"/>
                <w:highlight w:val="none"/>
                <w:u w:val="none"/>
              </w:rPr>
              <w:t>250kg</w:t>
            </w:r>
            <w:r>
              <w:rPr>
                <w:rFonts w:hint="eastAsia" w:ascii="仿宋" w:hAnsi="仿宋" w:eastAsia="仿宋" w:cs="仿宋"/>
                <w:i w:val="0"/>
                <w:iCs w:val="0"/>
                <w:color w:val="auto"/>
                <w:sz w:val="21"/>
                <w:szCs w:val="21"/>
                <w:highlight w:val="none"/>
                <w:u w:val="none"/>
                <w:lang w:eastAsia="zh-CN"/>
              </w:rPr>
              <w:t>。</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16</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重型支撑套装</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1.支撑保护套具可通过手动或气动快速支撑，采用螺套手动锁紧，并可借助勾头扳手进行微调，可垂直、水平和斜支撑操作。支撑柱可手动锁紧在任何高度；</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2.支撑柱、延长柱、各种底座和工作头额定承载能力（轴向）：≥120kN；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3.套具组成：</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支撑柱2根：收拢长度:≤600MM,最大展开长度：≥800MM，重量：≤7KG；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支撑柱2根：收拢长度:≤900MM,最大展开长度：≥1300mm，重量：≤8KG；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支撑柱2根：收拢长度:≤1200MM,最大展开长度：≥1800mm，重量：≤12KG；长度≥500mm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延长柱2根：长度≥700mm ；</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L 型工作头：≥3个，重量≤1.5KG；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U 型支撑底座：≥3 个，重量 ≤1.5KG；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平面工作底座：≥4 个，重量≤2.6KG；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八角90度底座：≥ 4个，重量≤2.0KG；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配件：牵引带≥2 根，脚踏泵1个，长度≥5 米气管 1根，钩形扳手1个。</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17</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钢筋速断器</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1.锂电电池:DC18v，4AH；</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▲2.开口距离：≥23mm；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▲3.剪切能力：</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圆钢（Q235A材质）钢筋：≥22mm；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热轧带肋钢筋（HRB400）钢筋：≥22mm；</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4.最大剪切力：≥280KN；</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5.剪切时间：</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切割直径22mm的热轧带肋钢筋（HRB400）：≤5秒切割直径20mm的热轧带肋钢筋（HRB400）：≤4秒；</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6.电池持续工作能力：</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在连续切割直径18mm的圆钢（Q235A材质）180次后，电力未耗尽。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在连续切割直径18mm的热轧带肋钢筋（HRB400）150次后，电力未耗尽；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在连续切割直径20mm的圆钢（Q235A材质）140次后，电力未耗尽。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在连续切割直径20mm的热轧带肋钢筋（HRB400）120次后，电力未耗尽；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在连续切割直径22mm的圆钢（Q235A材质）120次后，电力未耗尽。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在连续切割直径22mm的热轧带肋钢筋（HRB400）80次后，电力未耗尽；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7.产品配有4档电量显示功能；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8.不含电池重量：≤7.5KG；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注：带</w:t>
            </w:r>
            <w:r>
              <w:rPr>
                <w:rFonts w:hint="eastAsia" w:ascii="仿宋" w:hAnsi="仿宋" w:eastAsia="仿宋" w:cs="仿宋"/>
                <w:i w:val="0"/>
                <w:iCs w:val="0"/>
                <w:strike w:val="0"/>
                <w:color w:val="auto"/>
                <w:sz w:val="21"/>
                <w:szCs w:val="21"/>
                <w:highlight w:val="none"/>
                <w:u w:val="none"/>
              </w:rPr>
              <w:t>▲</w:t>
            </w:r>
            <w:r>
              <w:rPr>
                <w:rFonts w:hint="eastAsia" w:ascii="仿宋" w:hAnsi="仿宋" w:eastAsia="仿宋" w:cs="仿宋"/>
                <w:i w:val="0"/>
                <w:iCs w:val="0"/>
                <w:strike w:val="0"/>
                <w:color w:val="auto"/>
                <w:sz w:val="21"/>
                <w:szCs w:val="21"/>
                <w:highlight w:val="none"/>
                <w:u w:val="none"/>
                <w:lang w:val="en-US" w:eastAsia="zh-CN"/>
              </w:rPr>
              <w:t>参数</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eastAsia" w:ascii="仿宋" w:hAnsi="仿宋" w:eastAsia="仿宋" w:cs="仿宋"/>
                <w:color w:val="auto"/>
                <w:kern w:val="0"/>
                <w:sz w:val="21"/>
                <w:szCs w:val="21"/>
                <w:highlight w:val="none"/>
                <w:lang w:val="en-US" w:eastAsia="zh-CN" w:bidi="ar"/>
              </w:rPr>
            </w:pPr>
          </w:p>
          <w:p>
            <w:pPr>
              <w:pStyle w:val="1042"/>
              <w:numPr>
                <w:ilvl w:val="0"/>
                <w:numId w:val="0"/>
              </w:numPr>
              <w:spacing w:line="360" w:lineRule="auto"/>
              <w:jc w:val="center"/>
              <w:rPr>
                <w:rFonts w:hint="eastAsia" w:ascii="仿宋" w:hAnsi="仿宋" w:eastAsia="仿宋" w:cs="仿宋"/>
                <w:color w:val="auto"/>
                <w:kern w:val="0"/>
                <w:sz w:val="21"/>
                <w:szCs w:val="21"/>
                <w:highlight w:val="none"/>
                <w:lang w:val="en-US" w:eastAsia="zh-CN" w:bidi="ar"/>
              </w:rPr>
            </w:pPr>
          </w:p>
          <w:p>
            <w:pPr>
              <w:pStyle w:val="1042"/>
              <w:numPr>
                <w:ilvl w:val="0"/>
                <w:numId w:val="0"/>
              </w:numPr>
              <w:spacing w:line="360" w:lineRule="auto"/>
              <w:jc w:val="center"/>
              <w:rPr>
                <w:rFonts w:hint="eastAsia" w:ascii="仿宋" w:hAnsi="仿宋" w:eastAsia="仿宋" w:cs="仿宋"/>
                <w:color w:val="auto"/>
                <w:kern w:val="0"/>
                <w:sz w:val="21"/>
                <w:szCs w:val="21"/>
                <w:highlight w:val="none"/>
                <w:lang w:val="en-US" w:eastAsia="zh-CN" w:bidi="ar"/>
              </w:rPr>
            </w:pPr>
          </w:p>
          <w:p>
            <w:pPr>
              <w:pStyle w:val="1042"/>
              <w:numPr>
                <w:ilvl w:val="0"/>
                <w:numId w:val="0"/>
              </w:numPr>
              <w:spacing w:line="360" w:lineRule="auto"/>
              <w:jc w:val="center"/>
              <w:rPr>
                <w:rFonts w:hint="eastAsia" w:ascii="仿宋" w:hAnsi="仿宋" w:eastAsia="仿宋" w:cs="仿宋"/>
                <w:color w:val="auto"/>
                <w:kern w:val="0"/>
                <w:sz w:val="21"/>
                <w:szCs w:val="21"/>
                <w:highlight w:val="none"/>
                <w:lang w:val="en-US" w:eastAsia="zh-CN" w:bidi="ar"/>
              </w:rPr>
            </w:pPr>
          </w:p>
          <w:p>
            <w:pPr>
              <w:pStyle w:val="1042"/>
              <w:numPr>
                <w:ilvl w:val="0"/>
                <w:numId w:val="0"/>
              </w:numPr>
              <w:spacing w:line="360" w:lineRule="auto"/>
              <w:jc w:val="center"/>
              <w:rPr>
                <w:rFonts w:hint="eastAsia" w:ascii="仿宋" w:hAnsi="仿宋" w:eastAsia="仿宋" w:cs="仿宋"/>
                <w:color w:val="auto"/>
                <w:kern w:val="0"/>
                <w:sz w:val="21"/>
                <w:szCs w:val="21"/>
                <w:highlight w:val="none"/>
                <w:lang w:val="en-US" w:eastAsia="zh-CN" w:bidi="ar"/>
              </w:rPr>
            </w:pPr>
          </w:p>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3</w:t>
            </w:r>
          </w:p>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69" w:type="dxa"/>
            <w:tcBorders>
              <w:top w:val="single" w:color="000000" w:sz="4" w:space="0"/>
              <w:left w:val="single" w:color="000000" w:sz="8"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default"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18</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高压起重气垫</w:t>
            </w:r>
          </w:p>
        </w:tc>
        <w:tc>
          <w:tcPr>
            <w:tcW w:w="6317" w:type="dxa"/>
            <w:tcBorders>
              <w:top w:val="single" w:color="000000" w:sz="4" w:space="0"/>
              <w:left w:val="single" w:color="000000" w:sz="4" w:space="0"/>
              <w:bottom w:val="single" w:color="000000" w:sz="4" w:space="0"/>
              <w:right w:val="single" w:color="000000" w:sz="8"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sz w:val="21"/>
                <w:szCs w:val="21"/>
                <w:highlight w:val="none"/>
                <w:u w:val="none"/>
                <w:lang w:val="en-US" w:eastAsia="zh-CN"/>
              </w:rPr>
              <w:t>1.</w:t>
            </w:r>
            <w:r>
              <w:rPr>
                <w:rFonts w:hint="eastAsia" w:ascii="仿宋" w:hAnsi="仿宋" w:eastAsia="仿宋" w:cs="仿宋"/>
                <w:i w:val="0"/>
                <w:iCs w:val="0"/>
                <w:color w:val="auto"/>
                <w:kern w:val="2"/>
                <w:sz w:val="21"/>
                <w:szCs w:val="21"/>
                <w:highlight w:val="none"/>
                <w:u w:val="none"/>
                <w:lang w:val="en-US" w:eastAsia="zh-CN" w:bidi="ar-SA"/>
              </w:rPr>
              <w:t>气垫的操作压力为12巴，爆破压力为48巴，安全系数≥4:1；有防静电和自熄灭特性，表层的特殊设计可提高在草地、泥沙等光滑地面上的抗滑性；2.5厘米的插入高度，适用于狭小空间等特殊场所的救援；表面互锁结构设计，边缘倒角设计更易于插入；反光中心和四角标记，保证在光线不好的地方依然有良好的可视性；芳族聚酰胺织料增加型四周均有多层结构，更结实耐用；</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2.正常使用，正确存放，使用寿命可达15-20年；</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3.全套方形起重气垫含V7，V12，V20，V35，V50；</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kern w:val="2"/>
                <w:sz w:val="21"/>
                <w:szCs w:val="21"/>
                <w:highlight w:val="none"/>
                <w:u w:val="none"/>
                <w:lang w:val="en-US" w:eastAsia="zh-CN" w:bidi="ar-SA"/>
              </w:rPr>
              <w:t>起重力≥7.5吨的气垫1个，举升高度≥15cm，气垫面积≤28*28cm，重量≤2kg；起重力≥12吨的气垫1个，举升高度≥19cm，气垫面积≤35*35cm，重量≤3g；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kern w:val="2"/>
                <w:sz w:val="21"/>
                <w:szCs w:val="21"/>
                <w:highlight w:val="none"/>
                <w:u w:val="none"/>
                <w:lang w:val="en-US" w:eastAsia="zh-CN" w:bidi="ar-SA"/>
              </w:rPr>
              <w:t>起重力≥20吨的气垫1个，举升高度≥24cm，气垫面积≤44*44cm，重量≤5kg；起重力≥34吨的气垫1个，举升高度≥28cm，气垫面积≤52*62cm，重量≤8.5kg；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rPr>
              <w:t>▲</w:t>
            </w:r>
            <w:r>
              <w:rPr>
                <w:rFonts w:hint="eastAsia" w:ascii="仿宋" w:hAnsi="仿宋" w:eastAsia="仿宋" w:cs="仿宋"/>
                <w:i w:val="0"/>
                <w:iCs w:val="0"/>
                <w:color w:val="auto"/>
                <w:kern w:val="2"/>
                <w:sz w:val="21"/>
                <w:szCs w:val="21"/>
                <w:highlight w:val="none"/>
                <w:u w:val="none"/>
                <w:lang w:val="en-US" w:eastAsia="zh-CN" w:bidi="ar-SA"/>
              </w:rPr>
              <w:t>起重力≥50吨的气垫1个，举升高度≥37cm，气垫面积≤68*68cm，重量≤12kg；</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2"/>
                <w:sz w:val="21"/>
                <w:szCs w:val="21"/>
                <w:highlight w:val="none"/>
                <w:u w:val="none"/>
                <w:lang w:val="en-US" w:eastAsia="zh-CN" w:bidi="ar-SA"/>
              </w:rPr>
              <w:t>4.附件需配备2条10米充气软管，2个截流阀，1个减压器，1个带灯带安全开关复式操纵仪。</w:t>
            </w:r>
          </w:p>
          <w:p>
            <w:pPr>
              <w:keepNext w:val="0"/>
              <w:keepLines w:val="0"/>
              <w:widowControl/>
              <w:suppressLineNumbers w:val="0"/>
              <w:spacing w:line="360" w:lineRule="auto"/>
              <w:jc w:val="left"/>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sz w:val="21"/>
                <w:szCs w:val="21"/>
                <w:highlight w:val="none"/>
                <w:u w:val="none"/>
                <w:lang w:val="en-US" w:eastAsia="zh-CN"/>
              </w:rPr>
              <w:t>注：带</w:t>
            </w:r>
            <w:r>
              <w:rPr>
                <w:rFonts w:hint="eastAsia" w:ascii="仿宋" w:hAnsi="仿宋" w:eastAsia="仿宋" w:cs="仿宋"/>
                <w:i w:val="0"/>
                <w:iCs w:val="0"/>
                <w:strike w:val="0"/>
                <w:color w:val="auto"/>
                <w:sz w:val="21"/>
                <w:szCs w:val="21"/>
                <w:highlight w:val="none"/>
                <w:u w:val="none"/>
              </w:rPr>
              <w:t>▲</w:t>
            </w:r>
            <w:r>
              <w:rPr>
                <w:rFonts w:hint="eastAsia" w:ascii="仿宋" w:hAnsi="仿宋" w:eastAsia="仿宋" w:cs="仿宋"/>
                <w:i w:val="0"/>
                <w:iCs w:val="0"/>
                <w:strike w:val="0"/>
                <w:color w:val="auto"/>
                <w:sz w:val="21"/>
                <w:szCs w:val="21"/>
                <w:highlight w:val="none"/>
                <w:u w:val="none"/>
                <w:lang w:val="en-US" w:eastAsia="zh-CN"/>
              </w:rPr>
              <w:t>参数</w:t>
            </w:r>
            <w:r>
              <w:rPr>
                <w:rFonts w:hint="eastAsia" w:ascii="仿宋" w:hAnsi="仿宋" w:eastAsia="仿宋" w:cs="仿宋"/>
                <w:i w:val="0"/>
                <w:iCs w:val="0"/>
                <w:color w:val="auto"/>
                <w:sz w:val="21"/>
                <w:szCs w:val="21"/>
                <w:highlight w:val="none"/>
                <w:u w:val="none"/>
              </w:rPr>
              <w:t>需</w:t>
            </w:r>
            <w:r>
              <w:rPr>
                <w:rFonts w:hint="eastAsia" w:ascii="仿宋" w:hAnsi="仿宋" w:eastAsia="仿宋" w:cs="仿宋"/>
                <w:i w:val="0"/>
                <w:iCs w:val="0"/>
                <w:color w:val="auto"/>
                <w:sz w:val="21"/>
                <w:szCs w:val="21"/>
                <w:highlight w:val="none"/>
                <w:u w:val="none"/>
                <w:lang w:eastAsia="zh-CN"/>
              </w:rPr>
              <w:t>提供具有CMA或CNAS标识的检测机构出具的检测报告扫描件或复印件并加盖投标人公章。</w:t>
            </w:r>
          </w:p>
        </w:tc>
        <w:tc>
          <w:tcPr>
            <w:tcW w:w="1040" w:type="dxa"/>
            <w:tcBorders>
              <w:top w:val="single" w:color="000000" w:sz="4" w:space="0"/>
              <w:left w:val="single" w:color="000000" w:sz="4" w:space="0"/>
              <w:bottom w:val="single" w:color="000000" w:sz="4" w:space="0"/>
              <w:right w:val="single" w:color="000000" w:sz="8" w:space="0"/>
            </w:tcBorders>
            <w:noWrap w:val="0"/>
            <w:vAlign w:val="center"/>
          </w:tcPr>
          <w:p>
            <w:pPr>
              <w:pStyle w:val="1042"/>
              <w:numPr>
                <w:ilvl w:val="0"/>
                <w:numId w:val="0"/>
              </w:numPr>
              <w:spacing w:line="360" w:lineRule="auto"/>
              <w:jc w:val="center"/>
              <w:rPr>
                <w:rFonts w:hint="default"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1</w:t>
            </w: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二、应急物资运营管理服务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1.中标人拥有完备的装备资产管理体制，包括设备的配置、调度、保养、处理及核销等环节，确保了对装备全生命周期的有效监管。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具有应急物资管控平台服务，该平台应具备对接国家、省应急资源管理平台功能，并能够实现与市级、区县级以及行业专业部门的应急物资数据库的互联互通，平台应深度融合物联网、大数据等技术，实现物资集中化管理，构建绍兴市应急物资保障管控平台，为应急管理工作提供强有力的数据支持。</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3.中标人应拥有专业的团队，负责设备的巡检、应急救援以及物资的调拨配送工作，确保在紧急情况下能够迅速响应并有效应对，巡检要求每季度不少于一次，汛期等特殊情况按采购单位要求执行。</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4.中标人应切实配合采购人完成应急演练培训工作，每年应不少2次。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三、技术力量要求</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 具备扎实的专业知识，熟悉各类设备的性能、操作原理和使用方法。</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 掌握相关设备的维修、保养技术，能够准确判断设备故障并及时进行处理。</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 熟悉安全操作规程，确保在设备操作和维护过程中始终将安全放在首位。</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四、商务要求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1.质量保证：</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本项目投标产品需提供不少于3年原厂质保服务</w:t>
      </w:r>
      <w:r>
        <w:rPr>
          <w:rFonts w:hint="eastAsia" w:ascii="仿宋" w:hAnsi="仿宋" w:eastAsia="仿宋" w:cs="仿宋"/>
          <w:color w:val="auto"/>
          <w:sz w:val="24"/>
          <w:szCs w:val="24"/>
          <w:highlight w:val="none"/>
          <w:lang w:eastAsia="zh-CN"/>
        </w:rPr>
        <w:t>，运维服务</w:t>
      </w:r>
      <w:r>
        <w:rPr>
          <w:rFonts w:hint="eastAsia" w:ascii="仿宋" w:hAnsi="仿宋" w:eastAsia="仿宋" w:cs="仿宋"/>
          <w:color w:val="auto"/>
          <w:sz w:val="24"/>
          <w:szCs w:val="24"/>
          <w:highlight w:val="none"/>
          <w:lang w:val="en-US" w:eastAsia="zh-CN"/>
        </w:rPr>
        <w:t>5年</w:t>
      </w: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对其提供的设备进行免费维修或更换，不得收取额外费用；由于产品缺陷而引起的财产或人身损害的，由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承担相应责任。</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2.售后技术服务要求：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2.1本项目质保期内，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应提供全年7×24小时技术支持及售后服务，相关费用包含在项目总价中；</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在接到故障报告后应在</w:t>
      </w:r>
      <w:r>
        <w:rPr>
          <w:rFonts w:hint="eastAsia" w:ascii="仿宋" w:hAnsi="仿宋" w:eastAsia="仿宋" w:cs="仿宋"/>
          <w:color w:val="auto"/>
          <w:sz w:val="24"/>
          <w:szCs w:val="24"/>
          <w:highlight w:val="none"/>
          <w:lang w:val="en-US" w:eastAsia="zh-CN"/>
        </w:rPr>
        <w:t>1小时</w:t>
      </w:r>
      <w:r>
        <w:rPr>
          <w:rFonts w:hint="eastAsia" w:ascii="仿宋" w:hAnsi="仿宋" w:eastAsia="仿宋" w:cs="仿宋"/>
          <w:color w:val="auto"/>
          <w:sz w:val="24"/>
          <w:szCs w:val="24"/>
          <w:highlight w:val="none"/>
        </w:rPr>
        <w:t>内做出响应，2小时内到达现场，复杂故障应在24小时内恢复解决。若24小时内无法恢复解决的，须提供同等性能、同等配置的产品替换</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2.2备品备件及耗材要求：所投产品零配件、备品备件及耗材在该产品停产后仍需保证五年的供应。</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合同签订且收到中标人出具的符合采购人要求的正式发票后7个工作日内支付合同</w:t>
      </w:r>
      <w:r>
        <w:rPr>
          <w:rFonts w:hint="eastAsia" w:ascii="仿宋" w:hAnsi="仿宋" w:eastAsia="仿宋" w:cs="仿宋"/>
          <w:color w:val="auto"/>
          <w:sz w:val="24"/>
          <w:szCs w:val="24"/>
          <w:highlight w:val="none"/>
          <w:lang w:eastAsia="zh-CN"/>
        </w:rPr>
        <w:t>金额</w:t>
      </w:r>
      <w:r>
        <w:rPr>
          <w:rFonts w:hint="eastAsia" w:ascii="仿宋" w:hAnsi="仿宋" w:eastAsia="仿宋" w:cs="仿宋"/>
          <w:color w:val="auto"/>
          <w:sz w:val="24"/>
          <w:szCs w:val="24"/>
          <w:highlight w:val="none"/>
        </w:rPr>
        <w:t>的40%作为预付款，设备全部到货并</w:t>
      </w:r>
      <w:r>
        <w:rPr>
          <w:rFonts w:hint="eastAsia" w:ascii="仿宋" w:hAnsi="仿宋" w:eastAsia="仿宋" w:cs="仿宋"/>
          <w:color w:val="auto"/>
          <w:sz w:val="24"/>
          <w:szCs w:val="24"/>
          <w:highlight w:val="none"/>
          <w:lang w:eastAsia="zh-CN"/>
        </w:rPr>
        <w:t>验收</w:t>
      </w:r>
      <w:r>
        <w:rPr>
          <w:rFonts w:hint="eastAsia" w:ascii="仿宋" w:hAnsi="仿宋" w:eastAsia="仿宋" w:cs="仿宋"/>
          <w:color w:val="auto"/>
          <w:sz w:val="24"/>
          <w:szCs w:val="24"/>
          <w:highlight w:val="none"/>
        </w:rPr>
        <w:t>合格且收到中标人出具的正式发票后7个工作日内支付合同款的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4.培训要求：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中标人应对采购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使用人员进行安装、调试、操作等使用培训，培训时间为2天，不得限制采购单位参加培训人员数量。</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五、工期及供货地点要求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1.工期要求：本项目于</w:t>
      </w:r>
      <w:r>
        <w:rPr>
          <w:rFonts w:hint="eastAsia" w:ascii="仿宋" w:hAnsi="仿宋" w:eastAsia="仿宋" w:cs="仿宋"/>
          <w:color w:val="auto"/>
          <w:sz w:val="24"/>
          <w:szCs w:val="24"/>
          <w:highlight w:val="none"/>
          <w:lang w:eastAsia="zh-CN"/>
        </w:rPr>
        <w:t>合同签订生效后</w:t>
      </w:r>
      <w:r>
        <w:rPr>
          <w:rFonts w:hint="eastAsia" w:ascii="仿宋" w:hAnsi="仿宋" w:eastAsia="仿宋" w:cs="仿宋"/>
          <w:color w:val="auto"/>
          <w:sz w:val="24"/>
          <w:szCs w:val="24"/>
          <w:highlight w:val="none"/>
          <w:lang w:val="en-US" w:eastAsia="zh-CN"/>
        </w:rPr>
        <w:t>60天内</w:t>
      </w:r>
      <w:r>
        <w:rPr>
          <w:rFonts w:hint="eastAsia" w:ascii="仿宋" w:hAnsi="仿宋" w:eastAsia="仿宋" w:cs="仿宋"/>
          <w:color w:val="auto"/>
          <w:sz w:val="24"/>
          <w:szCs w:val="24"/>
          <w:highlight w:val="none"/>
        </w:rPr>
        <w:t>完成供货并验</w:t>
      </w:r>
      <w:r>
        <w:rPr>
          <w:rFonts w:hint="eastAsia" w:ascii="仿宋" w:hAnsi="仿宋" w:eastAsia="仿宋" w:cs="仿宋"/>
          <w:color w:val="auto"/>
          <w:sz w:val="24"/>
          <w:szCs w:val="24"/>
          <w:highlight w:val="none"/>
          <w:lang w:eastAsia="zh-CN"/>
        </w:rPr>
        <w:t>收</w:t>
      </w:r>
      <w:r>
        <w:rPr>
          <w:rFonts w:hint="eastAsia" w:ascii="仿宋" w:hAnsi="仿宋" w:eastAsia="仿宋" w:cs="仿宋"/>
          <w:color w:val="auto"/>
          <w:sz w:val="24"/>
          <w:szCs w:val="24"/>
          <w:highlight w:val="none"/>
        </w:rPr>
        <w:t>合格。</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2.供货（安装）地点要求：采购人指定地点</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lang w:val="en-US" w:eastAsia="zh-CN"/>
        </w:rPr>
        <w:t>本项目建设内容分布于绍兴市及所属区县</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六、安装、调试、验收要求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安装要求：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中标人提供货物安装、调试等服务，中标人须对货物的完整性负责，如相关货物、配件在招标清单中未列出但安装所采购货物时必需，由中标人提供，产生的一切费用均由中标人负责。</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2.调试要求：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采购人对中标人提供的货物在使用前进行调试时，中标人需负责安装并培训采购人的使用操作人员，并协助采购人一起调试，直到符合技术要求，采购人才组织验收。</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采购合同的约定和现行国家标准、行业标准以及企业标准对每一项技术、服务、安全标准的履约情况进行确认。根据项目情况，采购人有权要求中标人提供所投产品经国家认可的第三方检测机构出具的检测报告原件进行查验。采购人有权根据需要设置出厂检验、到货检验、安装调试检验、配套服务检验等多重验收环节。</w:t>
      </w:r>
    </w:p>
    <w:p>
      <w:pPr>
        <w:pageBreakBefore w:val="0"/>
        <w:numPr>
          <w:ilvl w:val="-1"/>
          <w:numId w:val="0"/>
        </w:numPr>
        <w:kinsoku/>
        <w:wordWrap/>
        <w:overflowPunct/>
        <w:topLinePunct w:val="0"/>
        <w:autoSpaceDE/>
        <w:autoSpaceDN/>
        <w:bidi w:val="0"/>
        <w:adjustRightInd/>
        <w:spacing w:line="360" w:lineRule="auto"/>
        <w:ind w:left="420" w:leftChars="20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4.施工安全：</w:t>
      </w:r>
    </w:p>
    <w:p>
      <w:pPr>
        <w:pageBreakBefore w:val="0"/>
        <w:kinsoku/>
        <w:wordWrap/>
        <w:overflowPunct/>
        <w:topLinePunct w:val="0"/>
        <w:autoSpaceDE/>
        <w:autoSpaceDN/>
        <w:bidi w:val="0"/>
        <w:adjustRightInd/>
        <w:spacing w:line="360" w:lineRule="auto"/>
        <w:ind w:right="0" w:righ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rPr>
        <w:t>履约过程中中标人要组织好项目现场的秩序和安全，期间发生的本企业及其人员问题及发生对第三方造成的人身伤害及其他损失（包括：人身伤害、财产损失等经济和法律责任）均由中标人全部承担，与招标人无任何关系。</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浙江省应急管理厅关于印发《浙江省增发国债自然灾害应急能力提升工程项目实施监督办法》的通知（浙应急规财﹝2024﹞41号）的要求，本项目由绍兴市应急管理局组织联合招标采购，招标结束后由绍兴市应急管理局、绍兴市越城区应急管理局、绍兴市柯桥区应急管理局、绍兴市上虞区应急管理局、诸暨市应急管理局、嵊州市应急管理局</w:t>
      </w:r>
      <w:r>
        <w:rPr>
          <w:rFonts w:hint="eastAsia" w:ascii="仿宋" w:hAnsi="仿宋" w:eastAsia="仿宋" w:cs="仿宋"/>
          <w:color w:val="auto"/>
          <w:sz w:val="24"/>
          <w:szCs w:val="24"/>
          <w:highlight w:val="none"/>
          <w:lang w:eastAsia="zh-CN"/>
        </w:rPr>
        <w:t>、新昌县应急管理局</w:t>
      </w:r>
      <w:r>
        <w:rPr>
          <w:rFonts w:hint="eastAsia" w:ascii="仿宋" w:hAnsi="仿宋" w:eastAsia="仿宋" w:cs="仿宋"/>
          <w:color w:val="auto"/>
          <w:sz w:val="24"/>
          <w:szCs w:val="24"/>
          <w:highlight w:val="none"/>
        </w:rPr>
        <w:t>和中标人共同签定合同，并对签定的合同承担相应的权利义务。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p>
    <w:p>
      <w:pPr>
        <w:spacing w:line="360" w:lineRule="auto"/>
        <w:rPr>
          <w:rFonts w:hint="default"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bdr w:val="single" w:color="auto" w:sz="4" w:space="0"/>
        </w:rPr>
        <w:t>0</w:t>
      </w:r>
      <w:r>
        <w:rPr>
          <w:rFonts w:hint="eastAsia" w:ascii="仿宋_GB2312" w:hAnsi="仿宋_GB2312" w:eastAsia="仿宋_GB2312" w:cs="仿宋_GB2312"/>
          <w:b/>
          <w:bCs/>
          <w:color w:val="auto"/>
          <w:sz w:val="24"/>
          <w:highlight w:val="none"/>
          <w:bdr w:val="single" w:color="auto" w:sz="4" w:space="0"/>
          <w:lang w:val="en-US" w:eastAsia="zh-CN"/>
        </w:rPr>
        <w:t>4</w:t>
      </w:r>
      <w:r>
        <w:rPr>
          <w:rFonts w:hint="eastAsia" w:ascii="仿宋_GB2312" w:hAnsi="仿宋_GB2312" w:eastAsia="仿宋_GB2312" w:cs="仿宋_GB2312"/>
          <w:b/>
          <w:bCs/>
          <w:color w:val="auto"/>
          <w:sz w:val="24"/>
          <w:highlight w:val="none"/>
          <w:bdr w:val="single" w:color="auto" w:sz="4" w:space="0"/>
        </w:rPr>
        <w:t>标</w:t>
      </w:r>
      <w:r>
        <w:rPr>
          <w:rFonts w:hint="eastAsia" w:ascii="仿宋_GB2312" w:hAnsi="仿宋_GB2312" w:eastAsia="仿宋_GB2312" w:cs="仿宋_GB2312"/>
          <w:b/>
          <w:bCs/>
          <w:color w:val="auto"/>
          <w:sz w:val="24"/>
          <w:highlight w:val="none"/>
          <w:lang w:eastAsia="zh-CN"/>
        </w:rPr>
        <w:t>消防车辆</w:t>
      </w:r>
      <w:r>
        <w:rPr>
          <w:rFonts w:hint="eastAsia" w:ascii="仿宋_GB2312" w:hAnsi="仿宋_GB2312" w:eastAsia="仿宋_GB2312" w:cs="仿宋_GB2312"/>
          <w:b/>
          <w:bCs/>
          <w:color w:val="auto"/>
          <w:sz w:val="24"/>
          <w:highlight w:val="none"/>
          <w:lang w:val="en-US" w:eastAsia="zh-CN"/>
        </w:rPr>
        <w:t>项目</w:t>
      </w:r>
    </w:p>
    <w:tbl>
      <w:tblPr>
        <w:tblStyle w:val="64"/>
        <w:tblW w:w="3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1751" w:type="pct"/>
          </w:tcPr>
          <w:p>
            <w:pPr>
              <w:pStyle w:val="25"/>
              <w:spacing w:line="360" w:lineRule="auto"/>
              <w:ind w:firstLine="24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336.60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嵊州市应急管理局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  新昌县应急管理局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79.80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248" w:type="pct"/>
            <w:vAlign w:val="top"/>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1268.40</w:t>
            </w:r>
          </w:p>
        </w:tc>
      </w:tr>
    </w:tbl>
    <w:p>
      <w:pPr>
        <w:pStyle w:val="118"/>
        <w:numPr>
          <w:ilvl w:val="0"/>
          <w:numId w:val="0"/>
        </w:numPr>
        <w:spacing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投标人报价超过预算金额的作无效报价处理，取消其投标资格。</w:t>
      </w:r>
    </w:p>
    <w:p>
      <w:pPr>
        <w:pStyle w:val="118"/>
        <w:keepNext w:val="0"/>
        <w:keepLines w:val="0"/>
        <w:pageBreakBefore w:val="0"/>
        <w:widowControl/>
        <w:numPr>
          <w:ilvl w:val="0"/>
          <w:numId w:val="15"/>
        </w:numPr>
        <w:kinsoku/>
        <w:wordWrap/>
        <w:overflowPunct/>
        <w:topLinePunct w:val="0"/>
        <w:autoSpaceDE/>
        <w:autoSpaceDN/>
        <w:bidi w:val="0"/>
        <w:adjustRightInd/>
        <w:snapToGrid/>
        <w:spacing w:after="0" w:line="360" w:lineRule="auto"/>
        <w:ind w:left="0" w:firstLine="42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p>
      <w:pPr>
        <w:pStyle w:val="118"/>
        <w:keepNext w:val="0"/>
        <w:keepLines w:val="0"/>
        <w:pageBreakBefore w:val="0"/>
        <w:widowControl/>
        <w:numPr>
          <w:ilvl w:val="0"/>
          <w:numId w:val="16"/>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设备清单</w:t>
      </w:r>
    </w:p>
    <w:tbl>
      <w:tblPr>
        <w:tblStyle w:val="63"/>
        <w:tblW w:w="4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7"/>
        <w:gridCol w:w="1866"/>
        <w:gridCol w:w="912"/>
        <w:gridCol w:w="912"/>
        <w:gridCol w:w="912"/>
        <w:gridCol w:w="912"/>
        <w:gridCol w:w="912"/>
        <w:gridCol w:w="912"/>
        <w:gridCol w:w="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3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0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装备名称</w:t>
            </w:r>
          </w:p>
        </w:tc>
        <w:tc>
          <w:tcPr>
            <w:tcW w:w="358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3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10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越城区</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柯桥区</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上虞区</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诸暨市</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嵊州市</w:t>
            </w:r>
          </w:p>
        </w:tc>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新昌县</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后勤保障车辆（应急电源车）</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后勤保障车辆（运兵车）</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消防摩托车</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47</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15</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中小型水罐消防车A款</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中小型水罐消防车B款</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6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c>
          <w:tcPr>
            <w:tcW w:w="104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中小型水罐消防车C款</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13"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r>
    </w:tbl>
    <w:p>
      <w:pPr>
        <w:spacing w:line="360" w:lineRule="auto"/>
        <w:rPr>
          <w:color w:val="auto"/>
          <w:highlight w:val="none"/>
        </w:rPr>
      </w:pPr>
    </w:p>
    <w:p>
      <w:pPr>
        <w:spacing w:line="360" w:lineRule="auto"/>
        <w:rPr>
          <w:color w:val="auto"/>
          <w:highlight w:val="none"/>
        </w:rPr>
      </w:pPr>
    </w:p>
    <w:p>
      <w:pPr>
        <w:pStyle w:val="118"/>
        <w:keepNext w:val="0"/>
        <w:keepLines w:val="0"/>
        <w:pageBreakBefore w:val="0"/>
        <w:widowControl/>
        <w:numPr>
          <w:ilvl w:val="-1"/>
          <w:numId w:val="0"/>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2.设备主要技术参数</w:t>
      </w:r>
    </w:p>
    <w:p>
      <w:pPr>
        <w:pageBreakBefore w:val="0"/>
        <w:kinsoku/>
        <w:wordWrap/>
        <w:overflowPunct/>
        <w:topLinePunct w:val="0"/>
        <w:bidi w:val="0"/>
        <w:spacing w:afterAutospacing="0" w:line="360" w:lineRule="auto"/>
        <w:jc w:val="left"/>
        <w:outlineLvl w:val="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2.1中小型水罐消防车A款</w:t>
      </w:r>
    </w:p>
    <w:tbl>
      <w:tblPr>
        <w:tblStyle w:val="64"/>
        <w:tblW w:w="0" w:type="auto"/>
        <w:tblInd w:w="-3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714"/>
        <w:gridCol w:w="6542"/>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71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contextualSpacing/>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名称</w:t>
            </w: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详细性能参数</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r>
              <w:rPr>
                <w:rFonts w:hint="eastAsia" w:ascii="仿宋" w:hAnsi="仿宋" w:eastAsia="仿宋" w:cs="仿宋"/>
                <w:b w:val="0"/>
                <w:bCs/>
                <w:color w:val="auto"/>
                <w:sz w:val="21"/>
                <w:szCs w:val="21"/>
                <w:highlight w:val="none"/>
                <w:lang w:val="en-US" w:eastAsia="zh-CN"/>
              </w:rPr>
              <w:t>中小型水罐消防车A款</w:t>
            </w: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整车主要技术参数</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整车外廓尺寸≤6000mm×2</w:t>
            </w:r>
            <w:r>
              <w:rPr>
                <w:rFonts w:hint="eastAsia" w:ascii="仿宋" w:hAnsi="仿宋" w:eastAsia="仿宋" w:cs="仿宋"/>
                <w:color w:val="auto"/>
                <w:kern w:val="0"/>
                <w:sz w:val="21"/>
                <w:szCs w:val="21"/>
                <w:highlight w:val="none"/>
                <w:lang w:val="en-US" w:eastAsia="zh-CN"/>
              </w:rPr>
              <w:t>35</w:t>
            </w:r>
            <w:r>
              <w:rPr>
                <w:rFonts w:hint="eastAsia" w:ascii="仿宋" w:hAnsi="仿宋" w:eastAsia="仿宋" w:cs="仿宋"/>
                <w:color w:val="auto"/>
                <w:kern w:val="0"/>
                <w:sz w:val="21"/>
                <w:szCs w:val="21"/>
                <w:highlight w:val="none"/>
              </w:rPr>
              <w:t>0mm×3</w:t>
            </w:r>
            <w:r>
              <w:rPr>
                <w:rFonts w:hint="eastAsia" w:ascii="仿宋" w:hAnsi="仿宋" w:eastAsia="仿宋" w:cs="仿宋"/>
                <w:color w:val="auto"/>
                <w:kern w:val="0"/>
                <w:sz w:val="21"/>
                <w:szCs w:val="21"/>
                <w:highlight w:val="none"/>
                <w:lang w:val="en-US" w:eastAsia="zh-CN"/>
              </w:rPr>
              <w:t>20</w:t>
            </w:r>
            <w:r>
              <w:rPr>
                <w:rFonts w:hint="eastAsia" w:ascii="仿宋" w:hAnsi="仿宋" w:eastAsia="仿宋" w:cs="仿宋"/>
                <w:color w:val="auto"/>
                <w:kern w:val="0"/>
                <w:sz w:val="21"/>
                <w:szCs w:val="21"/>
                <w:highlight w:val="none"/>
              </w:rPr>
              <w:t>0mm；</w:t>
            </w:r>
          </w:p>
        </w:tc>
        <w:tc>
          <w:tcPr>
            <w:tcW w:w="0" w:type="auto"/>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r>
              <w:rPr>
                <w:rFonts w:hint="eastAsia" w:ascii="仿宋" w:hAnsi="仿宋" w:eastAsia="仿宋" w:cs="仿宋"/>
                <w:i w:val="0"/>
                <w:iCs w:val="0"/>
                <w:color w:val="auto"/>
                <w:kern w:val="0"/>
                <w:sz w:val="21"/>
                <w:szCs w:val="21"/>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总质量：≥9000kg；</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额定载质量：≥3500kg；</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最高车速：≥85km/h；</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水泵额定流量：≥30L/s；</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消防炮额定流量：≥30L/s；</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底盘</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底盘：采用越野载货汽车二类底盘；</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×4驱动方式；</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发动机额定功率：≥110kw；</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轴距：≥3390mm；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最大扭矩≥400 N·m；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排放标准：国Ⅵ；</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仪表盘必须有中文显示；</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提供底盘涉水高度的数据；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设置专用金属牌照架底座，车辆前部居中设置。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驾驶室</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座位设置：双排驾驶室，驾乘人数（含驾驶员）≥5人，需设置三点式自动收缩的安全带；</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后排设置安全腰带</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后排设置三个6.8L-9L空气呼吸器专用靠背托架及固定夹具；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中间设置2个对讲机充电接口（型号签订合同时明确）；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冷暖空调，电动车窗，中控门锁，电动后视镜，驾驶室座椅可自动调节；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全钢框架焊接结构，液压缸倾翻、带安全锁止装置</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除原车设备外，加装</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00W警报器（音量可调）与长排红色高亮度LED警灯开关、预留经双电瓶变压12V的电源（功率≥300W），车载对讲机电源接口1个。</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bCs/>
                <w:color w:val="auto"/>
                <w:sz w:val="21"/>
                <w:szCs w:val="21"/>
                <w:highlight w:val="none"/>
                <w:lang w:val="en-US" w:eastAsia="zh-CN"/>
              </w:rPr>
            </w:pPr>
          </w:p>
        </w:tc>
        <w:tc>
          <w:tcPr>
            <w:tcW w:w="71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上装</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材质采用</w:t>
            </w:r>
            <w:r>
              <w:rPr>
                <w:rFonts w:hint="eastAsia" w:ascii="仿宋" w:hAnsi="仿宋" w:eastAsia="仿宋" w:cs="仿宋"/>
                <w:color w:val="auto"/>
                <w:kern w:val="0"/>
                <w:sz w:val="21"/>
                <w:szCs w:val="21"/>
                <w:highlight w:val="none"/>
                <w:lang w:val="en-US" w:eastAsia="zh-CN"/>
              </w:rPr>
              <w:t>优质镀锌方管</w:t>
            </w:r>
            <w:r>
              <w:rPr>
                <w:rFonts w:hint="eastAsia" w:ascii="仿宋" w:hAnsi="仿宋" w:eastAsia="仿宋" w:cs="仿宋"/>
                <w:color w:val="auto"/>
                <w:kern w:val="0"/>
                <w:sz w:val="21"/>
                <w:szCs w:val="21"/>
                <w:highlight w:val="none"/>
                <w:lang w:eastAsia="zh-CN"/>
              </w:rPr>
              <w:t xml:space="preserve">，达到本体防腐要求，内、外骨架采用先进工艺技术，连接牢固，车身外表面光滑、平整、美观。 </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器材箱</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材质：器材厢采用光滑铝板，经阳极氧化的铝板通过高强度优质航空粘结胶粘结（无铆钉），且所有铝板厚度≥4mm；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卷帘门：器材箱门采用轻型优质铝合金拉杆式（横拉杆手把，带关闭带及底部锁）卷帘门结构，启闭灵活、密封性好、噪音低、外形美观，每一隔仓内壁两侧靠外部设有随卷帘门启闭自动开关的LED照明灯带，无照明盲区</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设计必须达到足够的载重承受能力，铝板粘接技术须达到圆滑、平整、美观；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车体尾部设置</w:t>
            </w:r>
            <w:r>
              <w:rPr>
                <w:rFonts w:hint="eastAsia" w:ascii="仿宋" w:hAnsi="仿宋" w:eastAsia="仿宋" w:cs="仿宋"/>
                <w:color w:val="auto"/>
                <w:kern w:val="0"/>
                <w:sz w:val="21"/>
                <w:szCs w:val="21"/>
                <w:highlight w:val="none"/>
              </w:rPr>
              <w:t>爬梯；顶部装有扶手，以方便登上车顶。</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电气系统</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驾驶室顶部安装有1个LED红色长排警灯</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车顶后部边角装配两套红色高亮度LED频闪标志灯具；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车体两侧上部各安装LED红色频闪灯</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LED工作照明灯，</w:t>
            </w:r>
            <w:r>
              <w:rPr>
                <w:rFonts w:hint="eastAsia" w:ascii="仿宋" w:hAnsi="仿宋" w:eastAsia="仿宋" w:cs="仿宋"/>
                <w:color w:val="auto"/>
                <w:kern w:val="0"/>
                <w:sz w:val="21"/>
                <w:szCs w:val="21"/>
                <w:highlight w:val="none"/>
                <w:lang w:val="en-US" w:eastAsia="zh-CN"/>
              </w:rPr>
              <w:t>位于车体两侧上部；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驾驶室顶部长排警灯前部加装长条LED探照灯；</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车厢顶部两侧设置自保喷淋花洒。</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lang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color w:val="auto"/>
                <w:sz w:val="21"/>
                <w:szCs w:val="21"/>
                <w:highlight w:val="none"/>
                <w:lang w:eastAsia="zh-CN"/>
              </w:rPr>
              <w:t>容罐</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采用外露式容罐；</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罐体容积：≥3500kg；</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材质：罐体</w:t>
            </w:r>
            <w:r>
              <w:rPr>
                <w:rFonts w:hint="eastAsia" w:ascii="仿宋" w:hAnsi="仿宋" w:eastAsia="仿宋" w:cs="仿宋"/>
                <w:color w:val="auto"/>
                <w:kern w:val="0"/>
                <w:sz w:val="21"/>
                <w:szCs w:val="21"/>
                <w:highlight w:val="none"/>
                <w:lang w:val="en-US" w:eastAsia="zh-CN"/>
              </w:rPr>
              <w:t>采用304不锈钢容罐并作十年质保</w:t>
            </w:r>
            <w:r>
              <w:rPr>
                <w:rFonts w:hint="eastAsia" w:ascii="仿宋" w:hAnsi="仿宋" w:eastAsia="仿宋" w:cs="仿宋"/>
                <w:color w:val="auto"/>
                <w:kern w:val="0"/>
                <w:sz w:val="21"/>
                <w:szCs w:val="21"/>
                <w:highlight w:val="none"/>
              </w:rPr>
              <w:t xml:space="preserve">； </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结构：焊接式结构，内设防荡板，格间留人孔，符合国家标准</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前后封板、两侧壁板、隔板、防荡板均增加有可靠强度的梯形折筋；</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罐顶部设置了可供人员进出的人孔及人孔盖，人孔直径大于400mm，水罐人孔盖在罐内压力超过 0.1MPa 时可自动卸压。</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消防泵</w:t>
            </w: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选用国内消防泵，投标时需提供品牌型号；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流量：≥30L/s；</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最大吸深</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7m；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引水时间：≤36.5s；</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压力：≥1.0 MPa；</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消防炮</w:t>
            </w: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选用国内消防炮，投标时需提供品牌型号；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流量：≥30L/S；</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w:t>
            </w:r>
            <w:r>
              <w:rPr>
                <w:rFonts w:hint="eastAsia" w:ascii="仿宋" w:hAnsi="仿宋" w:eastAsia="仿宋" w:cs="仿宋"/>
                <w:color w:val="auto"/>
                <w:kern w:val="0"/>
                <w:sz w:val="21"/>
                <w:szCs w:val="21"/>
                <w:highlight w:val="none"/>
              </w:rPr>
              <w:t>压力：≥0.8MPa；</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水平回转角：≥360°；</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俯仰回转角：-23～80°</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射程：≥60m；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管路系统</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出水管路：设有1个DN100的罐出水管路；</w:t>
            </w:r>
            <w:r>
              <w:rPr>
                <w:rFonts w:hint="eastAsia" w:ascii="仿宋" w:hAnsi="仿宋" w:eastAsia="仿宋" w:cs="仿宋"/>
                <w:color w:val="auto"/>
                <w:kern w:val="0"/>
                <w:sz w:val="21"/>
                <w:szCs w:val="21"/>
                <w:highlight w:val="none"/>
                <w:lang w:val="en-US" w:eastAsia="zh-CN"/>
              </w:rPr>
              <w:t>内扣式接头，安装易拆卸的抗腐蚀滤网；</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吸水管路：泵房尾部设1个DN125mm外吸水口，专用内扣式扪盖，接扣密封；其螺纹接口位置突出于出水口和节门扳手等平面，吸水管旋转空间和吸管扳手转动空间大，便于拆装吸水管；</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出水管路：消防泵左右各有1个DN80的常压出水口；</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注水管路：</w:t>
            </w:r>
            <w:r>
              <w:rPr>
                <w:rFonts w:hint="eastAsia" w:ascii="仿宋" w:hAnsi="仿宋" w:eastAsia="仿宋" w:cs="仿宋"/>
                <w:color w:val="auto"/>
                <w:kern w:val="0"/>
                <w:sz w:val="21"/>
                <w:szCs w:val="21"/>
                <w:highlight w:val="none"/>
                <w:lang w:val="en-US" w:eastAsia="zh-CN"/>
              </w:rPr>
              <w:t>左右两侧各增设一个DN65mm接口的外注水口，可通过消防栓及外接水源向罐内注水；</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放余水管路：为保护水泵及各球阀，在管路的最低处加装放余水阀</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rightChars="0"/>
              <w:jc w:val="center"/>
              <w:rPr>
                <w:rFonts w:hint="eastAsia" w:ascii="仿宋" w:hAnsi="仿宋" w:eastAsia="仿宋" w:cs="仿宋"/>
                <w:b/>
                <w:bCs/>
                <w:color w:val="auto"/>
                <w:sz w:val="21"/>
                <w:szCs w:val="21"/>
                <w:highlight w:val="none"/>
                <w:lang w:eastAsia="zh-CN"/>
              </w:rPr>
            </w:pPr>
          </w:p>
        </w:tc>
        <w:tc>
          <w:tcPr>
            <w:tcW w:w="71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right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器材箱及泵房</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材 质：骨架采用钢板,蒙板采用铝合金板粘接结构</w:t>
            </w:r>
            <w:r>
              <w:rPr>
                <w:rFonts w:hint="eastAsia" w:ascii="仿宋" w:hAnsi="仿宋" w:eastAsia="仿宋" w:cs="仿宋"/>
                <w:color w:val="auto"/>
                <w:kern w:val="0"/>
                <w:sz w:val="21"/>
                <w:szCs w:val="21"/>
                <w:highlight w:val="none"/>
                <w:lang w:val="en-US" w:eastAsia="zh-CN"/>
              </w:rPr>
              <w:t>并做好防腐处理</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结 构：全钢框架焊接结构，器材箱、泵房设有铝合金卷帘门，轻便可靠、噪声小；</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器材箱门具有锁止功能，在人员需进出或取放设备、器具时能方便开启，在车辆运行和不使用时不能自行启闭。</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5"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rightChars="0"/>
              <w:jc w:val="center"/>
              <w:rPr>
                <w:rFonts w:hint="eastAsia" w:ascii="仿宋" w:hAnsi="仿宋" w:eastAsia="仿宋" w:cs="仿宋"/>
                <w:b/>
                <w:bCs/>
                <w:color w:val="auto"/>
                <w:sz w:val="21"/>
                <w:szCs w:val="21"/>
                <w:highlight w:val="none"/>
                <w:lang w:val="en-US" w:eastAsia="zh-CN"/>
              </w:rPr>
            </w:pPr>
          </w:p>
        </w:tc>
        <w:tc>
          <w:tcPr>
            <w:tcW w:w="71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leftChars="0" w:right="0" w:rightChars="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随车器材</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吸水管DN125两米四根</w:t>
            </w:r>
            <w:r>
              <w:rPr>
                <w:rFonts w:hint="eastAsia" w:ascii="仿宋" w:hAnsi="仿宋" w:eastAsia="仿宋" w:cs="仿宋"/>
                <w:color w:val="auto"/>
                <w:kern w:val="0"/>
                <w:sz w:val="21"/>
                <w:szCs w:val="21"/>
                <w:highlight w:val="none"/>
              </w:rPr>
              <w:t>、 滤水器 FLF100 1 件、分水器 FII80/65×2-2.5 1 件、集水器 JII100/65×2-1.0 1 件、水带 16-65-20 6 盘、水带 16-80-20 2 盘、异径接口 KJ65/80 1 件、水带包布 DT-SB 4 件、护带桥 长570 2 副、水带挂钩 常规 4 件、地上消火栓扳手 QT-DS1；长400 1 件、地下消火栓扳手 长860 1 件、吸水管扳手 FS100 2 件、直流水枪 QZG3.5/7.5；65 1 支、直流开花水枪 QZK3.5/7.5；65 1 支、灭火器 3KG/ABC 1 具、铁锹 长1050 1 件、消防腰斧 长390 ；GF-285 1 件、丁字镐 QTF-DG；长830 1 件、铁铤 长1060 1 件、 消防平斧 QTF-PF；长810 1 件，</w:t>
            </w:r>
            <w:r>
              <w:rPr>
                <w:rFonts w:hint="eastAsia" w:ascii="仿宋" w:hAnsi="仿宋" w:eastAsia="仿宋" w:cs="仿宋"/>
                <w:color w:val="auto"/>
                <w:kern w:val="0"/>
                <w:sz w:val="21"/>
                <w:szCs w:val="21"/>
                <w:highlight w:val="none"/>
                <w:lang w:val="en-US" w:eastAsia="zh-CN"/>
              </w:rPr>
              <w:t>后进水阀和上充水阀采用气动控制。</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注：提供具有CMA或CNAS标识的检测机构出具的检测报告。</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报价应包括车辆购置税、上牌费、首次保险等。</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整体要求</w:t>
            </w: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需协助用户完成地方牌照上牌工作；</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出厂提供国家免征公告；</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首保免费（包括发动机、底盘、水泵、炮以及所有油品；</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4"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车辆外观整体涂装和所有制式标识应符合国家消防救援局最新要求；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器材箱分割不能影响加油口、电瓶、油滤等底盘附件的维护保养；</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所有操作开关、仪表、器材架及车辆均有符合规范的中文防水标识标注；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整车性能符合GB7956《消防车性能要求及试验方法》的规定；比功率符合国家法规要求；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所有粘接保证一定的强度，符合国家相关标准；</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消防车外表面不应有尖锐突出物和锐利的边缘，消防装置操作区域周围不应有可能对操作人员造成伤害的物品、热源，超过60℃的热表面及高速回转物应设置防护装置，大于65 mm 的水带接口和压力大于1.8 MPa 的管路应远离操作人员或采取防护措施，检査压力容器生产资质，压力容器的安装与硬物接触处应衬上柔软、耐腐和减震的衬物；</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保养、维修时需拆卸的零、部件不得采用焊接或铆接方式联接；</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厂家提供整车售后服务以及承诺质保的项目和内容制成永久性铭牌贴在驾驶室显著位置；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车上所有玻璃都要求使用有3C的安全玻璃，有效防止爆炸事故现场对消防员造成伤害；</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4"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542"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所有焊接牢固、光洁、平整、无锈迹，符合国家相关标准。</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bl>
    <w:p>
      <w:pPr>
        <w:pageBreakBefore w:val="0"/>
        <w:kinsoku/>
        <w:wordWrap/>
        <w:overflowPunct/>
        <w:topLinePunct w:val="0"/>
        <w:bidi w:val="0"/>
        <w:spacing w:afterAutospacing="0" w:line="360" w:lineRule="auto"/>
        <w:jc w:val="left"/>
        <w:outlineLvl w:val="0"/>
        <w:rPr>
          <w:rFonts w:hint="eastAsia" w:ascii="黑体" w:hAnsi="黑体" w:eastAsia="黑体" w:cs="黑体"/>
          <w:b w:val="0"/>
          <w:bCs/>
          <w:color w:val="auto"/>
          <w:sz w:val="24"/>
          <w:szCs w:val="24"/>
          <w:highlight w:val="none"/>
          <w:lang w:val="en-US" w:eastAsia="zh-CN"/>
        </w:rPr>
      </w:pPr>
    </w:p>
    <w:p>
      <w:pPr>
        <w:pageBreakBefore w:val="0"/>
        <w:kinsoku/>
        <w:wordWrap/>
        <w:overflowPunct/>
        <w:topLinePunct w:val="0"/>
        <w:bidi w:val="0"/>
        <w:spacing w:afterAutospacing="0" w:line="360" w:lineRule="auto"/>
        <w:jc w:val="left"/>
        <w:outlineLvl w:val="0"/>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24"/>
          <w:szCs w:val="24"/>
          <w:highlight w:val="none"/>
          <w:lang w:val="en-US" w:eastAsia="zh-CN"/>
        </w:rPr>
        <w:t>2.2中小型水罐消防车B款</w:t>
      </w:r>
    </w:p>
    <w:tbl>
      <w:tblPr>
        <w:tblStyle w:val="64"/>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12"/>
        <w:gridCol w:w="670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712"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名称</w:t>
            </w: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详细性能参数</w:t>
            </w:r>
          </w:p>
        </w:tc>
        <w:tc>
          <w:tcPr>
            <w:tcW w:w="960"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中小型水罐消防车B款</w:t>
            </w: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底盘</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选用</w:t>
            </w:r>
            <w:r>
              <w:rPr>
                <w:rFonts w:hint="eastAsia" w:ascii="仿宋" w:hAnsi="仿宋" w:eastAsia="仿宋" w:cs="仿宋"/>
                <w:color w:val="auto"/>
                <w:kern w:val="0"/>
                <w:sz w:val="21"/>
                <w:szCs w:val="21"/>
                <w:highlight w:val="none"/>
                <w:lang w:eastAsia="zh-CN"/>
              </w:rPr>
              <w:t>国内商用车</w:t>
            </w:r>
            <w:r>
              <w:rPr>
                <w:rFonts w:hint="eastAsia" w:ascii="仿宋" w:hAnsi="仿宋" w:eastAsia="仿宋" w:cs="仿宋"/>
                <w:color w:val="auto"/>
                <w:kern w:val="0"/>
                <w:sz w:val="21"/>
                <w:szCs w:val="21"/>
                <w:highlight w:val="none"/>
              </w:rPr>
              <w:t>底盘；</w:t>
            </w:r>
          </w:p>
        </w:tc>
        <w:tc>
          <w:tcPr>
            <w:tcW w:w="960"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驱动方式；</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发动机功率≥</w:t>
            </w:r>
            <w:r>
              <w:rPr>
                <w:rFonts w:hint="eastAsia" w:ascii="仿宋" w:hAnsi="仿宋" w:eastAsia="仿宋" w:cs="仿宋"/>
                <w:color w:val="auto"/>
                <w:kern w:val="0"/>
                <w:sz w:val="21"/>
                <w:szCs w:val="21"/>
                <w:highlight w:val="none"/>
                <w:lang w:val="en-US" w:eastAsia="zh-CN"/>
              </w:rPr>
              <w:t>150</w:t>
            </w:r>
            <w:r>
              <w:rPr>
                <w:rFonts w:hint="eastAsia" w:ascii="仿宋" w:hAnsi="仿宋" w:eastAsia="仿宋" w:cs="仿宋"/>
                <w:color w:val="auto"/>
                <w:kern w:val="0"/>
                <w:sz w:val="21"/>
                <w:szCs w:val="21"/>
                <w:highlight w:val="none"/>
              </w:rPr>
              <w:t>KW；</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整车外廓尺寸≤6</w:t>
            </w:r>
            <w:r>
              <w:rPr>
                <w:rFonts w:hint="eastAsia" w:ascii="仿宋" w:hAnsi="仿宋" w:eastAsia="仿宋" w:cs="仿宋"/>
                <w:color w:val="auto"/>
                <w:kern w:val="0"/>
                <w:sz w:val="21"/>
                <w:szCs w:val="21"/>
                <w:highlight w:val="none"/>
                <w:lang w:val="en-US" w:eastAsia="zh-CN"/>
              </w:rPr>
              <w:t>70</w:t>
            </w:r>
            <w:r>
              <w:rPr>
                <w:rFonts w:hint="eastAsia" w:ascii="仿宋" w:hAnsi="仿宋" w:eastAsia="仿宋" w:cs="仿宋"/>
                <w:color w:val="auto"/>
                <w:kern w:val="0"/>
                <w:sz w:val="21"/>
                <w:szCs w:val="21"/>
                <w:highlight w:val="none"/>
              </w:rPr>
              <w:t>0mm×2</w:t>
            </w:r>
            <w:r>
              <w:rPr>
                <w:rFonts w:hint="eastAsia" w:ascii="仿宋" w:hAnsi="仿宋" w:eastAsia="仿宋" w:cs="仿宋"/>
                <w:color w:val="auto"/>
                <w:kern w:val="0"/>
                <w:sz w:val="21"/>
                <w:szCs w:val="21"/>
                <w:highlight w:val="none"/>
                <w:lang w:val="en-US" w:eastAsia="zh-CN"/>
              </w:rPr>
              <w:t>20</w:t>
            </w:r>
            <w:r>
              <w:rPr>
                <w:rFonts w:hint="eastAsia" w:ascii="仿宋" w:hAnsi="仿宋" w:eastAsia="仿宋" w:cs="仿宋"/>
                <w:color w:val="auto"/>
                <w:kern w:val="0"/>
                <w:sz w:val="21"/>
                <w:szCs w:val="21"/>
                <w:highlight w:val="none"/>
              </w:rPr>
              <w:t>0 mm×</w:t>
            </w:r>
            <w:r>
              <w:rPr>
                <w:rFonts w:hint="eastAsia" w:ascii="仿宋" w:hAnsi="仿宋" w:eastAsia="仿宋" w:cs="仿宋"/>
                <w:color w:val="auto"/>
                <w:kern w:val="0"/>
                <w:sz w:val="21"/>
                <w:szCs w:val="21"/>
                <w:highlight w:val="none"/>
                <w:lang w:val="en-US" w:eastAsia="zh-CN"/>
              </w:rPr>
              <w:t>3000</w:t>
            </w:r>
            <w:r>
              <w:rPr>
                <w:rFonts w:hint="eastAsia" w:ascii="仿宋" w:hAnsi="仿宋" w:eastAsia="仿宋" w:cs="仿宋"/>
                <w:color w:val="auto"/>
                <w:kern w:val="0"/>
                <w:sz w:val="21"/>
                <w:szCs w:val="21"/>
                <w:highlight w:val="none"/>
              </w:rPr>
              <w:t xml:space="preserve"> mm；</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车辆满载总质量≥</w:t>
            </w:r>
            <w:r>
              <w:rPr>
                <w:rFonts w:hint="eastAsia" w:ascii="仿宋" w:hAnsi="仿宋" w:eastAsia="仿宋" w:cs="仿宋"/>
                <w:color w:val="auto"/>
                <w:kern w:val="0"/>
                <w:sz w:val="21"/>
                <w:szCs w:val="21"/>
                <w:highlight w:val="none"/>
                <w:lang w:val="en-US" w:eastAsia="zh-CN"/>
              </w:rPr>
              <w:t>3.5吨；</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 xml:space="preserve">轴 距≥380mm </w:t>
            </w:r>
            <w:r>
              <w:rPr>
                <w:rFonts w:hint="eastAsia" w:ascii="仿宋" w:hAnsi="仿宋" w:eastAsia="仿宋" w:cs="仿宋"/>
                <w:color w:val="auto"/>
                <w:kern w:val="0"/>
                <w:sz w:val="21"/>
                <w:szCs w:val="21"/>
                <w:highlight w:val="none"/>
                <w:lang w:eastAsia="zh-CN"/>
              </w:rPr>
              <w:t>；</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仪表盘必须有中文显示；</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后排加装3具空气呼吸器支架，所有座椅均配备安全带</w:t>
            </w:r>
            <w:r>
              <w:rPr>
                <w:rFonts w:hint="eastAsia" w:ascii="仿宋" w:hAnsi="仿宋" w:eastAsia="仿宋" w:cs="仿宋"/>
                <w:color w:val="auto"/>
                <w:kern w:val="0"/>
                <w:sz w:val="21"/>
                <w:szCs w:val="21"/>
                <w:highlight w:val="none"/>
                <w:lang w:eastAsia="zh-CN"/>
              </w:rPr>
              <w:t>；</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设置专用金属牌照架底座，车辆前部居中设置。</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驾驶室</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四门双排驾驶室，总乘员人数（含驾驶员）6人，需设置三点式自动收缩的安全带；</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后排座位靠背设置安全腰带</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设置3具空气呼吸器专用靠背托架及固定夹具，并设有避震防护装置；</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冷暖空调，电动车窗，中控门锁，电动后视镜，驾驶室座椅可自动调节；</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全钢框架焊接结构，液压缸倾翻、带安全锁止装置；</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除原车设备外，除原车设备外，加装有100W警报器、回转警灯开关、取力器控制开关及指示灯、侧照明灯开关等；</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422" w:firstLineChars="200"/>
              <w:jc w:val="both"/>
              <w:rPr>
                <w:rFonts w:hint="eastAsia" w:ascii="仿宋" w:hAnsi="仿宋" w:eastAsia="仿宋" w:cs="仿宋"/>
                <w:b/>
                <w:bCs/>
                <w:color w:val="auto"/>
                <w:sz w:val="21"/>
                <w:szCs w:val="21"/>
                <w:highlight w:val="none"/>
                <w:lang w:val="en-US" w:eastAsia="zh-CN"/>
              </w:rPr>
            </w:pPr>
          </w:p>
        </w:tc>
        <w:tc>
          <w:tcPr>
            <w:tcW w:w="712"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上装</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材质采用镀锌方管，达到本体防腐要求，内、外骨架采用先进工艺技术，连接牢固，车身外表面光滑、平整、美观。 </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器材箱</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外骨架为防腐蚀镀锌钢管焊接；内骨架采用高强度防腐蚀铝合金型材，器材厢蒙板均采用铝合金材质；</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卷帘门：所有器材厢及泵室开口均采用轻型优质铝合金（横杆拉手把，底部锁）卷帘门，锁具钥匙全车通用，门把手和锁坚固耐用，不易变形。</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卷帘门均经过水淋密封性能试验，防雨密封性能良好。每个器材厢型材内嵌入LED照明灯带，由卷帘门启闭控制，并在驾驶室内设有集中控制开关；</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设计必须达到足够的载重承受能力，铝板粘接技术须达到圆滑、平整、美观；</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车体尾部设置爬梯；顶部装有扶手，以方便登上车顶。</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电气系统</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驾驶室顶部安装有1个LED红色长排警灯；</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附加仪表、开关集中布置在控制面板上，利于操作； </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仪表板上设备：液位表、转速表、压力表、真空表、器材箱灯照明开关等（仪表板设于泵房内）；</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车顶后部边角装配两套红色高亮度LED频闪标志灯具；</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车体两侧上部各安装LED红色频闪灯，LED工作照明灯，位于车体两侧上部；</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lang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color w:val="auto"/>
                <w:sz w:val="21"/>
                <w:szCs w:val="21"/>
                <w:highlight w:val="none"/>
                <w:lang w:eastAsia="zh-CN"/>
              </w:rPr>
              <w:t>容罐</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采用外置式容罐；</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容量≥3.5吨；</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材质：罐体采用304不锈钢，内外焊缝经严格的多道防腐处理，相关焊缝严格按国家焊接工艺标准施焊，检验合格。底板≥4mm，前后封板、侧板、顶板及隔板≥3mm；</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罐顶设有可自动泄压的快速锁紧及开启装置的人口孔，维修人孔方便进出。结构：内部设有纵、横隔板，底部设有纵向托梁。罐底部设有集液槽，下部设置排污口。</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消防泵</w:t>
            </w: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选用国内消防泵，投标时需提供品牌型号；</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额定流量≥40L/s@1.0MPa；</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引水器型式：（活塞）真空泵。</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消防炮</w:t>
            </w: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选用国内消防炮，投标时需提供品牌型号；</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额定流量≥30L/s@ 1.0Mpa；</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控制方式：手动控制；</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俯仰旋转：-15°～+70°；水平旋转：0°～360°；</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射程：水≥45m、泡沫≥40。</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管路系统</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吸水口：车辆尾部泵房后侧设1个DN125吸水口接口，配满足水泵最大流量要求的吸水管总长8米（DN125），固定在车顶。 </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注水口：左右侧各设置1个DN80的注水口；可通过消防栓及外接水源向罐内注水。 </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出水口：左右侧各1个DN80出水口，每个口安装手动截止阀。</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放余水管路：为保护水泵及管路，在管路和水泵最低处加装放余水管，并分别配有阀门，手动球阀控制，设置在泵室下方明显易见位置，便于操纵。</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冷却水管路：为使取力器在工作中应付各种复杂情况， 配有冷却水管路及不锈钢球阀。</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随车器材</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吸水管Φ125(2m)4根、滤水器DN125 1件、消防水带</w:t>
            </w:r>
            <w:r>
              <w:rPr>
                <w:rFonts w:hint="eastAsia" w:ascii="仿宋" w:hAnsi="仿宋" w:eastAsia="仿宋" w:cs="仿宋"/>
                <w:color w:val="auto"/>
                <w:kern w:val="0"/>
                <w:sz w:val="21"/>
                <w:szCs w:val="21"/>
                <w:highlight w:val="none"/>
                <w:lang w:eastAsia="zh-CN"/>
              </w:rPr>
              <w:t>16-</w:t>
            </w:r>
            <w:r>
              <w:rPr>
                <w:rFonts w:hint="eastAsia" w:ascii="仿宋" w:hAnsi="仿宋" w:eastAsia="仿宋" w:cs="仿宋"/>
                <w:color w:val="auto"/>
                <w:kern w:val="0"/>
                <w:sz w:val="21"/>
                <w:szCs w:val="21"/>
                <w:highlight w:val="none"/>
                <w:lang w:val="en-US" w:eastAsia="zh-CN"/>
              </w:rPr>
              <w:t>65－20m 4卷、消防水带</w:t>
            </w:r>
            <w:r>
              <w:rPr>
                <w:rFonts w:hint="eastAsia" w:ascii="仿宋" w:hAnsi="仿宋" w:eastAsia="仿宋" w:cs="仿宋"/>
                <w:color w:val="auto"/>
                <w:kern w:val="0"/>
                <w:sz w:val="21"/>
                <w:szCs w:val="21"/>
                <w:highlight w:val="none"/>
                <w:lang w:eastAsia="zh-CN"/>
              </w:rPr>
              <w:t>16-</w:t>
            </w:r>
            <w:r>
              <w:rPr>
                <w:rFonts w:hint="eastAsia" w:ascii="仿宋" w:hAnsi="仿宋" w:eastAsia="仿宋" w:cs="仿宋"/>
                <w:color w:val="auto"/>
                <w:kern w:val="0"/>
                <w:sz w:val="21"/>
                <w:szCs w:val="21"/>
                <w:highlight w:val="none"/>
                <w:lang w:val="en-US" w:eastAsia="zh-CN"/>
              </w:rPr>
              <w:t>80－20m 4卷、三分水器FFS80 1件、异径异型接口65/80 4只、水带包布FP470</w:t>
            </w:r>
            <w:r>
              <w:rPr>
                <w:rFonts w:hint="eastAsia" w:ascii="仿宋" w:hAnsi="仿宋" w:eastAsia="仿宋" w:cs="仿宋"/>
                <w:color w:val="auto"/>
                <w:kern w:val="0"/>
                <w:sz w:val="21"/>
                <w:szCs w:val="21"/>
                <w:highlight w:val="none"/>
                <w:lang w:eastAsia="zh-CN"/>
              </w:rPr>
              <w:t xml:space="preserve"> </w:t>
            </w:r>
            <w:r>
              <w:rPr>
                <w:rFonts w:hint="eastAsia" w:ascii="仿宋" w:hAnsi="仿宋" w:eastAsia="仿宋" w:cs="仿宋"/>
                <w:color w:val="auto"/>
                <w:kern w:val="0"/>
                <w:sz w:val="21"/>
                <w:szCs w:val="21"/>
                <w:highlight w:val="none"/>
                <w:lang w:val="en-US" w:eastAsia="zh-CN"/>
              </w:rPr>
              <w:t>2件、水带挂钩FG600</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2件</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、地下消火栓扳手FBA800 1件、吸水管扳手FS125 2件、多功能开关水枪QLD19  2支、消防斧1把、铁锹1把、铁铤1把、消防锤1把竹制拉梯6米1架、底盘随车工具1套。</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整体要求</w:t>
            </w: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需协助用户完成地方牌照上牌工作；</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出厂提供国家免征公告；</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首保免费（包括发动机、底盘、水泵、炮以及所有油品；</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712"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车辆外观整体涂装和所有制式标识应符合国家消防救援局最新要求；</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器材箱分割不能影响加油口、电瓶、油滤等底盘附件的维护保养；</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所有操作开关、仪表、器材架及车辆均有符合规范的中文防水标识标注；</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整车性能符合GB7956《消防车性能要求及试验方法》的规定；比功率符合国家法规要求；</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所有粘接保证一定的强度，符合国家相关标准；</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消防车外表面不应有尖锐突出物和锐利的边缘，消防装置操作区域周围不应有可能对操作人员造成伤害的物品、热源，超过60℃的热表面及高速回转物应设置防护装置，大于65 mm 的水带接口和压力大于1.8 MPa 的管路应远离操作人员或采取防护措施，检査压力容器生产资质，压力容器的安装与硬物接触处应衬上柔软、耐腐和减震的衬物；</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保养、维修时需拆卸的零、部件不得采用焊接或铆接方式联接；</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厂家提供整车售后服务以及承诺质保的项目和内容制成永久性铭牌贴在驾驶室显著位置；</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车上所有玻璃都要求使用有3C的安全玻璃，有效防止爆炸事故现场对消防员造成伤害；</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0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712"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705"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所有焊接牢固、光洁、平整、无锈迹，符合国家相关标准。</w:t>
            </w:r>
          </w:p>
        </w:tc>
        <w:tc>
          <w:tcPr>
            <w:tcW w:w="960"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bl>
    <w:p>
      <w:pPr>
        <w:pageBreakBefore w:val="0"/>
        <w:kinsoku/>
        <w:wordWrap/>
        <w:overflowPunct/>
        <w:topLinePunct w:val="0"/>
        <w:bidi w:val="0"/>
        <w:spacing w:afterAutospacing="0" w:line="360" w:lineRule="auto"/>
        <w:rPr>
          <w:rFonts w:hint="eastAsia" w:ascii="黑体" w:hAnsi="黑体" w:eastAsia="黑体" w:cs="黑体"/>
          <w:b w:val="0"/>
          <w:bCs/>
          <w:color w:val="auto"/>
          <w:sz w:val="32"/>
          <w:szCs w:val="32"/>
          <w:highlight w:val="none"/>
          <w:lang w:val="en-US" w:eastAsia="zh-CN"/>
        </w:rPr>
      </w:pPr>
    </w:p>
    <w:p>
      <w:pPr>
        <w:pageBreakBefore w:val="0"/>
        <w:kinsoku/>
        <w:wordWrap/>
        <w:overflowPunct/>
        <w:topLinePunct w:val="0"/>
        <w:bidi w:val="0"/>
        <w:spacing w:afterAutospacing="0" w:line="360" w:lineRule="auto"/>
        <w:rPr>
          <w:rFonts w:hint="default"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2.3中小型水罐消防车C款</w:t>
      </w:r>
    </w:p>
    <w:tbl>
      <w:tblPr>
        <w:tblStyle w:val="64"/>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540"/>
        <w:gridCol w:w="7098"/>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名称</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详细性能参数</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val="0"/>
                <w:bCs w:val="0"/>
                <w:i w:val="0"/>
                <w:iCs w:val="0"/>
                <w:color w:val="auto"/>
                <w:kern w:val="0"/>
                <w:sz w:val="21"/>
                <w:szCs w:val="21"/>
                <w:highlight w:val="none"/>
                <w:u w:val="none"/>
                <w:lang w:val="en-US" w:eastAsia="zh-CN" w:bidi="ar"/>
              </w:rPr>
              <w:t>中小型水罐消防车C款</w:t>
            </w: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底盘</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选用</w:t>
            </w:r>
            <w:r>
              <w:rPr>
                <w:rFonts w:hint="eastAsia" w:ascii="仿宋" w:hAnsi="仿宋" w:eastAsia="仿宋" w:cs="仿宋"/>
                <w:color w:val="auto"/>
                <w:kern w:val="0"/>
                <w:sz w:val="21"/>
                <w:szCs w:val="21"/>
                <w:highlight w:val="none"/>
                <w:lang w:eastAsia="zh-CN"/>
              </w:rPr>
              <w:t>国内商用车</w:t>
            </w:r>
            <w:r>
              <w:rPr>
                <w:rFonts w:hint="eastAsia" w:ascii="仿宋" w:hAnsi="仿宋" w:eastAsia="仿宋" w:cs="仿宋"/>
                <w:color w:val="auto"/>
                <w:kern w:val="0"/>
                <w:sz w:val="21"/>
                <w:szCs w:val="21"/>
                <w:highlight w:val="none"/>
              </w:rPr>
              <w:t>底盘；</w:t>
            </w:r>
          </w:p>
        </w:tc>
        <w:tc>
          <w:tcPr>
            <w:tcW w:w="0" w:type="auto"/>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驱动方式；</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发动机功率≥</w:t>
            </w:r>
            <w:r>
              <w:rPr>
                <w:rFonts w:hint="eastAsia" w:ascii="仿宋" w:hAnsi="仿宋" w:eastAsia="仿宋" w:cs="仿宋"/>
                <w:color w:val="auto"/>
                <w:kern w:val="0"/>
                <w:sz w:val="21"/>
                <w:szCs w:val="21"/>
                <w:highlight w:val="none"/>
                <w:lang w:val="en-US" w:eastAsia="zh-CN"/>
              </w:rPr>
              <w:t>120</w:t>
            </w:r>
            <w:r>
              <w:rPr>
                <w:rFonts w:hint="eastAsia" w:ascii="仿宋" w:hAnsi="仿宋" w:eastAsia="仿宋" w:cs="仿宋"/>
                <w:color w:val="auto"/>
                <w:kern w:val="0"/>
                <w:sz w:val="21"/>
                <w:szCs w:val="21"/>
                <w:highlight w:val="none"/>
              </w:rPr>
              <w:t>KW；</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整车外廓尺寸≤6</w:t>
            </w:r>
            <w:r>
              <w:rPr>
                <w:rFonts w:hint="eastAsia" w:ascii="仿宋" w:hAnsi="仿宋" w:eastAsia="仿宋" w:cs="仿宋"/>
                <w:color w:val="auto"/>
                <w:kern w:val="0"/>
                <w:sz w:val="21"/>
                <w:szCs w:val="21"/>
                <w:highlight w:val="none"/>
                <w:lang w:val="en-US" w:eastAsia="zh-CN"/>
              </w:rPr>
              <w:t>60</w:t>
            </w:r>
            <w:r>
              <w:rPr>
                <w:rFonts w:hint="eastAsia" w:ascii="仿宋" w:hAnsi="仿宋" w:eastAsia="仿宋" w:cs="仿宋"/>
                <w:color w:val="auto"/>
                <w:kern w:val="0"/>
                <w:sz w:val="21"/>
                <w:szCs w:val="21"/>
                <w:highlight w:val="none"/>
              </w:rPr>
              <w:t>0mm×2</w:t>
            </w:r>
            <w:r>
              <w:rPr>
                <w:rFonts w:hint="eastAsia" w:ascii="仿宋" w:hAnsi="仿宋" w:eastAsia="仿宋" w:cs="仿宋"/>
                <w:color w:val="auto"/>
                <w:kern w:val="0"/>
                <w:sz w:val="21"/>
                <w:szCs w:val="21"/>
                <w:highlight w:val="none"/>
                <w:lang w:val="en-US" w:eastAsia="zh-CN"/>
              </w:rPr>
              <w:t>20</w:t>
            </w:r>
            <w:r>
              <w:rPr>
                <w:rFonts w:hint="eastAsia" w:ascii="仿宋" w:hAnsi="仿宋" w:eastAsia="仿宋" w:cs="仿宋"/>
                <w:color w:val="auto"/>
                <w:kern w:val="0"/>
                <w:sz w:val="21"/>
                <w:szCs w:val="21"/>
                <w:highlight w:val="none"/>
              </w:rPr>
              <w:t>0 mm×</w:t>
            </w:r>
            <w:r>
              <w:rPr>
                <w:rFonts w:hint="eastAsia" w:ascii="仿宋" w:hAnsi="仿宋" w:eastAsia="仿宋" w:cs="仿宋"/>
                <w:color w:val="auto"/>
                <w:kern w:val="0"/>
                <w:sz w:val="21"/>
                <w:szCs w:val="21"/>
                <w:highlight w:val="none"/>
                <w:lang w:val="en-US" w:eastAsia="zh-CN"/>
              </w:rPr>
              <w:t>3000</w:t>
            </w:r>
            <w:r>
              <w:rPr>
                <w:rFonts w:hint="eastAsia" w:ascii="仿宋" w:hAnsi="仿宋" w:eastAsia="仿宋" w:cs="仿宋"/>
                <w:color w:val="auto"/>
                <w:kern w:val="0"/>
                <w:sz w:val="21"/>
                <w:szCs w:val="21"/>
                <w:highlight w:val="none"/>
              </w:rPr>
              <w:t xml:space="preserve"> mm；</w:t>
            </w:r>
            <w:r>
              <w:rPr>
                <w:rFonts w:hint="eastAsia" w:ascii="仿宋" w:hAnsi="仿宋" w:eastAsia="仿宋" w:cs="仿宋"/>
                <w:color w:val="auto"/>
                <w:kern w:val="0"/>
                <w:sz w:val="21"/>
                <w:szCs w:val="21"/>
                <w:highlight w:val="none"/>
                <w:lang w:val="en-US" w:eastAsia="zh-CN"/>
              </w:rPr>
              <w:t xml:space="preserve"> </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 xml:space="preserve">轴距≥380mm </w:t>
            </w:r>
            <w:r>
              <w:rPr>
                <w:rFonts w:hint="eastAsia" w:ascii="仿宋" w:hAnsi="仿宋" w:eastAsia="仿宋" w:cs="仿宋"/>
                <w:color w:val="auto"/>
                <w:kern w:val="0"/>
                <w:sz w:val="21"/>
                <w:szCs w:val="21"/>
                <w:highlight w:val="none"/>
                <w:lang w:eastAsia="zh-CN"/>
              </w:rPr>
              <w:t>；</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仪表盘必须有中文显示；</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设置专用金属牌照架底座，车辆前部居中设置。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驾驶室</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四门双排驾驶室，总乘员人数（含驾驶员）6人，需设置三点式自动收缩的安全带；</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后排座位靠背设置安全腰带</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设置3具空气呼吸器专用靠背托架及固定夹具，并设有避震防护装置；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冷暖空调，电动车窗，中控门锁，电动后视镜，驾驶室座椅可自动调节；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全钢框架焊接结构，液压缸倾翻、带安全锁止装置；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除原车设备外，除原车设备外，加装有100W警报器、回转警灯开关、取力器控制开关及指示灯、侧照明灯开关等。</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422" w:firstLineChars="200"/>
              <w:jc w:val="center"/>
              <w:rPr>
                <w:rFonts w:hint="eastAsia" w:ascii="仿宋" w:hAnsi="仿宋" w:eastAsia="仿宋" w:cs="仿宋"/>
                <w:b/>
                <w:bCs/>
                <w:color w:val="auto"/>
                <w:sz w:val="21"/>
                <w:szCs w:val="21"/>
                <w:highlight w:val="none"/>
                <w:lang w:val="en-US" w:eastAsia="zh-CN"/>
              </w:rPr>
            </w:pPr>
          </w:p>
        </w:tc>
        <w:tc>
          <w:tcPr>
            <w:tcW w:w="0" w:type="auto"/>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上装</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材质采用镀锌方管，达到本体防腐要求，内、外骨架采用先进工艺技术，连接牢固，车身外表面光滑、平整、美观。 </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器材箱</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材质：蒙皮及主骨架采用钢板与“车用型钢”，内部器材架采用铝合金型材，内饰底板采用花纹铝板。蒙皮与主骨架采用磷化处理工艺后喷漆，增强防腐能力。蒙皮与主骨架为焊接结构，内部器材架为铝合金型材专用连接件结构，器材放置空间充足。适当位置采用推拉架、滑动拖板等方式，保证器材便于取用</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预留机动手抬泵放置空间且设置推拉托盘。</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卷帘门：所有器材厢及泵室开口均采用轻型铝合金（横杆拉手把，底部锁）卷帘门，锁具钥匙全车通用，门把手和锁坚固耐用，不易变形；</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卷帘门均经过水淋密封性能试验，防雨密封性能良好；</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每个器材厢型材内嵌入LED照明灯带，由卷帘门启闭控制，并在驾驶室内设有集中控制开关。</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设计必须达到足够的载重承受能力，铝板粘接技术须达到圆滑、平整、美观；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车体尾部设置爬梯；顶部装有扶手，以方便登上车顶。</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电气系统</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驾驶室顶部安装有1个LED红色长排警灯；</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附加仪表、开关集中布置在控制面板上，利于操作； </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仪表板上设备：液位表、转速表、压力表、真空表、器材箱灯照明开关等（仪表板设于泵房内）。</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车顶后部边角装配两套红色高亮度LED频闪标志灯具；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车体两侧上部各安装LED红色频闪灯，LED工作照明灯，位于车体两侧上部；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驾驶室顶部长排警灯前部加装长条LED探照灯，车顶配有LED火场照明灯1只。</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车厢顶部两侧设置自保喷淋花洒。</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lang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color w:val="auto"/>
                <w:sz w:val="21"/>
                <w:szCs w:val="21"/>
                <w:highlight w:val="none"/>
                <w:lang w:eastAsia="zh-CN"/>
              </w:rPr>
              <w:t>容罐</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采用外置式容罐。</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容量≥5吨。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材质：罐体采用碳钢材质，整体防腐处理，罐壁、罐顶≥3.0mm，罐底≥3.0mm。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结构：一体式焊接结构，整体防腐蚀处理，内设纵横防荡板，防水流撞击式设计，以减少启车及刹车过程中罐内水对罐体的冲击。前后封板、两侧壁板、隔板、防荡板均设有可增加强度的梯形折筋。</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罐顶设不少于1个可自动泄压的快速锁紧及开启装置的人口孔，孔盖直径均为≥450㎜，维修人孔方便进出，符合国家标准。</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水罐内设有1个溢流管，罐体经严格的渗漏水压试验、强度可靠性试验。罐内设有不锈钢浮球式液位指示器，可通过仪表板上液位显示表罐内灭火剂的容量。罐底设有用于排污、排除杂质的集液槽，下部设带球阀的排污口。</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水罐入口孔DN450mm*1、电子液位显示器*1、溢流管DN50mm*1、排污阀DN40mm*1、外注入口DN65mm×2，分布于泵房两侧，每侧各设置1个。</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消防泵</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选用国内消防泵，投标时需提供品牌型号；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额定流量≥30L/s@1.0MPa；</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安装型式：后置式、驱 动：取力器驱动；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消防炮</w:t>
            </w: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选用国内消防炮，投标时需提供品牌型号；</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额定流量≥20L/s@ 1.0Mpa；</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额定压力≥1.0MPa；</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俯仰旋转：-15°～+70°；水平旋转：0°～360°；</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射程：水≥40m；</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管路系统</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吸水管路：泵房尾部设1个DN125mm外吸水口，专用内扣式扪盖，接扣密封；其螺纹接口位置突出于出水口和节门扳手等平面，吸水管旋转空间和吸管扳手转动空间大，便于拆装吸水管。设置1个DN125mm后进水管路，并装有一只DN125手动蝶阀控制启闭。</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出水管路：泵房左右两侧各设置1个DN80mm、1个DN65mm出水口，出水口末端配截止阀及扪盖。设置1个DN80水泵至水炮管路，采用DN80mm 挠性接头与手动蝶阀，可有效减小阻力，增加炮射程。</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注水管路：</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外注水管路：泵房左右两侧各设有1个Φ 65mm 接口的外注水口，可通过消防栓及外接水源向罐内注水；</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内注水管路：泵房内设置1个Φ 65mm 内注水管路，可通过水泵向罐内注水，并设有手动控制阀。</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放余水管路：为保护水泵及管路，在管路和水泵最低处加装放余水管，并分别配有阀门，手动球阀控制，设置在泵室下方明显易见位置，便于操纵。</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冷却水管路：为使取力器在工作中应付各种复杂情况， 配有冷却水管路及不锈钢球阀。</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随车器材</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吸水管Φ125(2m)4根、滤水器DN125 1件、消防水带</w:t>
            </w:r>
            <w:r>
              <w:rPr>
                <w:rFonts w:hint="eastAsia" w:ascii="仿宋" w:hAnsi="仿宋" w:eastAsia="仿宋" w:cs="仿宋"/>
                <w:color w:val="auto"/>
                <w:kern w:val="0"/>
                <w:sz w:val="21"/>
                <w:szCs w:val="21"/>
                <w:highlight w:val="none"/>
                <w:lang w:eastAsia="zh-CN"/>
              </w:rPr>
              <w:t>16-</w:t>
            </w:r>
            <w:r>
              <w:rPr>
                <w:rFonts w:hint="eastAsia" w:ascii="仿宋" w:hAnsi="仿宋" w:eastAsia="仿宋" w:cs="仿宋"/>
                <w:color w:val="auto"/>
                <w:kern w:val="0"/>
                <w:sz w:val="21"/>
                <w:szCs w:val="21"/>
                <w:highlight w:val="none"/>
                <w:lang w:val="en-US" w:eastAsia="zh-CN"/>
              </w:rPr>
              <w:t>65－20m</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4卷</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、消防水带</w:t>
            </w:r>
            <w:r>
              <w:rPr>
                <w:rFonts w:hint="eastAsia" w:ascii="仿宋" w:hAnsi="仿宋" w:eastAsia="仿宋" w:cs="仿宋"/>
                <w:color w:val="auto"/>
                <w:kern w:val="0"/>
                <w:sz w:val="21"/>
                <w:szCs w:val="21"/>
                <w:highlight w:val="none"/>
                <w:lang w:eastAsia="zh-CN"/>
              </w:rPr>
              <w:t>16-</w:t>
            </w:r>
            <w:r>
              <w:rPr>
                <w:rFonts w:hint="eastAsia" w:ascii="仿宋" w:hAnsi="仿宋" w:eastAsia="仿宋" w:cs="仿宋"/>
                <w:color w:val="auto"/>
                <w:kern w:val="0"/>
                <w:sz w:val="21"/>
                <w:szCs w:val="21"/>
                <w:highlight w:val="none"/>
                <w:lang w:val="en-US" w:eastAsia="zh-CN"/>
              </w:rPr>
              <w:t>80－20m</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4卷</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、三分水器FFS80</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1件</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、异径异型接口65/80</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4只、水带包布FP470</w:t>
            </w:r>
            <w:r>
              <w:rPr>
                <w:rFonts w:hint="eastAsia" w:ascii="仿宋" w:hAnsi="仿宋" w:eastAsia="仿宋" w:cs="仿宋"/>
                <w:color w:val="auto"/>
                <w:kern w:val="0"/>
                <w:sz w:val="21"/>
                <w:szCs w:val="21"/>
                <w:highlight w:val="none"/>
                <w:lang w:eastAsia="zh-CN"/>
              </w:rPr>
              <w:t xml:space="preserve"> </w:t>
            </w:r>
            <w:r>
              <w:rPr>
                <w:rFonts w:hint="eastAsia" w:ascii="仿宋" w:hAnsi="仿宋" w:eastAsia="仿宋" w:cs="仿宋"/>
                <w:color w:val="auto"/>
                <w:kern w:val="0"/>
                <w:sz w:val="21"/>
                <w:szCs w:val="21"/>
                <w:highlight w:val="none"/>
                <w:lang w:val="en-US" w:eastAsia="zh-CN"/>
              </w:rPr>
              <w:t>2件、水带挂钩FG600</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2件</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、地下消火栓扳手FBA800  1件</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、吸水管扳手FS125</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2件、多功能开关水枪QLD19</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2支</w:t>
            </w:r>
            <w:r>
              <w:rPr>
                <w:rFonts w:hint="eastAsia" w:ascii="仿宋" w:hAnsi="仿宋" w:eastAsia="仿宋" w:cs="仿宋"/>
                <w:color w:val="auto"/>
                <w:kern w:val="0"/>
                <w:sz w:val="21"/>
                <w:szCs w:val="21"/>
                <w:highlight w:val="none"/>
                <w:lang w:val="en-US" w:eastAsia="zh-CN"/>
              </w:rPr>
              <w:tab/>
            </w:r>
            <w:r>
              <w:rPr>
                <w:rFonts w:hint="eastAsia" w:ascii="仿宋" w:hAnsi="仿宋" w:eastAsia="仿宋" w:cs="仿宋"/>
                <w:color w:val="auto"/>
                <w:kern w:val="0"/>
                <w:sz w:val="21"/>
                <w:szCs w:val="21"/>
                <w:highlight w:val="none"/>
                <w:lang w:val="en-US" w:eastAsia="zh-CN"/>
              </w:rPr>
              <w:t>、消防斧1把、铁锹1把、铁铤1把、消防锤1把竹制拉梯6米1架、底盘随车工具1套</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后进水阀和上充水阀采用气动控制。</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整体要求</w:t>
            </w: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需协助用户完成地方牌照上牌工作；</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出厂提供国家免征公告；</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首保免费（包括发动机、底盘、水泵、炮以及所有油品；</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0" w:type="auto"/>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车辆外观整体涂装和所有制式标识应符合国家消防救援局最新要求；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器材箱分割不能影响加油口、电瓶、油滤等底盘附件的维护保养；</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所有操作开关、仪表、器材架及车辆均有符合规范的中文防水标识标注；</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整车性能符合GB7956《消防车性能要求及试验方法》的规定；比功率符合国家法规要求；</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所有粘接保证一定的强度，符合国家相关标准；</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消防车外表面不应有尖锐突出物和锐利的边缘，消防装置操作区域周围不应有可能对操作人员造成伤害的物品、热源，超过60℃的热表面及高速回转物应设置防护装置，大于65 mm 的水带接口和压力大于1.8 MPa 的管路应远离操作人员或采取防护措施，检査压力容器生产资质，压力容器的安装与硬物接触处应衬上柔软、耐腐和减震的衬物；</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保养、维修时需拆卸的零、部件不得采用焊接或铆接方式联接；</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厂家提供整车售后服务以及承诺质保的项目和内容制成永久性铭牌贴在驾驶室显著位置；</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车上所有玻璃都要求使用有品牌有3C的安全玻璃，有效防止爆炸事故现场对消防员造成伤害；</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0" w:type="auto"/>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所有焊接牢固、光洁、平整、无锈迹，符合国家相关标准。</w:t>
            </w:r>
          </w:p>
        </w:tc>
        <w:tc>
          <w:tcPr>
            <w:tcW w:w="0" w:type="auto"/>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bl>
    <w:p>
      <w:pPr>
        <w:pageBreakBefore w:val="0"/>
        <w:kinsoku/>
        <w:wordWrap/>
        <w:overflowPunct/>
        <w:topLinePunct w:val="0"/>
        <w:bidi w:val="0"/>
        <w:spacing w:afterAutospacing="0" w:line="360" w:lineRule="auto"/>
        <w:outlineLvl w:val="0"/>
        <w:rPr>
          <w:rFonts w:hint="eastAsia" w:ascii="宋体" w:hAnsi="宋体" w:eastAsia="宋体" w:cs="宋体"/>
          <w:b/>
          <w:color w:val="auto"/>
          <w:kern w:val="2"/>
          <w:sz w:val="21"/>
          <w:szCs w:val="21"/>
          <w:highlight w:val="none"/>
          <w:lang w:val="en-US" w:eastAsia="zh-CN" w:bidi="ar-SA"/>
        </w:rPr>
      </w:pPr>
    </w:p>
    <w:p>
      <w:pPr>
        <w:pageBreakBefore w:val="0"/>
        <w:kinsoku/>
        <w:wordWrap/>
        <w:overflowPunct/>
        <w:topLinePunct w:val="0"/>
        <w:bidi w:val="0"/>
        <w:spacing w:afterAutospacing="0" w:line="360" w:lineRule="auto"/>
        <w:rPr>
          <w:rFonts w:hint="eastAsia"/>
          <w:color w:val="auto"/>
          <w:highlight w:val="none"/>
          <w:lang w:val="en-US" w:eastAsia="zh-CN"/>
        </w:rPr>
      </w:pPr>
    </w:p>
    <w:p>
      <w:pPr>
        <w:pageBreakBefore w:val="0"/>
        <w:kinsoku/>
        <w:wordWrap/>
        <w:overflowPunct/>
        <w:topLinePunct w:val="0"/>
        <w:bidi w:val="0"/>
        <w:spacing w:afterAutospacing="0" w:line="360" w:lineRule="auto"/>
        <w:jc w:val="left"/>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2.4消防摩托车</w:t>
      </w:r>
    </w:p>
    <w:tbl>
      <w:tblPr>
        <w:tblStyle w:val="64"/>
        <w:tblW w:w="9282"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695"/>
        <w:gridCol w:w="693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69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名称</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详细性能参数</w:t>
            </w:r>
          </w:p>
        </w:tc>
        <w:tc>
          <w:tcPr>
            <w:tcW w:w="88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68"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消防摩托车</w:t>
            </w:r>
          </w:p>
        </w:tc>
        <w:tc>
          <w:tcPr>
            <w:tcW w:w="69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底盘</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发动机功率</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30</w:t>
            </w:r>
            <w:r>
              <w:rPr>
                <w:rFonts w:hint="eastAsia" w:ascii="仿宋" w:hAnsi="仿宋" w:eastAsia="仿宋" w:cs="仿宋"/>
                <w:color w:val="auto"/>
                <w:kern w:val="0"/>
                <w:sz w:val="21"/>
                <w:szCs w:val="21"/>
                <w:highlight w:val="none"/>
                <w:lang w:eastAsia="zh-CN"/>
              </w:rPr>
              <w:t>KW；</w:t>
            </w:r>
          </w:p>
        </w:tc>
        <w:tc>
          <w:tcPr>
            <w:tcW w:w="885"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发动机型式：双缸、水冷、四冲程</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长×宽×高</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22</w:t>
            </w:r>
            <w:r>
              <w:rPr>
                <w:rFonts w:hint="eastAsia" w:ascii="仿宋" w:hAnsi="仿宋" w:eastAsia="仿宋" w:cs="仿宋"/>
                <w:color w:val="auto"/>
                <w:kern w:val="0"/>
                <w:sz w:val="21"/>
                <w:szCs w:val="21"/>
                <w:highlight w:val="none"/>
              </w:rPr>
              <w:t>00mm×</w:t>
            </w:r>
            <w:r>
              <w:rPr>
                <w:rFonts w:hint="eastAsia" w:ascii="仿宋" w:hAnsi="仿宋" w:eastAsia="仿宋" w:cs="仿宋"/>
                <w:color w:val="auto"/>
                <w:kern w:val="0"/>
                <w:sz w:val="21"/>
                <w:szCs w:val="21"/>
                <w:highlight w:val="none"/>
                <w:lang w:val="en-US" w:eastAsia="zh-CN"/>
              </w:rPr>
              <w:t>85</w:t>
            </w:r>
            <w:r>
              <w:rPr>
                <w:rFonts w:hint="eastAsia" w:ascii="仿宋" w:hAnsi="仿宋" w:eastAsia="仿宋" w:cs="仿宋"/>
                <w:color w:val="auto"/>
                <w:kern w:val="0"/>
                <w:sz w:val="21"/>
                <w:szCs w:val="21"/>
                <w:highlight w:val="none"/>
              </w:rPr>
              <w:t>0mm×</w:t>
            </w:r>
            <w:r>
              <w:rPr>
                <w:rFonts w:hint="eastAsia" w:ascii="仿宋" w:hAnsi="仿宋" w:eastAsia="仿宋" w:cs="仿宋"/>
                <w:color w:val="auto"/>
                <w:kern w:val="0"/>
                <w:sz w:val="21"/>
                <w:szCs w:val="21"/>
                <w:highlight w:val="none"/>
                <w:lang w:val="en-US" w:eastAsia="zh-CN"/>
              </w:rPr>
              <w:t>14</w:t>
            </w:r>
            <w:r>
              <w:rPr>
                <w:rFonts w:hint="eastAsia" w:ascii="仿宋" w:hAnsi="仿宋" w:eastAsia="仿宋" w:cs="仿宋"/>
                <w:color w:val="auto"/>
                <w:kern w:val="0"/>
                <w:sz w:val="21"/>
                <w:szCs w:val="21"/>
                <w:highlight w:val="none"/>
              </w:rPr>
              <w:t>00mm；</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最大扭矩</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30</w:t>
            </w:r>
            <w:r>
              <w:rPr>
                <w:rFonts w:hint="eastAsia" w:ascii="仿宋" w:hAnsi="仿宋" w:eastAsia="仿宋" w:cs="仿宋"/>
                <w:color w:val="auto"/>
                <w:kern w:val="0"/>
                <w:sz w:val="21"/>
                <w:szCs w:val="21"/>
                <w:highlight w:val="none"/>
              </w:rPr>
              <w:t>N.m；</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轴距</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≤1500mm</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整备质量</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200</w:t>
            </w:r>
            <w:r>
              <w:rPr>
                <w:rFonts w:hint="eastAsia" w:ascii="仿宋" w:hAnsi="仿宋" w:eastAsia="仿宋" w:cs="仿宋"/>
                <w:color w:val="auto"/>
                <w:kern w:val="0"/>
                <w:sz w:val="21"/>
                <w:szCs w:val="21"/>
                <w:highlight w:val="none"/>
              </w:rPr>
              <w:t>kg；</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额定载人</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人；</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最小离地间隙</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50mm；</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总质量≤350kg；</w:t>
            </w:r>
          </w:p>
        </w:tc>
        <w:tc>
          <w:tcPr>
            <w:tcW w:w="885" w:type="dxa"/>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变速器型式：国际六档；</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制动方式：碟刹带ABS；</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制动距离</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m；</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排量≥350CC</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最高车速</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80km/h；</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燃油种类</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汽油</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油箱容积</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5L；</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外观：摩托车</w:t>
            </w:r>
            <w:r>
              <w:rPr>
                <w:rFonts w:hint="eastAsia" w:ascii="仿宋" w:hAnsi="仿宋" w:eastAsia="仿宋" w:cs="仿宋"/>
                <w:color w:val="auto"/>
                <w:kern w:val="0"/>
                <w:sz w:val="21"/>
                <w:szCs w:val="21"/>
                <w:highlight w:val="none"/>
                <w:lang w:eastAsia="zh-CN"/>
              </w:rPr>
              <w:t>，车身颜色为消防红色；</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eastAsia="zh-CN"/>
              </w:rPr>
            </w:pPr>
          </w:p>
        </w:tc>
        <w:tc>
          <w:tcPr>
            <w:tcW w:w="69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随车储罐数据</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储液容器容积：≥33L</w:t>
            </w:r>
            <w:r>
              <w:rPr>
                <w:rFonts w:hint="eastAsia" w:ascii="仿宋" w:hAnsi="仿宋" w:eastAsia="仿宋" w:cs="仿宋"/>
                <w:color w:val="auto"/>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管长：≥25m</w:t>
            </w:r>
            <w:r>
              <w:rPr>
                <w:rFonts w:hint="eastAsia" w:ascii="仿宋" w:hAnsi="仿宋" w:eastAsia="仿宋" w:cs="仿宋"/>
                <w:color w:val="auto"/>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直流喷射距离：≥15米</w:t>
            </w:r>
            <w:r>
              <w:rPr>
                <w:rFonts w:hint="eastAsia" w:ascii="仿宋" w:hAnsi="仿宋" w:eastAsia="仿宋" w:cs="仿宋"/>
                <w:color w:val="auto"/>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喷雾喷射距离：≥6米</w:t>
            </w:r>
            <w:r>
              <w:rPr>
                <w:rFonts w:hint="eastAsia" w:ascii="仿宋" w:hAnsi="仿宋" w:eastAsia="仿宋" w:cs="仿宋"/>
                <w:color w:val="auto"/>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center"/>
          </w:tcPr>
          <w:p>
            <w:pPr>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气瓶容积：≥6.5L</w:t>
            </w:r>
            <w:r>
              <w:rPr>
                <w:rFonts w:hint="eastAsia" w:ascii="仿宋" w:hAnsi="仿宋" w:eastAsia="仿宋" w:cs="仿宋"/>
                <w:color w:val="auto"/>
                <w:sz w:val="21"/>
                <w:szCs w:val="21"/>
                <w:highlight w:val="none"/>
                <w:lang w:eastAsia="zh-CN"/>
              </w:rPr>
              <w:t>；</w:t>
            </w:r>
          </w:p>
        </w:tc>
        <w:tc>
          <w:tcPr>
            <w:tcW w:w="885" w:type="dxa"/>
            <w:vMerge w:val="continue"/>
            <w:noWrap w:val="0"/>
            <w:vAlign w:val="center"/>
          </w:tcPr>
          <w:p>
            <w:pPr>
              <w:spacing w:line="360" w:lineRule="auto"/>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警报装置</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电动警报器，12V</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rPr>
              <w:t>60W，整体防水型</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警灯：车辆后上部安装警灯1个，红色，12V。</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695"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随车资料</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整车合格证复印件、车辆技术参数表各1份；</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整车使用操作说明书（中文三套），附操作演示示范光盘；</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整车电路布线图、电器原理图、维修线路图各3份（提供电子和纸质）；</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整车维护保养说明书（中文三套、附电子版）；</w:t>
            </w:r>
            <w:r>
              <w:rPr>
                <w:rFonts w:hint="eastAsia" w:ascii="仿宋" w:hAnsi="仿宋" w:eastAsia="仿宋" w:cs="仿宋"/>
                <w:color w:val="auto"/>
                <w:kern w:val="0"/>
                <w:sz w:val="21"/>
                <w:szCs w:val="21"/>
                <w:highlight w:val="none"/>
                <w:lang w:val="en-US" w:eastAsia="zh-CN"/>
              </w:rPr>
              <w:t xml:space="preserve"> </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整体要求</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提供</w:t>
            </w:r>
            <w:r>
              <w:rPr>
                <w:rFonts w:hint="eastAsia" w:ascii="仿宋" w:hAnsi="仿宋" w:eastAsia="仿宋" w:cs="仿宋"/>
                <w:color w:val="auto"/>
                <w:kern w:val="0"/>
                <w:sz w:val="21"/>
                <w:szCs w:val="21"/>
                <w:highlight w:val="none"/>
                <w:lang w:eastAsia="zh-CN"/>
              </w:rPr>
              <w:t>摩托车</w:t>
            </w:r>
            <w:r>
              <w:rPr>
                <w:rFonts w:hint="eastAsia" w:ascii="仿宋" w:hAnsi="仿宋" w:eastAsia="仿宋" w:cs="仿宋"/>
                <w:color w:val="auto"/>
                <w:kern w:val="0"/>
                <w:sz w:val="21"/>
                <w:szCs w:val="21"/>
                <w:highlight w:val="none"/>
              </w:rPr>
              <w:t>维修、保养手册以及零配件目录</w:t>
            </w:r>
            <w:r>
              <w:rPr>
                <w:rFonts w:hint="eastAsia" w:ascii="仿宋" w:hAnsi="仿宋" w:eastAsia="仿宋" w:cs="仿宋"/>
                <w:color w:val="auto"/>
                <w:kern w:val="0"/>
                <w:sz w:val="21"/>
                <w:szCs w:val="21"/>
                <w:highlight w:val="none"/>
                <w:lang w:eastAsia="zh-CN"/>
              </w:rPr>
              <w:t>；</w:t>
            </w:r>
          </w:p>
        </w:tc>
        <w:tc>
          <w:tcPr>
            <w:tcW w:w="885" w:type="dxa"/>
            <w:vMerge w:val="continue"/>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9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所有参数均</w:t>
            </w:r>
            <w:r>
              <w:rPr>
                <w:rFonts w:hint="eastAsia" w:ascii="仿宋" w:hAnsi="仿宋" w:eastAsia="仿宋" w:cs="仿宋"/>
                <w:color w:val="auto"/>
                <w:kern w:val="0"/>
                <w:sz w:val="21"/>
                <w:szCs w:val="21"/>
                <w:highlight w:val="none"/>
                <w:lang w:eastAsia="zh-CN"/>
              </w:rPr>
              <w:t>需</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885" w:type="dxa"/>
            <w:vMerge w:val="continue"/>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68"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提供完整的上牌服务方案、售后服务方案、车辆及车载装备使用培训方案。</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需提供相关政府部门的同类型产品合同及发票作为印证要求</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4份。</w:t>
            </w:r>
          </w:p>
        </w:tc>
        <w:tc>
          <w:tcPr>
            <w:tcW w:w="885" w:type="dxa"/>
            <w:vMerge w:val="continue"/>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bl>
    <w:p>
      <w:pPr>
        <w:pageBreakBefore w:val="0"/>
        <w:kinsoku/>
        <w:wordWrap/>
        <w:overflowPunct/>
        <w:topLinePunct w:val="0"/>
        <w:bidi w:val="0"/>
        <w:spacing w:afterAutospacing="0" w:line="360" w:lineRule="auto"/>
        <w:jc w:val="left"/>
        <w:outlineLvl w:val="0"/>
        <w:rPr>
          <w:rFonts w:hint="eastAsia" w:ascii="黑体" w:hAnsi="黑体" w:eastAsia="黑体" w:cs="黑体"/>
          <w:b w:val="0"/>
          <w:bCs/>
          <w:color w:val="auto"/>
          <w:sz w:val="24"/>
          <w:szCs w:val="24"/>
          <w:highlight w:val="none"/>
          <w:lang w:val="en-US" w:eastAsia="zh-CN"/>
        </w:rPr>
      </w:pPr>
    </w:p>
    <w:p>
      <w:pPr>
        <w:pageBreakBefore w:val="0"/>
        <w:kinsoku/>
        <w:wordWrap/>
        <w:overflowPunct/>
        <w:topLinePunct w:val="0"/>
        <w:bidi w:val="0"/>
        <w:spacing w:afterAutospacing="0" w:line="360" w:lineRule="auto"/>
        <w:jc w:val="left"/>
        <w:outlineLvl w:val="0"/>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24"/>
          <w:szCs w:val="24"/>
          <w:highlight w:val="none"/>
          <w:lang w:val="en-US" w:eastAsia="zh-CN"/>
        </w:rPr>
        <w:t>2.5后勤保障车辆（应急电源车）</w:t>
      </w:r>
    </w:p>
    <w:tbl>
      <w:tblPr>
        <w:tblStyle w:val="64"/>
        <w:tblW w:w="0" w:type="auto"/>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45"/>
        <w:gridCol w:w="6934"/>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64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名称</w:t>
            </w:r>
          </w:p>
        </w:tc>
        <w:tc>
          <w:tcPr>
            <w:tcW w:w="6934"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详细性能参数</w:t>
            </w:r>
          </w:p>
        </w:tc>
        <w:tc>
          <w:tcPr>
            <w:tcW w:w="885" w:type="dxa"/>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后勤保障车辆（应急电源车）</w:t>
            </w:r>
          </w:p>
        </w:tc>
        <w:tc>
          <w:tcPr>
            <w:tcW w:w="64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底盘</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选用</w:t>
            </w:r>
            <w:r>
              <w:rPr>
                <w:rFonts w:hint="eastAsia" w:ascii="仿宋" w:hAnsi="仿宋" w:eastAsia="仿宋" w:cs="仿宋"/>
                <w:color w:val="auto"/>
                <w:kern w:val="0"/>
                <w:sz w:val="21"/>
                <w:szCs w:val="21"/>
                <w:highlight w:val="none"/>
                <w:lang w:eastAsia="zh-CN"/>
              </w:rPr>
              <w:t>国内商用车</w:t>
            </w:r>
            <w:r>
              <w:rPr>
                <w:rFonts w:hint="eastAsia" w:ascii="仿宋" w:hAnsi="仿宋" w:eastAsia="仿宋" w:cs="仿宋"/>
                <w:color w:val="auto"/>
                <w:kern w:val="0"/>
                <w:sz w:val="21"/>
                <w:szCs w:val="21"/>
                <w:highlight w:val="none"/>
              </w:rPr>
              <w:t>底盘；</w:t>
            </w:r>
          </w:p>
        </w:tc>
        <w:tc>
          <w:tcPr>
            <w:tcW w:w="885"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驱动方式；</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发动机功率≥</w:t>
            </w:r>
            <w:r>
              <w:rPr>
                <w:rFonts w:hint="eastAsia" w:ascii="仿宋" w:hAnsi="仿宋" w:eastAsia="仿宋" w:cs="仿宋"/>
                <w:color w:val="auto"/>
                <w:kern w:val="0"/>
                <w:sz w:val="21"/>
                <w:szCs w:val="21"/>
                <w:highlight w:val="none"/>
                <w:lang w:val="en-US" w:eastAsia="zh-CN"/>
              </w:rPr>
              <w:t>85</w:t>
            </w:r>
            <w:r>
              <w:rPr>
                <w:rFonts w:hint="eastAsia" w:ascii="仿宋" w:hAnsi="仿宋" w:eastAsia="仿宋" w:cs="仿宋"/>
                <w:color w:val="auto"/>
                <w:kern w:val="0"/>
                <w:sz w:val="21"/>
                <w:szCs w:val="21"/>
                <w:highlight w:val="none"/>
              </w:rPr>
              <w:t>KW；</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整车外廓尺寸≤</w:t>
            </w:r>
            <w:r>
              <w:rPr>
                <w:rFonts w:hint="eastAsia" w:ascii="仿宋" w:hAnsi="仿宋" w:eastAsia="仿宋" w:cs="仿宋"/>
                <w:color w:val="auto"/>
                <w:kern w:val="0"/>
                <w:sz w:val="21"/>
                <w:szCs w:val="21"/>
                <w:highlight w:val="none"/>
                <w:lang w:val="en-US" w:eastAsia="zh-CN"/>
              </w:rPr>
              <w:t>7000mm*2300mm*3500mm</w:t>
            </w:r>
            <w:r>
              <w:rPr>
                <w:rFonts w:hint="eastAsia" w:ascii="仿宋" w:hAnsi="仿宋" w:eastAsia="仿宋" w:cs="仿宋"/>
                <w:color w:val="auto"/>
                <w:kern w:val="0"/>
                <w:sz w:val="21"/>
                <w:szCs w:val="21"/>
                <w:highlight w:val="none"/>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 xml:space="preserve">轴 距≥380mm </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仪表盘必须有中文显示；</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后排加装3具空气呼吸器支架，所有座椅均配备安全带</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设置专用金属牌照架底座，车辆前部居中设置。</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45" w:type="dxa"/>
            <w:vMerge w:val="restart"/>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驾驶室</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双门单排驾驶室，总乘员人数（含驾驶员）3人，需设置三点式自动收缩的安全带；</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冷暖空调，电动车窗，中控门锁，电动后视镜，驾驶室座椅可自动调节；</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全钢框架焊接结构，液压缸倾翻、带安全锁止装置；</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除原车设备外，加装有100W警报器、回转警灯开关、取力器控制开关及指示灯、侧照明灯开关等。</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发电系统</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lang w:eastAsia="zh-CN"/>
              </w:rPr>
              <w:t>柴油发电机组额定功率</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50</w:t>
            </w:r>
            <w:r>
              <w:rPr>
                <w:rFonts w:hint="eastAsia" w:ascii="仿宋" w:hAnsi="仿宋" w:eastAsia="仿宋" w:cs="仿宋"/>
                <w:color w:val="auto"/>
                <w:kern w:val="0"/>
                <w:sz w:val="21"/>
                <w:szCs w:val="21"/>
                <w:highlight w:val="none"/>
                <w:lang w:eastAsia="zh-CN"/>
              </w:rPr>
              <w:t>kW、</w:t>
            </w:r>
            <w:r>
              <w:rPr>
                <w:rFonts w:hint="eastAsia" w:ascii="仿宋" w:hAnsi="仿宋" w:eastAsia="仿宋" w:cs="仿宋"/>
                <w:color w:val="auto"/>
                <w:kern w:val="0"/>
                <w:sz w:val="21"/>
                <w:szCs w:val="21"/>
                <w:highlight w:val="none"/>
                <w:lang w:val="en-US" w:eastAsia="zh-CN"/>
              </w:rPr>
              <w:t>额定频率</w:t>
            </w:r>
            <w:r>
              <w:rPr>
                <w:rFonts w:hint="eastAsia" w:ascii="仿宋" w:hAnsi="仿宋" w:eastAsia="仿宋" w:cs="仿宋"/>
                <w:color w:val="auto"/>
                <w:kern w:val="0"/>
                <w:sz w:val="21"/>
                <w:szCs w:val="21"/>
                <w:highlight w:val="none"/>
              </w:rPr>
              <w:t>≥</w:t>
            </w:r>
            <w:r>
              <w:rPr>
                <w:rFonts w:hint="eastAsia" w:ascii="仿宋" w:hAnsi="仿宋" w:eastAsia="仿宋" w:cs="仿宋"/>
                <w:color w:val="auto"/>
                <w:kern w:val="0"/>
                <w:sz w:val="21"/>
                <w:szCs w:val="21"/>
                <w:highlight w:val="none"/>
                <w:lang w:val="en-US" w:eastAsia="zh-CN"/>
              </w:rPr>
              <w:t>50Hz</w:t>
            </w:r>
            <w:r>
              <w:rPr>
                <w:rFonts w:hint="eastAsia" w:ascii="仿宋" w:hAnsi="仿宋" w:eastAsia="仿宋" w:cs="仿宋"/>
                <w:color w:val="auto"/>
                <w:kern w:val="0"/>
                <w:sz w:val="21"/>
                <w:szCs w:val="21"/>
                <w:highlight w:val="none"/>
                <w:lang w:eastAsia="zh-CN"/>
              </w:rPr>
              <w:t>控制器：机组本体控制，远端采用移动或电脑远程监测数据。</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器材箱</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厢体前端向后依次为发电机组仓、器材仓；</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车身下部设置有裙箱，作为专用工具箱存放工具、配件及其他物品，裙箱配上翻门，裙箱门采用全铝结构；</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车厢左右两侧各设置一个铝合金检修门；</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车厢前部安装登顶梯；</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车厢后部设置1个铝合金上翻门，尾部设置一个铝合金上翻门；</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 xml:space="preserve"> 尾部</w:t>
            </w:r>
            <w:r>
              <w:rPr>
                <w:rFonts w:hint="eastAsia" w:ascii="仿宋" w:hAnsi="仿宋" w:eastAsia="仿宋" w:cs="仿宋"/>
                <w:color w:val="auto"/>
                <w:kern w:val="0"/>
                <w:sz w:val="21"/>
                <w:szCs w:val="21"/>
                <w:highlight w:val="none"/>
              </w:rPr>
              <w:t>配抽拉式登车梯；</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含进排风百叶窗、隔热系统等。</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jc w:val="both"/>
              <w:rPr>
                <w:rFonts w:hint="eastAsia" w:ascii="仿宋" w:hAnsi="仿宋" w:eastAsia="仿宋" w:cs="仿宋"/>
                <w:b w:val="0"/>
                <w:color w:val="auto"/>
                <w:sz w:val="21"/>
                <w:szCs w:val="21"/>
                <w:highlight w:val="none"/>
              </w:rPr>
            </w:pPr>
            <w:r>
              <w:rPr>
                <w:rFonts w:hint="eastAsia" w:ascii="仿宋" w:hAnsi="仿宋" w:eastAsia="仿宋" w:cs="仿宋"/>
                <w:b w:val="0"/>
                <w:bCs w:val="0"/>
                <w:color w:val="auto"/>
                <w:sz w:val="21"/>
                <w:szCs w:val="21"/>
                <w:highlight w:val="none"/>
                <w:lang w:val="en-US" w:eastAsia="zh-CN"/>
              </w:rPr>
              <w:t>电气系统</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驾驶室顶部安装有1个LED红色长排警灯</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整车配备交、直流两种供电照明方式，可通过底盘电瓶和发电机进行供电，满足工作照明和应急照明需求</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设置有输出插座控制柜，柜体上设有</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 xml:space="preserve">套AC220V </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0A防爆型输出插座，4套AC380V 30A防爆型输出插座，</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套AC380V 60A防爆型输出插座，每个输出插座均配备漏电保护器</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安全用电系统</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设有各种用电安全保护系统，绝缘保护、断电保护、接地保护、防雷保护、漏电保护、防触电保护、过载保护、过热保护等。</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1" w:firstLineChars="100"/>
              <w:jc w:val="both"/>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right="0" w:firstLine="210" w:firstLineChars="100"/>
              <w:jc w:val="both"/>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在驾驶室外靠近驾驶员一侧安装市电充电脱落装置，用于向底盘电瓶充电</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底盘电瓶组保持底盘原装位位置，并靠近驾驶员位置，不改动位置；</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整车加装前置行车记录仪（内存128G），并配备360°全景显示屏，屏幕7寸，车尾设置倒车雷达，驾驶室设置倒车影像显示屏引导功能；</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车顶后部边角装配两套红色高亮度LED频闪标志灯具；</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车体两侧上部各安装LED红色频闪灯，LED工作照明灯，位于车体两侧上部；</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2" w:firstLineChars="20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firstLine="420" w:firstLineChars="20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2"/>
                <w:sz w:val="21"/>
                <w:szCs w:val="21"/>
                <w:highlight w:val="none"/>
                <w:lang w:val="en-US" w:eastAsia="zh-CN" w:bidi="ar"/>
              </w:rPr>
              <w:t>电气系统所有设备必须满足国标要求。</w:t>
            </w:r>
          </w:p>
        </w:tc>
        <w:tc>
          <w:tcPr>
            <w:tcW w:w="885" w:type="dxa"/>
            <w:vMerge w:val="continue"/>
            <w:noWrap w:val="0"/>
            <w:vAlign w:val="center"/>
          </w:tcPr>
          <w:p>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lang w:eastAsia="zh-CN"/>
              </w:rPr>
            </w:pPr>
          </w:p>
        </w:tc>
        <w:tc>
          <w:tcPr>
            <w:tcW w:w="64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lang w:eastAsia="zh-CN"/>
              </w:rPr>
            </w:pPr>
            <w:r>
              <w:rPr>
                <w:rFonts w:hint="eastAsia" w:ascii="仿宋" w:hAnsi="仿宋" w:eastAsia="仿宋" w:cs="仿宋"/>
                <w:b w:val="0"/>
                <w:color w:val="auto"/>
                <w:sz w:val="21"/>
                <w:szCs w:val="21"/>
                <w:highlight w:val="none"/>
                <w:lang w:eastAsia="zh-CN"/>
              </w:rPr>
              <w:t>升降照明系统</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升降照明灯功率</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eastAsia="zh-CN"/>
              </w:rPr>
              <w:t>4×</w:t>
            </w:r>
            <w:r>
              <w:rPr>
                <w:rFonts w:hint="eastAsia" w:ascii="仿宋" w:hAnsi="仿宋" w:eastAsia="仿宋" w:cs="仿宋"/>
                <w:color w:val="auto"/>
                <w:kern w:val="0"/>
                <w:sz w:val="21"/>
                <w:szCs w:val="21"/>
                <w:highlight w:val="none"/>
                <w:lang w:val="en-US" w:eastAsia="zh-CN"/>
              </w:rPr>
              <w:t>500</w:t>
            </w:r>
            <w:r>
              <w:rPr>
                <w:rFonts w:hint="eastAsia" w:ascii="仿宋" w:hAnsi="仿宋" w:eastAsia="仿宋" w:cs="仿宋"/>
                <w:color w:val="auto"/>
                <w:kern w:val="0"/>
                <w:sz w:val="21"/>
                <w:szCs w:val="21"/>
                <w:highlight w:val="none"/>
                <w:lang w:eastAsia="zh-CN"/>
              </w:rPr>
              <w:t>W；</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探照灯可以上下左右旋转，水平旋转角度360°，垂直旋转角度3</w:t>
            </w:r>
            <w:r>
              <w:rPr>
                <w:rFonts w:hint="eastAsia" w:ascii="仿宋" w:hAnsi="仿宋" w:eastAsia="仿宋" w:cs="仿宋"/>
                <w:color w:val="auto"/>
                <w:kern w:val="0"/>
                <w:sz w:val="21"/>
                <w:szCs w:val="21"/>
                <w:highlight w:val="none"/>
                <w:lang w:val="en-US" w:eastAsia="zh-CN"/>
              </w:rPr>
              <w:t>6</w:t>
            </w:r>
            <w:r>
              <w:rPr>
                <w:rFonts w:hint="eastAsia" w:ascii="仿宋" w:hAnsi="仿宋" w:eastAsia="仿宋" w:cs="仿宋"/>
                <w:color w:val="auto"/>
                <w:kern w:val="0"/>
                <w:sz w:val="21"/>
                <w:szCs w:val="21"/>
                <w:highlight w:val="none"/>
              </w:rPr>
              <w:t>0°，可遥控和线控两种操作，适应于夜间作业环境</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照明灯离地面高度</w:t>
            </w:r>
            <w:r>
              <w:rPr>
                <w:rFonts w:hint="eastAsia" w:ascii="仿宋" w:hAnsi="仿宋" w:eastAsia="仿宋" w:cs="仿宋"/>
                <w:color w:val="auto"/>
                <w:kern w:val="0"/>
                <w:sz w:val="21"/>
                <w:szCs w:val="21"/>
                <w:highlight w:val="none"/>
                <w:lang w:val="en-US" w:eastAsia="zh-CN"/>
              </w:rPr>
              <w:t>≥7</w:t>
            </w:r>
            <w:r>
              <w:rPr>
                <w:rFonts w:hint="eastAsia" w:ascii="仿宋" w:hAnsi="仿宋" w:eastAsia="仿宋" w:cs="仿宋"/>
                <w:color w:val="auto"/>
                <w:kern w:val="0"/>
                <w:sz w:val="21"/>
                <w:szCs w:val="21"/>
                <w:highlight w:val="none"/>
              </w:rPr>
              <w:t>米</w:t>
            </w:r>
            <w:r>
              <w:rPr>
                <w:rFonts w:hint="eastAsia" w:ascii="仿宋" w:hAnsi="仿宋" w:eastAsia="仿宋" w:cs="仿宋"/>
                <w:color w:val="auto"/>
                <w:kern w:val="0"/>
                <w:sz w:val="21"/>
                <w:szCs w:val="21"/>
                <w:highlight w:val="none"/>
                <w:lang w:eastAsia="zh-CN"/>
              </w:rPr>
              <w:t>；</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移动照明灯组数量</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eastAsia="zh-CN"/>
              </w:rPr>
              <w:t>2套（不含发电机）照明灯功率</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eastAsia="zh-CN"/>
              </w:rPr>
              <w:t>400W，灯杆最大举升高度</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eastAsia="zh-CN"/>
              </w:rPr>
              <w:t>3m，额定电压：220V。铝合金移动灯架，可收缩存放。</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随车器材</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接地线缆：1套 10m编织线及接地钎；</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输出铜排：1套（合同签订时根据客户要求长度配备），大小规格符合整车用电安全；</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防爆型输出插座：</w:t>
            </w: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rPr>
              <w:t>套（AC380V30A：</w:t>
            </w: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rPr>
              <w:t>套，AC380V60A：</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套），含漏电保护器，安装在输出控制柜上；</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移动线盘 ：共10套</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规格：30m×10mm²线缆，电压AC380V，数量5套</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规格：30m×10mm²线缆，电压AC220V，数量5套</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同时配备市电输入线缆盘： 1套</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满足照明灯供电使用</w:t>
            </w:r>
            <w:r>
              <w:rPr>
                <w:rFonts w:hint="eastAsia" w:ascii="仿宋" w:hAnsi="仿宋" w:eastAsia="仿宋" w:cs="仿宋"/>
                <w:color w:val="auto"/>
                <w:kern w:val="0"/>
                <w:sz w:val="21"/>
                <w:szCs w:val="21"/>
                <w:highlight w:val="none"/>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底盘随车工具 ：1套</w:t>
            </w:r>
            <w:r>
              <w:rPr>
                <w:rFonts w:hint="eastAsia" w:ascii="仿宋" w:hAnsi="仿宋" w:eastAsia="仿宋" w:cs="仿宋"/>
                <w:color w:val="auto"/>
                <w:kern w:val="0"/>
                <w:sz w:val="21"/>
                <w:szCs w:val="21"/>
                <w:highlight w:val="none"/>
                <w:lang w:eastAsia="zh-CN"/>
              </w:rPr>
              <w:t>；</w:t>
            </w:r>
          </w:p>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线材必须采用国标线；</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45" w:type="dxa"/>
            <w:vMerge w:val="restart"/>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整体要求</w:t>
            </w: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需协助用户完成地方牌照上牌工作；</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首保免费；</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bCs/>
                <w:color w:val="auto"/>
                <w:sz w:val="21"/>
                <w:szCs w:val="21"/>
                <w:highlight w:val="none"/>
                <w:lang w:val="en-US" w:eastAsia="zh-CN"/>
              </w:rPr>
            </w:pPr>
          </w:p>
        </w:tc>
        <w:tc>
          <w:tcPr>
            <w:tcW w:w="645" w:type="dxa"/>
            <w:vMerge w:val="continue"/>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b w:val="0"/>
                <w:bCs w:val="0"/>
                <w:color w:val="auto"/>
                <w:sz w:val="21"/>
                <w:szCs w:val="21"/>
                <w:highlight w:val="none"/>
                <w:lang w:val="en-US" w:eastAsia="zh-CN"/>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车辆外观整体涂装和所有制式标识应符合国家消防救援局最新要求；</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器材箱分割不能影响加油口、电瓶、油滤等底盘附件的维护保养；</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所有操作开关、仪表、器材架及车辆均有符合规范的中文防水标识标注；</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整车性能符合GB7956《消防车性能要求及试验方法》的规定；比功率符合国家法规要求；</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所有粘接保证一定的强度，符合国家相关标准；</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保养、维修时需拆卸的零、部件不得采用焊接或铆接方式联接；</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厂家提供整车售后服务以及承诺质保的项目和内容制成永久性铭牌贴在驾驶室显著位置；</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车上所有玻璃都要求使用有3C的安全玻璃；</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833"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45" w:type="dxa"/>
            <w:vMerge w:val="continue"/>
            <w:noWrap w:val="0"/>
            <w:vAlign w:val="center"/>
          </w:tcPr>
          <w:p>
            <w:pPr>
              <w:pStyle w:val="2"/>
              <w:keepNext w:val="0"/>
              <w:keepLines w:val="0"/>
              <w:pageBreakBefore w:val="0"/>
              <w:suppressLineNumbers w:val="0"/>
              <w:kinsoku/>
              <w:wordWrap/>
              <w:overflowPunct/>
              <w:topLinePunct w:val="0"/>
              <w:bidi w:val="0"/>
              <w:spacing w:before="0" w:beforeAutospacing="0" w:after="0" w:afterAutospacing="0" w:line="360" w:lineRule="auto"/>
              <w:ind w:left="0" w:right="0" w:firstLine="0"/>
              <w:jc w:val="center"/>
              <w:rPr>
                <w:rFonts w:hint="eastAsia" w:ascii="仿宋" w:hAnsi="仿宋" w:eastAsia="仿宋" w:cs="仿宋"/>
                <w:color w:val="auto"/>
                <w:sz w:val="21"/>
                <w:szCs w:val="21"/>
                <w:highlight w:val="none"/>
              </w:rPr>
            </w:pPr>
          </w:p>
        </w:tc>
        <w:tc>
          <w:tcPr>
            <w:tcW w:w="6934" w:type="dxa"/>
            <w:noWrap w:val="0"/>
            <w:vAlign w:val="top"/>
          </w:tcPr>
          <w:p>
            <w:pPr>
              <w:keepNext w:val="0"/>
              <w:keepLines w:val="0"/>
              <w:pageBreakBefore w:val="0"/>
              <w:suppressLineNumbers w:val="0"/>
              <w:kinsoku/>
              <w:wordWrap/>
              <w:overflowPunct/>
              <w:topLinePunct w:val="0"/>
              <w:bidi w:val="0"/>
              <w:spacing w:before="0" w:beforeAutospacing="0" w:after="0" w:afterAutospacing="0" w:line="360" w:lineRule="auto"/>
              <w:ind w:left="0" w:right="0"/>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所有焊接牢固、光洁、平整、无锈迹，符合国家相关标准。</w:t>
            </w:r>
          </w:p>
        </w:tc>
        <w:tc>
          <w:tcPr>
            <w:tcW w:w="885" w:type="dxa"/>
            <w:vMerge w:val="continue"/>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jc w:val="center"/>
              <w:rPr>
                <w:rFonts w:hint="eastAsia" w:ascii="仿宋" w:hAnsi="仿宋" w:eastAsia="仿宋" w:cs="仿宋"/>
                <w:color w:val="auto"/>
                <w:kern w:val="0"/>
                <w:sz w:val="21"/>
                <w:szCs w:val="21"/>
                <w:highlight w:val="none"/>
              </w:rPr>
            </w:pPr>
          </w:p>
        </w:tc>
      </w:tr>
    </w:tbl>
    <w:p>
      <w:pPr>
        <w:pageBreakBefore w:val="0"/>
        <w:kinsoku/>
        <w:wordWrap/>
        <w:overflowPunct/>
        <w:topLinePunct w:val="0"/>
        <w:bidi w:val="0"/>
        <w:spacing w:afterAutospacing="0" w:line="360" w:lineRule="auto"/>
        <w:jc w:val="left"/>
        <w:outlineLvl w:val="0"/>
        <w:rPr>
          <w:rFonts w:hint="eastAsia" w:ascii="黑体" w:hAnsi="黑体" w:eastAsia="黑体" w:cs="黑体"/>
          <w:b w:val="0"/>
          <w:bCs/>
          <w:color w:val="auto"/>
          <w:sz w:val="32"/>
          <w:szCs w:val="32"/>
          <w:highlight w:val="none"/>
          <w:lang w:val="en-US" w:eastAsia="zh-CN"/>
        </w:rPr>
      </w:pPr>
    </w:p>
    <w:p>
      <w:pPr>
        <w:pageBreakBefore w:val="0"/>
        <w:kinsoku/>
        <w:wordWrap/>
        <w:overflowPunct/>
        <w:topLinePunct w:val="0"/>
        <w:bidi w:val="0"/>
        <w:spacing w:afterAutospacing="0" w:line="360" w:lineRule="auto"/>
        <w:jc w:val="left"/>
        <w:outlineLvl w:val="0"/>
        <w:rPr>
          <w:rFonts w:hint="eastAsia" w:ascii="黑体" w:hAnsi="黑体" w:eastAsia="黑体" w:cs="黑体"/>
          <w:b w:val="0"/>
          <w:bCs/>
          <w:color w:val="auto"/>
          <w:sz w:val="24"/>
          <w:szCs w:val="24"/>
          <w:highlight w:val="none"/>
          <w:lang w:val="en-US" w:eastAsia="zh-CN"/>
        </w:rPr>
      </w:pPr>
      <w:r>
        <w:rPr>
          <w:rFonts w:hint="eastAsia" w:ascii="黑体" w:hAnsi="黑体" w:eastAsia="黑体" w:cs="黑体"/>
          <w:b w:val="0"/>
          <w:bCs/>
          <w:color w:val="auto"/>
          <w:sz w:val="24"/>
          <w:szCs w:val="24"/>
          <w:highlight w:val="none"/>
          <w:lang w:val="en-US" w:eastAsia="zh-CN"/>
        </w:rPr>
        <w:t>2.6后勤保障车（运兵车）</w:t>
      </w:r>
    </w:p>
    <w:tbl>
      <w:tblPr>
        <w:tblStyle w:val="63"/>
        <w:tblW w:w="8685" w:type="dxa"/>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3"/>
        <w:gridCol w:w="705"/>
        <w:gridCol w:w="6232"/>
        <w:gridCol w:w="9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i w:val="0"/>
                <w:iCs w:val="0"/>
                <w:color w:val="auto"/>
                <w:kern w:val="0"/>
                <w:sz w:val="21"/>
                <w:szCs w:val="21"/>
                <w:highlight w:val="none"/>
                <w:u w:val="none"/>
                <w:lang w:val="en-US" w:eastAsia="zh-CN" w:bidi="ar"/>
              </w:rPr>
              <w:t>装备名称</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val="0"/>
                <w:bCs w:val="0"/>
                <w:i w:val="0"/>
                <w:iCs w:val="0"/>
                <w:color w:val="auto"/>
                <w:sz w:val="21"/>
                <w:szCs w:val="21"/>
                <w:highlight w:val="none"/>
                <w:u w:val="none"/>
              </w:rPr>
            </w:pPr>
            <w:r>
              <w:rPr>
                <w:rFonts w:hint="eastAsia" w:ascii="仿宋" w:hAnsi="仿宋" w:eastAsia="仿宋" w:cs="仿宋"/>
                <w:b/>
                <w:bCs/>
                <w:color w:val="auto"/>
                <w:sz w:val="21"/>
                <w:szCs w:val="21"/>
                <w:highlight w:val="none"/>
                <w:lang w:val="en-US" w:eastAsia="zh-CN"/>
              </w:rPr>
              <w:t>名称</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color w:val="auto"/>
                <w:sz w:val="21"/>
                <w:szCs w:val="21"/>
                <w:highlight w:val="none"/>
                <w:lang w:val="en-US" w:eastAsia="zh-CN"/>
              </w:rPr>
              <w:t>详细性能参数</w:t>
            </w:r>
          </w:p>
        </w:tc>
        <w:tc>
          <w:tcPr>
            <w:tcW w:w="9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contextualSpacing/>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数量（辆）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4" w:hRule="atLeast"/>
        </w:trPr>
        <w:tc>
          <w:tcPr>
            <w:tcW w:w="833" w:type="dxa"/>
            <w:vMerge w:val="restart"/>
            <w:tcBorders>
              <w:top w:val="single" w:color="000000" w:sz="4" w:space="0"/>
              <w:left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r>
              <w:rPr>
                <w:rFonts w:hint="eastAsia" w:ascii="仿宋" w:hAnsi="仿宋" w:eastAsia="仿宋" w:cs="仿宋"/>
                <w:b w:val="0"/>
                <w:bCs/>
                <w:color w:val="auto"/>
                <w:sz w:val="21"/>
                <w:szCs w:val="21"/>
                <w:highlight w:val="none"/>
                <w:lang w:val="en-US" w:eastAsia="zh-CN"/>
              </w:rPr>
              <w:t>后勤保障车（运兵车）</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基础参数</w:t>
            </w:r>
          </w:p>
        </w:tc>
        <w:tc>
          <w:tcPr>
            <w:tcW w:w="623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整车尺寸：长×宽×高≥8100mm×2530mm×3300mm；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车厢内高：≥1920mm；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轴距：≥3800mm；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接近角/离去角≥8/8°；</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最小离地间隙≥180mm；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前轮距≥2090mm；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后轮距≥1800mm；</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额定功率≥160kW；</w:t>
            </w:r>
          </w:p>
          <w:p>
            <w:pPr>
              <w:keepNext w:val="0"/>
              <w:keepLines w:val="0"/>
              <w:widowControl/>
              <w:suppressLineNumbers w:val="0"/>
              <w:spacing w:line="360" w:lineRule="auto"/>
              <w:jc w:val="left"/>
              <w:textAlignment w:val="center"/>
              <w:rPr>
                <w:rFonts w:hint="eastAsia" w:ascii="仿宋" w:hAnsi="仿宋" w:eastAsia="仿宋" w:cs="仿宋"/>
                <w:color w:val="auto"/>
                <w:sz w:val="21"/>
                <w:szCs w:val="21"/>
                <w:highlight w:val="none"/>
                <w:lang w:val="en-US" w:eastAsia="zh-CN"/>
              </w:rPr>
            </w:pPr>
            <w:r>
              <w:rPr>
                <w:rStyle w:val="516"/>
                <w:rFonts w:hint="eastAsia" w:ascii="仿宋" w:hAnsi="仿宋" w:eastAsia="仿宋" w:cs="仿宋"/>
                <w:i w:val="0"/>
                <w:iCs w:val="0"/>
                <w:color w:val="auto"/>
                <w:sz w:val="21"/>
                <w:szCs w:val="21"/>
                <w:highlight w:val="none"/>
                <w:lang w:val="en-US" w:eastAsia="zh-CN" w:bidi="ar"/>
              </w:rPr>
              <w:t>载客数≥34人。</w:t>
            </w:r>
          </w:p>
        </w:tc>
        <w:tc>
          <w:tcPr>
            <w:tcW w:w="915" w:type="dxa"/>
            <w:vMerge w:val="restart"/>
            <w:tcBorders>
              <w:top w:val="single" w:color="000000" w:sz="4" w:space="0"/>
              <w:left w:val="single" w:color="000000" w:sz="4" w:space="0"/>
              <w:right w:val="single" w:color="000000" w:sz="4" w:space="0"/>
            </w:tcBorders>
            <w:shd w:val="clear" w:color="auto" w:fill="FFFFFF"/>
            <w:noWrap w:val="0"/>
            <w:vAlign w:val="center"/>
          </w:tcPr>
          <w:p>
            <w:pPr>
              <w:keepNext w:val="0"/>
              <w:keepLines w:val="0"/>
              <w:widowControl/>
              <w:suppressLineNumbers w:val="0"/>
              <w:spacing w:line="360" w:lineRule="auto"/>
              <w:jc w:val="center"/>
              <w:textAlignment w:val="center"/>
              <w:rPr>
                <w:rStyle w:val="516"/>
                <w:rFonts w:hint="default"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发动机参数</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排量</w:t>
            </w:r>
            <w:r>
              <w:rPr>
                <w:rStyle w:val="295"/>
                <w:rFonts w:hint="eastAsia" w:ascii="仿宋" w:hAnsi="仿宋" w:eastAsia="仿宋" w:cs="仿宋"/>
                <w:color w:val="auto"/>
                <w:sz w:val="21"/>
                <w:szCs w:val="21"/>
                <w:highlight w:val="none"/>
                <w:lang w:val="en-US" w:eastAsia="zh-CN" w:bidi="ar"/>
              </w:rPr>
              <w:t>：</w:t>
            </w:r>
            <w:r>
              <w:rPr>
                <w:rFonts w:hint="eastAsia" w:ascii="仿宋" w:hAnsi="仿宋" w:eastAsia="仿宋" w:cs="仿宋"/>
                <w:i w:val="0"/>
                <w:iCs w:val="0"/>
                <w:color w:val="auto"/>
                <w:kern w:val="0"/>
                <w:sz w:val="21"/>
                <w:szCs w:val="21"/>
                <w:highlight w:val="none"/>
                <w:u w:val="none"/>
                <w:lang w:val="en-US" w:eastAsia="zh-CN" w:bidi="ar"/>
              </w:rPr>
              <w:t>≥5.0</w:t>
            </w:r>
            <w:r>
              <w:rPr>
                <w:rStyle w:val="295"/>
                <w:rFonts w:hint="eastAsia" w:ascii="仿宋" w:hAnsi="仿宋" w:eastAsia="仿宋" w:cs="仿宋"/>
                <w:color w:val="auto"/>
                <w:sz w:val="21"/>
                <w:szCs w:val="21"/>
                <w:highlight w:val="none"/>
                <w:lang w:val="en-US" w:eastAsia="zh-CN" w:bidi="ar"/>
              </w:rPr>
              <w:t>L；</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排放标准：国六排放标准；</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发动机形式：</w:t>
            </w:r>
            <w:r>
              <w:rPr>
                <w:rFonts w:hint="eastAsia" w:ascii="仿宋" w:hAnsi="仿宋" w:eastAsia="仿宋" w:cs="仿宋"/>
                <w:i w:val="0"/>
                <w:iCs w:val="0"/>
                <w:color w:val="auto"/>
                <w:kern w:val="0"/>
                <w:sz w:val="21"/>
                <w:szCs w:val="21"/>
                <w:highlight w:val="none"/>
                <w:u w:val="none"/>
                <w:lang w:val="en-US" w:eastAsia="zh-CN" w:bidi="ar"/>
              </w:rPr>
              <w:t>直列增压中冷发动机；</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516"/>
                <w:rFonts w:hint="eastAsia" w:ascii="仿宋" w:hAnsi="仿宋" w:eastAsia="仿宋" w:cs="仿宋"/>
                <w:color w:val="auto"/>
                <w:sz w:val="21"/>
                <w:szCs w:val="21"/>
                <w:highlight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70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Fonts w:hint="eastAsia" w:ascii="仿宋" w:hAnsi="仿宋" w:eastAsia="仿宋" w:cs="仿宋"/>
                <w:b w:val="0"/>
                <w:bCs w:val="0"/>
                <w:i w:val="0"/>
                <w:iCs w:val="0"/>
                <w:color w:val="auto"/>
                <w:kern w:val="0"/>
                <w:sz w:val="21"/>
                <w:szCs w:val="21"/>
                <w:highlight w:val="none"/>
                <w:u w:val="none"/>
                <w:lang w:val="en-US" w:eastAsia="zh-CN" w:bidi="ar"/>
              </w:rPr>
              <w:t>底盘参数</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悬架系统：板簧悬架；</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离合器：推式离合器；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变速器：</w:t>
            </w:r>
            <w:r>
              <w:rPr>
                <w:rStyle w:val="516"/>
                <w:rFonts w:hint="eastAsia" w:ascii="仿宋" w:hAnsi="仿宋" w:eastAsia="仿宋" w:cs="仿宋"/>
                <w:color w:val="auto"/>
                <w:sz w:val="21"/>
                <w:szCs w:val="21"/>
                <w:highlight w:val="none"/>
                <w:lang w:val="en-US" w:eastAsia="zh-CN" w:bidi="ar"/>
              </w:rPr>
              <w:t>六挡手动变速器；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车桥：前盘后盘，国产盘式制动器，前后桥一体化轴承单元，优先采用整车厂所供车桥；</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热管理：有智能控制冷却系统；</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轮胎：真空轮胎，型号：255/70R22．5；</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轮辋：钢制轮辋；</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燃料箱</w:t>
            </w:r>
            <w:r>
              <w:rPr>
                <w:rStyle w:val="516"/>
                <w:rFonts w:hint="eastAsia" w:ascii="仿宋" w:hAnsi="仿宋" w:eastAsia="仿宋" w:cs="仿宋"/>
                <w:color w:val="auto"/>
                <w:sz w:val="21"/>
                <w:szCs w:val="21"/>
                <w:highlight w:val="none"/>
                <w:lang w:val="en-US" w:eastAsia="zh-CN" w:bidi="ar"/>
              </w:rPr>
              <w:t>≥</w:t>
            </w:r>
            <w:r>
              <w:rPr>
                <w:rStyle w:val="295"/>
                <w:rFonts w:hint="eastAsia" w:ascii="仿宋" w:hAnsi="仿宋" w:eastAsia="仿宋" w:cs="仿宋"/>
                <w:color w:val="auto"/>
                <w:sz w:val="21"/>
                <w:szCs w:val="21"/>
                <w:highlight w:val="none"/>
                <w:lang w:val="en-US" w:eastAsia="zh-CN" w:bidi="ar"/>
              </w:rPr>
              <w:t>260L</w:t>
            </w:r>
            <w:r>
              <w:rPr>
                <w:rStyle w:val="516"/>
                <w:rFonts w:hint="eastAsia" w:ascii="仿宋" w:hAnsi="仿宋" w:eastAsia="仿宋" w:cs="仿宋"/>
                <w:color w:val="auto"/>
                <w:sz w:val="21"/>
                <w:szCs w:val="21"/>
                <w:highlight w:val="none"/>
                <w:lang w:val="en-US" w:eastAsia="zh-CN" w:bidi="ar"/>
              </w:rPr>
              <w:t>塑料油箱；</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电子稳定控制系统：ABS。</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内饰要求</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应急门配置：有应急门(左侧)</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8"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外饰要求</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乘客门配置：钢化玻璃外摆门；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司机窗：单层后活动内嵌式司机窗；</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行李舱门：手动上翻门。</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座椅配置</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司机椅：三点式气囊减震司机椅；</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乘客座椅</w:t>
            </w:r>
            <w:r>
              <w:rPr>
                <w:rStyle w:val="295"/>
                <w:rFonts w:hint="eastAsia" w:ascii="仿宋" w:hAnsi="仿宋" w:eastAsia="仿宋" w:cs="仿宋"/>
                <w:color w:val="auto"/>
                <w:sz w:val="21"/>
                <w:szCs w:val="21"/>
                <w:highlight w:val="none"/>
                <w:lang w:val="en-US" w:eastAsia="zh-CN" w:bidi="ar"/>
              </w:rPr>
              <w:t>+</w:t>
            </w:r>
            <w:r>
              <w:rPr>
                <w:rStyle w:val="516"/>
                <w:rFonts w:hint="eastAsia" w:ascii="仿宋" w:hAnsi="仿宋" w:eastAsia="仿宋" w:cs="仿宋"/>
                <w:color w:val="auto"/>
                <w:sz w:val="21"/>
                <w:szCs w:val="21"/>
                <w:highlight w:val="none"/>
                <w:lang w:val="en-US" w:eastAsia="zh-CN" w:bidi="ar"/>
              </w:rPr>
              <w:t>司机椅数量≥30</w:t>
            </w:r>
            <w:r>
              <w:rPr>
                <w:rStyle w:val="295"/>
                <w:rFonts w:hint="eastAsia" w:ascii="仿宋" w:hAnsi="仿宋" w:eastAsia="仿宋" w:cs="仿宋"/>
                <w:color w:val="auto"/>
                <w:sz w:val="21"/>
                <w:szCs w:val="21"/>
                <w:highlight w:val="none"/>
                <w:lang w:val="en-US" w:eastAsia="zh-CN" w:bidi="ar"/>
              </w:rPr>
              <w:t>+1</w:t>
            </w:r>
            <w:r>
              <w:rPr>
                <w:rStyle w:val="516"/>
                <w:rFonts w:hint="eastAsia" w:ascii="仿宋" w:hAnsi="仿宋" w:eastAsia="仿宋" w:cs="仿宋"/>
                <w:color w:val="auto"/>
                <w:sz w:val="21"/>
                <w:szCs w:val="21"/>
                <w:highlight w:val="none"/>
                <w:lang w:val="en-US" w:eastAsia="zh-CN" w:bidi="ar"/>
              </w:rPr>
              <w:t>座；</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乘客椅：靠背可调、可横移，PVC面料，优先采用整车厂所供座椅；</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乘客椅安全带：两点式卷收安全带。</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8"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空气调节系统</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空调：</w:t>
            </w:r>
            <w:r>
              <w:rPr>
                <w:rStyle w:val="516"/>
                <w:rFonts w:hint="eastAsia" w:ascii="仿宋" w:hAnsi="仿宋" w:eastAsia="仿宋" w:cs="仿宋"/>
                <w:color w:val="auto"/>
                <w:sz w:val="21"/>
                <w:szCs w:val="21"/>
                <w:highlight w:val="none"/>
                <w:lang w:val="en-US" w:eastAsia="zh-CN" w:bidi="ar"/>
              </w:rPr>
              <w:t>制冷量≥20000</w:t>
            </w:r>
            <w:r>
              <w:rPr>
                <w:rStyle w:val="295"/>
                <w:rFonts w:hint="eastAsia" w:ascii="仿宋" w:hAnsi="仿宋" w:eastAsia="仿宋" w:cs="仿宋"/>
                <w:color w:val="auto"/>
                <w:sz w:val="21"/>
                <w:szCs w:val="21"/>
                <w:highlight w:val="none"/>
                <w:lang w:val="en-US" w:eastAsia="zh-CN" w:bidi="ar"/>
              </w:rPr>
              <w:t>KCal/h</w:t>
            </w:r>
            <w:r>
              <w:rPr>
                <w:rStyle w:val="516"/>
                <w:rFonts w:hint="eastAsia" w:ascii="仿宋" w:hAnsi="仿宋" w:eastAsia="仿宋" w:cs="仿宋"/>
                <w:color w:val="auto"/>
                <w:sz w:val="21"/>
                <w:szCs w:val="21"/>
                <w:highlight w:val="none"/>
                <w:lang w:val="en-US" w:eastAsia="zh-CN" w:bidi="ar"/>
              </w:rPr>
              <w:t>，优先采用整车厂所供空调；</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取暖装置：非独立水暖＋水暖除霜+驾驶区取暖器；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除霜器配置：大功率水暖除霜（内、外进风）。</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4"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整车附件</w:t>
            </w:r>
          </w:p>
        </w:tc>
        <w:tc>
          <w:tcPr>
            <w:tcW w:w="6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外后视镜：电动兔耳外后视镜；</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窗帘配置：软布窗帘；</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遮阳帘：</w:t>
            </w:r>
            <w:r>
              <w:rPr>
                <w:rStyle w:val="516"/>
                <w:rFonts w:hint="eastAsia" w:ascii="仿宋" w:hAnsi="仿宋" w:eastAsia="仿宋" w:cs="仿宋"/>
                <w:color w:val="auto"/>
                <w:sz w:val="21"/>
                <w:szCs w:val="21"/>
                <w:highlight w:val="none"/>
                <w:lang w:val="en-US" w:eastAsia="zh-CN" w:bidi="ar"/>
              </w:rPr>
              <w:t>前风挡双半幅遮阳帘</w:t>
            </w:r>
            <w:r>
              <w:rPr>
                <w:rStyle w:val="295"/>
                <w:rFonts w:hint="eastAsia" w:ascii="仿宋" w:hAnsi="仿宋" w:eastAsia="仿宋" w:cs="仿宋"/>
                <w:color w:val="auto"/>
                <w:sz w:val="21"/>
                <w:szCs w:val="21"/>
                <w:highlight w:val="none"/>
                <w:lang w:val="en-US" w:eastAsia="zh-CN" w:bidi="ar"/>
              </w:rPr>
              <w:t>+</w:t>
            </w:r>
            <w:r>
              <w:rPr>
                <w:rStyle w:val="516"/>
                <w:rFonts w:hint="eastAsia" w:ascii="仿宋" w:hAnsi="仿宋" w:eastAsia="仿宋" w:cs="仿宋"/>
                <w:color w:val="auto"/>
                <w:sz w:val="21"/>
                <w:szCs w:val="21"/>
                <w:highlight w:val="none"/>
                <w:lang w:val="en-US" w:eastAsia="zh-CN" w:bidi="ar"/>
              </w:rPr>
              <w:t>司机窗遮阳帘；</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顶风窗配置</w:t>
            </w:r>
            <w:r>
              <w:rPr>
                <w:rStyle w:val="516"/>
                <w:rFonts w:hint="eastAsia" w:ascii="仿宋" w:hAnsi="仿宋" w:eastAsia="仿宋" w:cs="仿宋"/>
                <w:color w:val="auto"/>
                <w:sz w:val="21"/>
                <w:szCs w:val="21"/>
                <w:highlight w:val="none"/>
                <w:lang w:val="en-US" w:eastAsia="zh-CN" w:bidi="ar"/>
              </w:rPr>
              <w:t>≥</w:t>
            </w:r>
            <w:r>
              <w:rPr>
                <w:rStyle w:val="295"/>
                <w:rFonts w:hint="eastAsia" w:ascii="仿宋" w:hAnsi="仿宋" w:eastAsia="仿宋" w:cs="仿宋"/>
                <w:color w:val="auto"/>
                <w:sz w:val="21"/>
                <w:szCs w:val="21"/>
                <w:highlight w:val="none"/>
                <w:lang w:val="en-US" w:eastAsia="zh-CN" w:bidi="ar"/>
              </w:rPr>
              <w:t>1</w:t>
            </w:r>
            <w:r>
              <w:rPr>
                <w:rStyle w:val="516"/>
                <w:rFonts w:hint="eastAsia" w:ascii="仿宋" w:hAnsi="仿宋" w:eastAsia="仿宋" w:cs="仿宋"/>
                <w:color w:val="auto"/>
                <w:sz w:val="21"/>
                <w:szCs w:val="21"/>
                <w:highlight w:val="none"/>
                <w:lang w:val="en-US" w:eastAsia="zh-CN" w:bidi="ar"/>
              </w:rPr>
              <w:t>个带换气扇顶风窗；</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灭火器</w:t>
            </w:r>
            <w:r>
              <w:rPr>
                <w:rStyle w:val="516"/>
                <w:rFonts w:hint="eastAsia" w:ascii="仿宋" w:hAnsi="仿宋" w:eastAsia="仿宋" w:cs="仿宋"/>
                <w:color w:val="auto"/>
                <w:sz w:val="21"/>
                <w:szCs w:val="21"/>
                <w:highlight w:val="none"/>
                <w:lang w:val="en-US" w:eastAsia="zh-CN" w:bidi="ar"/>
              </w:rPr>
              <w:t>≥</w:t>
            </w:r>
            <w:r>
              <w:rPr>
                <w:rStyle w:val="295"/>
                <w:rFonts w:hint="eastAsia" w:ascii="仿宋" w:hAnsi="仿宋" w:eastAsia="仿宋" w:cs="仿宋"/>
                <w:color w:val="auto"/>
                <w:sz w:val="21"/>
                <w:szCs w:val="21"/>
                <w:highlight w:val="none"/>
                <w:lang w:val="en-US" w:eastAsia="zh-CN" w:bidi="ar"/>
              </w:rPr>
              <w:t>2</w:t>
            </w:r>
            <w:r>
              <w:rPr>
                <w:rStyle w:val="516"/>
                <w:rFonts w:hint="eastAsia" w:ascii="仿宋" w:hAnsi="仿宋" w:eastAsia="仿宋" w:cs="仿宋"/>
                <w:color w:val="auto"/>
                <w:sz w:val="21"/>
                <w:szCs w:val="21"/>
                <w:highlight w:val="none"/>
                <w:lang w:val="en-US" w:eastAsia="zh-CN" w:bidi="ar"/>
              </w:rPr>
              <w:t>个</w:t>
            </w:r>
            <w:r>
              <w:rPr>
                <w:rStyle w:val="295"/>
                <w:rFonts w:hint="eastAsia" w:ascii="仿宋" w:hAnsi="仿宋" w:eastAsia="仿宋" w:cs="仿宋"/>
                <w:color w:val="auto"/>
                <w:sz w:val="21"/>
                <w:szCs w:val="21"/>
                <w:highlight w:val="none"/>
                <w:lang w:val="en-US" w:eastAsia="zh-CN" w:bidi="ar"/>
              </w:rPr>
              <w:t>4kg</w:t>
            </w:r>
            <w:r>
              <w:rPr>
                <w:rStyle w:val="516"/>
                <w:rFonts w:hint="eastAsia" w:ascii="仿宋" w:hAnsi="仿宋" w:eastAsia="仿宋" w:cs="仿宋"/>
                <w:color w:val="auto"/>
                <w:sz w:val="21"/>
                <w:szCs w:val="21"/>
                <w:highlight w:val="none"/>
                <w:lang w:val="en-US" w:eastAsia="zh-CN" w:bidi="ar"/>
              </w:rPr>
              <w:t>干粉灭火器；</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灭火弹：</w:t>
            </w:r>
            <w:r>
              <w:rPr>
                <w:rStyle w:val="516"/>
                <w:rFonts w:hint="eastAsia" w:ascii="仿宋" w:hAnsi="仿宋" w:eastAsia="仿宋" w:cs="仿宋"/>
                <w:color w:val="auto"/>
                <w:sz w:val="21"/>
                <w:szCs w:val="21"/>
                <w:highlight w:val="none"/>
                <w:lang w:val="en-US" w:eastAsia="zh-CN" w:bidi="ar"/>
              </w:rPr>
              <w:t>发动机舱内安装≥</w:t>
            </w:r>
            <w:r>
              <w:rPr>
                <w:rStyle w:val="295"/>
                <w:rFonts w:hint="eastAsia" w:ascii="仿宋" w:hAnsi="仿宋" w:eastAsia="仿宋" w:cs="仿宋"/>
                <w:color w:val="auto"/>
                <w:sz w:val="21"/>
                <w:szCs w:val="21"/>
                <w:highlight w:val="none"/>
                <w:lang w:val="en-US" w:eastAsia="zh-CN" w:bidi="ar"/>
              </w:rPr>
              <w:t>1</w:t>
            </w:r>
            <w:r>
              <w:rPr>
                <w:rStyle w:val="516"/>
                <w:rFonts w:hint="eastAsia" w:ascii="仿宋" w:hAnsi="仿宋" w:eastAsia="仿宋" w:cs="仿宋"/>
                <w:color w:val="auto"/>
                <w:sz w:val="21"/>
                <w:szCs w:val="21"/>
                <w:highlight w:val="none"/>
                <w:lang w:val="en-US" w:eastAsia="zh-CN" w:bidi="ar"/>
              </w:rPr>
              <w:t>个自动灭火弹；</w:t>
            </w:r>
          </w:p>
          <w:p>
            <w:pPr>
              <w:keepNext w:val="0"/>
              <w:keepLines w:val="0"/>
              <w:widowControl/>
              <w:suppressLineNumbers w:val="0"/>
              <w:spacing w:line="360" w:lineRule="auto"/>
              <w:jc w:val="left"/>
              <w:textAlignment w:val="center"/>
              <w:rPr>
                <w:rStyle w:val="516"/>
                <w:rFonts w:hint="eastAsia" w:ascii="仿宋" w:hAnsi="仿宋" w:eastAsia="仿宋" w:cs="仿宋"/>
                <w:color w:val="auto"/>
                <w:sz w:val="21"/>
                <w:szCs w:val="21"/>
                <w:highlight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安全锤</w:t>
            </w:r>
            <w:r>
              <w:rPr>
                <w:rStyle w:val="516"/>
                <w:rFonts w:hint="eastAsia" w:ascii="仿宋" w:hAnsi="仿宋" w:eastAsia="仿宋" w:cs="仿宋"/>
                <w:color w:val="auto"/>
                <w:sz w:val="21"/>
                <w:szCs w:val="21"/>
                <w:highlight w:val="none"/>
                <w:lang w:val="en-US" w:eastAsia="zh-CN" w:bidi="ar"/>
              </w:rPr>
              <w:t>≥</w:t>
            </w:r>
            <w:r>
              <w:rPr>
                <w:rStyle w:val="295"/>
                <w:rFonts w:hint="eastAsia" w:ascii="仿宋" w:hAnsi="仿宋" w:eastAsia="仿宋" w:cs="仿宋"/>
                <w:color w:val="auto"/>
                <w:sz w:val="21"/>
                <w:szCs w:val="21"/>
                <w:highlight w:val="none"/>
                <w:lang w:val="en-US" w:eastAsia="zh-CN" w:bidi="ar"/>
              </w:rPr>
              <w:t>5</w:t>
            </w:r>
            <w:r>
              <w:rPr>
                <w:rStyle w:val="516"/>
                <w:rFonts w:hint="eastAsia" w:ascii="仿宋" w:hAnsi="仿宋" w:eastAsia="仿宋" w:cs="仿宋"/>
                <w:color w:val="auto"/>
                <w:sz w:val="21"/>
                <w:szCs w:val="21"/>
                <w:highlight w:val="none"/>
                <w:lang w:val="en-US" w:eastAsia="zh-CN" w:bidi="ar"/>
              </w:rPr>
              <w:t>把防盗警报安全锤（其中司机处</w:t>
            </w:r>
            <w:r>
              <w:rPr>
                <w:rStyle w:val="295"/>
                <w:rFonts w:hint="eastAsia" w:ascii="仿宋" w:hAnsi="仿宋" w:eastAsia="仿宋" w:cs="仿宋"/>
                <w:color w:val="auto"/>
                <w:sz w:val="21"/>
                <w:szCs w:val="21"/>
                <w:highlight w:val="none"/>
                <w:lang w:val="en-US" w:eastAsia="zh-CN" w:bidi="ar"/>
              </w:rPr>
              <w:t>1</w:t>
            </w:r>
            <w:r>
              <w:rPr>
                <w:rStyle w:val="516"/>
                <w:rFonts w:hint="eastAsia" w:ascii="仿宋" w:hAnsi="仿宋" w:eastAsia="仿宋" w:cs="仿宋"/>
                <w:color w:val="auto"/>
                <w:sz w:val="21"/>
                <w:szCs w:val="21"/>
                <w:highlight w:val="none"/>
                <w:lang w:val="en-US" w:eastAsia="zh-CN" w:bidi="ar"/>
              </w:rPr>
              <w:t>把）；</w:t>
            </w:r>
          </w:p>
          <w:p>
            <w:pPr>
              <w:pStyle w:val="2"/>
              <w:ind w:left="0" w:leftChars="0"/>
              <w:rPr>
                <w:rFonts w:hint="eastAsia"/>
                <w:color w:val="auto"/>
                <w:highlight w:val="none"/>
              </w:rPr>
            </w:pPr>
            <w:r>
              <w:rPr>
                <w:rStyle w:val="516"/>
                <w:rFonts w:hint="eastAsia" w:ascii="仿宋" w:hAnsi="仿宋" w:eastAsia="仿宋" w:cs="仿宋"/>
                <w:color w:val="auto"/>
                <w:sz w:val="21"/>
                <w:szCs w:val="21"/>
                <w:highlight w:val="none"/>
                <w:lang w:val="en-US" w:eastAsia="zh-CN" w:bidi="ar"/>
              </w:rPr>
              <w:t>加装：车载无人机起降平台、车载可视化云台。</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5" w:hRule="atLeast"/>
        </w:trPr>
        <w:tc>
          <w:tcPr>
            <w:tcW w:w="833"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Style w:val="296"/>
                <w:rFonts w:hint="eastAsia" w:ascii="仿宋" w:hAnsi="仿宋" w:eastAsia="仿宋" w:cs="仿宋"/>
                <w:color w:val="auto"/>
                <w:sz w:val="21"/>
                <w:szCs w:val="21"/>
                <w:highlight w:val="none"/>
                <w:lang w:val="en-US" w:eastAsia="zh-CN" w:bidi="ar"/>
              </w:rPr>
            </w:pPr>
          </w:p>
        </w:tc>
        <w:tc>
          <w:tcPr>
            <w:tcW w:w="70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Style w:val="296"/>
                <w:rFonts w:hint="eastAsia" w:ascii="仿宋" w:hAnsi="仿宋" w:eastAsia="仿宋" w:cs="仿宋"/>
                <w:color w:val="auto"/>
                <w:sz w:val="21"/>
                <w:szCs w:val="21"/>
                <w:highlight w:val="none"/>
                <w:lang w:val="en-US" w:eastAsia="zh-CN" w:bidi="ar"/>
              </w:rPr>
              <w:t>电器配置</w:t>
            </w:r>
          </w:p>
        </w:tc>
        <w:tc>
          <w:tcPr>
            <w:tcW w:w="6232"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spacing w:line="360" w:lineRule="auto"/>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内顶灯：顶置厢灯；</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通风抑菌装置：有通风换气联动功能；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发动机舱体温度报警装置：有发动机舱温报警；</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终端：北斗／</w:t>
            </w:r>
            <w:r>
              <w:rPr>
                <w:rStyle w:val="295"/>
                <w:rFonts w:hint="eastAsia" w:ascii="仿宋" w:hAnsi="仿宋" w:eastAsia="仿宋" w:cs="仿宋"/>
                <w:color w:val="auto"/>
                <w:sz w:val="21"/>
                <w:szCs w:val="21"/>
                <w:highlight w:val="none"/>
                <w:lang w:val="en-US" w:eastAsia="zh-CN" w:bidi="ar"/>
              </w:rPr>
              <w:t>GPS</w:t>
            </w:r>
            <w:r>
              <w:rPr>
                <w:rStyle w:val="516"/>
                <w:rFonts w:hint="eastAsia" w:ascii="仿宋" w:hAnsi="仿宋" w:eastAsia="仿宋" w:cs="仿宋"/>
                <w:color w:val="auto"/>
                <w:sz w:val="21"/>
                <w:szCs w:val="21"/>
                <w:highlight w:val="none"/>
                <w:lang w:val="en-US" w:eastAsia="zh-CN" w:bidi="ar"/>
              </w:rPr>
              <w:t>双模行车记录仪；</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出风口：有空调出风口；</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车辆限速：有发动机ECU限速（100km／h，有超速报警功能）；</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295"/>
                <w:rFonts w:hint="eastAsia" w:ascii="仿宋" w:hAnsi="仿宋" w:eastAsia="仿宋" w:cs="仿宋"/>
                <w:color w:val="auto"/>
                <w:sz w:val="21"/>
                <w:szCs w:val="21"/>
                <w:highlight w:val="none"/>
                <w:lang w:val="en-US" w:eastAsia="zh-CN" w:bidi="ar"/>
              </w:rPr>
              <w:t>USB</w:t>
            </w:r>
            <w:r>
              <w:rPr>
                <w:rStyle w:val="516"/>
                <w:rFonts w:hint="eastAsia" w:ascii="仿宋" w:hAnsi="仿宋" w:eastAsia="仿宋" w:cs="仿宋"/>
                <w:color w:val="auto"/>
                <w:sz w:val="21"/>
                <w:szCs w:val="21"/>
                <w:highlight w:val="none"/>
                <w:lang w:val="en-US" w:eastAsia="zh-CN" w:bidi="ar"/>
              </w:rPr>
              <w:t>手机充电器接口：驾驶区</w:t>
            </w:r>
            <w:r>
              <w:rPr>
                <w:rStyle w:val="295"/>
                <w:rFonts w:hint="eastAsia" w:ascii="仿宋" w:hAnsi="仿宋" w:eastAsia="仿宋" w:cs="仿宋"/>
                <w:color w:val="auto"/>
                <w:sz w:val="21"/>
                <w:szCs w:val="21"/>
                <w:highlight w:val="none"/>
                <w:lang w:val="en-US" w:eastAsia="zh-CN" w:bidi="ar"/>
              </w:rPr>
              <w:t>1</w:t>
            </w:r>
            <w:r>
              <w:rPr>
                <w:rStyle w:val="516"/>
                <w:rFonts w:hint="eastAsia" w:ascii="仿宋" w:hAnsi="仿宋" w:eastAsia="仿宋" w:cs="仿宋"/>
                <w:color w:val="auto"/>
                <w:sz w:val="21"/>
                <w:szCs w:val="21"/>
                <w:highlight w:val="none"/>
                <w:lang w:val="en-US" w:eastAsia="zh-CN" w:bidi="ar"/>
              </w:rPr>
              <w:t>个</w:t>
            </w:r>
            <w:r>
              <w:rPr>
                <w:rStyle w:val="295"/>
                <w:rFonts w:hint="eastAsia" w:ascii="仿宋" w:hAnsi="仿宋" w:eastAsia="仿宋" w:cs="仿宋"/>
                <w:color w:val="auto"/>
                <w:sz w:val="21"/>
                <w:szCs w:val="21"/>
                <w:highlight w:val="none"/>
                <w:lang w:val="en-US" w:eastAsia="zh-CN" w:bidi="ar"/>
              </w:rPr>
              <w:t>USB</w:t>
            </w:r>
            <w:r>
              <w:rPr>
                <w:rStyle w:val="516"/>
                <w:rFonts w:hint="eastAsia" w:ascii="仿宋" w:hAnsi="仿宋" w:eastAsia="仿宋" w:cs="仿宋"/>
                <w:color w:val="auto"/>
                <w:sz w:val="21"/>
                <w:szCs w:val="21"/>
                <w:highlight w:val="none"/>
                <w:lang w:val="en-US" w:eastAsia="zh-CN" w:bidi="ar"/>
              </w:rPr>
              <w:t>手机充电器模块；</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color w:val="auto"/>
                <w:sz w:val="21"/>
                <w:szCs w:val="21"/>
                <w:highlight w:val="none"/>
                <w:lang w:val="en-US" w:eastAsia="zh-CN" w:bidi="ar"/>
              </w:rPr>
              <w:t>节油系统：</w:t>
            </w:r>
            <w:r>
              <w:rPr>
                <w:rFonts w:hint="eastAsia" w:ascii="仿宋" w:hAnsi="仿宋" w:eastAsia="仿宋" w:cs="仿宋"/>
                <w:i w:val="0"/>
                <w:iCs w:val="0"/>
                <w:color w:val="auto"/>
                <w:kern w:val="0"/>
                <w:sz w:val="21"/>
                <w:szCs w:val="21"/>
                <w:highlight w:val="none"/>
                <w:u w:val="none"/>
                <w:lang w:val="en-US" w:eastAsia="zh-CN" w:bidi="ar"/>
              </w:rPr>
              <w:t>有智能节油系统；</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集成中控</w:t>
            </w:r>
            <w:r>
              <w:rPr>
                <w:rStyle w:val="516"/>
                <w:rFonts w:hint="eastAsia" w:ascii="仿宋" w:hAnsi="仿宋" w:eastAsia="仿宋" w:cs="仿宋"/>
                <w:color w:val="auto"/>
                <w:sz w:val="21"/>
                <w:szCs w:val="21"/>
                <w:highlight w:val="none"/>
                <w:lang w:val="en-US" w:eastAsia="zh-CN" w:bidi="ar"/>
              </w:rPr>
              <w:t>≥</w:t>
            </w:r>
            <w:r>
              <w:rPr>
                <w:rStyle w:val="295"/>
                <w:rFonts w:hint="eastAsia" w:ascii="仿宋" w:hAnsi="仿宋" w:eastAsia="仿宋" w:cs="仿宋"/>
                <w:color w:val="auto"/>
                <w:sz w:val="21"/>
                <w:szCs w:val="21"/>
                <w:highlight w:val="none"/>
                <w:lang w:val="en-US" w:eastAsia="zh-CN" w:bidi="ar"/>
              </w:rPr>
              <w:t>7</w:t>
            </w:r>
            <w:r>
              <w:rPr>
                <w:rStyle w:val="516"/>
                <w:rFonts w:hint="eastAsia" w:ascii="仿宋" w:hAnsi="仿宋" w:eastAsia="仿宋" w:cs="仿宋"/>
                <w:color w:val="auto"/>
                <w:sz w:val="21"/>
                <w:szCs w:val="21"/>
                <w:highlight w:val="none"/>
                <w:lang w:val="en-US" w:eastAsia="zh-CN" w:bidi="ar"/>
              </w:rPr>
              <w:t>寸集成中控；</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取电器：有取电器。</w:t>
            </w:r>
          </w:p>
        </w:tc>
        <w:tc>
          <w:tcPr>
            <w:tcW w:w="915" w:type="dxa"/>
            <w:vMerge w:val="continue"/>
            <w:tcBorders>
              <w:left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833" w:type="dxa"/>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auto"/>
                <w:kern w:val="0"/>
                <w:sz w:val="21"/>
                <w:szCs w:val="21"/>
                <w:highlight w:val="none"/>
                <w:u w:val="none"/>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auto"/>
                <w:sz w:val="21"/>
                <w:szCs w:val="21"/>
                <w:highlight w:val="none"/>
                <w:u w:val="none"/>
              </w:rPr>
            </w:pPr>
            <w:r>
              <w:rPr>
                <w:rFonts w:hint="eastAsia" w:ascii="仿宋" w:hAnsi="仿宋" w:eastAsia="仿宋" w:cs="仿宋"/>
                <w:b w:val="0"/>
                <w:bCs w:val="0"/>
                <w:i w:val="0"/>
                <w:iCs w:val="0"/>
                <w:color w:val="auto"/>
                <w:kern w:val="0"/>
                <w:sz w:val="21"/>
                <w:szCs w:val="21"/>
                <w:highlight w:val="none"/>
                <w:u w:val="none"/>
                <w:lang w:val="en-US" w:eastAsia="zh-CN" w:bidi="ar"/>
              </w:rPr>
              <w:t>其它</w:t>
            </w:r>
          </w:p>
        </w:tc>
        <w:tc>
          <w:tcPr>
            <w:tcW w:w="62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车身喷涂：标准制式图案。</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工艺要求：</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1.为保证投标产品喷涂效果始终如一，漆膜均匀，要求制造商拥有机器人全自动喷涂生产线工艺；</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2.制造商具有优良的阴极电泳防腐工艺、可保证车辆的防腐效果，采用整车阴极电泳防腐技术处理，保证8-10年防腐效果；</w:t>
            </w:r>
          </w:p>
          <w:p>
            <w:pPr>
              <w:keepNext w:val="0"/>
              <w:keepLines w:val="0"/>
              <w:widowControl/>
              <w:suppressLineNumbers w:val="0"/>
              <w:spacing w:line="360" w:lineRule="auto"/>
              <w:jc w:val="left"/>
              <w:textAlignment w:val="center"/>
              <w:rPr>
                <w:rStyle w:val="516"/>
                <w:rFonts w:hint="eastAsia" w:ascii="仿宋" w:hAnsi="仿宋" w:eastAsia="仿宋" w:cs="仿宋"/>
                <w:i w:val="0"/>
                <w:iCs w:val="0"/>
                <w:color w:val="auto"/>
                <w:sz w:val="21"/>
                <w:szCs w:val="21"/>
                <w:highlight w:val="none"/>
                <w:lang w:val="en-US" w:eastAsia="zh-CN" w:bidi="ar"/>
              </w:rPr>
            </w:pPr>
            <w:r>
              <w:rPr>
                <w:rStyle w:val="516"/>
                <w:rFonts w:hint="eastAsia" w:ascii="仿宋" w:hAnsi="仿宋" w:eastAsia="仿宋" w:cs="仿宋"/>
                <w:i w:val="0"/>
                <w:iCs w:val="0"/>
                <w:color w:val="auto"/>
                <w:sz w:val="21"/>
                <w:szCs w:val="21"/>
                <w:highlight w:val="none"/>
                <w:lang w:val="en-US" w:eastAsia="zh-CN" w:bidi="ar"/>
              </w:rPr>
              <w:t>3.为保证产品质量，制造商需具备完善的质量保证体系。焊接工艺先进，采用集中供气、二氧化碳气体保护焊，焊接质量牢固；</w:t>
            </w:r>
          </w:p>
          <w:p>
            <w:pPr>
              <w:keepNext w:val="0"/>
              <w:keepLines w:val="0"/>
              <w:widowControl/>
              <w:suppressLineNumbers w:val="0"/>
              <w:spacing w:line="360" w:lineRule="auto"/>
              <w:jc w:val="left"/>
              <w:textAlignment w:val="center"/>
              <w:rPr>
                <w:rFonts w:hint="eastAsia" w:ascii="仿宋" w:hAnsi="仿宋" w:eastAsia="仿宋" w:cs="仿宋"/>
                <w:i w:val="0"/>
                <w:iCs w:val="0"/>
                <w:color w:val="auto"/>
                <w:sz w:val="21"/>
                <w:szCs w:val="21"/>
                <w:highlight w:val="none"/>
                <w:u w:val="none"/>
              </w:rPr>
            </w:pPr>
            <w:r>
              <w:rPr>
                <w:rStyle w:val="516"/>
                <w:rFonts w:hint="eastAsia" w:ascii="仿宋" w:hAnsi="仿宋" w:eastAsia="仿宋" w:cs="仿宋"/>
                <w:i w:val="0"/>
                <w:iCs w:val="0"/>
                <w:color w:val="auto"/>
                <w:sz w:val="21"/>
                <w:szCs w:val="21"/>
                <w:highlight w:val="none"/>
                <w:lang w:val="en-US" w:eastAsia="zh-CN" w:bidi="ar"/>
              </w:rPr>
              <w:t>4.制造商需注重产品性能的验证，建设功能齐全的整车试验场，保证车辆出厂验收质量，投标时提供试验场鉴定报告，以及制造商试验场地照片以及试验场地试验功能规划图。</w:t>
            </w:r>
          </w:p>
        </w:tc>
        <w:tc>
          <w:tcPr>
            <w:tcW w:w="915" w:type="dxa"/>
            <w:vMerge w:val="continue"/>
            <w:tcBorders>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Style w:val="516"/>
                <w:rFonts w:hint="eastAsia" w:ascii="仿宋" w:hAnsi="仿宋" w:eastAsia="仿宋" w:cs="仿宋"/>
                <w:i w:val="0"/>
                <w:iCs w:val="0"/>
                <w:color w:val="auto"/>
                <w:sz w:val="21"/>
                <w:szCs w:val="21"/>
                <w:highlight w:val="none"/>
                <w:lang w:val="en-US" w:eastAsia="zh-CN" w:bidi="ar"/>
              </w:rPr>
            </w:pP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二、应急物资运营管理服务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1.中标人拥有完备的装备资产管理体制，包括设备的配置、调度、保养、处理及核销等环节，确保了对装备全生命周期的有效监管。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具有应急物资管控平台服务，该平台应具备对接国家、省应急资源管理平台功能，并能够实现与市级、区县级以及行业专业部门的应急物资数据库的互联互通，平台应深度融合物联网、大数据等技术，实现物资集中化管理，构建绍兴市应急物资保障管控平台，为应急管理工作提供强有力的数据支持。</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3.中标人应拥有专业的团队，负责设备的巡检、应急救援以及物资的调拨配送工作，确保在紧急情况下能够迅速响应并有效应对，巡检要求每季度不少于一次，汛期等特殊情况按采购单位要求执行。</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4.中标人应切实配合采购人完成应急演练培训工作，每年应不少2次。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三、技术力量要求</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 具备扎实的专业知识，熟悉各类设备的性能、操作原理和使用方法。</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 掌握相关设备的维修、保养技术，能够准确判断设备故障并及时进行处理。</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 熟悉安全操作规程，确保在设备操作和维护过程中始终将安全放在首位。</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四、商务要求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1.质量保证：</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本项目投标产品需提供不少于3年原厂质保服务</w:t>
      </w:r>
      <w:r>
        <w:rPr>
          <w:rFonts w:hint="eastAsia" w:ascii="仿宋" w:hAnsi="仿宋" w:eastAsia="仿宋" w:cs="仿宋"/>
          <w:color w:val="auto"/>
          <w:sz w:val="24"/>
          <w:szCs w:val="24"/>
          <w:highlight w:val="none"/>
          <w:lang w:eastAsia="zh-CN"/>
        </w:rPr>
        <w:t>，运维服务</w:t>
      </w:r>
      <w:r>
        <w:rPr>
          <w:rFonts w:hint="eastAsia" w:ascii="仿宋" w:hAnsi="仿宋" w:eastAsia="仿宋" w:cs="仿宋"/>
          <w:color w:val="auto"/>
          <w:sz w:val="24"/>
          <w:szCs w:val="24"/>
          <w:highlight w:val="none"/>
          <w:lang w:val="en-US" w:eastAsia="zh-CN"/>
        </w:rPr>
        <w:t>5年</w:t>
      </w: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对其提供的设备进行免费维修或更换，不得收取额外费用；由于产品缺陷而引起的财产或人身损害的，由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承担相应责任。</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2.售后技术服务要求：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2.1本项目质保期内，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应提供全年7×24小时技术支持及售后服务，相关费用包含在项目总价中；</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在接到故障报告后应在</w:t>
      </w:r>
      <w:r>
        <w:rPr>
          <w:rFonts w:hint="eastAsia" w:ascii="仿宋" w:hAnsi="仿宋" w:eastAsia="仿宋" w:cs="仿宋"/>
          <w:color w:val="auto"/>
          <w:sz w:val="24"/>
          <w:szCs w:val="24"/>
          <w:highlight w:val="none"/>
          <w:lang w:val="en-US" w:eastAsia="zh-CN"/>
        </w:rPr>
        <w:t>1小时</w:t>
      </w:r>
      <w:r>
        <w:rPr>
          <w:rFonts w:hint="eastAsia" w:ascii="仿宋" w:hAnsi="仿宋" w:eastAsia="仿宋" w:cs="仿宋"/>
          <w:color w:val="auto"/>
          <w:sz w:val="24"/>
          <w:szCs w:val="24"/>
          <w:highlight w:val="none"/>
        </w:rPr>
        <w:t>内做出响应，2小时内到达现场，复杂故障应在24小时内恢复解决。若24小时内无法恢复解决的，须提供同等性能、同等配置的产品替换</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2.2备品备件及耗材要求：所投产品零配件、备品备件及耗材在该产品停产后仍需保证五年的供应。</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合同签订且收到中标人出具的符合采购人要求的正式发票后7个工作日内支付合同</w:t>
      </w:r>
      <w:r>
        <w:rPr>
          <w:rFonts w:hint="eastAsia" w:ascii="仿宋" w:hAnsi="仿宋" w:eastAsia="仿宋" w:cs="仿宋"/>
          <w:color w:val="auto"/>
          <w:sz w:val="24"/>
          <w:szCs w:val="24"/>
          <w:highlight w:val="none"/>
          <w:lang w:eastAsia="zh-CN"/>
        </w:rPr>
        <w:t>金额</w:t>
      </w:r>
      <w:r>
        <w:rPr>
          <w:rFonts w:hint="eastAsia" w:ascii="仿宋" w:hAnsi="仿宋" w:eastAsia="仿宋" w:cs="仿宋"/>
          <w:color w:val="auto"/>
          <w:sz w:val="24"/>
          <w:szCs w:val="24"/>
          <w:highlight w:val="none"/>
        </w:rPr>
        <w:t>的40%作为预付款，设备全部到货并</w:t>
      </w:r>
      <w:r>
        <w:rPr>
          <w:rFonts w:hint="eastAsia" w:ascii="仿宋" w:hAnsi="仿宋" w:eastAsia="仿宋" w:cs="仿宋"/>
          <w:color w:val="auto"/>
          <w:sz w:val="24"/>
          <w:szCs w:val="24"/>
          <w:highlight w:val="none"/>
          <w:lang w:eastAsia="zh-CN"/>
        </w:rPr>
        <w:t>验收</w:t>
      </w:r>
      <w:r>
        <w:rPr>
          <w:rFonts w:hint="eastAsia" w:ascii="仿宋" w:hAnsi="仿宋" w:eastAsia="仿宋" w:cs="仿宋"/>
          <w:color w:val="auto"/>
          <w:sz w:val="24"/>
          <w:szCs w:val="24"/>
          <w:highlight w:val="none"/>
        </w:rPr>
        <w:t>合格且收到中标人出具的正式发票后7个工作日内支付合同款的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4.培训要求：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中标人应对采购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使用人员进行安装、调试、操作等使用培训，培训时间为2天，不得限制采购单位参加培训人员数量。</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五、工期及供货地点要求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1.工期要求：本项目于</w:t>
      </w:r>
      <w:r>
        <w:rPr>
          <w:rFonts w:hint="eastAsia" w:ascii="仿宋" w:hAnsi="仿宋" w:eastAsia="仿宋" w:cs="仿宋"/>
          <w:color w:val="auto"/>
          <w:sz w:val="24"/>
          <w:szCs w:val="24"/>
          <w:highlight w:val="none"/>
          <w:lang w:eastAsia="zh-CN"/>
        </w:rPr>
        <w:t>合同签订生效后</w:t>
      </w:r>
      <w:r>
        <w:rPr>
          <w:rFonts w:hint="eastAsia" w:ascii="仿宋" w:hAnsi="仿宋" w:eastAsia="仿宋" w:cs="仿宋"/>
          <w:color w:val="auto"/>
          <w:sz w:val="24"/>
          <w:szCs w:val="24"/>
          <w:highlight w:val="none"/>
          <w:lang w:val="en-US" w:eastAsia="zh-CN"/>
        </w:rPr>
        <w:t>60天内</w:t>
      </w:r>
      <w:r>
        <w:rPr>
          <w:rFonts w:hint="eastAsia" w:ascii="仿宋" w:hAnsi="仿宋" w:eastAsia="仿宋" w:cs="仿宋"/>
          <w:color w:val="auto"/>
          <w:sz w:val="24"/>
          <w:szCs w:val="24"/>
          <w:highlight w:val="none"/>
        </w:rPr>
        <w:t>完成供货并验</w:t>
      </w:r>
      <w:r>
        <w:rPr>
          <w:rFonts w:hint="eastAsia" w:ascii="仿宋" w:hAnsi="仿宋" w:eastAsia="仿宋" w:cs="仿宋"/>
          <w:color w:val="auto"/>
          <w:sz w:val="24"/>
          <w:szCs w:val="24"/>
          <w:highlight w:val="none"/>
          <w:lang w:eastAsia="zh-CN"/>
        </w:rPr>
        <w:t>收</w:t>
      </w:r>
      <w:r>
        <w:rPr>
          <w:rFonts w:hint="eastAsia" w:ascii="仿宋" w:hAnsi="仿宋" w:eastAsia="仿宋" w:cs="仿宋"/>
          <w:color w:val="auto"/>
          <w:sz w:val="24"/>
          <w:szCs w:val="24"/>
          <w:highlight w:val="none"/>
        </w:rPr>
        <w:t>合格。</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2.供货（安装）地点要求：采购人指定地点</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lang w:val="en-US" w:eastAsia="zh-CN"/>
        </w:rPr>
        <w:t>本项目建设内容分布于绍兴市及所属区县</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六、安装、调试、验收要求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安装要求：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中标人提供货物安装、调试等服务，中标人须对货物的完整性负责，如相关货物、配件在招标清单中未列出但安装所采购货物时必需，由中标人提供，产生的一切费用均由中标人负责。</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2.调试要求：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采购人对中标人提供的货物在使用前进行调试时，中标人需负责安装并培训采购人的使用操作人员，并协助采购人一起调试，直到符合技术要求，采购人才组织验收。</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采购合同的约定和现行国家标准、行业标准以及企业标准对每一项技术、服务、安全标准的履约情况进行确认。根据项目情况，采购人有权要求中标人提供所投产品经国家认可的第三方检测机构出具的检测报告原件进行查验。采购人有权根据需要设置出厂检验、到货检验、安装调试检验、配套服务检验等多重验收环节。</w:t>
      </w:r>
    </w:p>
    <w:p>
      <w:pPr>
        <w:pageBreakBefore w:val="0"/>
        <w:numPr>
          <w:ilvl w:val="-1"/>
          <w:numId w:val="0"/>
        </w:numPr>
        <w:kinsoku/>
        <w:wordWrap/>
        <w:overflowPunct/>
        <w:topLinePunct w:val="0"/>
        <w:autoSpaceDE/>
        <w:autoSpaceDN/>
        <w:bidi w:val="0"/>
        <w:adjustRightInd/>
        <w:spacing w:line="360" w:lineRule="auto"/>
        <w:ind w:left="420" w:leftChars="20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4.施工安全：</w:t>
      </w:r>
    </w:p>
    <w:p>
      <w:pPr>
        <w:pageBreakBefore w:val="0"/>
        <w:kinsoku/>
        <w:wordWrap/>
        <w:overflowPunct/>
        <w:topLinePunct w:val="0"/>
        <w:autoSpaceDE/>
        <w:autoSpaceDN/>
        <w:bidi w:val="0"/>
        <w:adjustRightInd/>
        <w:spacing w:line="360" w:lineRule="auto"/>
        <w:ind w:right="0" w:righ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rPr>
        <w:t>履约过程中中标人要组织好项目现场的秩序和安全，期间发生的本企业及其人员问题及发生对第三方造成的人身伤害及其他损失（包括：人身伤害、财产损失等经济和法律责任）均由中标人全部承担，与招标人无任何关系。</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浙江省应急管理厅关于印发《浙江省增发国债自然灾害应急能力提升工程项目实施监督办法》的通知（浙应急规财﹝2024﹞41号）的要求，本项目由绍兴市应急管理局组织联合招标采购，招标结束后由绍兴市应急管理局、绍兴市越城区应急管理局、绍兴市柯桥区应急管理局、绍兴市上虞区应急管理局、诸暨市应急管理局、嵊州市应急管理局</w:t>
      </w:r>
      <w:r>
        <w:rPr>
          <w:rFonts w:hint="eastAsia" w:ascii="仿宋" w:hAnsi="仿宋" w:eastAsia="仿宋" w:cs="仿宋"/>
          <w:color w:val="auto"/>
          <w:sz w:val="24"/>
          <w:szCs w:val="24"/>
          <w:highlight w:val="none"/>
          <w:lang w:eastAsia="zh-CN"/>
        </w:rPr>
        <w:t>、新昌县应急管理局</w:t>
      </w:r>
      <w:r>
        <w:rPr>
          <w:rFonts w:hint="eastAsia" w:ascii="仿宋" w:hAnsi="仿宋" w:eastAsia="仿宋" w:cs="仿宋"/>
          <w:color w:val="auto"/>
          <w:sz w:val="24"/>
          <w:szCs w:val="24"/>
          <w:highlight w:val="none"/>
        </w:rPr>
        <w:t>和中标人共同签定合同，并对签定的合同承担相应的权利义务。</w:t>
      </w:r>
    </w:p>
    <w:p>
      <w:pPr>
        <w:pStyle w:val="2"/>
        <w:spacing w:line="360" w:lineRule="auto"/>
        <w:rPr>
          <w:rFonts w:hint="eastAsia"/>
          <w:color w:val="auto"/>
          <w:highlight w:val="none"/>
          <w:lang w:val="en-US" w:eastAsia="zh-CN"/>
        </w:rPr>
      </w:pPr>
    </w:p>
    <w:p>
      <w:pPr>
        <w:spacing w:line="360" w:lineRule="auto"/>
        <w:rPr>
          <w:rFonts w:hint="eastAsia" w:ascii="仿宋_GB2312" w:hAnsi="仿宋_GB2312" w:eastAsia="仿宋_GB2312" w:cs="仿宋_GB2312"/>
          <w:b/>
          <w:bCs/>
          <w:color w:val="auto"/>
          <w:sz w:val="24"/>
          <w:highlight w:val="none"/>
          <w:bdr w:val="single" w:color="auto" w:sz="4" w:space="0"/>
        </w:rPr>
      </w:pPr>
    </w:p>
    <w:p>
      <w:pPr>
        <w:spacing w:line="360" w:lineRule="auto"/>
        <w:rPr>
          <w:rFonts w:hint="default"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bdr w:val="single" w:color="auto" w:sz="4" w:space="0"/>
        </w:rPr>
        <w:t>0</w:t>
      </w:r>
      <w:r>
        <w:rPr>
          <w:rFonts w:hint="eastAsia" w:ascii="仿宋_GB2312" w:hAnsi="仿宋_GB2312" w:eastAsia="仿宋_GB2312" w:cs="仿宋_GB2312"/>
          <w:b/>
          <w:bCs/>
          <w:color w:val="auto"/>
          <w:sz w:val="24"/>
          <w:highlight w:val="none"/>
          <w:bdr w:val="single" w:color="auto" w:sz="4" w:space="0"/>
          <w:lang w:val="en-US" w:eastAsia="zh-CN"/>
        </w:rPr>
        <w:t>5</w:t>
      </w:r>
      <w:r>
        <w:rPr>
          <w:rFonts w:hint="eastAsia" w:ascii="仿宋_GB2312" w:hAnsi="仿宋_GB2312" w:eastAsia="仿宋_GB2312" w:cs="仿宋_GB2312"/>
          <w:b/>
          <w:bCs/>
          <w:color w:val="auto"/>
          <w:sz w:val="24"/>
          <w:highlight w:val="none"/>
          <w:bdr w:val="single" w:color="auto" w:sz="4" w:space="0"/>
        </w:rPr>
        <w:t>标</w:t>
      </w:r>
      <w:r>
        <w:rPr>
          <w:rFonts w:hint="eastAsia" w:ascii="仿宋_GB2312" w:hAnsi="仿宋_GB2312" w:eastAsia="仿宋_GB2312" w:cs="仿宋_GB2312"/>
          <w:b/>
          <w:bCs/>
          <w:color w:val="auto"/>
          <w:sz w:val="24"/>
          <w:highlight w:val="none"/>
          <w:lang w:eastAsia="zh-CN"/>
        </w:rPr>
        <w:t>综合保障</w:t>
      </w:r>
      <w:r>
        <w:rPr>
          <w:rFonts w:hint="eastAsia" w:ascii="仿宋_GB2312" w:hAnsi="仿宋_GB2312" w:eastAsia="仿宋_GB2312" w:cs="仿宋_GB2312"/>
          <w:b/>
          <w:bCs/>
          <w:color w:val="auto"/>
          <w:sz w:val="24"/>
          <w:highlight w:val="none"/>
          <w:lang w:val="en-US" w:eastAsia="zh-CN"/>
        </w:rPr>
        <w:t>项目</w:t>
      </w:r>
    </w:p>
    <w:tbl>
      <w:tblPr>
        <w:tblStyle w:val="64"/>
        <w:tblW w:w="3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单位名称</w:t>
            </w:r>
          </w:p>
        </w:tc>
        <w:tc>
          <w:tcPr>
            <w:tcW w:w="1751" w:type="pct"/>
          </w:tcPr>
          <w:p>
            <w:pPr>
              <w:pStyle w:val="25"/>
              <w:spacing w:line="360" w:lineRule="auto"/>
              <w:ind w:firstLine="240"/>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预算金额（万元）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绍兴市应急管理局</w:t>
            </w:r>
          </w:p>
        </w:tc>
        <w:tc>
          <w:tcPr>
            <w:tcW w:w="1751" w:type="pct"/>
          </w:tcPr>
          <w:p>
            <w:pPr>
              <w:pStyle w:val="25"/>
              <w:spacing w:line="360" w:lineRule="auto"/>
              <w:ind w:firstLine="24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248.60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  </w:t>
            </w:r>
            <w:r>
              <w:rPr>
                <w:rFonts w:hint="eastAsia" w:ascii="仿宋_GB2312" w:hAnsi="仿宋_GB2312" w:eastAsia="仿宋_GB2312" w:cs="仿宋_GB2312"/>
                <w:color w:val="auto"/>
                <w:sz w:val="24"/>
                <w:highlight w:val="none"/>
              </w:rPr>
              <w:t>嵊州市应急管理局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248" w:type="pct"/>
          </w:tcPr>
          <w:p>
            <w:pPr>
              <w:pStyle w:val="25"/>
              <w:spacing w:line="360" w:lineRule="auto"/>
              <w:ind w:firstLine="0" w:firstLineChars="0"/>
              <w:jc w:val="center"/>
              <w:rPr>
                <w:rFonts w:hint="default"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  新昌县应急管理局</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91.20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248" w:type="pct"/>
          </w:tcPr>
          <w:p>
            <w:pPr>
              <w:pStyle w:val="25"/>
              <w:spacing w:line="360" w:lineRule="auto"/>
              <w:ind w:firstLine="24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合计</w:t>
            </w:r>
          </w:p>
        </w:tc>
        <w:tc>
          <w:tcPr>
            <w:tcW w:w="1751" w:type="pct"/>
            <w:vAlign w:val="center"/>
          </w:tcPr>
          <w:p>
            <w:pPr>
              <w:keepNext w:val="0"/>
              <w:keepLines w:val="0"/>
              <w:widowControl/>
              <w:suppressLineNumbers w:val="0"/>
              <w:spacing w:line="360" w:lineRule="auto"/>
              <w:jc w:val="center"/>
              <w:textAlignment w:val="center"/>
              <w:rPr>
                <w:rFonts w:hint="default"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820.40</w:t>
            </w:r>
          </w:p>
        </w:tc>
      </w:tr>
    </w:tbl>
    <w:p>
      <w:pPr>
        <w:pStyle w:val="118"/>
        <w:numPr>
          <w:ilvl w:val="0"/>
          <w:numId w:val="0"/>
        </w:numPr>
        <w:spacing w:line="360" w:lineRule="auto"/>
        <w:ind w:firstLine="482"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投标人报价超过预算金额的作无效报价处理，取消其投标资格。</w:t>
      </w:r>
    </w:p>
    <w:p>
      <w:pPr>
        <w:pStyle w:val="118"/>
        <w:keepNext w:val="0"/>
        <w:keepLines w:val="0"/>
        <w:pageBreakBefore w:val="0"/>
        <w:widowControl/>
        <w:numPr>
          <w:ilvl w:val="0"/>
          <w:numId w:val="17"/>
        </w:numPr>
        <w:kinsoku/>
        <w:wordWrap/>
        <w:overflowPunct/>
        <w:topLinePunct w:val="0"/>
        <w:autoSpaceDE/>
        <w:autoSpaceDN/>
        <w:bidi w:val="0"/>
        <w:adjustRightInd/>
        <w:snapToGrid/>
        <w:spacing w:after="0" w:line="360" w:lineRule="auto"/>
        <w:ind w:left="0" w:firstLine="42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采购内容</w:t>
      </w:r>
    </w:p>
    <w:p>
      <w:pPr>
        <w:pStyle w:val="118"/>
        <w:keepNext w:val="0"/>
        <w:keepLines w:val="0"/>
        <w:pageBreakBefore w:val="0"/>
        <w:widowControl/>
        <w:numPr>
          <w:ilvl w:val="0"/>
          <w:numId w:val="18"/>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设备清单</w:t>
      </w:r>
    </w:p>
    <w:tbl>
      <w:tblPr>
        <w:tblStyle w:val="63"/>
        <w:tblW w:w="485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9"/>
        <w:gridCol w:w="1930"/>
        <w:gridCol w:w="894"/>
        <w:gridCol w:w="894"/>
        <w:gridCol w:w="894"/>
        <w:gridCol w:w="894"/>
        <w:gridCol w:w="894"/>
        <w:gridCol w:w="894"/>
        <w:gridCol w:w="8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jc w:val="center"/>
        </w:trPr>
        <w:tc>
          <w:tcPr>
            <w:tcW w:w="3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08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装备名称</w:t>
            </w:r>
          </w:p>
        </w:tc>
        <w:tc>
          <w:tcPr>
            <w:tcW w:w="3517" w:type="pct"/>
            <w:gridSpan w:val="7"/>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数量（件、套）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3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108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60" w:lineRule="auto"/>
              <w:ind w:left="0" w:right="0"/>
              <w:jc w:val="center"/>
              <w:rPr>
                <w:rFonts w:hint="eastAsia" w:ascii="仿宋" w:hAnsi="仿宋" w:eastAsia="仿宋" w:cs="仿宋"/>
                <w:b/>
                <w:bCs/>
                <w:i w:val="0"/>
                <w:iCs w:val="0"/>
                <w:color w:val="auto"/>
                <w:sz w:val="24"/>
                <w:szCs w:val="24"/>
                <w:highlight w:val="none"/>
                <w:u w:val="none"/>
              </w:rPr>
            </w:pP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越城区</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柯桥区</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上虞区</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诸暨市</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嵊州市</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新昌县</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数量合计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便携式担架</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救援无人机（灭火无人机）</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救援无人机（照明无人机）</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救援无人机（侦察无人机）</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14</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通信指挥设备（数字集群手持终端）</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306</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通信指挥装备（单兵图传）</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应急电源</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39</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lang w:bidi="ar"/>
              </w:rPr>
              <w:t>应急照明系统A</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36</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22</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36</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9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w:t>
            </w:r>
          </w:p>
        </w:tc>
        <w:tc>
          <w:tcPr>
            <w:tcW w:w="108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highlight w:val="none"/>
                <w:lang w:bidi="ar"/>
              </w:rPr>
              <w:t>应急照明系统</w:t>
            </w:r>
            <w:r>
              <w:rPr>
                <w:rFonts w:hint="eastAsia" w:ascii="仿宋" w:hAnsi="仿宋" w:eastAsia="仿宋" w:cs="仿宋"/>
                <w:color w:val="auto"/>
                <w:sz w:val="24"/>
                <w:highlight w:val="none"/>
                <w:lang w:val="en-US" w:eastAsia="zh-CN" w:bidi="ar"/>
              </w:rPr>
              <w:t>B</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0</w:t>
            </w:r>
          </w:p>
        </w:tc>
        <w:tc>
          <w:tcPr>
            <w:tcW w:w="502"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504"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r>
    </w:tbl>
    <w:p>
      <w:pPr>
        <w:pStyle w:val="118"/>
        <w:keepNext w:val="0"/>
        <w:keepLines w:val="0"/>
        <w:pageBreakBefore w:val="0"/>
        <w:widowControl/>
        <w:numPr>
          <w:ilvl w:val="-1"/>
          <w:numId w:val="0"/>
        </w:numPr>
        <w:kinsoku/>
        <w:wordWrap/>
        <w:overflowPunct/>
        <w:topLinePunct w:val="0"/>
        <w:autoSpaceDE/>
        <w:autoSpaceDN/>
        <w:bidi w:val="0"/>
        <w:adjustRightInd/>
        <w:snapToGrid/>
        <w:spacing w:after="0" w:line="360" w:lineRule="auto"/>
        <w:ind w:left="420" w:firstLine="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2.设备主要技术参数</w:t>
      </w:r>
    </w:p>
    <w:tbl>
      <w:tblPr>
        <w:tblStyle w:val="64"/>
        <w:tblW w:w="9750" w:type="dxa"/>
        <w:tblInd w:w="-5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995"/>
        <w:gridCol w:w="6880"/>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装备名称</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综合参数</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数量</w:t>
            </w:r>
          </w:p>
          <w:p>
            <w:pPr>
              <w:keepNext w:val="0"/>
              <w:keepLines w:val="0"/>
              <w:pageBreakBefore w:val="0"/>
              <w:kinsoku/>
              <w:wordWrap/>
              <w:overflowPunct/>
              <w:topLinePunct w:val="0"/>
              <w:autoSpaceDE/>
              <w:autoSpaceDN/>
              <w:bidi w:val="0"/>
              <w:adjustRightInd/>
              <w:snapToGrid/>
              <w:spacing w:line="360" w:lineRule="auto"/>
              <w:jc w:val="both"/>
              <w:rPr>
                <w:rFonts w:hint="eastAsia" w:ascii="仿宋" w:hAnsi="仿宋" w:eastAsia="仿宋" w:cs="仿宋"/>
                <w:b/>
                <w:bCs/>
                <w:color w:val="auto"/>
                <w:sz w:val="21"/>
                <w:szCs w:val="21"/>
                <w:highlight w:val="none"/>
                <w:lang w:val="en-US" w:eastAsia="zh-CN"/>
              </w:rPr>
            </w:pPr>
            <w:r>
              <w:rPr>
                <w:rFonts w:hint="eastAsia" w:ascii="仿宋" w:hAnsi="仿宋" w:eastAsia="仿宋" w:cs="仿宋"/>
                <w:b/>
                <w:color w:val="auto"/>
                <w:sz w:val="21"/>
                <w:szCs w:val="21"/>
                <w:highlight w:val="none"/>
              </w:rPr>
              <w:t>（件、套）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便携式担架</w:t>
            </w:r>
          </w:p>
        </w:tc>
        <w:tc>
          <w:tcPr>
            <w:tcW w:w="6880" w:type="dxa"/>
            <w:vAlign w:val="center"/>
          </w:tcPr>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1.特殊复合塑料材料，弯曲变形特性</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2.它可弯曲使用，体积小，重量轻，携带方便，适用范围广，可用于消防应急救援，深空狭窄空间救援；一般救援，高空救援地面，化学事故救援。水平或垂直升降</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3.担架尺寸≥2m×0.5m×0.15m</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w:t>
            </w:r>
            <w:r>
              <w:rPr>
                <w:rFonts w:hint="default" w:ascii="仿宋" w:hAnsi="仿宋" w:eastAsia="仿宋" w:cs="仿宋"/>
                <w:color w:val="auto"/>
                <w:sz w:val="21"/>
                <w:szCs w:val="21"/>
                <w:highlight w:val="none"/>
              </w:rPr>
              <w:t>.载重</w:t>
            </w:r>
            <w:r>
              <w:rPr>
                <w:rFonts w:hint="default" w:ascii="仿宋" w:hAnsi="仿宋" w:eastAsia="仿宋" w:cs="仿宋"/>
                <w:color w:val="auto"/>
                <w:sz w:val="21"/>
                <w:szCs w:val="21"/>
                <w:highlight w:val="none"/>
                <w:lang w:eastAsia="zh-CN"/>
              </w:rPr>
              <w:t>不小于</w:t>
            </w:r>
            <w:r>
              <w:rPr>
                <w:rFonts w:hint="default" w:ascii="仿宋" w:hAnsi="仿宋" w:eastAsia="仿宋" w:cs="仿宋"/>
                <w:color w:val="auto"/>
                <w:sz w:val="21"/>
                <w:szCs w:val="21"/>
                <w:highlight w:val="none"/>
              </w:rPr>
              <w:t>1</w:t>
            </w:r>
            <w:r>
              <w:rPr>
                <w:rFonts w:hint="default" w:ascii="仿宋" w:hAnsi="仿宋" w:eastAsia="仿宋" w:cs="仿宋"/>
                <w:color w:val="auto"/>
                <w:sz w:val="21"/>
                <w:szCs w:val="21"/>
                <w:highlight w:val="none"/>
                <w:lang w:val="en-US" w:eastAsia="zh-CN"/>
              </w:rPr>
              <w:t>5</w:t>
            </w:r>
            <w:r>
              <w:rPr>
                <w:rFonts w:hint="default" w:ascii="仿宋" w:hAnsi="仿宋" w:eastAsia="仿宋" w:cs="仿宋"/>
                <w:color w:val="auto"/>
                <w:sz w:val="21"/>
                <w:szCs w:val="21"/>
                <w:highlight w:val="none"/>
              </w:rPr>
              <w:t>0kg</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5.耐温</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低温-20℃</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高温</w:t>
            </w:r>
            <w:r>
              <w:rPr>
                <w:rFonts w:hint="eastAsia" w:ascii="仿宋" w:hAnsi="仿宋" w:eastAsia="仿宋" w:cs="仿宋"/>
                <w:color w:val="auto"/>
                <w:sz w:val="21"/>
                <w:szCs w:val="21"/>
                <w:highlight w:val="none"/>
                <w:lang w:val="en-US" w:eastAsia="zh-CN"/>
              </w:rPr>
              <w:t>60</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提供具有CMA或CNAS标识的检测机构出具的检测报告扫描件或复印件并加盖投标人公章。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应急照明系统A</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1.功率不低于35W，使用进口LED光源，发光效率高，使用寿命可长达100000小时；</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2.具有聚泛光转换功能，可以自由选择聚光、泛光、聚泛光模式，满电状态下连续工作时长：聚光≥20小时，泛光≥12小时，聚泛光≥8小时，具有连续性10%-100%的无极调光功能；</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3.聚光、泛光同时开启5米处中心最低照度值≥1300Lx；</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4.灯具带红黄警示灯功能，根据现场不同的警示要求开启红或黄的警示灯的工作模式，有常亮、频闪、爆闪模式；</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5.灯具带有USB输出5V充电口。箱体配备LED显示屏，采用图像的形式直观指示不同的照明模式和剩余的电池电量，剩余的照明时间；</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6.灯头防护等级为IP65；</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7.灯头可实现垂直角度无限旋转，水平角度翻转270度；</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8、采用升降杆升降，升起高度不低于1.5米，能收缩折叠；</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9.灯头有13颗光源组成（其中聚光5颗、泛光8颗），降低单光颗源负荷，保障长寿命安全运行；</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r>
              <w:rPr>
                <w:rFonts w:hint="eastAsia" w:ascii="仿宋" w:hAnsi="仿宋" w:eastAsia="仿宋" w:cs="仿宋"/>
                <w:color w:val="auto"/>
                <w:sz w:val="21"/>
                <w:szCs w:val="21"/>
                <w:highlight w:val="none"/>
                <w:lang w:eastAsia="zh-CN"/>
              </w:rPr>
              <w:t>重</w:t>
            </w:r>
            <w:r>
              <w:rPr>
                <w:rFonts w:hint="eastAsia" w:ascii="仿宋" w:hAnsi="仿宋" w:eastAsia="仿宋" w:cs="仿宋"/>
                <w:color w:val="auto"/>
                <w:sz w:val="21"/>
                <w:szCs w:val="21"/>
                <w:highlight w:val="none"/>
              </w:rPr>
              <w:t>量≤</w:t>
            </w:r>
            <w:r>
              <w:rPr>
                <w:rFonts w:hint="eastAsia" w:ascii="仿宋" w:hAnsi="仿宋" w:eastAsia="仿宋" w:cs="仿宋"/>
                <w:color w:val="auto"/>
                <w:sz w:val="21"/>
                <w:szCs w:val="21"/>
                <w:highlight w:val="none"/>
                <w:lang w:eastAsia="zh-CN"/>
              </w:rPr>
              <w:t>9</w:t>
            </w:r>
            <w:r>
              <w:rPr>
                <w:rFonts w:hint="eastAsia" w:ascii="仿宋" w:hAnsi="仿宋" w:eastAsia="仿宋" w:cs="仿宋"/>
                <w:color w:val="auto"/>
                <w:sz w:val="21"/>
                <w:szCs w:val="21"/>
                <w:highlight w:val="none"/>
              </w:rPr>
              <w:t>kg；</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Cs w:val="21"/>
                <w:highlight w:val="none"/>
              </w:rPr>
              <w:t>提供具有CMA或CNAS标识的检测机构出具的检测报告扫描件或复印件并加盖投标人公章。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应急照明系统B</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1.应急照明系统整体符合GB26755-2011、GB/T4208-2017等相关标准并</w:t>
            </w:r>
            <w:r>
              <w:rPr>
                <w:rFonts w:hint="eastAsia" w:ascii="仿宋" w:hAnsi="仿宋" w:eastAsia="仿宋" w:cs="仿宋"/>
                <w:color w:val="auto"/>
                <w:szCs w:val="21"/>
                <w:highlight w:val="none"/>
              </w:rPr>
              <w:t>提供具有CMA或CNAS标识的检测机构出具的检测报告扫描件或复印件并加盖投标人公章</w:t>
            </w:r>
            <w:r>
              <w:rPr>
                <w:rFonts w:hint="eastAsia" w:ascii="仿宋" w:hAnsi="仿宋" w:eastAsia="仿宋" w:cs="仿宋"/>
                <w:color w:val="auto"/>
                <w:sz w:val="21"/>
                <w:szCs w:val="21"/>
                <w:highlight w:val="none"/>
              </w:rPr>
              <w:t>；</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2.采用LED光源，光源功率≥3×2</w:t>
            </w:r>
            <w:r>
              <w:rPr>
                <w:rFonts w:hint="eastAsia" w:ascii="仿宋" w:hAnsi="仿宋" w:eastAsia="仿宋" w:cs="仿宋"/>
                <w:color w:val="auto"/>
                <w:sz w:val="21"/>
                <w:szCs w:val="21"/>
                <w:highlight w:val="none"/>
                <w:lang w:eastAsia="zh-CN"/>
              </w:rPr>
              <w:t>0</w:t>
            </w:r>
            <w:r>
              <w:rPr>
                <w:rFonts w:hint="eastAsia" w:ascii="仿宋" w:hAnsi="仿宋" w:eastAsia="仿宋" w:cs="仿宋"/>
                <w:color w:val="auto"/>
                <w:sz w:val="21"/>
                <w:szCs w:val="21"/>
                <w:highlight w:val="none"/>
              </w:rPr>
              <w:t>0W,每个灯头可单独上下左右调节方向，可单向直射，也可实现360°环照照明；</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.升降方式采用液压</w:t>
            </w:r>
            <w:r>
              <w:rPr>
                <w:rFonts w:hint="eastAsia" w:ascii="仿宋" w:hAnsi="仿宋" w:eastAsia="仿宋" w:cs="仿宋"/>
                <w:color w:val="auto"/>
                <w:sz w:val="21"/>
                <w:szCs w:val="21"/>
                <w:highlight w:val="none"/>
                <w:lang w:eastAsia="zh-CN"/>
              </w:rPr>
              <w:t>或</w:t>
            </w:r>
            <w:r>
              <w:rPr>
                <w:rFonts w:hint="eastAsia" w:ascii="仿宋" w:hAnsi="仿宋" w:eastAsia="仿宋" w:cs="仿宋"/>
                <w:color w:val="auto"/>
                <w:sz w:val="21"/>
                <w:szCs w:val="21"/>
                <w:highlight w:val="none"/>
              </w:rPr>
              <w:t>气动升降，一键控制，任意高度可停；</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4.灯杆最大升起高度≥</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5m；</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5.360°环照发光，10米处照度值≥1300lx；</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6.抗风等级≥8级，灯头防护等级≥IP6</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,可在各种环境条件下正常使用；</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7.应急照明系统可外接电源及发电机供电，同时内部电池组可提供不小于1h的应急照明时间；</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8.配备不小于2KW的发电机，一次性注满燃油工作时间≥13h；输出220V和380V电压；</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9.灯具内置控制面板，LED显示屏，支持蓝牙、无线喊话、U盘播放音频、录音功能、不小于30W大功率喇叭、可用于现场指挥、人员调度；</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10.产品轻便，总重量≤</w:t>
            </w:r>
            <w:r>
              <w:rPr>
                <w:rFonts w:hint="eastAsia" w:ascii="仿宋" w:hAnsi="仿宋" w:eastAsia="仿宋" w:cs="仿宋"/>
                <w:color w:val="auto"/>
                <w:sz w:val="21"/>
                <w:szCs w:val="21"/>
                <w:highlight w:val="none"/>
                <w:lang w:eastAsia="zh-CN"/>
              </w:rPr>
              <w:t>7</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Kg，配置可移动转向轮和拖动把手，单人即可快速移动到指定的工作地点；</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11.配备可磁力吸附的多功能检修灯，需符合GB30734-2014标准并提供具有CMA或CNAS标识的检测机构出具的检测报告和防爆合格证扫描件或复印件并加盖投标人公章；</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12.光源额定功率≥2*1</w:t>
            </w:r>
            <w:r>
              <w:rPr>
                <w:rFonts w:hint="eastAsia" w:ascii="仿宋" w:hAnsi="仿宋" w:eastAsia="仿宋" w:cs="仿宋"/>
                <w:color w:val="auto"/>
                <w:sz w:val="21"/>
                <w:szCs w:val="21"/>
                <w:highlight w:val="none"/>
                <w:lang w:eastAsia="zh-CN"/>
              </w:rPr>
              <w:t>0</w:t>
            </w:r>
            <w:r>
              <w:rPr>
                <w:rFonts w:hint="eastAsia" w:ascii="仿宋" w:hAnsi="仿宋" w:eastAsia="仿宋" w:cs="仿宋"/>
                <w:color w:val="auto"/>
                <w:sz w:val="21"/>
                <w:szCs w:val="21"/>
                <w:highlight w:val="none"/>
              </w:rPr>
              <w:t>W（聚光）；</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3.灯具需具有聚光（灯头）、泛光（灯体两侧）、红蓝警示（灯体两侧）多种工作模式，适用于救援作业照明；</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14.配备行走轮，道路通过性好，可实现单人拖行，自带4个高度可调节支脚增加稳定性；同时具备输出接口4个，12V2A，5V3.5A、U盘接口、音频接口，可为手机、布控球等小型设备进行供电；</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4"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应急电源</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1.纯正弦波交流220V隔离输出，持续输出功率1000W；</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2.额定容量≥40AH；</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3.由高度（最低点高度）为1000mm的位置自由跌落体于混凝土上从XYZ正负方向（六个方向）每个方向各自由跌落一次，未发生爆炸、起火、泄气、漏液、破裂，能够正常工作，输出电压符合偏差范围（检测报告中体现）；</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.转换效率＞80%（检测报告中体现）；</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.交流220V输出接口≥</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个，直流输出QC3.0输出接口≥2个,直流输出TYPE-C输出接口≥2个，直流输出12V5A接口≥2个，直流输出12V 10A接口≥1个</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Style w:val="295"/>
                <w:rFonts w:hint="eastAsia" w:ascii="仿宋" w:hAnsi="仿宋" w:eastAsia="仿宋" w:cs="仿宋"/>
                <w:color w:val="auto"/>
                <w:sz w:val="21"/>
                <w:szCs w:val="21"/>
                <w:highlight w:val="none"/>
                <w:lang w:val="en-US" w:eastAsia="zh-CN"/>
              </w:rPr>
              <w:t>.</w:t>
            </w:r>
            <w:r>
              <w:rPr>
                <w:rStyle w:val="295"/>
                <w:rFonts w:hint="eastAsia" w:ascii="仿宋" w:hAnsi="仿宋" w:eastAsia="仿宋" w:cs="仿宋"/>
                <w:color w:val="auto"/>
                <w:sz w:val="21"/>
                <w:szCs w:val="21"/>
                <w:highlight w:val="none"/>
              </w:rPr>
              <w:t>系统具备过充、过放、短路、高温、超载等多重保护功能</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重量≤</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KG；</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r>
              <w:rPr>
                <w:rStyle w:val="295"/>
                <w:rFonts w:hint="eastAsia" w:ascii="仿宋" w:hAnsi="仿宋" w:eastAsia="仿宋" w:cs="仿宋"/>
                <w:color w:val="auto"/>
                <w:sz w:val="21"/>
                <w:szCs w:val="21"/>
                <w:highlight w:val="none"/>
              </w:rPr>
              <w:t>配有LED 数码管充电指示，显示实时输出直流、交流电压，具有剩余电量显示功能。</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Cs w:val="21"/>
                <w:highlight w:val="none"/>
              </w:rPr>
              <w:t>提供具有CMA或CNAS标识的检测机构出具的检测报告扫描件或复印件并加盖投标人公章。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i w:val="0"/>
                <w:iCs w:val="0"/>
                <w:color w:val="auto"/>
                <w:kern w:val="0"/>
                <w:sz w:val="21"/>
                <w:szCs w:val="21"/>
                <w:highlight w:val="none"/>
                <w:u w:val="none"/>
                <w:lang w:val="en-US" w:eastAsia="zh-CN" w:bidi="ar"/>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4"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救援无人机（侦察无人机）</w:t>
            </w:r>
          </w:p>
        </w:tc>
        <w:tc>
          <w:tcPr>
            <w:tcW w:w="6880" w:type="dxa"/>
            <w:vAlign w:val="center"/>
          </w:tcPr>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.飞行器对角线轴距≤</w:t>
            </w:r>
            <w:r>
              <w:rPr>
                <w:rFonts w:hint="eastAsia" w:ascii="仿宋" w:hAnsi="仿宋" w:eastAsia="仿宋" w:cs="仿宋"/>
                <w:color w:val="auto"/>
                <w:sz w:val="21"/>
                <w:szCs w:val="21"/>
                <w:highlight w:val="none"/>
                <w:lang w:eastAsia="zh-CN"/>
              </w:rPr>
              <w:t>1</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00 mm；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.最大旋转角速度：俯仰轴≥300°/s，航向轴≥100°/s；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.最大上升速度≥6m/s；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.最大下降速度≥5m/s；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.最大水平飞行速度≥2</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.最大飞行海拔高度≥7000m；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.最长飞行时间≥55分钟；</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.IP防护等级≥IP55；</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.最大</w:t>
            </w:r>
            <w:r>
              <w:rPr>
                <w:rFonts w:hint="eastAsia" w:ascii="仿宋" w:hAnsi="仿宋" w:eastAsia="仿宋" w:cs="仿宋"/>
                <w:color w:val="auto"/>
                <w:sz w:val="21"/>
                <w:szCs w:val="21"/>
                <w:highlight w:val="none"/>
                <w:lang w:eastAsia="zh-CN"/>
              </w:rPr>
              <w:t>可承受</w:t>
            </w:r>
            <w:r>
              <w:rPr>
                <w:rFonts w:hint="eastAsia" w:ascii="仿宋" w:hAnsi="仿宋" w:eastAsia="仿宋" w:cs="仿宋"/>
                <w:color w:val="auto"/>
                <w:sz w:val="21"/>
                <w:szCs w:val="21"/>
                <w:highlight w:val="none"/>
              </w:rPr>
              <w:t>风</w:t>
            </w:r>
            <w:r>
              <w:rPr>
                <w:rFonts w:hint="eastAsia" w:ascii="仿宋" w:hAnsi="仿宋" w:eastAsia="仿宋" w:cs="仿宋"/>
                <w:color w:val="auto"/>
                <w:sz w:val="21"/>
                <w:szCs w:val="21"/>
                <w:highlight w:val="none"/>
                <w:lang w:eastAsia="zh-CN"/>
              </w:rPr>
              <w:t>力</w:t>
            </w:r>
            <w:r>
              <w:rPr>
                <w:rFonts w:hint="eastAsia" w:ascii="仿宋" w:hAnsi="仿宋" w:eastAsia="仿宋" w:cs="仿宋"/>
                <w:color w:val="auto"/>
                <w:sz w:val="21"/>
                <w:szCs w:val="21"/>
                <w:highlight w:val="none"/>
              </w:rPr>
              <w:t>≥12m/s；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.无人机系统工作环境温度区间</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-20°C至50°C；</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.定位系统支持BeiDou+Galileo+GPS+GLONASS，支持单北斗模式；</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.飞行器支持搭载云台负载数量≥3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图传天线数量≥4；</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.无人机系统实时图传质量应不低于1080p/30fps</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可支持远程实时视频直播；</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14</w:t>
            </w:r>
            <w:r>
              <w:rPr>
                <w:rFonts w:hint="eastAsia" w:ascii="仿宋" w:hAnsi="仿宋" w:eastAsia="仿宋" w:cs="仿宋"/>
                <w:color w:val="auto"/>
                <w:sz w:val="21"/>
                <w:szCs w:val="21"/>
                <w:highlight w:val="none"/>
              </w:rPr>
              <w:t>.遥控器和显示屏一体化设计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防护等级≥IP54</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.遥控器需具备HDMI视频输出接口、SD卡槽、USB接口；</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w:t>
            </w:r>
            <w:r>
              <w:rPr>
                <w:rFonts w:hint="eastAsia" w:ascii="仿宋" w:hAnsi="仿宋" w:eastAsia="仿宋" w:cs="仿宋"/>
                <w:color w:val="auto"/>
                <w:sz w:val="21"/>
                <w:szCs w:val="21"/>
                <w:highlight w:val="none"/>
              </w:rPr>
              <w:t>.最大信号有效距离（无干扰、无遮挡）≥20km；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17</w:t>
            </w:r>
            <w:r>
              <w:rPr>
                <w:rFonts w:hint="eastAsia" w:ascii="仿宋" w:hAnsi="仿宋" w:eastAsia="仿宋" w:cs="仿宋"/>
                <w:color w:val="auto"/>
                <w:sz w:val="21"/>
                <w:szCs w:val="21"/>
                <w:highlight w:val="none"/>
              </w:rPr>
              <w:t>.遥控器电池：容量≥4</w:t>
            </w:r>
            <w:r>
              <w:rPr>
                <w:rFonts w:hint="eastAsia" w:ascii="仿宋" w:hAnsi="仿宋" w:eastAsia="仿宋" w:cs="仿宋"/>
                <w:color w:val="auto"/>
                <w:sz w:val="21"/>
                <w:szCs w:val="21"/>
                <w:highlight w:val="none"/>
                <w:lang w:val="en-US" w:eastAsia="zh-CN"/>
              </w:rPr>
              <w:t>900</w:t>
            </w:r>
            <w:r>
              <w:rPr>
                <w:rFonts w:hint="eastAsia" w:ascii="仿宋" w:hAnsi="仿宋" w:eastAsia="仿宋" w:cs="仿宋"/>
                <w:color w:val="auto"/>
                <w:sz w:val="21"/>
                <w:szCs w:val="21"/>
                <w:highlight w:val="none"/>
              </w:rPr>
              <w:t>mAh；</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w:t>
            </w:r>
            <w:r>
              <w:rPr>
                <w:rFonts w:hint="eastAsia" w:ascii="仿宋" w:hAnsi="仿宋" w:eastAsia="仿宋" w:cs="仿宋"/>
                <w:color w:val="auto"/>
                <w:sz w:val="21"/>
                <w:szCs w:val="21"/>
                <w:highlight w:val="none"/>
              </w:rPr>
              <w:t>.支持wifi功能；</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19</w:t>
            </w:r>
            <w:r>
              <w:rPr>
                <w:rFonts w:hint="eastAsia" w:ascii="仿宋" w:hAnsi="仿宋" w:eastAsia="仿宋" w:cs="仿宋"/>
                <w:color w:val="auto"/>
                <w:sz w:val="21"/>
                <w:szCs w:val="21"/>
                <w:highlight w:val="none"/>
              </w:rPr>
              <w:t>.遥控器存储空间≥64GB，且支持使用microSD卡拓展存储容量；</w:t>
            </w:r>
          </w:p>
          <w:p>
            <w:pPr>
              <w:pStyle w:val="80"/>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20</w:t>
            </w:r>
            <w:r>
              <w:rPr>
                <w:rFonts w:hint="eastAsia" w:ascii="仿宋" w:hAnsi="仿宋" w:eastAsia="仿宋" w:cs="仿宋"/>
                <w:b w:val="0"/>
                <w:bCs w:val="0"/>
                <w:color w:val="auto"/>
                <w:sz w:val="21"/>
                <w:szCs w:val="21"/>
                <w:highlight w:val="none"/>
              </w:rPr>
              <w:t>.广角相机：1/2”CMOS,最大支持8000×6000以上照片尺寸，有效像素4800万；</w:t>
            </w:r>
          </w:p>
          <w:p>
            <w:pPr>
              <w:pStyle w:val="80"/>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21</w:t>
            </w:r>
            <w:r>
              <w:rPr>
                <w:rFonts w:hint="eastAsia" w:ascii="仿宋" w:hAnsi="仿宋" w:eastAsia="仿宋" w:cs="仿宋"/>
                <w:b w:val="0"/>
                <w:bCs w:val="0"/>
                <w:color w:val="auto"/>
                <w:sz w:val="21"/>
                <w:szCs w:val="21"/>
                <w:highlight w:val="none"/>
              </w:rPr>
              <w:t>长焦相机：1/2”CMOS,最大支持4000×3000以上照片尺寸，有效像素120</w:t>
            </w:r>
            <w:r>
              <w:rPr>
                <w:rFonts w:hint="eastAsia" w:ascii="仿宋" w:hAnsi="仿宋" w:eastAsia="仿宋" w:cs="仿宋"/>
                <w:b w:val="0"/>
                <w:bCs w:val="0"/>
                <w:color w:val="auto"/>
                <w:sz w:val="21"/>
                <w:szCs w:val="21"/>
                <w:highlight w:val="none"/>
                <w:lang w:val="en-US" w:eastAsia="zh-CN"/>
              </w:rPr>
              <w:t>0</w:t>
            </w:r>
            <w:r>
              <w:rPr>
                <w:rFonts w:hint="eastAsia" w:ascii="仿宋" w:hAnsi="仿宋" w:eastAsia="仿宋" w:cs="仿宋"/>
                <w:b w:val="0"/>
                <w:bCs w:val="0"/>
                <w:color w:val="auto"/>
                <w:sz w:val="21"/>
                <w:szCs w:val="21"/>
                <w:highlight w:val="none"/>
              </w:rPr>
              <w:t>万，数字变焦</w:t>
            </w:r>
            <w:r>
              <w:rPr>
                <w:rFonts w:hint="eastAsia" w:ascii="仿宋" w:hAnsi="仿宋" w:eastAsia="仿宋" w:cs="仿宋"/>
                <w:b w:val="0"/>
                <w:bCs w:val="0"/>
                <w:color w:val="auto"/>
                <w:sz w:val="21"/>
                <w:szCs w:val="21"/>
                <w:highlight w:val="none"/>
                <w:lang w:val="en-US" w:eastAsia="zh-CN"/>
              </w:rPr>
              <w:t>8</w:t>
            </w:r>
            <w:r>
              <w:rPr>
                <w:rFonts w:hint="eastAsia" w:ascii="仿宋" w:hAnsi="仿宋" w:eastAsia="仿宋" w:cs="仿宋"/>
                <w:b w:val="0"/>
                <w:bCs w:val="0"/>
                <w:color w:val="auto"/>
                <w:sz w:val="21"/>
                <w:szCs w:val="21"/>
                <w:highlight w:val="none"/>
              </w:rPr>
              <w:t>倍(混合变焦</w:t>
            </w:r>
            <w:r>
              <w:rPr>
                <w:rFonts w:hint="eastAsia" w:ascii="仿宋" w:hAnsi="仿宋" w:eastAsia="仿宋" w:cs="仿宋"/>
                <w:b w:val="0"/>
                <w:bCs w:val="0"/>
                <w:color w:val="auto"/>
                <w:sz w:val="21"/>
                <w:szCs w:val="21"/>
                <w:highlight w:val="none"/>
                <w:lang w:val="en-US" w:eastAsia="zh-CN"/>
              </w:rPr>
              <w:t>56</w:t>
            </w:r>
            <w:r>
              <w:rPr>
                <w:rFonts w:hint="eastAsia" w:ascii="仿宋" w:hAnsi="仿宋" w:eastAsia="仿宋" w:cs="仿宋"/>
                <w:b w:val="0"/>
                <w:bCs w:val="0"/>
                <w:color w:val="auto"/>
                <w:sz w:val="21"/>
                <w:szCs w:val="21"/>
                <w:highlight w:val="none"/>
              </w:rPr>
              <w:t>倍)；</w:t>
            </w:r>
          </w:p>
          <w:p>
            <w:pPr>
              <w:pStyle w:val="80"/>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22.</w:t>
            </w:r>
            <w:r>
              <w:rPr>
                <w:rFonts w:hint="eastAsia" w:ascii="仿宋" w:hAnsi="仿宋" w:eastAsia="仿宋" w:cs="仿宋"/>
                <w:b w:val="0"/>
                <w:bCs w:val="0"/>
                <w:color w:val="auto"/>
                <w:sz w:val="21"/>
                <w:szCs w:val="21"/>
                <w:highlight w:val="none"/>
              </w:rPr>
              <w:t>热成像相机：分辨率640×512@30fps,数字变焦28倍；热成像灵敏度≤50mk@F</w:t>
            </w:r>
            <w:r>
              <w:rPr>
                <w:rFonts w:hint="eastAsia" w:ascii="仿宋" w:hAnsi="仿宋" w:eastAsia="仿宋" w:cs="仿宋"/>
                <w:b w:val="0"/>
                <w:bCs w:val="0"/>
                <w:color w:val="auto"/>
                <w:sz w:val="21"/>
                <w:szCs w:val="21"/>
                <w:highlight w:val="none"/>
                <w:lang w:eastAsia="zh-CN"/>
              </w:rPr>
              <w:t>；</w:t>
            </w:r>
          </w:p>
          <w:p>
            <w:pPr>
              <w:pStyle w:val="80"/>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23</w:t>
            </w:r>
            <w:r>
              <w:rPr>
                <w:rFonts w:hint="eastAsia" w:ascii="仿宋" w:hAnsi="仿宋" w:eastAsia="仿宋" w:cs="仿宋"/>
                <w:b w:val="0"/>
                <w:bCs w:val="0"/>
                <w:color w:val="auto"/>
                <w:sz w:val="21"/>
                <w:szCs w:val="21"/>
                <w:highlight w:val="none"/>
              </w:rPr>
              <w:t>测温方式：点测温、区域测温；</w:t>
            </w:r>
          </w:p>
          <w:p>
            <w:pPr>
              <w:pStyle w:val="80"/>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center"/>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24.</w:t>
            </w:r>
            <w:r>
              <w:rPr>
                <w:rFonts w:hint="eastAsia" w:ascii="仿宋" w:hAnsi="仿宋" w:eastAsia="仿宋" w:cs="仿宋"/>
                <w:b w:val="0"/>
                <w:bCs w:val="0"/>
                <w:color w:val="auto"/>
                <w:sz w:val="21"/>
                <w:szCs w:val="21"/>
                <w:highlight w:val="none"/>
              </w:rPr>
              <w:t>测温范围：-20℃至150℃(高增益模式);0℃至 500℃(低增益模式)；</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提供具有CMA或CNAS标识的检测机构出具的检测报告扫描件或复印件并加盖投标人公章。</w:t>
            </w:r>
          </w:p>
        </w:tc>
        <w:tc>
          <w:tcPr>
            <w:tcW w:w="1110" w:type="dxa"/>
            <w:vAlign w:val="center"/>
          </w:tcPr>
          <w:p>
            <w:pPr>
              <w:pStyle w:val="80"/>
              <w:keepNext w:val="0"/>
              <w:keepLines w:val="0"/>
              <w:pageBreakBefore w:val="0"/>
              <w:kinsoku/>
              <w:wordWrap/>
              <w:overflowPunct/>
              <w:topLinePunct w:val="0"/>
              <w:autoSpaceDE/>
              <w:autoSpaceDN/>
              <w:bidi w:val="0"/>
              <w:adjustRightInd/>
              <w:snapToGrid/>
              <w:spacing w:line="360" w:lineRule="auto"/>
              <w:ind w:left="0" w:leftChars="0" w:firstLine="200" w:firstLineChars="100"/>
              <w:jc w:val="center"/>
              <w:rPr>
                <w:rFonts w:hint="eastAsia" w:ascii="仿宋" w:hAnsi="仿宋" w:eastAsia="仿宋" w:cs="仿宋"/>
                <w:color w:val="auto"/>
                <w:sz w:val="21"/>
                <w:szCs w:val="21"/>
                <w:highlight w:val="none"/>
                <w:lang w:eastAsia="zh-CN"/>
              </w:rPr>
            </w:pPr>
            <w:r>
              <w:rPr>
                <w:rFonts w:hint="eastAsia" w:ascii="仿宋" w:hAnsi="仿宋" w:eastAsia="仿宋" w:cs="仿宋"/>
                <w:i w:val="0"/>
                <w:iCs w:val="0"/>
                <w:color w:val="auto"/>
                <w:kern w:val="0"/>
                <w:sz w:val="21"/>
                <w:szCs w:val="21"/>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救援无人机（灭火无人机）</w:t>
            </w:r>
          </w:p>
        </w:tc>
        <w:tc>
          <w:tcPr>
            <w:tcW w:w="6880" w:type="dxa"/>
            <w:vAlign w:val="center"/>
          </w:tcPr>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1.对称电机轴距：≤2250mm；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.最大起飞重量：≤95kg；</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.最大</w:t>
            </w:r>
            <w:r>
              <w:rPr>
                <w:rFonts w:hint="eastAsia" w:ascii="仿宋" w:hAnsi="仿宋" w:eastAsia="仿宋" w:cs="仿宋"/>
                <w:color w:val="auto"/>
                <w:sz w:val="21"/>
                <w:szCs w:val="21"/>
                <w:highlight w:val="none"/>
                <w:lang w:eastAsia="zh-CN"/>
              </w:rPr>
              <w:t>荷</w:t>
            </w:r>
            <w:r>
              <w:rPr>
                <w:rFonts w:hint="eastAsia" w:ascii="仿宋" w:hAnsi="仿宋" w:eastAsia="仿宋" w:cs="仿宋"/>
                <w:color w:val="auto"/>
                <w:sz w:val="21"/>
                <w:szCs w:val="21"/>
                <w:highlight w:val="none"/>
              </w:rPr>
              <w:t>载≥</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0kg；</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.GNSS定位悬停精度绝对值:垂直≤0.3m，水平≤0.6m;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GNSS系统：支持GPS、GLONASS、BEIDOU、GALILEO四种导航系统；</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.RTK：飞行器具备RTK定位和定向能力，能够在指南针受到干扰的环境下利用RTK定向安全飞行；</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.RTK模式悬停精度：垂直≤±0.1m，水平≤±0.2m；</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.最大上升速度：≥5m/s；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.最大下降速度：≥3m/s；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.最大水平飞行速度：≥</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m/s；</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w:t>
            </w:r>
            <w:r>
              <w:rPr>
                <w:rFonts w:hint="eastAsia" w:ascii="仿宋" w:hAnsi="仿宋" w:eastAsia="仿宋" w:cs="仿宋"/>
                <w:color w:val="auto"/>
                <w:sz w:val="21"/>
                <w:szCs w:val="21"/>
                <w:highlight w:val="none"/>
              </w:rPr>
              <w:t>.最大可承受风速：≥6级风；</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.避障系统：飞行器具备双目视觉系统和毫米波相控阵雷达系统，可探测前后左右上下方向的障碍物。探测到附近障碍物时，飞行器能通过地面站软件发出警示信息；距离障碍物距离较近时，飞行器能主动刹停；</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.图传分辨率：支持1080p高清图传；</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14.</w:t>
            </w:r>
            <w:r>
              <w:rPr>
                <w:rFonts w:hint="eastAsia" w:ascii="仿宋" w:hAnsi="仿宋" w:eastAsia="仿宋" w:cs="仿宋"/>
                <w:color w:val="auto"/>
                <w:sz w:val="21"/>
                <w:szCs w:val="21"/>
                <w:highlight w:val="none"/>
              </w:rPr>
              <w:t>干粉灭火弹抛投挂点数量≥4</w:t>
            </w:r>
            <w:r>
              <w:rPr>
                <w:rFonts w:hint="eastAsia" w:ascii="仿宋" w:hAnsi="仿宋" w:eastAsia="仿宋" w:cs="仿宋"/>
                <w:color w:val="auto"/>
                <w:sz w:val="21"/>
                <w:szCs w:val="21"/>
                <w:highlight w:val="none"/>
                <w:lang w:eastAsia="zh-CN"/>
              </w:rPr>
              <w:t>个</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实时显示画面，通过地面站软件控制投放干粉灭火弹；</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带水枪使用飞行高度：≥50米；喷水距离：≥10米；水枪下挂的水带可通过快拆卡口快速接入消防水车，实现喷水灭火</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w:t>
            </w:r>
            <w:r>
              <w:rPr>
                <w:rFonts w:hint="eastAsia" w:ascii="仿宋" w:hAnsi="仿宋" w:eastAsia="仿宋" w:cs="仿宋"/>
                <w:color w:val="auto"/>
                <w:sz w:val="21"/>
                <w:szCs w:val="21"/>
                <w:highlight w:val="none"/>
              </w:rPr>
              <w:t>提供具有CMA或CNAS标识的检测机构出具的检测报告扫描件或复印件并加盖投标人公章。</w:t>
            </w:r>
          </w:p>
        </w:tc>
        <w:tc>
          <w:tcPr>
            <w:tcW w:w="1110" w:type="dxa"/>
            <w:vAlign w:val="center"/>
          </w:tcPr>
          <w:p>
            <w:pPr>
              <w:pStyle w:val="80"/>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i w:val="0"/>
                <w:iCs w:val="0"/>
                <w:color w:val="auto"/>
                <w:kern w:val="0"/>
                <w:sz w:val="21"/>
                <w:szCs w:val="21"/>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救援无人机（照明无人机）</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飞行器参数：</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1.四旋翼无人机对称电机轴距：≤350mm；</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.无人机重量(含功能组件):≤1</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kg；</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.支持GPSBDS/GLONASS系统定位，飞行定位精度≤±0.5m；</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自带断电保护功能：无人机飞行过程中，地面电源异常中断时，无人机可正常飞行及完成自动降落；当遥控信号中断时，无人机可持续悬停；遥控器信号重新连接后，可以继续对无人机进行操作；支持带线遥控功能，可无干扰实现对无人机进行飞行控制，具备普通遥控器所有功能；</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.抗风能力≥6级(13.8m/s)；</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.可承受雨量：10级降雨量(模拟雨量10L/s)；</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.工作环境温度：-20°C~+</w:t>
            </w:r>
            <w:r>
              <w:rPr>
                <w:rFonts w:hint="eastAsia" w:ascii="仿宋" w:hAnsi="仿宋" w:eastAsia="仿宋" w:cs="仿宋"/>
                <w:color w:val="auto"/>
                <w:sz w:val="21"/>
                <w:szCs w:val="21"/>
                <w:highlight w:val="none"/>
                <w:lang w:val="en-US" w:eastAsia="zh-CN"/>
              </w:rPr>
              <w:t>50</w:t>
            </w:r>
            <w:r>
              <w:rPr>
                <w:rFonts w:hint="eastAsia" w:ascii="仿宋" w:hAnsi="仿宋" w:eastAsia="仿宋" w:cs="仿宋"/>
                <w:color w:val="auto"/>
                <w:sz w:val="21"/>
                <w:szCs w:val="21"/>
                <w:highlight w:val="none"/>
              </w:rPr>
              <w:t>°C；</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.最高工作海拔：≥4500m；</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.平飞速度：≥5.6m/s(20km/h)；</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.上升速度：≥3m/s；</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11</w:t>
            </w:r>
            <w:r>
              <w:rPr>
                <w:rFonts w:hint="eastAsia" w:ascii="仿宋" w:hAnsi="仿宋" w:eastAsia="仿宋" w:cs="仿宋"/>
                <w:color w:val="auto"/>
                <w:sz w:val="21"/>
                <w:szCs w:val="21"/>
                <w:highlight w:val="none"/>
              </w:rPr>
              <w:t>.下降速度：≥2m/s；</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.悬停精度：水平、垂直≤±0.5m；</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.防护等级≥IP</w:t>
            </w:r>
            <w:r>
              <w:rPr>
                <w:rFonts w:hint="eastAsia" w:ascii="仿宋" w:hAnsi="仿宋" w:eastAsia="仿宋" w:cs="仿宋"/>
                <w:color w:val="auto"/>
                <w:sz w:val="21"/>
                <w:szCs w:val="21"/>
                <w:highlight w:val="none"/>
                <w:lang w:val="en-US" w:eastAsia="zh-CN"/>
              </w:rPr>
              <w:t>54</w:t>
            </w:r>
            <w:r>
              <w:rPr>
                <w:rFonts w:hint="eastAsia" w:ascii="仿宋" w:hAnsi="仿宋" w:eastAsia="仿宋" w:cs="仿宋"/>
                <w:color w:val="auto"/>
                <w:sz w:val="21"/>
                <w:szCs w:val="21"/>
                <w:highlight w:val="none"/>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14</w:t>
            </w:r>
            <w:r>
              <w:rPr>
                <w:rFonts w:hint="eastAsia" w:ascii="仿宋" w:hAnsi="仿宋" w:eastAsia="仿宋" w:cs="仿宋"/>
                <w:color w:val="auto"/>
                <w:sz w:val="21"/>
                <w:szCs w:val="21"/>
                <w:highlight w:val="none"/>
              </w:rPr>
              <w:t>.线缆耐电压：≥1500V(AC)不击穿(60S)</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.有过压过流、短路保护功能：输出短路自动保护，短路电流小于额定200%,故障排除后自动恢复正常</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16</w:t>
            </w:r>
            <w:r>
              <w:rPr>
                <w:rFonts w:hint="eastAsia" w:ascii="仿宋" w:hAnsi="仿宋" w:eastAsia="仿宋" w:cs="仿宋"/>
                <w:color w:val="auto"/>
                <w:sz w:val="21"/>
                <w:szCs w:val="21"/>
                <w:highlight w:val="none"/>
              </w:rPr>
              <w:t>.工作高度≥30m</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17</w:t>
            </w:r>
            <w:r>
              <w:rPr>
                <w:rFonts w:hint="eastAsia" w:ascii="仿宋" w:hAnsi="仿宋" w:eastAsia="仿宋" w:cs="仿宋"/>
                <w:color w:val="auto"/>
                <w:sz w:val="21"/>
                <w:szCs w:val="21"/>
                <w:highlight w:val="none"/>
              </w:rPr>
              <w:t>.照明范围：≥5000m²</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w:t>
            </w:r>
            <w:r>
              <w:rPr>
                <w:rFonts w:hint="eastAsia" w:ascii="仿宋" w:hAnsi="仿宋" w:eastAsia="仿宋" w:cs="仿宋"/>
                <w:color w:val="auto"/>
                <w:szCs w:val="21"/>
                <w:highlight w:val="none"/>
              </w:rPr>
              <w:t>提供具有CMA或CNAS标识的检测机构出具的检测报告扫描件或复印件并加盖投标人公章。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i w:val="0"/>
                <w:iCs w:val="0"/>
                <w:color w:val="auto"/>
                <w:kern w:val="0"/>
                <w:sz w:val="21"/>
                <w:szCs w:val="21"/>
                <w:highlight w:val="none"/>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9"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通信指挥装备（单兵图传）</w:t>
            </w:r>
          </w:p>
        </w:tc>
        <w:tc>
          <w:tcPr>
            <w:tcW w:w="6880" w:type="dxa"/>
            <w:vAlign w:val="center"/>
          </w:tcPr>
          <w:p>
            <w:pPr>
              <w:pStyle w:val="24"/>
              <w:keepNext w:val="0"/>
              <w:keepLines w:val="0"/>
              <w:pageBreakBefore w:val="0"/>
              <w:kinsoku/>
              <w:wordWrap/>
              <w:overflowPunct/>
              <w:topLinePunct w:val="0"/>
              <w:autoSpaceDE/>
              <w:autoSpaceDN/>
              <w:bidi w:val="0"/>
              <w:adjustRightInd/>
              <w:snapToGrid/>
              <w:spacing w:line="360" w:lineRule="auto"/>
              <w:rPr>
                <w:rFonts w:hint="eastAsia" w:ascii="仿宋" w:hAnsi="仿宋" w:eastAsia="仿宋" w:cs="仿宋"/>
                <w:b w:val="0"/>
                <w:bCs w:val="0"/>
                <w:color w:val="auto"/>
                <w:spacing w:val="0"/>
                <w:kern w:val="2"/>
                <w:sz w:val="21"/>
                <w:szCs w:val="21"/>
                <w:highlight w:val="none"/>
                <w:lang w:eastAsia="zh-CN"/>
              </w:rPr>
            </w:pPr>
            <w:r>
              <w:rPr>
                <w:rFonts w:hint="eastAsia" w:ascii="仿宋" w:hAnsi="仿宋" w:eastAsia="仿宋" w:cs="仿宋"/>
                <w:b w:val="0"/>
                <w:bCs w:val="0"/>
                <w:color w:val="auto"/>
                <w:spacing w:val="0"/>
                <w:kern w:val="2"/>
                <w:sz w:val="21"/>
                <w:szCs w:val="21"/>
                <w:highlight w:val="none"/>
              </w:rPr>
              <w:t>1.5G全网通</w:t>
            </w:r>
            <w:r>
              <w:rPr>
                <w:rFonts w:hint="eastAsia" w:ascii="仿宋" w:hAnsi="仿宋" w:eastAsia="仿宋" w:cs="仿宋"/>
                <w:b w:val="0"/>
                <w:bCs w:val="0"/>
                <w:color w:val="auto"/>
                <w:spacing w:val="0"/>
                <w:kern w:val="2"/>
                <w:sz w:val="21"/>
                <w:szCs w:val="21"/>
                <w:highlight w:val="none"/>
                <w:lang w:eastAsia="zh-CN"/>
              </w:rPr>
              <w:t>，</w:t>
            </w:r>
            <w:r>
              <w:rPr>
                <w:rFonts w:hint="eastAsia" w:ascii="仿宋" w:hAnsi="仿宋" w:eastAsia="仿宋" w:cs="仿宋"/>
                <w:b w:val="0"/>
                <w:bCs w:val="0"/>
                <w:color w:val="auto"/>
                <w:spacing w:val="0"/>
                <w:kern w:val="2"/>
                <w:sz w:val="21"/>
                <w:szCs w:val="21"/>
                <w:highlight w:val="none"/>
              </w:rPr>
              <w:t>支持WIFI6</w:t>
            </w:r>
            <w:r>
              <w:rPr>
                <w:rFonts w:hint="eastAsia" w:ascii="仿宋" w:hAnsi="仿宋" w:eastAsia="仿宋" w:cs="仿宋"/>
                <w:b w:val="0"/>
                <w:bCs w:val="0"/>
                <w:color w:val="auto"/>
                <w:spacing w:val="0"/>
                <w:kern w:val="2"/>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rPr>
              <w:t>内置高灵敏度卫星定位模块，支持GPS和北斗双模定位；</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.H.264/H.265视频压缩编码技术；</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4.视频支持双码流技术，支持实时流和存储流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本地存储，支持128GB TF卡存储；</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r>
              <w:rPr>
                <w:rFonts w:hint="eastAsia" w:ascii="仿宋" w:hAnsi="仿宋" w:eastAsia="仿宋" w:cs="仿宋"/>
                <w:b w:val="0"/>
                <w:bCs w:val="0"/>
                <w:color w:val="auto"/>
                <w:sz w:val="21"/>
                <w:szCs w:val="21"/>
                <w:highlight w:val="none"/>
              </w:rPr>
              <w:t>SIM卡槽：≥2个Nano SIM卡槽</w:t>
            </w:r>
            <w:r>
              <w:rPr>
                <w:rFonts w:hint="eastAsia" w:ascii="仿宋" w:hAnsi="仿宋" w:eastAsia="仿宋" w:cs="仿宋"/>
                <w:b w:val="0"/>
                <w:bCs w:val="0"/>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6.内置大功率锂电池，可连续供电6小时；</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default"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7.视频特性：支持1080P、720P、4CIF、CIF，帧率5~60帧可选</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8</w:t>
            </w:r>
            <w:r>
              <w:rPr>
                <w:rFonts w:hint="eastAsia" w:ascii="仿宋" w:hAnsi="仿宋" w:eastAsia="仿宋" w:cs="仿宋"/>
                <w:color w:val="auto"/>
                <w:sz w:val="21"/>
                <w:szCs w:val="21"/>
                <w:highlight w:val="none"/>
              </w:rPr>
              <w:t>.支持双向语音对讲、音频编码多样可选，AAC、AMR、G711；</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9</w:t>
            </w:r>
            <w:r>
              <w:rPr>
                <w:rFonts w:hint="eastAsia" w:ascii="仿宋" w:hAnsi="仿宋" w:eastAsia="仿宋" w:cs="仿宋"/>
                <w:color w:val="auto"/>
                <w:sz w:val="21"/>
                <w:szCs w:val="21"/>
                <w:highlight w:val="none"/>
              </w:rPr>
              <w:t>.提供SDK、web控件，支持国标GB28181平台对接；</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1</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.防护等级≥IP66</w:t>
            </w:r>
            <w:r>
              <w:rPr>
                <w:rFonts w:hint="eastAsia" w:ascii="仿宋" w:hAnsi="仿宋" w:eastAsia="仿宋" w:cs="仿宋"/>
                <w:color w:val="auto"/>
                <w:sz w:val="21"/>
                <w:szCs w:val="21"/>
                <w:highlight w:val="none"/>
                <w:lang w:eastAsia="zh-CN"/>
              </w:rPr>
              <w:t>；</w:t>
            </w:r>
          </w:p>
          <w:p>
            <w:pPr>
              <w:pStyle w:val="80"/>
              <w:keepNext w:val="0"/>
              <w:keepLines w:val="0"/>
              <w:pageBreakBefore w:val="0"/>
              <w:kinsoku/>
              <w:wordWrap/>
              <w:overflowPunct/>
              <w:topLinePunct w:val="0"/>
              <w:autoSpaceDE/>
              <w:autoSpaceDN/>
              <w:bidi w:val="0"/>
              <w:adjustRightInd/>
              <w:snapToGrid/>
              <w:spacing w:line="360" w:lineRule="auto"/>
              <w:ind w:left="0" w:leftChars="0" w:firstLine="0" w:firstLineChars="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11.</w:t>
            </w:r>
            <w:r>
              <w:rPr>
                <w:rFonts w:hint="eastAsia" w:ascii="仿宋" w:hAnsi="仿宋" w:eastAsia="仿宋" w:cs="仿宋"/>
                <w:color w:val="auto"/>
                <w:sz w:val="21"/>
                <w:szCs w:val="21"/>
                <w:highlight w:val="none"/>
                <w:lang w:eastAsia="zh-CN"/>
              </w:rPr>
              <w:t>提供具有CMA或CNAS标识的检测机构出具的检测报告扫描件或复印件并加盖投标人公章。</w:t>
            </w:r>
          </w:p>
        </w:tc>
        <w:tc>
          <w:tcPr>
            <w:tcW w:w="1110" w:type="dxa"/>
            <w:vAlign w:val="center"/>
          </w:tcPr>
          <w:p>
            <w:pPr>
              <w:pStyle w:val="80"/>
              <w:keepNext w:val="0"/>
              <w:keepLines w:val="0"/>
              <w:pageBreakBefore w:val="0"/>
              <w:kinsoku/>
              <w:wordWrap/>
              <w:overflowPunct/>
              <w:topLinePunct w:val="0"/>
              <w:autoSpaceDE/>
              <w:autoSpaceDN/>
              <w:bidi w:val="0"/>
              <w:adjustRightInd/>
              <w:snapToGrid/>
              <w:spacing w:line="360" w:lineRule="auto"/>
              <w:ind w:left="0" w:leftChars="0" w:firstLine="200" w:firstLineChars="100"/>
              <w:jc w:val="both"/>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76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p>
        </w:tc>
        <w:tc>
          <w:tcPr>
            <w:tcW w:w="995"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通信指挥设备（数字集群手持终端）</w:t>
            </w:r>
          </w:p>
        </w:tc>
        <w:tc>
          <w:tcPr>
            <w:tcW w:w="6880" w:type="dxa"/>
            <w:vAlign w:val="center"/>
          </w:tcPr>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1.▲支持370M专网PDT和公网PoC制式；具备370M应急管理专用频段的无线电发射设备型号核准证</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（提供证书</w:t>
            </w:r>
            <w:r>
              <w:rPr>
                <w:rFonts w:hint="eastAsia" w:ascii="仿宋" w:hAnsi="仿宋" w:eastAsia="仿宋" w:cs="仿宋"/>
                <w:color w:val="auto"/>
                <w:szCs w:val="21"/>
                <w:highlight w:val="none"/>
              </w:rPr>
              <w:t>扫描件或复印件并加盖投标人公章</w:t>
            </w:r>
            <w:r>
              <w:rPr>
                <w:rFonts w:hint="eastAsia" w:ascii="仿宋" w:hAnsi="仿宋" w:eastAsia="仿宋" w:cs="仿宋"/>
                <w:color w:val="auto"/>
                <w:sz w:val="21"/>
                <w:szCs w:val="21"/>
                <w:highlight w:val="none"/>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2.工作频段：350MHz～400MHz</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3.★CPU频率≥四核 1.8GHz；内存≥32GB ROM+3GB RAM；3.5英寸以上中文彩屏显示；支持WIFI；摄像头：前≥500万像素，后≥1300万像素。</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4.防护等级≥IP67。工作温度：-40℃-55℃，工作湿度：5%RH-100%RH，能长期曝露室外使用</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5.语音编码方式：NVOC;</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6.支持多功能频道旋钮开关</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7.电池容量≥2400mAH，支持快速充电</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8.支持单北斗定位功能</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9.公网流量不低于60G/年</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10.质保期不少于5年</w:t>
            </w:r>
            <w:r>
              <w:rPr>
                <w:rFonts w:hint="eastAsia" w:ascii="仿宋" w:hAnsi="仿宋" w:eastAsia="仿宋" w:cs="仿宋"/>
                <w:color w:val="auto"/>
                <w:sz w:val="21"/>
                <w:szCs w:val="21"/>
                <w:highlight w:val="none"/>
                <w:lang w:eastAsia="zh-CN"/>
              </w:rPr>
              <w:t>；</w:t>
            </w:r>
          </w:p>
          <w:p>
            <w:pPr>
              <w:keepNext w:val="0"/>
              <w:keepLines w:val="0"/>
              <w:pageBreakBefore w:val="0"/>
              <w:kinsoku/>
              <w:wordWrap/>
              <w:overflowPunct/>
              <w:topLinePunct w:val="0"/>
              <w:autoSpaceDE/>
              <w:autoSpaceDN/>
              <w:bidi w:val="0"/>
              <w:adjustRightInd/>
              <w:snapToGrid/>
              <w:spacing w:line="360" w:lineRule="auto"/>
              <w:jc w:val="left"/>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11.▲支持接入绍兴市公专融合平台，提供设备生产厂家接入承诺函并加盖投标人公章。</w:t>
            </w:r>
          </w:p>
        </w:tc>
        <w:tc>
          <w:tcPr>
            <w:tcW w:w="1110" w:type="dxa"/>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1"/>
                <w:szCs w:val="21"/>
                <w:highlight w:val="none"/>
                <w:lang w:eastAsia="zh-CN"/>
              </w:rPr>
            </w:pPr>
            <w:r>
              <w:rPr>
                <w:rFonts w:hint="eastAsia" w:ascii="仿宋" w:hAnsi="仿宋" w:eastAsia="仿宋" w:cs="仿宋"/>
                <w:i w:val="0"/>
                <w:iCs w:val="0"/>
                <w:color w:val="auto"/>
                <w:kern w:val="0"/>
                <w:sz w:val="21"/>
                <w:szCs w:val="21"/>
                <w:highlight w:val="none"/>
                <w:u w:val="none"/>
                <w:lang w:val="en-US" w:eastAsia="zh-CN" w:bidi="ar"/>
              </w:rPr>
              <w:t>306</w:t>
            </w:r>
          </w:p>
        </w:tc>
      </w:tr>
    </w:tbl>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00" w:right="0" w:rightChars="0"/>
        <w:textAlignment w:val="auto"/>
        <w:rPr>
          <w:rFonts w:hint="eastAsia" w:ascii="仿宋" w:hAnsi="仿宋" w:eastAsia="仿宋" w:cs="仿宋"/>
          <w:b/>
          <w:bCs/>
          <w:color w:val="auto"/>
          <w:kern w:val="0"/>
          <w:sz w:val="24"/>
          <w:szCs w:val="24"/>
          <w:highlight w:val="none"/>
          <w:lang w:val="en-US" w:eastAsia="zh-CN" w:bidi="ar-SA"/>
        </w:rPr>
      </w:pPr>
      <w:bookmarkStart w:id="11" w:name="_Toc166260986"/>
      <w:r>
        <w:rPr>
          <w:rFonts w:hint="eastAsia" w:ascii="仿宋" w:hAnsi="仿宋" w:eastAsia="仿宋" w:cs="仿宋"/>
          <w:b/>
          <w:bCs/>
          <w:color w:val="auto"/>
          <w:kern w:val="0"/>
          <w:sz w:val="24"/>
          <w:szCs w:val="24"/>
          <w:highlight w:val="none"/>
          <w:lang w:val="en-US" w:eastAsia="zh-CN" w:bidi="ar-SA"/>
        </w:rPr>
        <w:t>二、应急物资运营管理服务</w:t>
      </w:r>
    </w:p>
    <w:bookmarkEnd w:id="11"/>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bookmarkStart w:id="12" w:name="_Toc166260990"/>
      <w:r>
        <w:rPr>
          <w:rFonts w:hint="eastAsia" w:ascii="仿宋" w:hAnsi="仿宋" w:eastAsia="仿宋" w:cs="仿宋"/>
          <w:b w:val="0"/>
          <w:bCs w:val="0"/>
          <w:color w:val="auto"/>
          <w:kern w:val="2"/>
          <w:sz w:val="24"/>
          <w:szCs w:val="24"/>
          <w:highlight w:val="none"/>
          <w:lang w:val="en-US" w:eastAsia="zh-CN" w:bidi="ar-SA"/>
        </w:rPr>
        <w:t>1.中标人拥有完备的装备资产管理体制，包括设备的配置、调度、保养、处理及核销等环节，确保了对装备全生命周期的有效监管。</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中标人具有应急物资管控平台服务，该平台应具备对接国家、省应急资源管理平台功能，并能够实现与市级、区县级以及行业专业部门的应急物资数据库的互联互通，平台应深度融合物联网、大数据等技术，实现物资集中化管理，构建绍兴市应急物资保障管控平台，为应急管理工作提供强有力的数据支持。</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3.中标人应拥有专业的团队，负责设备的巡检、应急救援以及物资的调拨配送工作，确保在紧急情况下能够迅速响应并有效应对，巡检要求每季度不少于一次，汛期等特殊情况按采购单位要求执行。</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4.中标人应切实配合采购人完成应急演练培训工作，每年应不少2次。</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三、技术力量要求</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1. 具备扎实的专业知识，熟悉各类设备的性能、操作原理和使用方法。</w:t>
      </w:r>
    </w:p>
    <w:p>
      <w:pPr>
        <w:spacing w:line="360" w:lineRule="auto"/>
        <w:ind w:firstLine="480" w:firstLineChars="20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2. 掌握相关设备的维修、保养技术，能够准确判断设备故障并及时进行处理。</w:t>
      </w:r>
    </w:p>
    <w:p>
      <w:pPr>
        <w:spacing w:line="360" w:lineRule="auto"/>
        <w:ind w:firstLine="480" w:firstLineChars="20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 熟悉安全操作规程，确保在设备操作和维护过程中始终将安全放在首位。</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四、商务要求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1.质量保证：</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本项目投标产品需提供不少于3年原厂质保服务</w:t>
      </w:r>
      <w:r>
        <w:rPr>
          <w:rFonts w:hint="eastAsia" w:ascii="仿宋" w:hAnsi="仿宋" w:eastAsia="仿宋" w:cs="仿宋"/>
          <w:color w:val="auto"/>
          <w:sz w:val="24"/>
          <w:szCs w:val="24"/>
          <w:highlight w:val="none"/>
          <w:lang w:eastAsia="zh-CN"/>
        </w:rPr>
        <w:t>，运维服务</w:t>
      </w:r>
      <w:r>
        <w:rPr>
          <w:rFonts w:hint="eastAsia" w:ascii="仿宋" w:hAnsi="仿宋" w:eastAsia="仿宋" w:cs="仿宋"/>
          <w:color w:val="auto"/>
          <w:sz w:val="24"/>
          <w:szCs w:val="24"/>
          <w:highlight w:val="none"/>
          <w:lang w:val="en-US" w:eastAsia="zh-CN"/>
        </w:rPr>
        <w:t>5年</w:t>
      </w:r>
      <w:r>
        <w:rPr>
          <w:rFonts w:hint="eastAsia" w:ascii="仿宋" w:hAnsi="仿宋" w:eastAsia="仿宋" w:cs="仿宋"/>
          <w:color w:val="auto"/>
          <w:sz w:val="24"/>
          <w:szCs w:val="24"/>
          <w:highlight w:val="none"/>
        </w:rPr>
        <w:t>。质保期内，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对其提供的设备进行免费维修或更换，不得收取额外费用；由于产品缺陷而引起的财产或人身损害的，由</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承担相应责任。</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2.售后技术服务要求：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2.1本项目质保期内，</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应提供全年7×24小时技术支持及售后服务，相关费用包含在项目总价中；</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在接到故障报告后应在</w:t>
      </w:r>
      <w:r>
        <w:rPr>
          <w:rFonts w:hint="eastAsia" w:ascii="仿宋" w:hAnsi="仿宋" w:eastAsia="仿宋" w:cs="仿宋"/>
          <w:color w:val="auto"/>
          <w:sz w:val="24"/>
          <w:szCs w:val="24"/>
          <w:highlight w:val="none"/>
          <w:lang w:val="en-US" w:eastAsia="zh-CN"/>
        </w:rPr>
        <w:t>1小时</w:t>
      </w:r>
      <w:r>
        <w:rPr>
          <w:rFonts w:hint="eastAsia" w:ascii="仿宋" w:hAnsi="仿宋" w:eastAsia="仿宋" w:cs="仿宋"/>
          <w:color w:val="auto"/>
          <w:sz w:val="24"/>
          <w:szCs w:val="24"/>
          <w:highlight w:val="none"/>
        </w:rPr>
        <w:t>内做出响应，2小时内到达现场，复杂故障应在24小时内恢复解决。若24小时内无法恢复解决的，须提供同等性能、同等配置的产品替换</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2.2备品备件及耗材要求：所投产品零配件、备品备件及耗材在该产品停产后仍需保证五年的供应。</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3.付款方式：</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合同签订且收到中标人出具的符合采购人要求的正式发票后7个工作日内支付合同</w:t>
      </w:r>
      <w:r>
        <w:rPr>
          <w:rFonts w:hint="eastAsia" w:ascii="仿宋" w:hAnsi="仿宋" w:eastAsia="仿宋" w:cs="仿宋"/>
          <w:color w:val="auto"/>
          <w:sz w:val="24"/>
          <w:szCs w:val="24"/>
          <w:highlight w:val="none"/>
          <w:lang w:eastAsia="zh-CN"/>
        </w:rPr>
        <w:t>金额</w:t>
      </w:r>
      <w:r>
        <w:rPr>
          <w:rFonts w:hint="eastAsia" w:ascii="仿宋" w:hAnsi="仿宋" w:eastAsia="仿宋" w:cs="仿宋"/>
          <w:color w:val="auto"/>
          <w:sz w:val="24"/>
          <w:szCs w:val="24"/>
          <w:highlight w:val="none"/>
        </w:rPr>
        <w:t>的40%作为预付款，设备全部到货并</w:t>
      </w:r>
      <w:r>
        <w:rPr>
          <w:rFonts w:hint="eastAsia" w:ascii="仿宋" w:hAnsi="仿宋" w:eastAsia="仿宋" w:cs="仿宋"/>
          <w:color w:val="auto"/>
          <w:sz w:val="24"/>
          <w:szCs w:val="24"/>
          <w:highlight w:val="none"/>
          <w:lang w:eastAsia="zh-CN"/>
        </w:rPr>
        <w:t>验收</w:t>
      </w:r>
      <w:r>
        <w:rPr>
          <w:rFonts w:hint="eastAsia" w:ascii="仿宋" w:hAnsi="仿宋" w:eastAsia="仿宋" w:cs="仿宋"/>
          <w:color w:val="auto"/>
          <w:sz w:val="24"/>
          <w:szCs w:val="24"/>
          <w:highlight w:val="none"/>
        </w:rPr>
        <w:t>合格且收到中标人出具的正式发票后7个工作日内支付合同款的</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0%。</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4.培训要求：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中标人应对采购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使用人员进行安装、调试、操作等使用培训，培训时间为2天，不得限制采购单位参加培训人员数量。</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五、工期及供货地点要求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1.工期要求：本项目于</w:t>
      </w:r>
      <w:r>
        <w:rPr>
          <w:rFonts w:hint="eastAsia" w:ascii="仿宋" w:hAnsi="仿宋" w:eastAsia="仿宋" w:cs="仿宋"/>
          <w:color w:val="auto"/>
          <w:sz w:val="24"/>
          <w:szCs w:val="24"/>
          <w:highlight w:val="none"/>
          <w:lang w:eastAsia="zh-CN"/>
        </w:rPr>
        <w:t>合同签订生效后</w:t>
      </w:r>
      <w:r>
        <w:rPr>
          <w:rFonts w:hint="eastAsia" w:ascii="仿宋" w:hAnsi="仿宋" w:eastAsia="仿宋" w:cs="仿宋"/>
          <w:color w:val="auto"/>
          <w:sz w:val="24"/>
          <w:szCs w:val="24"/>
          <w:highlight w:val="none"/>
          <w:lang w:val="en-US" w:eastAsia="zh-CN"/>
        </w:rPr>
        <w:t>60天内</w:t>
      </w:r>
      <w:r>
        <w:rPr>
          <w:rFonts w:hint="eastAsia" w:ascii="仿宋" w:hAnsi="仿宋" w:eastAsia="仿宋" w:cs="仿宋"/>
          <w:color w:val="auto"/>
          <w:sz w:val="24"/>
          <w:szCs w:val="24"/>
          <w:highlight w:val="none"/>
        </w:rPr>
        <w:t>完成供货并验</w:t>
      </w:r>
      <w:r>
        <w:rPr>
          <w:rFonts w:hint="eastAsia" w:ascii="仿宋" w:hAnsi="仿宋" w:eastAsia="仿宋" w:cs="仿宋"/>
          <w:color w:val="auto"/>
          <w:sz w:val="24"/>
          <w:szCs w:val="24"/>
          <w:highlight w:val="none"/>
          <w:lang w:eastAsia="zh-CN"/>
        </w:rPr>
        <w:t>收</w:t>
      </w:r>
      <w:r>
        <w:rPr>
          <w:rFonts w:hint="eastAsia" w:ascii="仿宋" w:hAnsi="仿宋" w:eastAsia="仿宋" w:cs="仿宋"/>
          <w:color w:val="auto"/>
          <w:sz w:val="24"/>
          <w:szCs w:val="24"/>
          <w:highlight w:val="none"/>
        </w:rPr>
        <w:t>合格。</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2.供货（安装）地点要求：采购人指定地点</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lang w:val="en-US" w:eastAsia="zh-CN"/>
        </w:rPr>
        <w:t>本项目建设内容分布于绍兴市及所属区县</w:t>
      </w:r>
      <w:r>
        <w:rPr>
          <w:rFonts w:hint="eastAsia" w:ascii="仿宋" w:hAnsi="仿宋" w:eastAsia="仿宋" w:cs="仿宋"/>
          <w:bCs/>
          <w:color w:val="auto"/>
          <w:sz w:val="24"/>
          <w:szCs w:val="24"/>
          <w:highlight w:val="none"/>
          <w:lang w:val="en-US"/>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招标人保留在签约时调整部分方案及定购设备数量和服务的权力，投标人应对系统方案中设备和服务明细报价，按投标单价不变的前提下进行调整，双方不得拒绝。</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六、安装、调试、验收要求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安装要求：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中标人提供货物安装、调试等服务，中标人须对货物的完整性负责，如相关货物、配件在招标清单中未列出但安装所采购货物时必需，由中标人提供，产生的一切费用均由中标人负责。</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2.调试要求：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采购人对中标人提供的货物在使用前进行调试时，中标人需负责安装并培训采购人的使用操作人员，并协助采购人一起调试，直到符合技术要求，采购人才组织验收。</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3.验收要求：</w:t>
      </w:r>
    </w:p>
    <w:p>
      <w:pPr>
        <w:pageBreakBefore w:val="0"/>
        <w:kinsoku/>
        <w:wordWrap/>
        <w:overflowPunct/>
        <w:topLinePunct w:val="0"/>
        <w:autoSpaceDE/>
        <w:autoSpaceDN/>
        <w:bidi w:val="0"/>
        <w:adjustRightInd/>
        <w:spacing w:line="360" w:lineRule="auto"/>
        <w:ind w:left="0" w:leftChars="0" w:right="0"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采购合同的约定和现行国家标准、行业标准以及企业标准对每一项技术、服务、安全标准的履约情况进行确认。根据项目情况，采购人有权要求中标人提供所投产品经国家认可的第三方检测机构出具的检测报告原件进行查验。采购人有权根据需要设置出厂检验、到货检验、安装调试检验、配套服务检验等多重验收环节。</w:t>
      </w:r>
    </w:p>
    <w:p>
      <w:pPr>
        <w:pageBreakBefore w:val="0"/>
        <w:numPr>
          <w:ilvl w:val="-1"/>
          <w:numId w:val="0"/>
        </w:numPr>
        <w:kinsoku/>
        <w:wordWrap/>
        <w:overflowPunct/>
        <w:topLinePunct w:val="0"/>
        <w:autoSpaceDE/>
        <w:autoSpaceDN/>
        <w:bidi w:val="0"/>
        <w:adjustRightInd/>
        <w:spacing w:line="360" w:lineRule="auto"/>
        <w:ind w:left="420" w:leftChars="200" w:right="0" w:rightChars="0"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4.施工安全：</w:t>
      </w:r>
    </w:p>
    <w:p>
      <w:pPr>
        <w:pageBreakBefore w:val="0"/>
        <w:kinsoku/>
        <w:wordWrap/>
        <w:overflowPunct/>
        <w:topLinePunct w:val="0"/>
        <w:autoSpaceDE/>
        <w:autoSpaceDN/>
        <w:bidi w:val="0"/>
        <w:adjustRightInd/>
        <w:spacing w:line="360" w:lineRule="auto"/>
        <w:ind w:right="0" w:rightChars="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rPr>
        <w:t>履约过程中中标人要组织好项目现场的秩序和安全，期间发生的本企业及其人员问题及发生对第三方造成的人身伤害及其他损失（包括：人身伤害、财产损失等经济和法律责任）均由中标人全部承担，与招标人无任何关系。</w:t>
      </w:r>
    </w:p>
    <w:p>
      <w:pPr>
        <w:pStyle w:val="118"/>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42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七、其他</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浙江省应急管理厅关于印发《浙江省增发国债自然灾害应急能力提升工程项目实施监督办法》的通知（浙应急规财﹝2024﹞41号）的要求，本项目由绍兴市应急管理局组织联合招标采购，招标结束后由绍兴市应急管理局、绍兴市越城区应急管理局、绍兴市柯桥区应急管理局、绍兴市上虞区应急管理局、诸暨市应急管理局、嵊州市应急管理局</w:t>
      </w:r>
      <w:r>
        <w:rPr>
          <w:rFonts w:hint="eastAsia" w:ascii="仿宋" w:hAnsi="仿宋" w:eastAsia="仿宋" w:cs="仿宋"/>
          <w:color w:val="auto"/>
          <w:sz w:val="24"/>
          <w:szCs w:val="24"/>
          <w:highlight w:val="none"/>
          <w:lang w:eastAsia="zh-CN"/>
        </w:rPr>
        <w:t>、新昌县应急管理局</w:t>
      </w:r>
      <w:r>
        <w:rPr>
          <w:rFonts w:hint="eastAsia" w:ascii="仿宋" w:hAnsi="仿宋" w:eastAsia="仿宋" w:cs="仿宋"/>
          <w:color w:val="auto"/>
          <w:sz w:val="24"/>
          <w:szCs w:val="24"/>
          <w:highlight w:val="none"/>
        </w:rPr>
        <w:t>和中标人共同签定合同，并对签定的合同承担相应的权利义务。</w:t>
      </w:r>
    </w:p>
    <w:bookmarkEnd w:id="4"/>
    <w:bookmarkEnd w:id="5"/>
    <w:bookmarkEnd w:id="6"/>
    <w:bookmarkEnd w:id="12"/>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1"/>
        <w:ind w:left="0" w:leftChars="0" w:firstLine="0" w:firstLineChars="0"/>
        <w:rPr>
          <w:rFonts w:ascii="仿宋_GB2312" w:hAnsi="仿宋" w:eastAsia="仿宋_GB2312" w:cs="仿宋"/>
          <w:color w:val="auto"/>
          <w:szCs w:val="24"/>
          <w:highlight w:val="none"/>
        </w:rPr>
      </w:pPr>
    </w:p>
    <w:p>
      <w:pPr>
        <w:pStyle w:val="311"/>
        <w:jc w:val="center"/>
        <w:rPr>
          <w:rFonts w:ascii="仿宋_GB2312" w:hAnsi="仿宋" w:eastAsia="仿宋_GB2312" w:cs="仿宋"/>
          <w:color w:val="auto"/>
          <w:szCs w:val="24"/>
          <w:highlight w:val="none"/>
        </w:rPr>
      </w:pPr>
    </w:p>
    <w:p>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1"/>
        <w:rPr>
          <w:rFonts w:ascii="仿宋_GB2312" w:hAnsi="仿宋" w:eastAsia="仿宋_GB2312" w:cs="仿宋"/>
          <w:color w:val="auto"/>
          <w:szCs w:val="24"/>
          <w:highlight w:val="none"/>
        </w:rPr>
      </w:pPr>
    </w:p>
    <w:p>
      <w:pPr>
        <w:pStyle w:val="311"/>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pacing w:before="120" w:line="22" w:lineRule="atLeast"/>
        <w:rPr>
          <w:rFonts w:hAnsi="仿宋" w:cs="仿宋"/>
          <w:color w:val="auto"/>
          <w:szCs w:val="24"/>
          <w:highlight w:val="none"/>
        </w:rPr>
      </w:pPr>
    </w:p>
    <w:p>
      <w:pPr>
        <w:pStyle w:val="310"/>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footerReference r:id="rId6"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13" w:name="_Toc2232"/>
      <w:bookmarkStart w:id="14" w:name="_Toc3029"/>
      <w:bookmarkStart w:id="15" w:name="_Toc24059"/>
      <w:r>
        <w:rPr>
          <w:rFonts w:hint="eastAsia" w:ascii="仿宋_GB2312" w:hAnsi="仿宋" w:eastAsia="仿宋_GB2312" w:cs="仿宋"/>
          <w:b/>
          <w:color w:val="auto"/>
          <w:sz w:val="24"/>
          <w:highlight w:val="none"/>
        </w:rPr>
        <w:t>1.1 合同组成部分</w:t>
      </w:r>
      <w:bookmarkEnd w:id="13"/>
      <w:bookmarkEnd w:id="14"/>
      <w:bookmarkEnd w:id="1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16" w:name="_Toc21295"/>
      <w:bookmarkStart w:id="17" w:name="_Toc24300"/>
      <w:bookmarkStart w:id="18" w:name="_Toc27126"/>
      <w:r>
        <w:rPr>
          <w:rFonts w:hint="eastAsia" w:ascii="仿宋_GB2312" w:hAnsi="仿宋" w:eastAsia="仿宋_GB2312" w:cs="仿宋"/>
          <w:b/>
          <w:color w:val="auto"/>
          <w:sz w:val="24"/>
          <w:highlight w:val="none"/>
        </w:rPr>
        <w:t>1.2 货物</w:t>
      </w:r>
      <w:bookmarkEnd w:id="16"/>
      <w:bookmarkEnd w:id="17"/>
      <w:bookmarkEnd w:id="18"/>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19" w:name="_Toc23292"/>
      <w:bookmarkStart w:id="20" w:name="_Toc21551"/>
      <w:bookmarkStart w:id="21" w:name="_Toc21631"/>
      <w:r>
        <w:rPr>
          <w:rFonts w:hint="eastAsia" w:ascii="仿宋_GB2312" w:hAnsi="仿宋" w:eastAsia="仿宋_GB2312" w:cs="仿宋"/>
          <w:b/>
          <w:color w:val="auto"/>
          <w:sz w:val="24"/>
          <w:highlight w:val="none"/>
        </w:rPr>
        <w:t>1.3 价款</w:t>
      </w:r>
      <w:bookmarkEnd w:id="19"/>
      <w:bookmarkEnd w:id="20"/>
      <w:bookmarkEnd w:id="2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bl>
    <w:p>
      <w:pPr>
        <w:pStyle w:val="312"/>
        <w:spacing w:before="0" w:beforeAutospacing="0" w:after="0" w:afterAutospacing="0" w:line="360" w:lineRule="auto"/>
        <w:ind w:firstLine="480"/>
        <w:rPr>
          <w:rFonts w:ascii="仿宋_GB2312" w:hAnsi="仿宋" w:eastAsia="仿宋_GB2312" w:cs="仿宋"/>
          <w:b/>
          <w:color w:val="auto"/>
          <w:highlight w:val="none"/>
        </w:rPr>
      </w:pPr>
      <w:bookmarkStart w:id="22" w:name="_Toc10340"/>
      <w:bookmarkStart w:id="23" w:name="_Toc1814"/>
      <w:bookmarkStart w:id="24" w:name="_Toc22618"/>
      <w:r>
        <w:rPr>
          <w:rFonts w:hint="eastAsia" w:ascii="仿宋_GB2312" w:hAnsi="仿宋" w:eastAsia="仿宋_GB2312" w:cs="仿宋"/>
          <w:b/>
          <w:color w:val="auto"/>
          <w:highlight w:val="none"/>
        </w:rPr>
        <w:t>1.4履约保证金</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2"/>
      <w:bookmarkEnd w:id="23"/>
      <w:bookmarkEnd w:id="24"/>
      <w:r>
        <w:rPr>
          <w:rFonts w:hint="eastAsia" w:ascii="仿宋_GB2312" w:hAnsi="仿宋" w:eastAsia="仿宋_GB2312" w:cs="仿宋"/>
          <w:b/>
          <w:color w:val="auto"/>
          <w:sz w:val="24"/>
          <w:highlight w:val="none"/>
        </w:rPr>
        <w:t>预付款</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5" w:name="_Toc19304"/>
      <w:bookmarkStart w:id="26" w:name="_Toc32071"/>
      <w:bookmarkStart w:id="27" w:name="_Toc2846"/>
      <w:r>
        <w:rPr>
          <w:rFonts w:hint="eastAsia" w:ascii="仿宋_GB2312" w:hAnsi="仿宋" w:eastAsia="仿宋_GB2312" w:cs="仿宋"/>
          <w:b/>
          <w:color w:val="auto"/>
          <w:sz w:val="24"/>
          <w:highlight w:val="none"/>
        </w:rPr>
        <w:t>1.7货物交付期限、地点和方式</w:t>
      </w:r>
      <w:bookmarkEnd w:id="25"/>
      <w:bookmarkEnd w:id="26"/>
      <w:bookmarkEnd w:id="27"/>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28" w:name="_Toc27250"/>
      <w:bookmarkStart w:id="29" w:name="_Toc21423"/>
      <w:bookmarkStart w:id="30" w:name="_Toc19554"/>
      <w:r>
        <w:rPr>
          <w:rFonts w:hint="eastAsia" w:ascii="仿宋_GB2312" w:hAnsi="仿宋" w:eastAsia="仿宋_GB2312" w:cs="仿宋"/>
          <w:b/>
          <w:color w:val="auto"/>
          <w:sz w:val="24"/>
          <w:highlight w:val="none"/>
        </w:rPr>
        <w:t>1.8违约责任</w:t>
      </w:r>
      <w:bookmarkEnd w:id="28"/>
      <w:bookmarkEnd w:id="29"/>
      <w:bookmarkEnd w:id="3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31" w:name="_Toc15583"/>
      <w:bookmarkStart w:id="32" w:name="_Toc16021"/>
      <w:bookmarkStart w:id="33" w:name="_Toc28375"/>
      <w:r>
        <w:rPr>
          <w:rFonts w:hint="eastAsia" w:ascii="仿宋_GB2312" w:hAnsi="仿宋" w:eastAsia="仿宋_GB2312" w:cs="仿宋"/>
          <w:b/>
          <w:color w:val="auto"/>
          <w:sz w:val="24"/>
          <w:highlight w:val="none"/>
        </w:rPr>
        <w:t>1.9合同争议的解决</w:t>
      </w:r>
      <w:bookmarkEnd w:id="31"/>
      <w:bookmarkEnd w:id="32"/>
      <w:bookmarkEnd w:id="33"/>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34" w:name="_Toc7245"/>
      <w:bookmarkStart w:id="35" w:name="_Toc11173"/>
      <w:bookmarkStart w:id="36" w:name="_Toc15322"/>
      <w:r>
        <w:rPr>
          <w:rFonts w:hint="eastAsia" w:ascii="仿宋_GB2312" w:hAnsi="仿宋" w:eastAsia="仿宋_GB2312" w:cs="仿宋"/>
          <w:b/>
          <w:color w:val="auto"/>
          <w:sz w:val="24"/>
          <w:highlight w:val="none"/>
        </w:rPr>
        <w:t>2.0 合同生效</w:t>
      </w:r>
      <w:bookmarkEnd w:id="34"/>
      <w:bookmarkEnd w:id="35"/>
      <w:bookmarkEnd w:id="36"/>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1"/>
        <w:spacing w:line="560" w:lineRule="exact"/>
        <w:ind w:firstLine="482"/>
        <w:jc w:val="center"/>
        <w:rPr>
          <w:rFonts w:ascii="仿宋_GB2312" w:hAnsi="仿宋" w:eastAsia="仿宋_GB2312" w:cs="仿宋"/>
          <w:b/>
          <w:color w:val="auto"/>
          <w:szCs w:val="24"/>
          <w:highlight w:val="none"/>
        </w:rPr>
      </w:pPr>
    </w:p>
    <w:p>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37" w:name="_Ref467379195"/>
      <w:bookmarkStart w:id="38" w:name="_Ref467378499"/>
      <w:bookmarkStart w:id="39" w:name="_Toc16917"/>
      <w:bookmarkStart w:id="40" w:name="_Ref467379101"/>
      <w:bookmarkStart w:id="41" w:name="_Toc28763"/>
      <w:bookmarkStart w:id="42" w:name="_Ref467378404"/>
      <w:bookmarkStart w:id="43" w:name="_Toc487900349"/>
      <w:bookmarkStart w:id="44" w:name="_Toc279701240"/>
      <w:bookmarkStart w:id="45" w:name="_Ref467378463"/>
      <w:bookmarkStart w:id="46" w:name="_Toc259093669"/>
      <w:bookmarkStart w:id="47" w:name="_Ref467379225"/>
      <w:bookmarkStart w:id="48" w:name="_Ref467379205"/>
      <w:bookmarkStart w:id="49" w:name="_Toc19614"/>
      <w:bookmarkStart w:id="50" w:name="_Ref467379214"/>
      <w:bookmarkStart w:id="51" w:name="_Ref467379094"/>
      <w:bookmarkStart w:id="52" w:name="_Ref467379109"/>
      <w:r>
        <w:rPr>
          <w:rFonts w:hint="eastAsia" w:ascii="仿宋_GB2312" w:hAnsi="仿宋" w:eastAsia="仿宋_GB2312"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53" w:name="_Ref467378840"/>
      <w:r>
        <w:rPr>
          <w:rFonts w:hint="eastAsia" w:ascii="仿宋_GB2312" w:hAnsi="仿宋" w:eastAsia="仿宋_GB2312" w:cs="仿宋"/>
          <w:color w:val="auto"/>
          <w:sz w:val="24"/>
          <w:highlight w:val="none"/>
        </w:rPr>
        <w:t>2.1.4 “甲方”系指与中标或成交供应商签署合同的采购人</w:t>
      </w:r>
      <w:bookmarkEnd w:id="53"/>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54" w:name="_Ref467379400"/>
      <w:r>
        <w:rPr>
          <w:rFonts w:hint="eastAsia" w:ascii="仿宋_GB2312" w:hAnsi="仿宋" w:eastAsia="仿宋_GB2312" w:cs="仿宋"/>
          <w:color w:val="auto"/>
          <w:sz w:val="24"/>
          <w:highlight w:val="none"/>
        </w:rPr>
        <w:t>2.1.5 “乙方”系指根据合同约定交付货物的中标或成交供应商</w:t>
      </w:r>
      <w:bookmarkEnd w:id="54"/>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55" w:name="_Ref467379436"/>
      <w:r>
        <w:rPr>
          <w:rFonts w:hint="eastAsia" w:ascii="仿宋_GB2312" w:hAnsi="仿宋" w:eastAsia="仿宋_GB2312" w:cs="仿宋"/>
          <w:color w:val="auto"/>
          <w:sz w:val="24"/>
          <w:highlight w:val="none"/>
        </w:rPr>
        <w:t>2.1.6 “现场”系指合同约定货物将要运至或者安装的地点。</w:t>
      </w:r>
      <w:bookmarkEnd w:id="55"/>
    </w:p>
    <w:p>
      <w:pPr>
        <w:spacing w:line="560" w:lineRule="exact"/>
        <w:ind w:firstLine="482" w:firstLineChars="200"/>
        <w:outlineLvl w:val="0"/>
        <w:rPr>
          <w:rFonts w:ascii="仿宋_GB2312" w:hAnsi="仿宋" w:eastAsia="仿宋_GB2312" w:cs="仿宋"/>
          <w:b/>
          <w:color w:val="auto"/>
          <w:sz w:val="24"/>
          <w:highlight w:val="none"/>
        </w:rPr>
      </w:pPr>
      <w:bookmarkStart w:id="56" w:name="_Toc27635"/>
      <w:bookmarkStart w:id="57" w:name="_Toc487900350"/>
      <w:bookmarkStart w:id="58" w:name="_Toc13336"/>
      <w:bookmarkStart w:id="59" w:name="_Toc32504"/>
      <w:bookmarkStart w:id="60" w:name="_Toc279701241"/>
      <w:bookmarkStart w:id="61" w:name="_Toc259093670"/>
      <w:r>
        <w:rPr>
          <w:rFonts w:hint="eastAsia" w:ascii="仿宋_GB2312" w:hAnsi="仿宋" w:eastAsia="仿宋_GB2312" w:cs="仿宋"/>
          <w:b/>
          <w:color w:val="auto"/>
          <w:sz w:val="24"/>
          <w:highlight w:val="none"/>
        </w:rPr>
        <w:t>2.2 技术规范</w:t>
      </w:r>
      <w:bookmarkEnd w:id="56"/>
      <w:bookmarkEnd w:id="57"/>
      <w:bookmarkEnd w:id="58"/>
      <w:bookmarkEnd w:id="59"/>
      <w:bookmarkEnd w:id="60"/>
      <w:bookmarkEnd w:id="6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2" w:name="_Toc259093671"/>
      <w:bookmarkStart w:id="63" w:name="_Toc31634"/>
      <w:bookmarkStart w:id="64" w:name="_Toc487900351"/>
      <w:bookmarkStart w:id="65" w:name="_Toc279701242"/>
      <w:bookmarkStart w:id="66" w:name="_Toc27853"/>
      <w:bookmarkStart w:id="67" w:name="_Toc9829"/>
      <w:r>
        <w:rPr>
          <w:rFonts w:hint="eastAsia" w:ascii="仿宋_GB2312" w:hAnsi="仿宋" w:eastAsia="仿宋_GB2312" w:cs="仿宋"/>
          <w:b/>
          <w:color w:val="auto"/>
          <w:sz w:val="24"/>
          <w:highlight w:val="none"/>
        </w:rPr>
        <w:t>2.3 知识产权</w:t>
      </w:r>
      <w:bookmarkEnd w:id="62"/>
      <w:bookmarkEnd w:id="63"/>
      <w:bookmarkEnd w:id="64"/>
      <w:bookmarkEnd w:id="65"/>
      <w:bookmarkEnd w:id="66"/>
      <w:bookmarkEnd w:id="6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68" w:name="_Toc4194"/>
      <w:bookmarkStart w:id="69" w:name="_Toc29149"/>
      <w:bookmarkStart w:id="70" w:name="_Toc11932"/>
      <w:r>
        <w:rPr>
          <w:rFonts w:hint="eastAsia" w:ascii="仿宋_GB2312" w:hAnsi="仿宋" w:eastAsia="仿宋_GB2312" w:cs="仿宋"/>
          <w:b/>
          <w:color w:val="auto"/>
          <w:sz w:val="24"/>
          <w:highlight w:val="none"/>
        </w:rPr>
        <w:t>2.4 包装和装运</w:t>
      </w:r>
      <w:bookmarkEnd w:id="68"/>
      <w:bookmarkEnd w:id="69"/>
      <w:bookmarkEnd w:id="7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1" w:name="_Ref467379527"/>
      <w:bookmarkStart w:id="72" w:name="_Toc487900354"/>
      <w:bookmarkStart w:id="73" w:name="_Ref467378591"/>
      <w:bookmarkStart w:id="74" w:name="_Ref467378541"/>
      <w:bookmarkStart w:id="75" w:name="_Toc259093674"/>
      <w:bookmarkStart w:id="76" w:name="_Ref467379536"/>
      <w:bookmarkStart w:id="77" w:name="_Toc279701245"/>
      <w:bookmarkStart w:id="78" w:name="_Ref467379542"/>
      <w:bookmarkStart w:id="79" w:name="_Toc19074"/>
      <w:bookmarkStart w:id="80" w:name="_Toc30272"/>
      <w:bookmarkStart w:id="81" w:name="_Toc26182"/>
      <w:r>
        <w:rPr>
          <w:rFonts w:hint="eastAsia" w:ascii="仿宋_GB2312" w:hAnsi="仿宋" w:eastAsia="仿宋_GB2312" w:cs="仿宋"/>
          <w:b/>
          <w:color w:val="auto"/>
          <w:sz w:val="24"/>
          <w:highlight w:val="none"/>
        </w:rPr>
        <w:t>2.</w:t>
      </w:r>
      <w:bookmarkEnd w:id="71"/>
      <w:bookmarkEnd w:id="72"/>
      <w:bookmarkEnd w:id="73"/>
      <w:bookmarkEnd w:id="74"/>
      <w:bookmarkEnd w:id="75"/>
      <w:bookmarkEnd w:id="76"/>
      <w:bookmarkEnd w:id="77"/>
      <w:bookmarkEnd w:id="78"/>
      <w:r>
        <w:rPr>
          <w:rFonts w:hint="eastAsia" w:ascii="仿宋_GB2312" w:hAnsi="仿宋" w:eastAsia="仿宋_GB2312" w:cs="仿宋"/>
          <w:b/>
          <w:color w:val="auto"/>
          <w:sz w:val="24"/>
          <w:highlight w:val="none"/>
        </w:rPr>
        <w:t>5 履约检查和问题反馈</w:t>
      </w:r>
      <w:bookmarkEnd w:id="79"/>
      <w:bookmarkEnd w:id="80"/>
      <w:bookmarkEnd w:id="81"/>
    </w:p>
    <w:p>
      <w:pPr>
        <w:spacing w:line="560" w:lineRule="exact"/>
        <w:ind w:firstLine="480" w:firstLineChars="200"/>
        <w:rPr>
          <w:rFonts w:ascii="仿宋_GB2312" w:hAnsi="仿宋" w:eastAsia="仿宋_GB2312" w:cs="仿宋"/>
          <w:color w:val="auto"/>
          <w:sz w:val="24"/>
          <w:highlight w:val="none"/>
        </w:rPr>
      </w:pPr>
      <w:bookmarkStart w:id="82" w:name="_Ref467379657"/>
      <w:r>
        <w:rPr>
          <w:rFonts w:hint="eastAsia" w:ascii="仿宋_GB2312" w:hAnsi="仿宋" w:eastAsia="仿宋_GB2312" w:cs="仿宋"/>
          <w:color w:val="auto"/>
          <w:sz w:val="24"/>
          <w:highlight w:val="none"/>
        </w:rPr>
        <w:t>2.5.1</w:t>
      </w:r>
      <w:bookmarkEnd w:id="82"/>
      <w:bookmarkStart w:id="83" w:name="_Toc186431854"/>
      <w:bookmarkStart w:id="84" w:name="_Ref467379807"/>
      <w:bookmarkStart w:id="85" w:name="_Toc279701247"/>
      <w:bookmarkStart w:id="86" w:name="_Toc487900357"/>
      <w:bookmarkStart w:id="87" w:name="_Ref467379793"/>
      <w:bookmarkStart w:id="88" w:name="_Toc259093676"/>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_GB2312" w:hAnsi="仿宋" w:eastAsia="仿宋_GB2312" w:cs="仿宋"/>
          <w:color w:val="auto"/>
          <w:sz w:val="24"/>
          <w:highlight w:val="none"/>
        </w:rPr>
        <w:t>。</w:t>
      </w:r>
    </w:p>
    <w:bookmarkEnd w:id="84"/>
    <w:bookmarkEnd w:id="85"/>
    <w:bookmarkEnd w:id="86"/>
    <w:bookmarkEnd w:id="87"/>
    <w:bookmarkEnd w:id="88"/>
    <w:bookmarkEnd w:id="89"/>
    <w:p>
      <w:pPr>
        <w:spacing w:line="560" w:lineRule="exact"/>
        <w:ind w:firstLine="482" w:firstLineChars="200"/>
        <w:outlineLvl w:val="0"/>
        <w:rPr>
          <w:rFonts w:ascii="仿宋_GB2312" w:hAnsi="仿宋" w:eastAsia="仿宋_GB2312" w:cs="仿宋"/>
          <w:b/>
          <w:color w:val="auto"/>
          <w:sz w:val="24"/>
          <w:highlight w:val="none"/>
        </w:rPr>
      </w:pPr>
      <w:bookmarkStart w:id="90" w:name="_Toc259093677"/>
      <w:bookmarkStart w:id="91" w:name="_Toc279701248"/>
      <w:bookmarkStart w:id="92" w:name="_Ref467379863"/>
      <w:bookmarkStart w:id="93" w:name="_Ref467379852"/>
      <w:bookmarkStart w:id="94" w:name="_Ref467379923"/>
      <w:bookmarkStart w:id="95" w:name="_Toc487900358"/>
      <w:bookmarkStart w:id="96" w:name="_Toc16110"/>
      <w:bookmarkStart w:id="97" w:name="_Toc3225"/>
      <w:bookmarkStart w:id="98" w:name="_Toc774"/>
      <w:r>
        <w:rPr>
          <w:rFonts w:hint="eastAsia" w:ascii="仿宋_GB2312" w:hAnsi="仿宋" w:eastAsia="仿宋_GB2312" w:cs="仿宋"/>
          <w:b/>
          <w:color w:val="auto"/>
          <w:sz w:val="24"/>
          <w:highlight w:val="none"/>
        </w:rPr>
        <w:t>2.6 技术资料</w:t>
      </w:r>
      <w:bookmarkEnd w:id="90"/>
      <w:bookmarkEnd w:id="91"/>
      <w:bookmarkEnd w:id="92"/>
      <w:bookmarkEnd w:id="93"/>
      <w:bookmarkEnd w:id="94"/>
      <w:bookmarkEnd w:id="95"/>
      <w:r>
        <w:rPr>
          <w:rFonts w:hint="eastAsia" w:ascii="仿宋_GB2312" w:hAnsi="仿宋" w:eastAsia="仿宋_GB2312" w:cs="仿宋"/>
          <w:b/>
          <w:color w:val="auto"/>
          <w:sz w:val="24"/>
          <w:highlight w:val="none"/>
        </w:rPr>
        <w:t>和保密义务</w:t>
      </w:r>
      <w:bookmarkEnd w:id="96"/>
      <w:bookmarkEnd w:id="97"/>
      <w:bookmarkEnd w:id="9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9" w:name="_Toc7860"/>
      <w:r>
        <w:rPr>
          <w:rFonts w:hint="eastAsia" w:ascii="仿宋_GB2312" w:hAnsi="仿宋" w:eastAsia="仿宋_GB2312" w:cs="仿宋"/>
          <w:b/>
          <w:color w:val="auto"/>
          <w:sz w:val="24"/>
          <w:highlight w:val="none"/>
        </w:rPr>
        <w:t>2.7 质量保证</w:t>
      </w:r>
      <w:bookmarkEnd w:id="9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100" w:name="_Toc17244"/>
      <w:bookmarkStart w:id="101" w:name="_Toc259093681"/>
      <w:bookmarkStart w:id="102" w:name="_Toc279701252"/>
      <w:bookmarkStart w:id="103" w:name="_Toc487900362"/>
      <w:r>
        <w:rPr>
          <w:rFonts w:hint="eastAsia" w:ascii="仿宋_GB2312" w:hAnsi="仿宋" w:eastAsia="仿宋_GB2312" w:cs="仿宋"/>
          <w:b/>
          <w:color w:val="auto"/>
          <w:sz w:val="24"/>
          <w:highlight w:val="none"/>
        </w:rPr>
        <w:t>2.8 货物的风险负担</w:t>
      </w:r>
      <w:bookmarkEnd w:id="100"/>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4" w:name="_Toc14055"/>
      <w:r>
        <w:rPr>
          <w:rFonts w:hint="eastAsia" w:ascii="仿宋_GB2312" w:hAnsi="仿宋" w:eastAsia="仿宋_GB2312" w:cs="仿宋"/>
          <w:b/>
          <w:color w:val="auto"/>
          <w:sz w:val="24"/>
          <w:highlight w:val="none"/>
        </w:rPr>
        <w:t>2.9 延迟交货</w:t>
      </w:r>
      <w:bookmarkEnd w:id="101"/>
      <w:bookmarkEnd w:id="102"/>
      <w:bookmarkEnd w:id="103"/>
      <w:bookmarkEnd w:id="10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05" w:name="_Toc7502"/>
      <w:bookmarkStart w:id="106" w:name="_Ref467378121"/>
      <w:bookmarkStart w:id="107" w:name="_Toc487900364"/>
      <w:bookmarkStart w:id="108" w:name="_Toc259093683"/>
      <w:bookmarkStart w:id="109" w:name="_Toc279701254"/>
      <w:r>
        <w:rPr>
          <w:rFonts w:hint="eastAsia" w:ascii="仿宋_GB2312" w:hAnsi="仿宋" w:eastAsia="仿宋_GB2312" w:cs="仿宋"/>
          <w:b/>
          <w:color w:val="auto"/>
          <w:sz w:val="24"/>
          <w:highlight w:val="none"/>
        </w:rPr>
        <w:t>2.10 合同变更</w:t>
      </w:r>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79701259"/>
      <w:bookmarkStart w:id="112" w:name="_Toc259093688"/>
    </w:p>
    <w:p>
      <w:pPr>
        <w:spacing w:line="560" w:lineRule="exact"/>
        <w:ind w:firstLine="482" w:firstLineChars="200"/>
        <w:outlineLvl w:val="0"/>
        <w:rPr>
          <w:rFonts w:ascii="仿宋_GB2312" w:hAnsi="仿宋" w:eastAsia="仿宋_GB2312" w:cs="仿宋"/>
          <w:b/>
          <w:color w:val="auto"/>
          <w:sz w:val="24"/>
          <w:highlight w:val="none"/>
        </w:rPr>
      </w:pPr>
      <w:bookmarkStart w:id="113" w:name="_Toc10366"/>
      <w:bookmarkStart w:id="114" w:name="_Toc15237"/>
      <w:bookmarkStart w:id="115" w:name="_Toc22955"/>
      <w:r>
        <w:rPr>
          <w:rFonts w:hint="eastAsia" w:ascii="仿宋_GB2312" w:hAnsi="仿宋" w:eastAsia="仿宋_GB2312" w:cs="仿宋"/>
          <w:b/>
          <w:color w:val="auto"/>
          <w:sz w:val="24"/>
          <w:highlight w:val="none"/>
        </w:rPr>
        <w:t>2.11 合同转让</w:t>
      </w:r>
      <w:bookmarkEnd w:id="110"/>
      <w:bookmarkEnd w:id="111"/>
      <w:bookmarkEnd w:id="112"/>
      <w:r>
        <w:rPr>
          <w:rFonts w:hint="eastAsia" w:ascii="仿宋_GB2312" w:hAnsi="仿宋" w:eastAsia="仿宋_GB2312" w:cs="仿宋"/>
          <w:b/>
          <w:color w:val="auto"/>
          <w:sz w:val="24"/>
          <w:highlight w:val="none"/>
        </w:rPr>
        <w:t>和分包</w:t>
      </w:r>
      <w:bookmarkEnd w:id="113"/>
      <w:bookmarkEnd w:id="114"/>
      <w:bookmarkEnd w:id="11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16" w:name="_Toc13566"/>
      <w:bookmarkStart w:id="117" w:name="_Toc14066"/>
      <w:bookmarkStart w:id="118" w:name="_Toc16508"/>
      <w:r>
        <w:rPr>
          <w:rFonts w:hint="eastAsia" w:ascii="仿宋_GB2312" w:hAnsi="仿宋" w:eastAsia="仿宋_GB2312" w:cs="仿宋"/>
          <w:b/>
          <w:color w:val="auto"/>
          <w:sz w:val="24"/>
          <w:highlight w:val="none"/>
        </w:rPr>
        <w:t>2.12 不可抗力</w:t>
      </w:r>
      <w:bookmarkEnd w:id="116"/>
      <w:bookmarkEnd w:id="117"/>
      <w:bookmarkEnd w:id="11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19" w:name="_Toc689"/>
      <w:bookmarkStart w:id="120" w:name="_Toc30676"/>
      <w:bookmarkStart w:id="121" w:name="_Toc279701255"/>
      <w:bookmarkStart w:id="122" w:name="_Toc6969"/>
      <w:bookmarkStart w:id="123" w:name="_Toc259093684"/>
      <w:bookmarkStart w:id="124" w:name="_Toc487900365"/>
      <w:r>
        <w:rPr>
          <w:rFonts w:hint="eastAsia" w:ascii="仿宋_GB2312" w:hAnsi="仿宋" w:eastAsia="仿宋_GB2312" w:cs="仿宋"/>
          <w:b/>
          <w:color w:val="auto"/>
          <w:sz w:val="24"/>
          <w:highlight w:val="none"/>
        </w:rPr>
        <w:t>2.13 税费</w:t>
      </w:r>
      <w:bookmarkEnd w:id="119"/>
      <w:bookmarkEnd w:id="120"/>
      <w:bookmarkEnd w:id="121"/>
      <w:bookmarkEnd w:id="122"/>
      <w:bookmarkEnd w:id="123"/>
      <w:bookmarkEnd w:id="12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25" w:name="_Toc487900368"/>
      <w:bookmarkStart w:id="126" w:name="_Toc8298"/>
      <w:bookmarkStart w:id="127" w:name="_Toc16959"/>
      <w:bookmarkStart w:id="128" w:name="_Toc259093687"/>
      <w:bookmarkStart w:id="129" w:name="_Toc7102"/>
      <w:bookmarkStart w:id="130" w:name="_Toc279701258"/>
      <w:r>
        <w:rPr>
          <w:rFonts w:hint="eastAsia" w:ascii="仿宋_GB2312" w:hAnsi="仿宋" w:eastAsia="仿宋_GB2312" w:cs="仿宋"/>
          <w:b/>
          <w:color w:val="auto"/>
          <w:sz w:val="24"/>
          <w:highlight w:val="none"/>
        </w:rPr>
        <w:t>2.14乙方破产</w:t>
      </w:r>
      <w:bookmarkEnd w:id="125"/>
      <w:bookmarkEnd w:id="126"/>
      <w:bookmarkEnd w:id="127"/>
      <w:bookmarkEnd w:id="128"/>
      <w:bookmarkEnd w:id="129"/>
      <w:bookmarkEnd w:id="13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31" w:name="_Toc15387"/>
      <w:bookmarkStart w:id="132" w:name="_Toc29333"/>
      <w:bookmarkStart w:id="133" w:name="_Toc6134"/>
      <w:r>
        <w:rPr>
          <w:rFonts w:hint="eastAsia" w:ascii="仿宋_GB2312" w:hAnsi="仿宋" w:eastAsia="仿宋_GB2312" w:cs="仿宋"/>
          <w:b/>
          <w:color w:val="auto"/>
          <w:sz w:val="24"/>
          <w:highlight w:val="none"/>
        </w:rPr>
        <w:t>2.15 合同中止、终止</w:t>
      </w:r>
      <w:bookmarkEnd w:id="131"/>
      <w:bookmarkEnd w:id="132"/>
      <w:bookmarkEnd w:id="13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34" w:name="_Toc6596"/>
      <w:bookmarkStart w:id="135" w:name="_Toc1125"/>
      <w:bookmarkStart w:id="136" w:name="_Toc14563"/>
      <w:r>
        <w:rPr>
          <w:rFonts w:hint="eastAsia" w:ascii="仿宋_GB2312" w:hAnsi="仿宋" w:eastAsia="仿宋_GB2312" w:cs="仿宋"/>
          <w:b/>
          <w:color w:val="auto"/>
          <w:sz w:val="24"/>
          <w:highlight w:val="none"/>
        </w:rPr>
        <w:t>2.16检验和验收</w:t>
      </w:r>
      <w:bookmarkEnd w:id="134"/>
      <w:bookmarkEnd w:id="135"/>
      <w:bookmarkEnd w:id="136"/>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6"/>
    <w:bookmarkEnd w:id="107"/>
    <w:bookmarkEnd w:id="108"/>
    <w:bookmarkEnd w:id="109"/>
    <w:p>
      <w:pPr>
        <w:spacing w:line="560" w:lineRule="exact"/>
        <w:ind w:firstLine="482" w:firstLineChars="200"/>
        <w:outlineLvl w:val="0"/>
        <w:rPr>
          <w:rFonts w:ascii="仿宋_GB2312" w:hAnsi="仿宋" w:eastAsia="仿宋_GB2312" w:cs="仿宋"/>
          <w:b/>
          <w:color w:val="auto"/>
          <w:sz w:val="24"/>
          <w:highlight w:val="none"/>
        </w:rPr>
      </w:pPr>
      <w:bookmarkStart w:id="137" w:name="_Toc487900371"/>
      <w:bookmarkStart w:id="138" w:name="_Toc279701261"/>
      <w:bookmarkStart w:id="139" w:name="_Toc259093690"/>
      <w:bookmarkStart w:id="140" w:name="_Toc11284"/>
      <w:bookmarkStart w:id="141" w:name="_Toc25182"/>
      <w:bookmarkStart w:id="142" w:name="_Toc19604"/>
      <w:r>
        <w:rPr>
          <w:rFonts w:hint="eastAsia" w:ascii="仿宋_GB2312" w:hAnsi="仿宋" w:eastAsia="仿宋_GB2312" w:cs="仿宋"/>
          <w:b/>
          <w:color w:val="auto"/>
          <w:sz w:val="24"/>
          <w:highlight w:val="none"/>
        </w:rPr>
        <w:t>2.17 通知</w:t>
      </w:r>
      <w:bookmarkEnd w:id="137"/>
      <w:bookmarkEnd w:id="138"/>
      <w:bookmarkEnd w:id="139"/>
      <w:r>
        <w:rPr>
          <w:rFonts w:hint="eastAsia" w:ascii="仿宋_GB2312" w:hAnsi="仿宋" w:eastAsia="仿宋_GB2312" w:cs="仿宋"/>
          <w:b/>
          <w:color w:val="auto"/>
          <w:sz w:val="24"/>
          <w:highlight w:val="none"/>
        </w:rPr>
        <w:t>和送达</w:t>
      </w:r>
      <w:bookmarkEnd w:id="140"/>
      <w:bookmarkEnd w:id="141"/>
      <w:bookmarkEnd w:id="142"/>
    </w:p>
    <w:p>
      <w:pPr>
        <w:spacing w:line="560" w:lineRule="exact"/>
        <w:ind w:firstLine="480" w:firstLineChars="200"/>
        <w:rPr>
          <w:rFonts w:ascii="仿宋_GB2312" w:hAnsi="仿宋" w:eastAsia="仿宋_GB2312" w:cs="仿宋"/>
          <w:color w:val="auto"/>
          <w:sz w:val="24"/>
          <w:highlight w:val="none"/>
        </w:rPr>
      </w:pPr>
      <w:bookmarkStart w:id="143" w:name="_Toc3135"/>
      <w:bookmarkStart w:id="144" w:name="_Toc6698"/>
      <w:bookmarkStart w:id="145" w:name="_Toc279701262"/>
      <w:bookmarkStart w:id="146" w:name="_Toc487900372"/>
      <w:bookmarkStart w:id="147"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ascii="仿宋_GB2312" w:hAnsi="仿宋" w:eastAsia="仿宋_GB2312" w:cs="仿宋"/>
          <w:color w:val="auto"/>
          <w:sz w:val="24"/>
          <w:highlight w:val="none"/>
        </w:rPr>
      </w:pPr>
      <w:bookmarkStart w:id="148" w:name="_Toc23294"/>
      <w:bookmarkStart w:id="149"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2" w:firstLineChars="200"/>
        <w:outlineLvl w:val="0"/>
        <w:rPr>
          <w:rFonts w:ascii="仿宋_GB2312" w:hAnsi="仿宋" w:eastAsia="仿宋_GB2312" w:cs="仿宋"/>
          <w:b/>
          <w:color w:val="auto"/>
          <w:sz w:val="24"/>
          <w:highlight w:val="none"/>
        </w:rPr>
      </w:pPr>
      <w:bookmarkStart w:id="150" w:name="_Toc18540"/>
      <w:bookmarkStart w:id="151" w:name="_Toc4355"/>
      <w:bookmarkStart w:id="152" w:name="_Toc30599"/>
      <w:r>
        <w:rPr>
          <w:rFonts w:hint="eastAsia" w:ascii="仿宋_GB2312" w:hAnsi="仿宋" w:eastAsia="仿宋_GB2312" w:cs="仿宋"/>
          <w:b/>
          <w:color w:val="auto"/>
          <w:sz w:val="24"/>
          <w:highlight w:val="none"/>
        </w:rPr>
        <w:t>2.18 计量单位</w:t>
      </w:r>
      <w:bookmarkEnd w:id="145"/>
      <w:bookmarkEnd w:id="146"/>
      <w:bookmarkEnd w:id="147"/>
      <w:bookmarkEnd w:id="150"/>
      <w:bookmarkEnd w:id="151"/>
      <w:bookmarkEnd w:id="15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53" w:name="_Toc279701263"/>
      <w:bookmarkStart w:id="154" w:name="_Toc12773"/>
      <w:bookmarkStart w:id="155" w:name="_Toc487900373"/>
      <w:bookmarkStart w:id="156" w:name="_Toc18567"/>
      <w:bookmarkStart w:id="157" w:name="_Toc10330"/>
      <w:bookmarkStart w:id="158" w:name="_Toc259093692"/>
      <w:r>
        <w:rPr>
          <w:rFonts w:hint="eastAsia" w:ascii="仿宋_GB2312" w:hAnsi="仿宋" w:eastAsia="仿宋_GB2312" w:cs="仿宋"/>
          <w:b/>
          <w:color w:val="auto"/>
          <w:sz w:val="24"/>
          <w:highlight w:val="none"/>
        </w:rPr>
        <w:t>2.19 合同使用的文字和适用的法律</w:t>
      </w:r>
      <w:bookmarkEnd w:id="153"/>
      <w:bookmarkEnd w:id="154"/>
      <w:bookmarkEnd w:id="155"/>
      <w:bookmarkEnd w:id="156"/>
      <w:bookmarkEnd w:id="157"/>
      <w:bookmarkEnd w:id="15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59" w:name="_Toc14001"/>
      <w:bookmarkStart w:id="160" w:name="_Toc6885"/>
      <w:bookmarkStart w:id="161" w:name="_Toc19890"/>
      <w:r>
        <w:rPr>
          <w:rFonts w:hint="eastAsia" w:ascii="仿宋_GB2312" w:hAnsi="仿宋" w:eastAsia="仿宋_GB2312" w:cs="仿宋"/>
          <w:b/>
          <w:color w:val="auto"/>
          <w:sz w:val="24"/>
          <w:highlight w:val="none"/>
        </w:rPr>
        <w:t>2.20 合同份数</w:t>
      </w:r>
      <w:bookmarkEnd w:id="159"/>
      <w:bookmarkEnd w:id="160"/>
      <w:bookmarkEnd w:id="16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color w:val="auto"/>
          <w:sz w:val="36"/>
          <w:szCs w:val="36"/>
          <w:highlight w:val="none"/>
        </w:rPr>
      </w:pP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color w:val="auto"/>
          <w:sz w:val="36"/>
          <w:szCs w:val="36"/>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keepNext w:val="0"/>
        <w:keepLines w:val="0"/>
        <w:pageBreakBefore w:val="0"/>
        <w:kinsoku/>
        <w:wordWrap/>
        <w:overflowPunct/>
        <w:topLinePunct w:val="0"/>
        <w:autoSpaceDE/>
        <w:autoSpaceDN/>
        <w:bidi w:val="0"/>
        <w:adjustRightInd/>
        <w:spacing w:line="440" w:lineRule="exact"/>
        <w:ind w:left="0" w:leftChars="0" w:right="0" w:rightChars="0" w:firstLine="480" w:firstLineChars="200"/>
        <w:jc w:val="left"/>
        <w:textAlignment w:val="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kinsoku/>
        <w:wordWrap/>
        <w:overflowPunct/>
        <w:topLinePunct w:val="0"/>
        <w:autoSpaceDE/>
        <w:autoSpaceDN/>
        <w:bidi w:val="0"/>
        <w:adjustRightInd/>
        <w:spacing w:line="440" w:lineRule="exact"/>
        <w:ind w:left="0" w:leftChars="0" w:right="0" w:rightChars="0" w:firstLine="472" w:firstLineChars="196"/>
        <w:jc w:val="left"/>
        <w:textAlignment w:val="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kinsoku/>
        <w:wordWrap/>
        <w:overflowPunct/>
        <w:topLinePunct w:val="0"/>
        <w:autoSpaceDE/>
        <w:autoSpaceDN/>
        <w:bidi w:val="0"/>
        <w:adjustRightInd/>
        <w:spacing w:line="440" w:lineRule="exact"/>
        <w:ind w:left="0" w:leftChars="0" w:right="0" w:rightChars="0" w:firstLine="482" w:firstLineChars="200"/>
        <w:jc w:val="left"/>
        <w:textAlignment w:val="auto"/>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p>
      <w:pPr>
        <w:pStyle w:val="24"/>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hint="eastAsia" w:ascii="仿宋_GB2312" w:hAnsi="仿宋" w:eastAsia="仿宋_GB2312" w:cs="仿宋"/>
          <w:color w:val="auto"/>
          <w:sz w:val="24"/>
          <w:highlight w:val="none"/>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1、03</w:t>
      </w:r>
      <w:r>
        <w:rPr>
          <w:rFonts w:hint="eastAsia" w:ascii="仿宋" w:hAnsi="仿宋" w:eastAsia="仿宋" w:cs="仿宋"/>
          <w:b/>
          <w:color w:val="auto"/>
          <w:sz w:val="24"/>
          <w:szCs w:val="24"/>
          <w:highlight w:val="none"/>
          <w:bdr w:val="single" w:color="auto" w:sz="4" w:space="0"/>
        </w:rPr>
        <w:t>标</w:t>
      </w:r>
    </w:p>
    <w:tbl>
      <w:tblPr>
        <w:tblStyle w:val="63"/>
        <w:tblW w:w="90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201"/>
        <w:gridCol w:w="6355"/>
        <w:gridCol w:w="7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77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0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kern w:val="0"/>
                <w:sz w:val="24"/>
                <w:highlight w:val="none"/>
              </w:rPr>
              <w:t>评分项</w:t>
            </w:r>
          </w:p>
        </w:tc>
        <w:tc>
          <w:tcPr>
            <w:tcW w:w="6355"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kern w:val="0"/>
                <w:sz w:val="24"/>
                <w:highlight w:val="none"/>
              </w:rPr>
              <w:t>评审依据及标准</w:t>
            </w:r>
          </w:p>
        </w:tc>
        <w:tc>
          <w:tcPr>
            <w:tcW w:w="759"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_GB2312" w:hAnsi="仿宋_GB2312" w:eastAsia="仿宋_GB2312" w:cs="仿宋_GB2312"/>
                <w:b/>
                <w:bCs/>
                <w:color w:val="auto"/>
                <w:kern w:val="0"/>
                <w:sz w:val="24"/>
                <w:highlight w:val="none"/>
              </w:rPr>
              <w:t>分值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97"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技术参数响应情况：对应于招标文件第三部分招标项目范围及要求——“</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详细技术参数”，完全满足指标参数得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分。打“★”号的性能指标为实质性指标，若出现负偏离作无效标处理；打“▲”为主要性能指标，每有一项负偏离扣2分；其他指标，每有一项负偏离扣1分，扣完为止。</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eastAsia="zh-CN"/>
              </w:rPr>
              <w:t>案例</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投标人自2021年1月1日以来（以合同签订时间为准）完成的同类案例，每有1个得1分，满分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注：每个案例提供合同复印件加盖投标人公章。</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认证证书</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投标人具有质量管理体系认证证书得1分；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投标人具有环境管理体系认证证书得1分；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投标人具有职业健康与安全管理体系认证证书得1分；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本项最高得3分。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注：</w:t>
            </w:r>
            <w:r>
              <w:rPr>
                <w:rFonts w:hint="eastAsia" w:ascii="仿宋" w:hAnsi="仿宋" w:eastAsia="仿宋" w:cs="仿宋"/>
                <w:b/>
                <w:bCs/>
                <w:color w:val="auto"/>
                <w:sz w:val="24"/>
                <w:szCs w:val="24"/>
                <w:highlight w:val="none"/>
                <w:lang w:bidi="ar"/>
              </w:rPr>
              <w:t>须提供</w:t>
            </w:r>
            <w:r>
              <w:rPr>
                <w:rFonts w:hint="eastAsia" w:ascii="仿宋" w:hAnsi="仿宋" w:eastAsia="仿宋" w:cs="仿宋"/>
                <w:b/>
                <w:bCs/>
                <w:color w:val="auto"/>
                <w:sz w:val="24"/>
                <w:szCs w:val="24"/>
                <w:highlight w:val="none"/>
                <w:lang w:eastAsia="zh-CN" w:bidi="ar"/>
              </w:rPr>
              <w:t>有效期内</w:t>
            </w:r>
            <w:r>
              <w:rPr>
                <w:rFonts w:hint="eastAsia" w:ascii="仿宋" w:hAnsi="仿宋" w:eastAsia="仿宋" w:cs="仿宋"/>
                <w:b/>
                <w:bCs/>
                <w:color w:val="auto"/>
                <w:sz w:val="24"/>
                <w:szCs w:val="24"/>
                <w:highlight w:val="none"/>
                <w:lang w:bidi="ar"/>
              </w:rPr>
              <w:t>证书复印件及全国认证认可信息公共服务平台网站截图加盖</w:t>
            </w:r>
            <w:r>
              <w:rPr>
                <w:rFonts w:hint="eastAsia" w:ascii="仿宋" w:hAnsi="仿宋" w:eastAsia="仿宋" w:cs="仿宋"/>
                <w:b/>
                <w:bCs/>
                <w:color w:val="auto"/>
                <w:sz w:val="24"/>
                <w:szCs w:val="24"/>
                <w:highlight w:val="none"/>
                <w:lang w:eastAsia="zh-CN" w:bidi="ar"/>
              </w:rPr>
              <w:t>投标人</w:t>
            </w:r>
            <w:r>
              <w:rPr>
                <w:rFonts w:hint="eastAsia" w:ascii="仿宋" w:hAnsi="仿宋" w:eastAsia="仿宋" w:cs="仿宋"/>
                <w:b/>
                <w:bCs/>
                <w:color w:val="auto"/>
                <w:sz w:val="24"/>
                <w:szCs w:val="24"/>
                <w:highlight w:val="none"/>
                <w:lang w:bidi="ar"/>
              </w:rPr>
              <w:t>公章，不提供不得分。</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培训方案</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hint="eastAsia"/>
                <w:color w:val="auto"/>
                <w:highlight w:val="none"/>
                <w:lang w:eastAsia="zh-CN"/>
              </w:rPr>
            </w:pPr>
            <w:r>
              <w:rPr>
                <w:rFonts w:hint="eastAsia" w:ascii="仿宋_GB2312" w:hAnsi="仿宋_GB2312" w:eastAsia="仿宋_GB2312" w:cs="仿宋_GB2312"/>
                <w:color w:val="auto"/>
                <w:sz w:val="24"/>
                <w:highlight w:val="none"/>
                <w:lang w:eastAsia="zh-CN"/>
              </w:rPr>
              <w:t>根据投标人提供的本项目培训方案进行打分，包含但不限于设备功能培训、培训科目和培训方式等方面（</w:t>
            </w:r>
            <w:r>
              <w:rPr>
                <w:rFonts w:hint="eastAsia" w:ascii="仿宋_GB2312" w:hAnsi="仿宋_GB2312" w:eastAsia="仿宋_GB2312" w:cs="仿宋_GB2312"/>
                <w:color w:val="auto"/>
                <w:sz w:val="24"/>
                <w:highlight w:val="none"/>
                <w:lang w:val="en-US" w:eastAsia="zh-CN"/>
              </w:rPr>
              <w:t>0-</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20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产品质量控制</w:t>
            </w:r>
          </w:p>
        </w:tc>
        <w:tc>
          <w:tcPr>
            <w:tcW w:w="6355" w:type="dxa"/>
            <w:tcBorders>
              <w:bottom w:val="single" w:color="auto" w:sz="4" w:space="0"/>
            </w:tcBorders>
            <w:noWrap/>
            <w:vAlign w:val="center"/>
          </w:tcPr>
          <w:p>
            <w:pPr>
              <w:pStyle w:val="118"/>
              <w:keepNext w:val="0"/>
              <w:keepLines w:val="0"/>
              <w:pageBreakBefore w:val="0"/>
              <w:kinsoku/>
              <w:wordWrap/>
              <w:overflowPunct/>
              <w:topLinePunct w:val="0"/>
              <w:autoSpaceDE/>
              <w:autoSpaceDN/>
              <w:bidi w:val="0"/>
              <w:adjustRightInd/>
              <w:snapToGrid/>
              <w:spacing w:after="0"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投标人按采购人要求提供的有明确的产品质量保证目标，具备完整的质量管控和保证措施，具备完整的项目风险控制手段和机制，具有详细的应急方案等进行打分（0-3分）</w:t>
            </w:r>
          </w:p>
        </w:tc>
        <w:tc>
          <w:tcPr>
            <w:tcW w:w="759" w:type="dxa"/>
            <w:tcBorders>
              <w:bottom w:val="single" w:color="auto" w:sz="4" w:space="0"/>
            </w:tcBorders>
            <w:noWrap/>
            <w:vAlign w:val="center"/>
          </w:tcPr>
          <w:p>
            <w:pPr>
              <w:pStyle w:val="118"/>
              <w:keepNext w:val="0"/>
              <w:keepLines w:val="0"/>
              <w:pageBreakBefore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20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实施方案</w:t>
            </w: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根据投标人提供的</w:t>
            </w:r>
            <w:r>
              <w:rPr>
                <w:rFonts w:hint="eastAsia" w:ascii="仿宋" w:hAnsi="仿宋" w:eastAsia="仿宋" w:cs="仿宋"/>
                <w:b w:val="0"/>
                <w:bCs w:val="0"/>
                <w:color w:val="auto"/>
                <w:kern w:val="2"/>
                <w:sz w:val="24"/>
                <w:szCs w:val="24"/>
                <w:highlight w:val="none"/>
                <w:lang w:val="en-US" w:eastAsia="zh-CN" w:bidi="ar-SA"/>
              </w:rPr>
              <w:t>物资管控平台服务方案</w:t>
            </w:r>
            <w:r>
              <w:rPr>
                <w:rFonts w:hint="eastAsia" w:ascii="仿宋" w:hAnsi="仿宋" w:eastAsia="仿宋" w:cs="仿宋"/>
                <w:color w:val="auto"/>
                <w:sz w:val="24"/>
                <w:szCs w:val="24"/>
                <w:highlight w:val="none"/>
              </w:rPr>
              <w:t>，关键步骤的思路和要点等内容是否具有合理性、可操作性进行打分</w:t>
            </w:r>
            <w:r>
              <w:rPr>
                <w:rFonts w:hint="eastAsia" w:ascii="仿宋" w:hAnsi="仿宋" w:eastAsia="仿宋" w:cs="仿宋"/>
                <w:color w:val="auto"/>
                <w:kern w:val="2"/>
                <w:sz w:val="24"/>
                <w:szCs w:val="24"/>
                <w:highlight w:val="none"/>
                <w:lang w:val="en-US" w:eastAsia="zh-CN" w:bidi="ar-SA"/>
              </w:rPr>
              <w:t>（0-2分）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根据投标人提供的货物供货、验货、安装调试的方案，关键步骤的思路和要点等内容是否具有科学性、合理性、规范性、可操作性进行打分</w:t>
            </w:r>
            <w:r>
              <w:rPr>
                <w:rFonts w:hint="eastAsia" w:ascii="仿宋" w:hAnsi="仿宋" w:eastAsia="仿宋" w:cs="仿宋"/>
                <w:color w:val="auto"/>
                <w:kern w:val="2"/>
                <w:sz w:val="24"/>
                <w:szCs w:val="24"/>
                <w:highlight w:val="none"/>
                <w:lang w:val="en-US" w:eastAsia="zh-CN" w:bidi="ar-SA"/>
              </w:rPr>
              <w:t>（0-3分）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根据投标人提供的组织机构、人员配置、工作时间进度表、工作程序和步骤的描述，能否满足本项目的要求进行打分</w:t>
            </w:r>
            <w:r>
              <w:rPr>
                <w:rFonts w:hint="eastAsia" w:ascii="仿宋" w:hAnsi="仿宋" w:eastAsia="仿宋" w:cs="仿宋"/>
                <w:color w:val="auto"/>
                <w:kern w:val="2"/>
                <w:sz w:val="24"/>
                <w:szCs w:val="24"/>
                <w:highlight w:val="none"/>
                <w:lang w:val="en-US" w:eastAsia="zh-CN" w:bidi="ar-SA"/>
              </w:rPr>
              <w:t>（0-3分）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20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投标人提供针对本项目的运维服务方案，包括关键思路、服务响应等内容，根据</w:t>
            </w:r>
            <w:r>
              <w:rPr>
                <w:rStyle w:val="1041"/>
                <w:rFonts w:hint="eastAsia" w:ascii="仿宋" w:hAnsi="仿宋" w:eastAsia="仿宋" w:cs="仿宋"/>
                <w:color w:val="auto"/>
                <w:kern w:val="0"/>
                <w:sz w:val="24"/>
                <w:szCs w:val="24"/>
                <w:highlight w:val="none"/>
                <w:lang w:val="en-US" w:eastAsia="zh-CN"/>
              </w:rPr>
              <w:t>方</w:t>
            </w:r>
            <w:r>
              <w:rPr>
                <w:rStyle w:val="1041"/>
                <w:rFonts w:hint="eastAsia" w:ascii="仿宋" w:hAnsi="仿宋" w:eastAsia="仿宋" w:cs="仿宋"/>
                <w:color w:val="auto"/>
                <w:kern w:val="0"/>
                <w:sz w:val="24"/>
                <w:szCs w:val="24"/>
                <w:highlight w:val="none"/>
                <w:lang w:val="zh-CN"/>
              </w:rPr>
              <w:t>案的合理性、可行性等进行打分</w:t>
            </w:r>
            <w:r>
              <w:rPr>
                <w:rFonts w:hint="eastAsia" w:ascii="仿宋" w:hAnsi="仿宋" w:eastAsia="仿宋" w:cs="仿宋"/>
                <w:color w:val="auto"/>
                <w:kern w:val="2"/>
                <w:sz w:val="24"/>
                <w:szCs w:val="24"/>
                <w:highlight w:val="none"/>
                <w:lang w:val="en-US" w:eastAsia="zh-CN" w:bidi="ar-SA"/>
              </w:rPr>
              <w:t>（0-3分）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0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售后服务承诺</w:t>
            </w: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根据投标人提供的培训承诺、技术服务维护承诺、设备维护承诺、维护人员配备、维护响应时间及质量承诺等情况，以及提供的后续技术支持等服务承诺内容是否具有完整性、合理性进行打分</w:t>
            </w:r>
            <w:r>
              <w:rPr>
                <w:rFonts w:hint="eastAsia" w:ascii="仿宋" w:hAnsi="仿宋" w:eastAsia="仿宋" w:cs="仿宋"/>
                <w:color w:val="auto"/>
                <w:kern w:val="2"/>
                <w:sz w:val="24"/>
                <w:szCs w:val="24"/>
                <w:highlight w:val="none"/>
                <w:lang w:val="en-US" w:eastAsia="zh-CN" w:bidi="ar-SA"/>
              </w:rPr>
              <w:t>（0-3分）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根据投标人随设备提供的备品备件及耗材是否满足采购需求且确保设备的正常使用情况进行打分</w:t>
            </w:r>
            <w:r>
              <w:rPr>
                <w:rFonts w:hint="eastAsia" w:ascii="仿宋" w:hAnsi="仿宋" w:eastAsia="仿宋" w:cs="仿宋"/>
                <w:color w:val="auto"/>
                <w:kern w:val="2"/>
                <w:sz w:val="24"/>
                <w:szCs w:val="24"/>
                <w:highlight w:val="none"/>
                <w:lang w:val="en-US" w:eastAsia="zh-CN" w:bidi="ar-SA"/>
              </w:rPr>
              <w:t>（0-2分）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120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质保期承诺：</w:t>
            </w:r>
            <w:r>
              <w:rPr>
                <w:rFonts w:hint="eastAsia" w:ascii="仿宋" w:hAnsi="仿宋" w:eastAsia="仿宋" w:cs="仿宋"/>
                <w:bCs/>
                <w:color w:val="auto"/>
                <w:sz w:val="24"/>
                <w:szCs w:val="24"/>
                <w:highlight w:val="none"/>
              </w:rPr>
              <w:t>完全响应招标文件要求不得分，质保期在招标文件要求的基础上增加半年加0.5分，增加一年加1分，本项最多加</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89" w:hRule="atLeast"/>
          <w:jc w:val="center"/>
        </w:trPr>
        <w:tc>
          <w:tcPr>
            <w:tcW w:w="77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0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应急响应</w:t>
            </w:r>
          </w:p>
        </w:tc>
        <w:tc>
          <w:tcPr>
            <w:tcW w:w="6355" w:type="dxa"/>
            <w:tcBorders>
              <w:bottom w:val="single" w:color="auto" w:sz="4" w:space="0"/>
            </w:tcBorders>
            <w:noWrap/>
            <w:vAlign w:val="center"/>
          </w:tcPr>
          <w:p>
            <w:pPr>
              <w:keepNext w:val="0"/>
              <w:keepLines w:val="0"/>
              <w:pageBreakBefore w:val="0"/>
              <w:widowControl w:val="0"/>
              <w:numPr>
                <w:ilvl w:val="0"/>
                <w:numId w:val="0"/>
              </w:numPr>
              <w:tabs>
                <w:tab w:val="left" w:pos="2773"/>
              </w:tabs>
              <w:kinsoku/>
              <w:wordWrap/>
              <w:overflowPunct/>
              <w:topLinePunct w:val="0"/>
              <w:autoSpaceDE/>
              <w:autoSpaceDN/>
              <w:bidi w:val="0"/>
              <w:adjustRightInd/>
              <w:snapToGrid w:val="0"/>
              <w:spacing w:line="440" w:lineRule="exact"/>
              <w:ind w:left="0" w:leftChars="0" w:right="0" w:rightChars="0"/>
              <w:jc w:val="both"/>
              <w:textAlignment w:val="auto"/>
              <w:rPr>
                <w:rFonts w:hint="eastAsia" w:ascii="仿宋" w:hAnsi="仿宋" w:eastAsia="仿宋" w:cs="仿宋"/>
                <w:color w:val="auto"/>
                <w:sz w:val="24"/>
                <w:szCs w:val="24"/>
                <w:highlight w:val="none"/>
              </w:rPr>
            </w:pPr>
            <w:r>
              <w:rPr>
                <w:rStyle w:val="1041"/>
                <w:rFonts w:hint="eastAsia" w:ascii="仿宋" w:hAnsi="仿宋" w:eastAsia="仿宋" w:cs="仿宋"/>
                <w:color w:val="auto"/>
                <w:kern w:val="0"/>
                <w:sz w:val="24"/>
                <w:szCs w:val="24"/>
                <w:highlight w:val="none"/>
                <w:lang w:val="zh-CN"/>
              </w:rPr>
              <w:t>投标人提供</w:t>
            </w:r>
            <w:r>
              <w:rPr>
                <w:rStyle w:val="1041"/>
                <w:rFonts w:hint="eastAsia" w:ascii="仿宋" w:hAnsi="仿宋" w:eastAsia="仿宋" w:cs="仿宋"/>
                <w:color w:val="auto"/>
                <w:kern w:val="0"/>
                <w:sz w:val="24"/>
                <w:szCs w:val="24"/>
                <w:highlight w:val="none"/>
              </w:rPr>
              <w:t>项目服务过程中的</w:t>
            </w:r>
            <w:r>
              <w:rPr>
                <w:rStyle w:val="1041"/>
                <w:rFonts w:hint="eastAsia" w:ascii="仿宋" w:hAnsi="仿宋" w:eastAsia="仿宋" w:cs="仿宋"/>
                <w:color w:val="auto"/>
                <w:kern w:val="0"/>
                <w:sz w:val="24"/>
                <w:szCs w:val="24"/>
                <w:highlight w:val="none"/>
                <w:lang w:val="zh-CN"/>
              </w:rPr>
              <w:t>相关应急预案，预案应针对可能出现的突发性、应急性等事件，设置应对</w:t>
            </w:r>
            <w:r>
              <w:rPr>
                <w:rStyle w:val="1041"/>
                <w:rFonts w:hint="eastAsia" w:ascii="仿宋" w:hAnsi="仿宋" w:eastAsia="仿宋" w:cs="仿宋"/>
                <w:color w:val="auto"/>
                <w:kern w:val="0"/>
                <w:sz w:val="24"/>
                <w:szCs w:val="24"/>
                <w:highlight w:val="none"/>
              </w:rPr>
              <w:t>机构、人员及</w:t>
            </w:r>
            <w:r>
              <w:rPr>
                <w:rStyle w:val="1041"/>
                <w:rFonts w:hint="eastAsia" w:ascii="仿宋" w:hAnsi="仿宋" w:eastAsia="仿宋" w:cs="仿宋"/>
                <w:color w:val="auto"/>
                <w:kern w:val="0"/>
                <w:sz w:val="24"/>
                <w:szCs w:val="24"/>
                <w:highlight w:val="none"/>
                <w:lang w:val="zh-CN"/>
              </w:rPr>
              <w:t>措施，提供有效保障等内容，根据预案的合理性、可行性以及服务响应的时效等进行打分（</w:t>
            </w:r>
            <w:r>
              <w:rPr>
                <w:rStyle w:val="1041"/>
                <w:rFonts w:hint="eastAsia" w:ascii="仿宋" w:hAnsi="仿宋" w:eastAsia="仿宋" w:cs="仿宋"/>
                <w:color w:val="auto"/>
                <w:kern w:val="0"/>
                <w:sz w:val="24"/>
                <w:szCs w:val="24"/>
                <w:highlight w:val="none"/>
                <w:lang w:val="en-US" w:eastAsia="zh-CN"/>
              </w:rPr>
              <w:t>0-3分</w:t>
            </w:r>
            <w:r>
              <w:rPr>
                <w:rStyle w:val="1041"/>
                <w:rFonts w:hint="eastAsia" w:ascii="仿宋" w:hAnsi="仿宋" w:eastAsia="仿宋" w:cs="仿宋"/>
                <w:color w:val="auto"/>
                <w:kern w:val="0"/>
                <w:sz w:val="24"/>
                <w:szCs w:val="24"/>
                <w:highlight w:val="none"/>
                <w:lang w:val="zh-CN"/>
              </w:rPr>
              <w:t>）</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0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风险防范</w:t>
            </w:r>
          </w:p>
        </w:tc>
        <w:tc>
          <w:tcPr>
            <w:tcW w:w="6355"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strike w:val="0"/>
                <w:dstrike w:val="0"/>
                <w:color w:val="auto"/>
                <w:sz w:val="24"/>
                <w:szCs w:val="24"/>
                <w:highlight w:val="none"/>
                <w:lang w:eastAsia="zh-CN"/>
              </w:rPr>
              <w:t>投标人提供的对全市自然灾害应急能力提升的风险防范方案，根据方案的合理性、可行性进行打分</w:t>
            </w:r>
            <w:r>
              <w:rPr>
                <w:rFonts w:hint="eastAsia" w:ascii="仿宋" w:hAnsi="仿宋" w:eastAsia="仿宋" w:cs="仿宋"/>
                <w:strike w:val="0"/>
                <w:dstrike w:val="0"/>
                <w:color w:val="auto"/>
                <w:kern w:val="2"/>
                <w:sz w:val="24"/>
                <w:szCs w:val="24"/>
                <w:highlight w:val="none"/>
                <w:lang w:val="en-US" w:eastAsia="zh-CN" w:bidi="ar-SA"/>
              </w:rPr>
              <w:t>（0-2分）</w:t>
            </w:r>
          </w:p>
        </w:tc>
        <w:tc>
          <w:tcPr>
            <w:tcW w:w="759"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strike w:val="0"/>
                <w:dstrike w:val="0"/>
                <w:color w:val="auto"/>
                <w:sz w:val="24"/>
                <w:szCs w:val="24"/>
                <w:highlight w:val="none"/>
                <w:lang w:val="en-US" w:eastAsia="zh-CN"/>
              </w:rPr>
            </w:pPr>
            <w:r>
              <w:rPr>
                <w:rFonts w:hint="eastAsia" w:ascii="仿宋" w:hAnsi="仿宋" w:eastAsia="仿宋" w:cs="仿宋"/>
                <w:b w:val="0"/>
                <w:bCs w:val="0"/>
                <w:strike w:val="0"/>
                <w:dstrike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0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样品</w:t>
            </w:r>
          </w:p>
        </w:tc>
        <w:tc>
          <w:tcPr>
            <w:tcW w:w="6355" w:type="dxa"/>
            <w:tcBorders>
              <w:bottom w:val="single" w:color="auto" w:sz="4" w:space="0"/>
            </w:tcBorders>
            <w:noWrap/>
            <w:vAlign w:val="center"/>
          </w:tcPr>
          <w:p>
            <w:pPr>
              <w:pStyle w:val="24"/>
              <w:spacing w:line="420" w:lineRule="exact"/>
              <w:rPr>
                <w:rFonts w:hint="eastAsia" w:ascii="仿宋" w:hAnsi="仿宋" w:eastAsia="仿宋" w:cs="仿宋"/>
                <w:strike w:val="0"/>
                <w:dstrike w:val="0"/>
                <w:color w:val="auto"/>
                <w:kern w:val="2"/>
                <w:sz w:val="24"/>
                <w:szCs w:val="24"/>
                <w:highlight w:val="none"/>
                <w:lang w:val="en-US" w:eastAsia="zh-CN" w:bidi="ar-SA"/>
              </w:rPr>
            </w:pPr>
            <w:r>
              <w:rPr>
                <w:rFonts w:hint="eastAsia" w:ascii="仿宋" w:hAnsi="仿宋" w:eastAsia="仿宋" w:cs="仿宋"/>
                <w:strike w:val="0"/>
                <w:dstrike w:val="0"/>
                <w:color w:val="auto"/>
                <w:kern w:val="2"/>
                <w:sz w:val="24"/>
                <w:szCs w:val="24"/>
                <w:highlight w:val="none"/>
                <w:lang w:val="en-US" w:eastAsia="zh-CN" w:bidi="ar-SA"/>
              </w:rPr>
              <w:t>品质做工精细、样式、材质、外观设计符合工作实际需要、用料扎实环保无异味、对招标技术参数响应程度高得6分；</w:t>
            </w:r>
          </w:p>
          <w:p>
            <w:pPr>
              <w:pStyle w:val="24"/>
              <w:spacing w:line="420" w:lineRule="exact"/>
              <w:rPr>
                <w:rFonts w:hint="eastAsia" w:ascii="仿宋" w:hAnsi="仿宋" w:eastAsia="仿宋" w:cs="仿宋"/>
                <w:strike w:val="0"/>
                <w:dstrike w:val="0"/>
                <w:color w:val="auto"/>
                <w:kern w:val="2"/>
                <w:sz w:val="24"/>
                <w:szCs w:val="24"/>
                <w:highlight w:val="none"/>
                <w:lang w:val="en-US" w:eastAsia="zh-CN" w:bidi="ar-SA"/>
              </w:rPr>
            </w:pPr>
            <w:r>
              <w:rPr>
                <w:rFonts w:hint="eastAsia" w:ascii="仿宋" w:hAnsi="仿宋" w:eastAsia="仿宋" w:cs="仿宋"/>
                <w:strike w:val="0"/>
                <w:dstrike w:val="0"/>
                <w:color w:val="auto"/>
                <w:kern w:val="2"/>
                <w:sz w:val="24"/>
                <w:szCs w:val="24"/>
                <w:highlight w:val="none"/>
                <w:lang w:val="en-US" w:eastAsia="zh-CN" w:bidi="ar-SA"/>
              </w:rPr>
              <w:t>样品做工完整、样式、材质、外观设计基本符合工作实际需要，对招标技术参数响应程度较好得4分。</w:t>
            </w:r>
          </w:p>
          <w:p>
            <w:pPr>
              <w:pStyle w:val="24"/>
              <w:spacing w:line="420" w:lineRule="exact"/>
              <w:rPr>
                <w:rFonts w:hint="eastAsia" w:ascii="仿宋" w:hAnsi="仿宋" w:eastAsia="仿宋" w:cs="仿宋"/>
                <w:strike w:val="0"/>
                <w:dstrike w:val="0"/>
                <w:color w:val="auto"/>
                <w:kern w:val="2"/>
                <w:sz w:val="24"/>
                <w:szCs w:val="24"/>
                <w:highlight w:val="none"/>
                <w:lang w:val="en-US" w:eastAsia="zh-CN" w:bidi="ar-SA"/>
              </w:rPr>
            </w:pPr>
            <w:r>
              <w:rPr>
                <w:rFonts w:hint="eastAsia" w:ascii="仿宋" w:hAnsi="仿宋" w:eastAsia="仿宋" w:cs="仿宋"/>
                <w:strike w:val="0"/>
                <w:dstrike w:val="0"/>
                <w:color w:val="auto"/>
                <w:kern w:val="2"/>
                <w:sz w:val="24"/>
                <w:szCs w:val="24"/>
                <w:highlight w:val="none"/>
                <w:lang w:val="en-US" w:eastAsia="zh-CN" w:bidi="ar-SA"/>
              </w:rPr>
              <w:t>做工较粗糙、样式颜色难以符合工作需要或提供的样品数量缺项，对招标技术参数响应程度较低得2分。</w:t>
            </w:r>
          </w:p>
          <w:p>
            <w:pPr>
              <w:pStyle w:val="24"/>
              <w:spacing w:line="420" w:lineRule="exact"/>
              <w:rPr>
                <w:rFonts w:hint="eastAsia" w:ascii="仿宋" w:hAnsi="仿宋" w:eastAsia="仿宋" w:cs="仿宋"/>
                <w:strike w:val="0"/>
                <w:dstrike w:val="0"/>
                <w:color w:val="auto"/>
                <w:sz w:val="24"/>
                <w:szCs w:val="24"/>
                <w:highlight w:val="none"/>
                <w:lang w:eastAsia="zh-CN"/>
              </w:rPr>
            </w:pPr>
            <w:r>
              <w:rPr>
                <w:rFonts w:hint="eastAsia" w:ascii="仿宋" w:hAnsi="仿宋" w:eastAsia="仿宋" w:cs="仿宋"/>
                <w:strike w:val="0"/>
                <w:dstrike w:val="0"/>
                <w:color w:val="auto"/>
                <w:kern w:val="2"/>
                <w:sz w:val="24"/>
                <w:szCs w:val="24"/>
                <w:highlight w:val="none"/>
                <w:lang w:val="en-US" w:eastAsia="zh-CN" w:bidi="ar-SA"/>
              </w:rPr>
              <w:t>未提供样品本项评审得0分。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strike w:val="0"/>
                <w:dstrike w:val="0"/>
                <w:color w:val="auto"/>
                <w:sz w:val="24"/>
                <w:szCs w:val="24"/>
                <w:highlight w:val="none"/>
                <w:lang w:val="en-US" w:eastAsia="zh-CN"/>
              </w:rPr>
            </w:pPr>
            <w:r>
              <w:rPr>
                <w:rFonts w:hint="eastAsia" w:ascii="仿宋" w:hAnsi="仿宋" w:eastAsia="仿宋" w:cs="仿宋"/>
                <w:b w:val="0"/>
                <w:bCs w:val="0"/>
                <w:strike w:val="0"/>
                <w:dstrike w:val="0"/>
                <w:color w:val="auto"/>
                <w:sz w:val="24"/>
                <w:szCs w:val="24"/>
                <w:highlight w:val="none"/>
                <w:lang w:val="en-US" w:eastAsia="zh-CN"/>
              </w:rPr>
              <w:t>6</w:t>
            </w:r>
          </w:p>
        </w:tc>
      </w:tr>
    </w:tbl>
    <w:p>
      <w:pPr>
        <w:pStyle w:val="141"/>
        <w:rPr>
          <w:rFonts w:hint="eastAsia"/>
          <w:color w:val="auto"/>
          <w:highlight w:val="none"/>
        </w:rPr>
      </w:pP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w:t>
      </w:r>
    </w:p>
    <w:p>
      <w:pPr>
        <w:pStyle w:val="2"/>
        <w:rPr>
          <w:rFonts w:hint="eastAsia"/>
          <w:color w:val="auto"/>
          <w:highlight w:val="none"/>
        </w:rPr>
      </w:pPr>
    </w:p>
    <w:p>
      <w:pPr>
        <w:pStyle w:val="24"/>
        <w:keepNext w:val="0"/>
        <w:keepLines w:val="0"/>
        <w:pageBreakBefore w:val="0"/>
        <w:kinsoku/>
        <w:wordWrap/>
        <w:overflowPunct/>
        <w:topLinePunct w:val="0"/>
        <w:autoSpaceDE/>
        <w:autoSpaceDN/>
        <w:bidi w:val="0"/>
        <w:adjustRightInd/>
        <w:spacing w:line="440" w:lineRule="exact"/>
        <w:ind w:left="0" w:leftChars="0" w:right="0" w:rightChars="0"/>
        <w:textAlignment w:val="auto"/>
        <w:rPr>
          <w:color w:val="auto"/>
          <w:highlight w:val="none"/>
          <w:bdr w:val="single" w:color="auto" w:sz="4" w:space="0"/>
        </w:rPr>
      </w:pPr>
      <w:r>
        <w:rPr>
          <w:rFonts w:hint="eastAsia" w:ascii="仿宋" w:hAnsi="仿宋" w:eastAsia="仿宋" w:cs="仿宋"/>
          <w:b/>
          <w:color w:val="auto"/>
          <w:sz w:val="24"/>
          <w:szCs w:val="24"/>
          <w:highlight w:val="none"/>
          <w:bdr w:val="single" w:color="auto" w:sz="4" w:space="0"/>
          <w:lang w:val="en-US" w:eastAsia="zh-CN"/>
        </w:rPr>
        <w:t>02、04、05</w:t>
      </w:r>
      <w:r>
        <w:rPr>
          <w:rFonts w:hint="eastAsia" w:ascii="仿宋" w:hAnsi="仿宋" w:eastAsia="仿宋" w:cs="仿宋"/>
          <w:b/>
          <w:color w:val="auto"/>
          <w:sz w:val="24"/>
          <w:szCs w:val="24"/>
          <w:highlight w:val="none"/>
          <w:bdr w:val="single" w:color="auto" w:sz="4" w:space="0"/>
        </w:rPr>
        <w:t>标</w:t>
      </w:r>
    </w:p>
    <w:tbl>
      <w:tblPr>
        <w:tblStyle w:val="63"/>
        <w:tblW w:w="9086"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71"/>
        <w:gridCol w:w="1201"/>
        <w:gridCol w:w="6355"/>
        <w:gridCol w:w="7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77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0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kern w:val="0"/>
                <w:sz w:val="24"/>
                <w:highlight w:val="none"/>
              </w:rPr>
              <w:t>评分项</w:t>
            </w:r>
          </w:p>
        </w:tc>
        <w:tc>
          <w:tcPr>
            <w:tcW w:w="6355"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_GB2312" w:hAnsi="仿宋_GB2312" w:eastAsia="仿宋_GB2312" w:cs="仿宋_GB2312"/>
                <w:b/>
                <w:bCs/>
                <w:color w:val="auto"/>
                <w:kern w:val="0"/>
                <w:sz w:val="24"/>
                <w:highlight w:val="none"/>
              </w:rPr>
              <w:t>评审依据及标准</w:t>
            </w:r>
          </w:p>
        </w:tc>
        <w:tc>
          <w:tcPr>
            <w:tcW w:w="759"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_GB2312" w:hAnsi="仿宋_GB2312" w:eastAsia="仿宋_GB2312" w:cs="仿宋_GB2312"/>
                <w:b/>
                <w:bCs/>
                <w:color w:val="auto"/>
                <w:kern w:val="0"/>
                <w:sz w:val="24"/>
                <w:highlight w:val="none"/>
              </w:rPr>
              <w:t>分值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497"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技术参数响应情况：对应于招标文件第三部分招标项目范围及要求——“</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详细技术参数”，完全满足指标参数得</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分。打“★”号的性能指标为实质性指标，若出现负偏离作无效标处理；打“▲”为主要性能指标，每有一项负偏离扣2分；其他指标，每有一项负偏离扣1分，扣完为止。</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业绩</w:t>
            </w:r>
            <w:r>
              <w:rPr>
                <w:rFonts w:hint="eastAsia" w:ascii="仿宋" w:hAnsi="仿宋" w:eastAsia="仿宋" w:cs="仿宋"/>
                <w:color w:val="auto"/>
                <w:sz w:val="24"/>
                <w:szCs w:val="24"/>
                <w:highlight w:val="none"/>
                <w:lang w:eastAsia="zh-CN"/>
              </w:rPr>
              <w:t>案例</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投标人自2021年1月1日以来（以合同签订时间为准）完成的同类案例，每有1个得1分，满分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注：每个案例提供合同复印件加盖投标人公章。</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认证证书</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投标人具有质量管理体系认证证书得1分；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投标人具有环境管理体系认证证书得1分；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投标人具有职业健康与安全管理体系认证证书得1分；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本项最高得3分。</w:t>
            </w:r>
          </w:p>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注：</w:t>
            </w:r>
            <w:r>
              <w:rPr>
                <w:rFonts w:hint="eastAsia" w:ascii="仿宋" w:hAnsi="仿宋" w:eastAsia="仿宋" w:cs="仿宋"/>
                <w:b/>
                <w:bCs/>
                <w:color w:val="auto"/>
                <w:sz w:val="24"/>
                <w:szCs w:val="24"/>
                <w:highlight w:val="none"/>
                <w:lang w:bidi="ar"/>
              </w:rPr>
              <w:t>须提供</w:t>
            </w:r>
            <w:r>
              <w:rPr>
                <w:rFonts w:hint="eastAsia" w:ascii="仿宋" w:hAnsi="仿宋" w:eastAsia="仿宋" w:cs="仿宋"/>
                <w:b/>
                <w:bCs/>
                <w:color w:val="auto"/>
                <w:sz w:val="24"/>
                <w:szCs w:val="24"/>
                <w:highlight w:val="none"/>
                <w:lang w:eastAsia="zh-CN" w:bidi="ar"/>
              </w:rPr>
              <w:t>有效期内</w:t>
            </w:r>
            <w:r>
              <w:rPr>
                <w:rFonts w:hint="eastAsia" w:ascii="仿宋" w:hAnsi="仿宋" w:eastAsia="仿宋" w:cs="仿宋"/>
                <w:b/>
                <w:bCs/>
                <w:color w:val="auto"/>
                <w:sz w:val="24"/>
                <w:szCs w:val="24"/>
                <w:highlight w:val="none"/>
                <w:lang w:bidi="ar"/>
              </w:rPr>
              <w:t>证书复印件及全国认证认可信息公共服务平台网站截图加盖</w:t>
            </w:r>
            <w:r>
              <w:rPr>
                <w:rFonts w:hint="eastAsia" w:ascii="仿宋" w:hAnsi="仿宋" w:eastAsia="仿宋" w:cs="仿宋"/>
                <w:b/>
                <w:bCs/>
                <w:color w:val="auto"/>
                <w:sz w:val="24"/>
                <w:szCs w:val="24"/>
                <w:highlight w:val="none"/>
                <w:lang w:eastAsia="zh-CN" w:bidi="ar"/>
              </w:rPr>
              <w:t>投标人</w:t>
            </w:r>
            <w:r>
              <w:rPr>
                <w:rFonts w:hint="eastAsia" w:ascii="仿宋" w:hAnsi="仿宋" w:eastAsia="仿宋" w:cs="仿宋"/>
                <w:b/>
                <w:bCs/>
                <w:color w:val="auto"/>
                <w:sz w:val="24"/>
                <w:szCs w:val="24"/>
                <w:highlight w:val="none"/>
                <w:lang w:bidi="ar"/>
              </w:rPr>
              <w:t>公章，不提供不得分。</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771" w:type="dxa"/>
            <w:shd w:val="clear" w:color="auto" w:fill="auto"/>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01"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培训方案</w:t>
            </w:r>
          </w:p>
        </w:tc>
        <w:tc>
          <w:tcPr>
            <w:tcW w:w="6355"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hint="eastAsia"/>
                <w:color w:val="auto"/>
                <w:highlight w:val="none"/>
                <w:lang w:eastAsia="zh-CN"/>
              </w:rPr>
            </w:pPr>
            <w:r>
              <w:rPr>
                <w:rFonts w:hint="eastAsia" w:ascii="仿宋_GB2312" w:hAnsi="仿宋_GB2312" w:eastAsia="仿宋_GB2312" w:cs="仿宋_GB2312"/>
                <w:color w:val="auto"/>
                <w:sz w:val="24"/>
                <w:highlight w:val="none"/>
                <w:lang w:eastAsia="zh-CN"/>
              </w:rPr>
              <w:t>根据投标人提供的本项目培训方案进行打分，包含但不限于设备功能培训、培训科目和培训方式等方面（</w:t>
            </w:r>
            <w:r>
              <w:rPr>
                <w:rFonts w:hint="eastAsia" w:ascii="仿宋_GB2312" w:hAnsi="仿宋_GB2312" w:eastAsia="仿宋_GB2312" w:cs="仿宋_GB2312"/>
                <w:color w:val="auto"/>
                <w:sz w:val="24"/>
                <w:highlight w:val="none"/>
                <w:lang w:val="en-US" w:eastAsia="zh-CN"/>
              </w:rPr>
              <w:t>0-</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w:t>
            </w:r>
          </w:p>
        </w:tc>
        <w:tc>
          <w:tcPr>
            <w:tcW w:w="759" w:type="dxa"/>
            <w:shd w:val="clear" w:color="auto" w:fill="FFFFFF"/>
            <w:noWrap/>
            <w:vAlign w:val="center"/>
          </w:tcPr>
          <w:p>
            <w:pPr>
              <w:keepNext w:val="0"/>
              <w:keepLines w:val="0"/>
              <w:pageBreakBefore w:val="0"/>
              <w:kinsoku/>
              <w:wordWrap/>
              <w:overflowPunct/>
              <w:topLinePunct w:val="0"/>
              <w:autoSpaceDE/>
              <w:autoSpaceDN/>
              <w:bidi w:val="0"/>
              <w:adjustRightInd/>
              <w:spacing w:line="440" w:lineRule="exact"/>
              <w:ind w:left="0" w:leftChars="0" w:right="0" w:right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120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产品质量控制</w:t>
            </w:r>
          </w:p>
        </w:tc>
        <w:tc>
          <w:tcPr>
            <w:tcW w:w="6355" w:type="dxa"/>
            <w:tcBorders>
              <w:bottom w:val="single" w:color="auto" w:sz="4" w:space="0"/>
            </w:tcBorders>
            <w:noWrap/>
            <w:vAlign w:val="center"/>
          </w:tcPr>
          <w:p>
            <w:pPr>
              <w:pStyle w:val="118"/>
              <w:keepNext w:val="0"/>
              <w:keepLines w:val="0"/>
              <w:pageBreakBefore w:val="0"/>
              <w:kinsoku/>
              <w:wordWrap/>
              <w:overflowPunct/>
              <w:topLinePunct w:val="0"/>
              <w:autoSpaceDE/>
              <w:autoSpaceDN/>
              <w:bidi w:val="0"/>
              <w:adjustRightInd/>
              <w:snapToGrid/>
              <w:spacing w:after="0"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投标人按采购人要求提供的有明确的产品质量保证目标，具备完整的质量管控和保证措施，具备完整的项目风险控制手段和机制，具有详细的应急方案等进行打分（0-3分）</w:t>
            </w:r>
          </w:p>
        </w:tc>
        <w:tc>
          <w:tcPr>
            <w:tcW w:w="759" w:type="dxa"/>
            <w:tcBorders>
              <w:bottom w:val="single" w:color="auto" w:sz="4" w:space="0"/>
            </w:tcBorders>
            <w:noWrap/>
            <w:vAlign w:val="center"/>
          </w:tcPr>
          <w:p>
            <w:pPr>
              <w:pStyle w:val="118"/>
              <w:keepNext w:val="0"/>
              <w:keepLines w:val="0"/>
              <w:pageBreakBefore w:val="0"/>
              <w:kinsoku/>
              <w:wordWrap/>
              <w:overflowPunct/>
              <w:topLinePunct w:val="0"/>
              <w:autoSpaceDE/>
              <w:autoSpaceDN/>
              <w:bidi w:val="0"/>
              <w:adjustRightInd/>
              <w:snapToGrid/>
              <w:spacing w:after="0" w:line="440" w:lineRule="exact"/>
              <w:ind w:left="0" w:leftChars="0" w:right="0" w:rightChars="0" w:firstLine="0" w:firstLineChars="0"/>
              <w:jc w:val="center"/>
              <w:textAlignment w:val="auto"/>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120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实施方案</w:t>
            </w: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根据投标人提供的</w:t>
            </w:r>
            <w:r>
              <w:rPr>
                <w:rFonts w:hint="eastAsia" w:ascii="仿宋" w:hAnsi="仿宋" w:eastAsia="仿宋" w:cs="仿宋"/>
                <w:b w:val="0"/>
                <w:bCs w:val="0"/>
                <w:color w:val="auto"/>
                <w:kern w:val="2"/>
                <w:sz w:val="24"/>
                <w:szCs w:val="24"/>
                <w:highlight w:val="none"/>
                <w:lang w:val="en-US" w:eastAsia="zh-CN" w:bidi="ar-SA"/>
              </w:rPr>
              <w:t>物资管控平台服务方案</w:t>
            </w:r>
            <w:r>
              <w:rPr>
                <w:rFonts w:hint="eastAsia" w:ascii="仿宋" w:hAnsi="仿宋" w:eastAsia="仿宋" w:cs="仿宋"/>
                <w:color w:val="auto"/>
                <w:sz w:val="24"/>
                <w:szCs w:val="24"/>
                <w:highlight w:val="none"/>
              </w:rPr>
              <w:t>，关键步骤的思路和要点等内容是否具有合理性、可操作性进行打分</w:t>
            </w:r>
            <w:r>
              <w:rPr>
                <w:rFonts w:hint="eastAsia" w:ascii="仿宋" w:hAnsi="仿宋" w:eastAsia="仿宋" w:cs="仿宋"/>
                <w:color w:val="auto"/>
                <w:kern w:val="2"/>
                <w:sz w:val="24"/>
                <w:szCs w:val="24"/>
                <w:highlight w:val="none"/>
                <w:lang w:val="en-US" w:eastAsia="zh-CN" w:bidi="ar-SA"/>
              </w:rPr>
              <w:t>（0-2分）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根据投标人提供的货物供货、验货、安装调试的方案，关键步骤的思路和要点等内容是否具有科学性、合理性、规范性、可操作性进行打分</w:t>
            </w:r>
            <w:r>
              <w:rPr>
                <w:rFonts w:hint="eastAsia" w:ascii="仿宋" w:hAnsi="仿宋" w:eastAsia="仿宋" w:cs="仿宋"/>
                <w:color w:val="auto"/>
                <w:kern w:val="2"/>
                <w:sz w:val="24"/>
                <w:szCs w:val="24"/>
                <w:highlight w:val="none"/>
                <w:lang w:val="en-US" w:eastAsia="zh-CN" w:bidi="ar-SA"/>
              </w:rPr>
              <w:t>（0-4分）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根据投标人提供的组织机构、人员配置、工作时间进度表、工作程序和步骤的描述，能否满足本项目的要求进行打分</w:t>
            </w:r>
            <w:r>
              <w:rPr>
                <w:rFonts w:hint="eastAsia" w:ascii="仿宋" w:hAnsi="仿宋" w:eastAsia="仿宋" w:cs="仿宋"/>
                <w:color w:val="auto"/>
                <w:kern w:val="2"/>
                <w:sz w:val="24"/>
                <w:szCs w:val="24"/>
                <w:highlight w:val="none"/>
                <w:lang w:val="en-US" w:eastAsia="zh-CN" w:bidi="ar-SA"/>
              </w:rPr>
              <w:t>（0-4分）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kern w:val="2"/>
                <w:sz w:val="24"/>
                <w:szCs w:val="24"/>
                <w:highlight w:val="none"/>
                <w:lang w:val="en-US" w:eastAsia="zh-CN" w:bidi="ar-SA"/>
              </w:rPr>
            </w:pPr>
          </w:p>
        </w:tc>
        <w:tc>
          <w:tcPr>
            <w:tcW w:w="120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投标人提供针对本项目的运维服务方案，包括关键思路、服务响应等内容，根据</w:t>
            </w:r>
            <w:r>
              <w:rPr>
                <w:rStyle w:val="1041"/>
                <w:rFonts w:hint="eastAsia" w:ascii="仿宋" w:hAnsi="仿宋" w:eastAsia="仿宋" w:cs="仿宋"/>
                <w:color w:val="auto"/>
                <w:kern w:val="0"/>
                <w:sz w:val="24"/>
                <w:szCs w:val="24"/>
                <w:highlight w:val="none"/>
                <w:lang w:val="en-US" w:eastAsia="zh-CN"/>
              </w:rPr>
              <w:t>方</w:t>
            </w:r>
            <w:r>
              <w:rPr>
                <w:rStyle w:val="1041"/>
                <w:rFonts w:hint="eastAsia" w:ascii="仿宋" w:hAnsi="仿宋" w:eastAsia="仿宋" w:cs="仿宋"/>
                <w:color w:val="auto"/>
                <w:kern w:val="0"/>
                <w:sz w:val="24"/>
                <w:szCs w:val="24"/>
                <w:highlight w:val="none"/>
                <w:lang w:val="zh-CN"/>
              </w:rPr>
              <w:t>案的合理性、可行性等进行打分</w:t>
            </w:r>
            <w:r>
              <w:rPr>
                <w:rFonts w:hint="eastAsia" w:ascii="仿宋" w:hAnsi="仿宋" w:eastAsia="仿宋" w:cs="仿宋"/>
                <w:color w:val="auto"/>
                <w:kern w:val="2"/>
                <w:sz w:val="24"/>
                <w:szCs w:val="24"/>
                <w:highlight w:val="none"/>
                <w:lang w:val="en-US" w:eastAsia="zh-CN" w:bidi="ar-SA"/>
              </w:rPr>
              <w:t>（0-3分）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7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01" w:type="dxa"/>
            <w:vMerge w:val="restart"/>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售后服务承诺</w:t>
            </w: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根据投标人提供的培训承诺、技术服务维护承诺、设备维护承诺、维护人员配备、维护响应时间及质量承诺等情况，以及提供的后续技术支持等服务承诺内容是否具有完整性、合理性进行打分</w:t>
            </w:r>
            <w:r>
              <w:rPr>
                <w:rFonts w:hint="eastAsia" w:ascii="仿宋" w:hAnsi="仿宋" w:eastAsia="仿宋" w:cs="仿宋"/>
                <w:color w:val="auto"/>
                <w:kern w:val="2"/>
                <w:sz w:val="24"/>
                <w:szCs w:val="24"/>
                <w:highlight w:val="none"/>
                <w:lang w:val="en-US" w:eastAsia="zh-CN" w:bidi="ar-SA"/>
              </w:rPr>
              <w:t>（0-4分）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1201" w:type="dxa"/>
            <w:vMerge w:val="continue"/>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根据投标人随设备提供的备品备件及耗材是否满足采购需求且确保设备的正常使用情况进行打分</w:t>
            </w:r>
            <w:r>
              <w:rPr>
                <w:rFonts w:hint="eastAsia" w:ascii="仿宋" w:hAnsi="仿宋" w:eastAsia="仿宋" w:cs="仿宋"/>
                <w:color w:val="auto"/>
                <w:kern w:val="2"/>
                <w:sz w:val="24"/>
                <w:szCs w:val="24"/>
                <w:highlight w:val="none"/>
                <w:lang w:val="en-US" w:eastAsia="zh-CN" w:bidi="ar-SA"/>
              </w:rPr>
              <w:t>（0-2分）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1201" w:type="dxa"/>
            <w:vMerge w:val="continue"/>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rPr>
            </w:pP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质保期承诺：</w:t>
            </w:r>
            <w:r>
              <w:rPr>
                <w:rFonts w:hint="eastAsia" w:ascii="仿宋" w:hAnsi="仿宋" w:eastAsia="仿宋" w:cs="仿宋"/>
                <w:bCs/>
                <w:color w:val="auto"/>
                <w:sz w:val="24"/>
                <w:szCs w:val="24"/>
                <w:highlight w:val="none"/>
              </w:rPr>
              <w:t>完全响应招标文件要求不得分，质保期在招标文件要求的基础上增加半年加0.5分，增加一年加1分，本项最多加</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689" w:hRule="atLeast"/>
          <w:jc w:val="center"/>
        </w:trPr>
        <w:tc>
          <w:tcPr>
            <w:tcW w:w="77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01"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应急响应</w:t>
            </w:r>
          </w:p>
        </w:tc>
        <w:tc>
          <w:tcPr>
            <w:tcW w:w="6355" w:type="dxa"/>
            <w:tcBorders>
              <w:bottom w:val="single" w:color="auto" w:sz="4" w:space="0"/>
            </w:tcBorders>
            <w:noWrap/>
            <w:vAlign w:val="center"/>
          </w:tcPr>
          <w:p>
            <w:pPr>
              <w:keepNext w:val="0"/>
              <w:keepLines w:val="0"/>
              <w:pageBreakBefore w:val="0"/>
              <w:widowControl w:val="0"/>
              <w:numPr>
                <w:ilvl w:val="0"/>
                <w:numId w:val="0"/>
              </w:numPr>
              <w:tabs>
                <w:tab w:val="left" w:pos="2773"/>
              </w:tabs>
              <w:kinsoku/>
              <w:wordWrap/>
              <w:overflowPunct/>
              <w:topLinePunct w:val="0"/>
              <w:autoSpaceDE/>
              <w:autoSpaceDN/>
              <w:bidi w:val="0"/>
              <w:adjustRightInd/>
              <w:snapToGrid w:val="0"/>
              <w:spacing w:line="440" w:lineRule="exact"/>
              <w:ind w:left="0" w:leftChars="0" w:right="0" w:rightChars="0"/>
              <w:jc w:val="both"/>
              <w:textAlignment w:val="auto"/>
              <w:rPr>
                <w:rFonts w:hint="eastAsia" w:ascii="仿宋" w:hAnsi="仿宋" w:eastAsia="仿宋" w:cs="仿宋"/>
                <w:color w:val="auto"/>
                <w:sz w:val="24"/>
                <w:szCs w:val="24"/>
                <w:highlight w:val="none"/>
              </w:rPr>
            </w:pPr>
            <w:r>
              <w:rPr>
                <w:rStyle w:val="1041"/>
                <w:rFonts w:hint="eastAsia" w:ascii="仿宋" w:hAnsi="仿宋" w:eastAsia="仿宋" w:cs="仿宋"/>
                <w:color w:val="auto"/>
                <w:kern w:val="0"/>
                <w:sz w:val="24"/>
                <w:szCs w:val="24"/>
                <w:highlight w:val="none"/>
                <w:lang w:val="zh-CN"/>
              </w:rPr>
              <w:t>投标人提供</w:t>
            </w:r>
            <w:r>
              <w:rPr>
                <w:rStyle w:val="1041"/>
                <w:rFonts w:hint="eastAsia" w:ascii="仿宋" w:hAnsi="仿宋" w:eastAsia="仿宋" w:cs="仿宋"/>
                <w:color w:val="auto"/>
                <w:kern w:val="0"/>
                <w:sz w:val="24"/>
                <w:szCs w:val="24"/>
                <w:highlight w:val="none"/>
              </w:rPr>
              <w:t>项目服务过程中的</w:t>
            </w:r>
            <w:r>
              <w:rPr>
                <w:rStyle w:val="1041"/>
                <w:rFonts w:hint="eastAsia" w:ascii="仿宋" w:hAnsi="仿宋" w:eastAsia="仿宋" w:cs="仿宋"/>
                <w:color w:val="auto"/>
                <w:kern w:val="0"/>
                <w:sz w:val="24"/>
                <w:szCs w:val="24"/>
                <w:highlight w:val="none"/>
                <w:lang w:val="zh-CN"/>
              </w:rPr>
              <w:t>相关应急预案，预案应针对可能出现的突发性、应急性等事件，设置应对</w:t>
            </w:r>
            <w:r>
              <w:rPr>
                <w:rStyle w:val="1041"/>
                <w:rFonts w:hint="eastAsia" w:ascii="仿宋" w:hAnsi="仿宋" w:eastAsia="仿宋" w:cs="仿宋"/>
                <w:color w:val="auto"/>
                <w:kern w:val="0"/>
                <w:sz w:val="24"/>
                <w:szCs w:val="24"/>
                <w:highlight w:val="none"/>
              </w:rPr>
              <w:t>机构、人员及</w:t>
            </w:r>
            <w:r>
              <w:rPr>
                <w:rStyle w:val="1041"/>
                <w:rFonts w:hint="eastAsia" w:ascii="仿宋" w:hAnsi="仿宋" w:eastAsia="仿宋" w:cs="仿宋"/>
                <w:color w:val="auto"/>
                <w:kern w:val="0"/>
                <w:sz w:val="24"/>
                <w:szCs w:val="24"/>
                <w:highlight w:val="none"/>
                <w:lang w:val="zh-CN"/>
              </w:rPr>
              <w:t>措施，提供有效保障等内容，根据预案的合理性、可行性以及服务响应的时效等进行打分（</w:t>
            </w:r>
            <w:r>
              <w:rPr>
                <w:rStyle w:val="1041"/>
                <w:rFonts w:hint="eastAsia" w:ascii="仿宋" w:hAnsi="仿宋" w:eastAsia="仿宋" w:cs="仿宋"/>
                <w:color w:val="auto"/>
                <w:kern w:val="0"/>
                <w:sz w:val="24"/>
                <w:szCs w:val="24"/>
                <w:highlight w:val="none"/>
                <w:lang w:val="en-US" w:eastAsia="zh-CN"/>
              </w:rPr>
              <w:t>0-4分</w:t>
            </w:r>
            <w:r>
              <w:rPr>
                <w:rStyle w:val="1041"/>
                <w:rFonts w:hint="eastAsia" w:ascii="仿宋" w:hAnsi="仿宋" w:eastAsia="仿宋" w:cs="仿宋"/>
                <w:color w:val="auto"/>
                <w:kern w:val="0"/>
                <w:sz w:val="24"/>
                <w:szCs w:val="24"/>
                <w:highlight w:val="none"/>
                <w:lang w:val="zh-CN"/>
              </w:rPr>
              <w:t>）</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41" w:hRule="atLeast"/>
          <w:jc w:val="center"/>
        </w:trPr>
        <w:tc>
          <w:tcPr>
            <w:tcW w:w="77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01" w:type="dxa"/>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风险防范</w:t>
            </w:r>
          </w:p>
        </w:tc>
        <w:tc>
          <w:tcPr>
            <w:tcW w:w="6355"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strike w:val="0"/>
                <w:dstrike w:val="0"/>
                <w:color w:val="auto"/>
                <w:sz w:val="24"/>
                <w:szCs w:val="24"/>
                <w:highlight w:val="none"/>
                <w:lang w:eastAsia="zh-CN"/>
              </w:rPr>
              <w:t>投标人提供的对全市自然灾害应急能力提升的风险防范方案，根据方案的合理性、可行性进行打分</w:t>
            </w:r>
            <w:r>
              <w:rPr>
                <w:rFonts w:hint="eastAsia" w:ascii="仿宋" w:hAnsi="仿宋" w:eastAsia="仿宋" w:cs="仿宋"/>
                <w:strike w:val="0"/>
                <w:dstrike w:val="0"/>
                <w:color w:val="auto"/>
                <w:kern w:val="2"/>
                <w:sz w:val="24"/>
                <w:szCs w:val="24"/>
                <w:highlight w:val="none"/>
                <w:lang w:val="en-US" w:eastAsia="zh-CN" w:bidi="ar-SA"/>
              </w:rPr>
              <w:t>（0-4分）</w:t>
            </w:r>
          </w:p>
        </w:tc>
        <w:tc>
          <w:tcPr>
            <w:tcW w:w="759" w:type="dxa"/>
            <w:tcBorders>
              <w:bottom w:val="single" w:color="auto" w:sz="4" w:space="0"/>
            </w:tcBorders>
            <w:noWrap/>
            <w:vAlign w:val="center"/>
          </w:tcPr>
          <w:p>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default" w:ascii="仿宋" w:hAnsi="仿宋" w:eastAsia="仿宋" w:cs="仿宋"/>
                <w:b w:val="0"/>
                <w:bCs w:val="0"/>
                <w:strike w:val="0"/>
                <w:dstrike w:val="0"/>
                <w:color w:val="auto"/>
                <w:sz w:val="24"/>
                <w:szCs w:val="24"/>
                <w:highlight w:val="none"/>
                <w:lang w:val="en-US" w:eastAsia="zh-CN"/>
              </w:rPr>
            </w:pPr>
            <w:r>
              <w:rPr>
                <w:rFonts w:hint="eastAsia" w:ascii="仿宋" w:hAnsi="仿宋" w:eastAsia="仿宋" w:cs="仿宋"/>
                <w:b w:val="0"/>
                <w:bCs w:val="0"/>
                <w:strike w:val="0"/>
                <w:dstrike w:val="0"/>
                <w:color w:val="auto"/>
                <w:sz w:val="24"/>
                <w:szCs w:val="24"/>
                <w:highlight w:val="none"/>
                <w:lang w:val="en-US" w:eastAsia="zh-CN"/>
              </w:rPr>
              <w:t>4</w:t>
            </w:r>
          </w:p>
        </w:tc>
      </w:tr>
    </w:tbl>
    <w:p>
      <w:pPr>
        <w:keepNext w:val="0"/>
        <w:keepLines w:val="0"/>
        <w:pageBreakBefore w:val="0"/>
        <w:kinsoku/>
        <w:wordWrap/>
        <w:overflowPunct/>
        <w:topLinePunct w:val="0"/>
        <w:autoSpaceDE/>
        <w:autoSpaceDN/>
        <w:bidi w:val="0"/>
        <w:adjustRightInd/>
        <w:snapToGrid w:val="0"/>
        <w:spacing w:line="440" w:lineRule="exact"/>
        <w:ind w:left="0" w:leftChars="0" w:right="0" w:rightChars="0"/>
        <w:textAlignment w:val="auto"/>
        <w:rPr>
          <w:rFonts w:hint="eastAsia"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w:t>
      </w:r>
    </w:p>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autoSpaceDE/>
        <w:autoSpaceDN/>
        <w:bidi w:val="0"/>
        <w:adjustRightInd/>
        <w:spacing w:line="440" w:lineRule="exact"/>
        <w:ind w:left="0" w:leftChars="0" w:right="0" w:rightChars="0"/>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40" w:lineRule="exact"/>
        <w:ind w:left="0" w:leftChars="0" w:right="0" w:rightChars="0"/>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pacing w:line="440" w:lineRule="exact"/>
        <w:ind w:left="0" w:leftChars="0" w:right="0" w:rightChars="0"/>
        <w:textAlignment w:val="auto"/>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即：投标报价得分=(评标基准价／投标报价)×30</w:t>
      </w:r>
    </w:p>
    <w:p>
      <w:pPr>
        <w:snapToGrid w:val="0"/>
        <w:rPr>
          <w:rFonts w:ascii="仿宋_GB2312" w:hAnsi="宋体" w:eastAsia="仿宋_GB2312"/>
          <w:b/>
          <w:color w:val="auto"/>
          <w:sz w:val="24"/>
          <w:highlight w:val="none"/>
          <w:u w:val="single"/>
        </w:rPr>
      </w:pPr>
    </w:p>
    <w:bookmarkEnd w:id="7"/>
    <w:bookmarkEnd w:id="8"/>
    <w:bookmarkEnd w:id="9"/>
    <w:bookmarkEnd w:id="10"/>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
        <w:spacing w:line="800" w:lineRule="atLeast"/>
        <w:ind w:left="0" w:leftChars="0"/>
        <w:rPr>
          <w:rFonts w:ascii="仿宋_GB2312" w:hAnsi="宋体" w:eastAsia="仿宋_GB2312"/>
          <w:b/>
          <w:color w:val="auto"/>
          <w:sz w:val="36"/>
          <w:szCs w:val="36"/>
          <w:highlight w:val="none"/>
        </w:rPr>
      </w:pPr>
    </w:p>
    <w:p>
      <w:pPr>
        <w:pStyle w:val="2"/>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绍兴市应急管理局, 绍兴市越城区应急管理局, 绍兴市柯桥区应急管理局,绍兴市上虞区应急管理局, 诸暨市应急管理局,嵊州市应急管理局，新昌县应急管理局、绍兴虬实企业管理咨询有限公司</w:t>
      </w:r>
      <w:r>
        <w:rPr>
          <w:rFonts w:hint="eastAsia" w:ascii="仿宋_GB2312" w:hAnsi="仿宋" w:eastAsia="仿宋_GB2312" w:cs="仿宋"/>
          <w:color w:val="auto"/>
          <w:sz w:val="24"/>
          <w:highlight w:val="none"/>
        </w:rPr>
        <w:t>：</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绍兴市自然灾害应急能力提升工程基层防灾项目（第二批）</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CGSHZJ-2024-N000988</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绍兴市应急管理局, 绍兴市越城区应急管理局, 绍兴市柯桥区应急管理局,绍兴市上虞区应急管理局, 诸暨市应急管理局,嵊州市应急管理局，新昌县应急管理局、绍兴虬实企业管理咨询有限公司</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4"/>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pacing w:after="120" w:line="336" w:lineRule="auto"/>
        <w:ind w:firstLine="480"/>
        <w:rPr>
          <w:rFonts w:ascii="仿宋_GB2312" w:hAnsi="仿宋" w:eastAsia="仿宋_GB2312" w:cs="仿宋"/>
          <w:color w:val="auto"/>
          <w:szCs w:val="24"/>
          <w:highlight w:val="none"/>
        </w:rPr>
      </w:pP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绍兴市应急管理局, 绍兴市越城区应急管理局, 绍兴市柯桥区应急管理局,绍兴市上虞区应急管理局, 诸暨市应急管理局,嵊州市应急管理局，新昌县应急管理局、绍兴虬实企业管理咨询有限公司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绍兴市自然灾害应急能力提升工程基层防灾项目（第二批）</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CGSHZJ-2024-N000988</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绍兴市应急管理局, 绍兴市越城区应急管理局, 绍兴市柯桥区应急管理局,绍兴市上虞区应急管理局, 诸暨市应急管理局,嵊州市应急管理局，新昌县应急管理局、绍兴虬实企业管理咨询有限公司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绍兴市自然灾害应急能力提升工程基层防灾项目（第二批）</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CGSHZJ-2024-N000988</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绍兴市应急管理局, 绍兴市越城区应急管理局, 绍兴市柯桥区应急管理局,绍兴市上虞区应急管理局, 诸暨市应急管理局,嵊州市应急管理局，新昌县应急管理局、绍兴虬实企业管理咨询有限公司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05pt;width:443.5pt;" o:ole="t" filled="f" o:preferrelative="t" stroked="f" coordsize="21600,21600">
            <v:path/>
            <v:fill on="f" focussize="0,0"/>
            <v:stroke on="f"/>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18" o:title=""/>
            <o:lock v:ext="edit" aspectratio="t"/>
            <w10:wrap type="none"/>
            <w10:anchorlock/>
          </v:shape>
          <o:OLEObject Type="Embed" ProgID="Package" ShapeID="_x0000_i1026" DrawAspect="Content" ObjectID="_1468075726" r:id="rId17">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rPr>
          <w:rFonts w:ascii="仿宋_GB2312" w:eastAsia="仿宋_GB2312"/>
          <w:color w:val="auto"/>
          <w:highlight w:val="none"/>
        </w:rPr>
        <w:sectPr>
          <w:footerReference r:id="rId9" w:type="first"/>
          <w:headerReference r:id="rId7" w:type="default"/>
          <w:footerReference r:id="rId8" w:type="default"/>
          <w:pgSz w:w="11906" w:h="16838"/>
          <w:pgMar w:top="1814" w:right="1474" w:bottom="1814" w:left="1474" w:header="851" w:footer="992" w:gutter="0"/>
          <w:pgNumType w:fmt="decimal"/>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1" w:type="first"/>
          <w:footerReference r:id="rId10" w:type="default"/>
          <w:pgSz w:w="11906" w:h="16838"/>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绍兴市应急管理局, 绍兴市越城区应急管理局, 绍兴市柯桥区应急管理局,绍兴市上虞区应急管理局, 诸暨市应急管理局,嵊州市应急管理局，新昌县应急管理局、绍兴虬实企业管理咨询有限公司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绍兴市自然灾害应急能力提升工程基层防灾项目（第二批）</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CGSHZJ-2024-N000988</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639"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03"/>
        <w:gridCol w:w="1547"/>
        <w:gridCol w:w="15"/>
        <w:gridCol w:w="2235"/>
        <w:gridCol w:w="15"/>
        <w:gridCol w:w="2460"/>
        <w:gridCol w:w="1313"/>
        <w:gridCol w:w="7"/>
        <w:gridCol w:w="1468"/>
        <w:gridCol w:w="1387"/>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0" w:type="dxa"/>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03" w:type="dxa"/>
            <w:vAlign w:val="center"/>
          </w:tcPr>
          <w:p>
            <w:pPr>
              <w:jc w:val="center"/>
              <w:rPr>
                <w:color w:val="auto"/>
                <w:highlight w:val="none"/>
              </w:rPr>
            </w:pPr>
            <w:r>
              <w:rPr>
                <w:rFonts w:hint="eastAsia" w:ascii="仿宋_GB2312" w:hAnsi="仿宋" w:eastAsia="仿宋_GB2312" w:cs="仿宋"/>
                <w:b/>
                <w:color w:val="auto"/>
                <w:sz w:val="24"/>
                <w:highlight w:val="none"/>
              </w:rPr>
              <w:t>区划</w:t>
            </w:r>
          </w:p>
        </w:tc>
        <w:tc>
          <w:tcPr>
            <w:tcW w:w="1547" w:type="dxa"/>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2250" w:type="dxa"/>
            <w:gridSpan w:val="2"/>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2475" w:type="dxa"/>
            <w:gridSpan w:val="2"/>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1313" w:type="dxa"/>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475" w:type="dxa"/>
            <w:gridSpan w:val="2"/>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387" w:type="dxa"/>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2039" w:type="dxa"/>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1</w:t>
            </w:r>
          </w:p>
        </w:tc>
        <w:tc>
          <w:tcPr>
            <w:tcW w:w="1403"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越城区</w:t>
            </w:r>
          </w:p>
        </w:tc>
        <w:tc>
          <w:tcPr>
            <w:tcW w:w="154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47" w:type="dxa"/>
            <w:vAlign w:val="center"/>
          </w:tcPr>
          <w:p>
            <w:pPr>
              <w:jc w:val="center"/>
              <w:rPr>
                <w:rFonts w:ascii="仿宋_GB2312" w:hAnsi="仿宋_GB2312" w:eastAsia="仿宋_GB2312" w:cs="仿宋_GB2312"/>
                <w:color w:val="auto"/>
                <w:sz w:val="24"/>
                <w:highlight w:val="none"/>
              </w:rPr>
            </w:pP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p>
        </w:tc>
        <w:tc>
          <w:tcPr>
            <w:tcW w:w="1403"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柯桥区</w:t>
            </w:r>
          </w:p>
        </w:tc>
        <w:tc>
          <w:tcPr>
            <w:tcW w:w="154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47" w:type="dxa"/>
            <w:vAlign w:val="center"/>
          </w:tcPr>
          <w:p>
            <w:pPr>
              <w:jc w:val="center"/>
              <w:rPr>
                <w:rFonts w:ascii="仿宋_GB2312" w:hAnsi="仿宋_GB2312" w:eastAsia="仿宋_GB2312" w:cs="仿宋_GB2312"/>
                <w:color w:val="auto"/>
                <w:sz w:val="24"/>
                <w:highlight w:val="none"/>
              </w:rPr>
            </w:pP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3</w:t>
            </w:r>
          </w:p>
        </w:tc>
        <w:tc>
          <w:tcPr>
            <w:tcW w:w="1403"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上虞区</w:t>
            </w:r>
          </w:p>
        </w:tc>
        <w:tc>
          <w:tcPr>
            <w:tcW w:w="154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47" w:type="dxa"/>
            <w:vAlign w:val="center"/>
          </w:tcPr>
          <w:p>
            <w:pPr>
              <w:jc w:val="center"/>
              <w:rPr>
                <w:rFonts w:ascii="仿宋_GB2312" w:hAnsi="仿宋_GB2312" w:eastAsia="仿宋_GB2312" w:cs="仿宋_GB2312"/>
                <w:color w:val="auto"/>
                <w:sz w:val="24"/>
                <w:highlight w:val="none"/>
              </w:rPr>
            </w:pP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4</w:t>
            </w:r>
          </w:p>
        </w:tc>
        <w:tc>
          <w:tcPr>
            <w:tcW w:w="1403"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诸暨市</w:t>
            </w:r>
          </w:p>
        </w:tc>
        <w:tc>
          <w:tcPr>
            <w:tcW w:w="154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47" w:type="dxa"/>
            <w:vAlign w:val="center"/>
          </w:tcPr>
          <w:p>
            <w:pPr>
              <w:jc w:val="center"/>
              <w:rPr>
                <w:rFonts w:ascii="仿宋_GB2312" w:hAnsi="仿宋_GB2312" w:eastAsia="仿宋_GB2312" w:cs="仿宋_GB2312"/>
                <w:color w:val="auto"/>
                <w:sz w:val="24"/>
                <w:highlight w:val="none"/>
              </w:rPr>
            </w:pP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5</w:t>
            </w:r>
          </w:p>
        </w:tc>
        <w:tc>
          <w:tcPr>
            <w:tcW w:w="1403"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嵊州市</w:t>
            </w:r>
          </w:p>
        </w:tc>
        <w:tc>
          <w:tcPr>
            <w:tcW w:w="1547" w:type="dxa"/>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47" w:type="dxa"/>
            <w:vAlign w:val="center"/>
          </w:tcPr>
          <w:p>
            <w:pPr>
              <w:jc w:val="center"/>
              <w:rPr>
                <w:rFonts w:ascii="仿宋_GB2312" w:hAnsi="仿宋_GB2312" w:eastAsia="仿宋_GB2312" w:cs="仿宋_GB2312"/>
                <w:color w:val="auto"/>
                <w:sz w:val="24"/>
                <w:highlight w:val="none"/>
              </w:rPr>
            </w:pPr>
          </w:p>
        </w:tc>
        <w:tc>
          <w:tcPr>
            <w:tcW w:w="2250" w:type="dxa"/>
            <w:gridSpan w:val="2"/>
            <w:vAlign w:val="center"/>
          </w:tcPr>
          <w:p>
            <w:pPr>
              <w:jc w:val="center"/>
              <w:rPr>
                <w:rFonts w:ascii="仿宋_GB2312" w:hAnsi="仿宋_GB2312" w:eastAsia="仿宋_GB2312" w:cs="仿宋_GB2312"/>
                <w:color w:val="auto"/>
                <w:sz w:val="24"/>
                <w:highlight w:val="none"/>
              </w:rPr>
            </w:pPr>
          </w:p>
        </w:tc>
        <w:tc>
          <w:tcPr>
            <w:tcW w:w="2475" w:type="dxa"/>
            <w:gridSpan w:val="2"/>
            <w:vAlign w:val="center"/>
          </w:tcPr>
          <w:p>
            <w:pPr>
              <w:jc w:val="center"/>
              <w:rPr>
                <w:rFonts w:ascii="仿宋_GB2312" w:hAnsi="仿宋_GB2312" w:eastAsia="仿宋_GB2312" w:cs="仿宋_GB2312"/>
                <w:color w:val="auto"/>
                <w:sz w:val="24"/>
                <w:highlight w:val="none"/>
              </w:rPr>
            </w:pPr>
          </w:p>
        </w:tc>
        <w:tc>
          <w:tcPr>
            <w:tcW w:w="1313" w:type="dxa"/>
            <w:vAlign w:val="center"/>
          </w:tcPr>
          <w:p>
            <w:pPr>
              <w:jc w:val="center"/>
              <w:rPr>
                <w:rFonts w:ascii="仿宋_GB2312" w:hAnsi="仿宋_GB2312" w:eastAsia="仿宋_GB2312" w:cs="仿宋_GB2312"/>
                <w:color w:val="auto"/>
                <w:sz w:val="24"/>
                <w:highlight w:val="none"/>
              </w:rPr>
            </w:pPr>
          </w:p>
        </w:tc>
        <w:tc>
          <w:tcPr>
            <w:tcW w:w="1475" w:type="dxa"/>
            <w:gridSpan w:val="2"/>
            <w:vAlign w:val="center"/>
          </w:tcPr>
          <w:p>
            <w:pPr>
              <w:jc w:val="center"/>
              <w:rPr>
                <w:rFonts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restart"/>
            <w:vAlign w:val="center"/>
          </w:tcPr>
          <w:p>
            <w:pPr>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6</w:t>
            </w:r>
          </w:p>
        </w:tc>
        <w:tc>
          <w:tcPr>
            <w:tcW w:w="1403" w:type="dxa"/>
            <w:vMerge w:val="restart"/>
            <w:vAlign w:val="center"/>
          </w:tcPr>
          <w:p>
            <w:pPr>
              <w:jc w:val="center"/>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新昌县</w:t>
            </w:r>
          </w:p>
        </w:tc>
        <w:tc>
          <w:tcPr>
            <w:tcW w:w="1562" w:type="dxa"/>
            <w:gridSpan w:val="2"/>
            <w:vAlign w:val="center"/>
          </w:tcPr>
          <w:p>
            <w:pPr>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2250" w:type="dxa"/>
            <w:gridSpan w:val="2"/>
            <w:vAlign w:val="center"/>
          </w:tcPr>
          <w:p>
            <w:pPr>
              <w:jc w:val="right"/>
              <w:rPr>
                <w:rFonts w:hint="eastAsia" w:ascii="仿宋_GB2312" w:hAnsi="仿宋_GB2312" w:eastAsia="仿宋_GB2312" w:cs="仿宋_GB2312"/>
                <w:color w:val="auto"/>
                <w:sz w:val="24"/>
                <w:highlight w:val="none"/>
              </w:rPr>
            </w:pPr>
          </w:p>
        </w:tc>
        <w:tc>
          <w:tcPr>
            <w:tcW w:w="2460" w:type="dxa"/>
            <w:vAlign w:val="center"/>
          </w:tcPr>
          <w:p>
            <w:pPr>
              <w:jc w:val="right"/>
              <w:rPr>
                <w:rFonts w:hint="eastAsia" w:ascii="仿宋_GB2312" w:hAnsi="仿宋_GB2312" w:eastAsia="仿宋_GB2312" w:cs="仿宋_GB2312"/>
                <w:color w:val="auto"/>
                <w:sz w:val="24"/>
                <w:highlight w:val="none"/>
              </w:rPr>
            </w:pPr>
          </w:p>
        </w:tc>
        <w:tc>
          <w:tcPr>
            <w:tcW w:w="1320" w:type="dxa"/>
            <w:gridSpan w:val="2"/>
            <w:vAlign w:val="center"/>
          </w:tcPr>
          <w:p>
            <w:pPr>
              <w:jc w:val="right"/>
              <w:rPr>
                <w:rFonts w:hint="eastAsia" w:ascii="仿宋_GB2312" w:hAnsi="仿宋_GB2312" w:eastAsia="仿宋_GB2312" w:cs="仿宋_GB2312"/>
                <w:color w:val="auto"/>
                <w:sz w:val="24"/>
                <w:highlight w:val="none"/>
              </w:rPr>
            </w:pPr>
          </w:p>
        </w:tc>
        <w:tc>
          <w:tcPr>
            <w:tcW w:w="1468" w:type="dxa"/>
            <w:vAlign w:val="center"/>
          </w:tcPr>
          <w:p>
            <w:pPr>
              <w:jc w:val="right"/>
              <w:rPr>
                <w:rFonts w:hint="eastAsia"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1562" w:type="dxa"/>
            <w:gridSpan w:val="2"/>
            <w:vAlign w:val="center"/>
          </w:tcPr>
          <w:p>
            <w:pPr>
              <w:jc w:val="right"/>
              <w:rPr>
                <w:rFonts w:hint="eastAsia" w:ascii="仿宋_GB2312" w:hAnsi="仿宋_GB2312" w:eastAsia="仿宋_GB2312" w:cs="仿宋_GB2312"/>
                <w:color w:val="auto"/>
                <w:sz w:val="24"/>
                <w:highlight w:val="none"/>
              </w:rPr>
            </w:pPr>
          </w:p>
        </w:tc>
        <w:tc>
          <w:tcPr>
            <w:tcW w:w="2250" w:type="dxa"/>
            <w:gridSpan w:val="2"/>
            <w:vAlign w:val="center"/>
          </w:tcPr>
          <w:p>
            <w:pPr>
              <w:jc w:val="right"/>
              <w:rPr>
                <w:rFonts w:hint="eastAsia" w:ascii="仿宋_GB2312" w:hAnsi="仿宋_GB2312" w:eastAsia="仿宋_GB2312" w:cs="仿宋_GB2312"/>
                <w:color w:val="auto"/>
                <w:sz w:val="24"/>
                <w:highlight w:val="none"/>
              </w:rPr>
            </w:pPr>
          </w:p>
        </w:tc>
        <w:tc>
          <w:tcPr>
            <w:tcW w:w="2460" w:type="dxa"/>
            <w:vAlign w:val="center"/>
          </w:tcPr>
          <w:p>
            <w:pPr>
              <w:jc w:val="right"/>
              <w:rPr>
                <w:rFonts w:hint="eastAsia" w:ascii="仿宋_GB2312" w:hAnsi="仿宋_GB2312" w:eastAsia="仿宋_GB2312" w:cs="仿宋_GB2312"/>
                <w:color w:val="auto"/>
                <w:sz w:val="24"/>
                <w:highlight w:val="none"/>
              </w:rPr>
            </w:pPr>
          </w:p>
        </w:tc>
        <w:tc>
          <w:tcPr>
            <w:tcW w:w="1320" w:type="dxa"/>
            <w:gridSpan w:val="2"/>
            <w:vAlign w:val="center"/>
          </w:tcPr>
          <w:p>
            <w:pPr>
              <w:jc w:val="right"/>
              <w:rPr>
                <w:rFonts w:hint="eastAsia" w:ascii="仿宋_GB2312" w:hAnsi="仿宋_GB2312" w:eastAsia="仿宋_GB2312" w:cs="仿宋_GB2312"/>
                <w:color w:val="auto"/>
                <w:sz w:val="24"/>
                <w:highlight w:val="none"/>
              </w:rPr>
            </w:pPr>
          </w:p>
        </w:tc>
        <w:tc>
          <w:tcPr>
            <w:tcW w:w="1468" w:type="dxa"/>
            <w:vAlign w:val="center"/>
          </w:tcPr>
          <w:p>
            <w:pPr>
              <w:jc w:val="right"/>
              <w:rPr>
                <w:rFonts w:hint="eastAsia" w:ascii="仿宋_GB2312" w:hAnsi="仿宋_GB2312" w:eastAsia="仿宋_GB2312" w:cs="仿宋_GB2312"/>
                <w:color w:val="auto"/>
                <w:sz w:val="24"/>
                <w:highlight w:val="none"/>
              </w:rPr>
            </w:pP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Merge w:val="continue"/>
            <w:vAlign w:val="center"/>
          </w:tcPr>
          <w:p>
            <w:pPr>
              <w:jc w:val="center"/>
              <w:rPr>
                <w:rFonts w:ascii="仿宋_GB2312" w:hAnsi="仿宋_GB2312" w:eastAsia="仿宋_GB2312" w:cs="仿宋_GB2312"/>
                <w:color w:val="auto"/>
                <w:sz w:val="24"/>
                <w:highlight w:val="none"/>
              </w:rPr>
            </w:pPr>
          </w:p>
        </w:tc>
        <w:tc>
          <w:tcPr>
            <w:tcW w:w="1403" w:type="dxa"/>
            <w:vMerge w:val="continue"/>
            <w:vAlign w:val="center"/>
          </w:tcPr>
          <w:p>
            <w:pPr>
              <w:jc w:val="center"/>
              <w:rPr>
                <w:rFonts w:ascii="仿宋_GB2312" w:hAnsi="仿宋_GB2312" w:eastAsia="仿宋_GB2312" w:cs="仿宋_GB2312"/>
                <w:color w:val="auto"/>
                <w:sz w:val="24"/>
                <w:highlight w:val="none"/>
              </w:rPr>
            </w:pPr>
          </w:p>
        </w:tc>
        <w:tc>
          <w:tcPr>
            <w:tcW w:w="9060" w:type="dxa"/>
            <w:gridSpan w:val="8"/>
            <w:vAlign w:val="center"/>
          </w:tcPr>
          <w:p>
            <w:pPr>
              <w:jc w:val="righ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小计</w:t>
            </w:r>
          </w:p>
        </w:tc>
        <w:tc>
          <w:tcPr>
            <w:tcW w:w="1387" w:type="dxa"/>
            <w:vAlign w:val="center"/>
          </w:tcPr>
          <w:p>
            <w:pPr>
              <w:jc w:val="center"/>
              <w:rPr>
                <w:rFonts w:ascii="仿宋_GB2312" w:hAnsi="仿宋_GB2312" w:eastAsia="仿宋_GB2312" w:cs="仿宋_GB2312"/>
                <w:color w:val="auto"/>
                <w:sz w:val="24"/>
                <w:highlight w:val="none"/>
              </w:rPr>
            </w:pPr>
          </w:p>
        </w:tc>
        <w:tc>
          <w:tcPr>
            <w:tcW w:w="2039" w:type="dxa"/>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425" w:type="dxa"/>
            <w:gridSpan w:val="7"/>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6214" w:type="dxa"/>
            <w:gridSpan w:val="5"/>
            <w:vAlign w:val="center"/>
          </w:tcPr>
          <w:p>
            <w:pPr>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425" w:type="dxa"/>
            <w:gridSpan w:val="7"/>
            <w:vAlign w:val="center"/>
          </w:tcPr>
          <w:p>
            <w:pPr>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6214" w:type="dxa"/>
            <w:gridSpan w:val="5"/>
            <w:vAlign w:val="center"/>
          </w:tcPr>
          <w:p>
            <w:pPr>
              <w:jc w:val="center"/>
              <w:rPr>
                <w:rFonts w:ascii="仿宋_GB2312" w:hAnsi="仿宋" w:eastAsia="仿宋_GB2312" w:cs="仿宋"/>
                <w:color w:val="auto"/>
                <w:sz w:val="24"/>
                <w:highlight w:val="none"/>
              </w:rPr>
            </w:pPr>
          </w:p>
        </w:tc>
      </w:tr>
    </w:tbl>
    <w:p>
      <w:pPr>
        <w:snapToGrid w:val="0"/>
        <w:spacing w:line="360" w:lineRule="auto"/>
        <w:ind w:firstLine="482" w:firstLineChars="20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sz w:val="32"/>
          <w:szCs w:val="32"/>
          <w:highlight w:val="none"/>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5、投标人报价时除完整填写报价一览表外，还需列明7个单位的投标报价且报价不得超过其各自的预算金额，否则作无效投标处理。</w:t>
      </w:r>
    </w:p>
    <w:p>
      <w:pPr>
        <w:pStyle w:val="219"/>
        <w:keepNext w:val="0"/>
        <w:pageBreakBefore w:val="0"/>
        <w:tabs>
          <w:tab w:val="clear" w:pos="720"/>
        </w:tabs>
        <w:snapToGrid w:val="0"/>
        <w:spacing w:before="120" w:after="120"/>
        <w:jc w:val="both"/>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pgNumType w:fmt="decimal"/>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2" w:name="_Hlk101259491"/>
      <w:r>
        <w:rPr>
          <w:rFonts w:hint="eastAsia" w:ascii="仿宋_GB2312" w:hAnsi="仿宋" w:eastAsia="仿宋_GB2312" w:cs="仿宋"/>
          <w:color w:val="auto"/>
          <w:sz w:val="32"/>
          <w:szCs w:val="32"/>
          <w:highlight w:val="none"/>
        </w:rPr>
        <w:t>（如果有）</w:t>
      </w:r>
      <w:bookmarkEnd w:id="162"/>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rPr>
          <w:rFonts w:hAnsi="仿宋" w:cs="仿宋"/>
          <w:b/>
          <w:color w:val="auto"/>
          <w:highlight w:val="none"/>
        </w:rPr>
      </w:pPr>
    </w:p>
    <w:p>
      <w:pPr>
        <w:pStyle w:val="316"/>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1"/>
        <w:rPr>
          <w:rFonts w:hAnsi="仿宋" w:cs="仿宋"/>
          <w:b/>
          <w:color w:val="auto"/>
          <w:highlight w:val="none"/>
        </w:rPr>
      </w:pPr>
    </w:p>
    <w:p>
      <w:pPr>
        <w:pStyle w:val="316"/>
        <w:rPr>
          <w:rFonts w:ascii="仿宋_GB2312" w:eastAsia="仿宋_GB2312"/>
          <w:color w:val="auto"/>
          <w:highlight w:val="none"/>
        </w:rPr>
      </w:pPr>
    </w:p>
    <w:p>
      <w:pPr>
        <w:pStyle w:val="316"/>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1"/>
        <w:widowControl/>
        <w:spacing w:line="360" w:lineRule="auto"/>
        <w:ind w:firstLine="120" w:firstLineChars="50"/>
        <w:rPr>
          <w:rFonts w:hAnsi="仿宋" w:cs="仿宋"/>
          <w:b/>
          <w:color w:val="auto"/>
          <w:highlight w:val="none"/>
        </w:rPr>
      </w:pPr>
    </w:p>
    <w:p>
      <w:pPr>
        <w:pStyle w:val="316"/>
        <w:spacing w:line="360" w:lineRule="auto"/>
        <w:ind w:left="0" w:firstLine="120" w:firstLineChars="50"/>
        <w:jc w:val="left"/>
        <w:rPr>
          <w:rFonts w:ascii="仿宋_GB2312" w:hAnsi="仿宋" w:eastAsia="仿宋_GB2312" w:cs="仿宋"/>
          <w:b/>
          <w:color w:val="auto"/>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3" w:name="_Toc465665161"/>
      <w:r>
        <w:rPr>
          <w:rFonts w:hint="eastAsia" w:ascii="仿宋_GB2312" w:hAnsi="仿宋" w:cs="仿宋"/>
          <w:color w:val="auto"/>
          <w:highlight w:val="none"/>
        </w:rPr>
        <w:t>附件</w:t>
      </w:r>
      <w:bookmarkEnd w:id="163"/>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64"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4"/>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5"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5"/>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66" w:name="OLE_LINK13"/>
      <w:bookmarkStart w:id="167"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6"/>
    <w:bookmarkEnd w:id="167"/>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4"/>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2" w:type="default"/>
      <w:footerReference r:id="rId13" w:type="even"/>
      <w:pgSz w:w="11906" w:h="16838"/>
      <w:pgMar w:top="1560" w:right="1418" w:bottom="1843" w:left="1418"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altName w:val="Calibri"/>
    <w:panose1 w:val="020F0302020204030204"/>
    <w:charset w:val="00"/>
    <w:family w:val="swiss"/>
    <w:pitch w:val="default"/>
    <w:sig w:usb0="00000000" w:usb1="00000000"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0000000000000000000"/>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96</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99</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lang w:eastAsia="zh-CN"/>
      </w:rPr>
      <w:t>绍兴虬实企业管理咨询有限公司</w:t>
    </w:r>
    <w:r>
      <w:rPr>
        <w:rFonts w:hint="eastAsia"/>
      </w:rPr>
      <w:t xml:space="preserve">                           招标文件招标编号:</w:t>
    </w:r>
    <w:r>
      <w:rPr>
        <w:rFonts w:hint="eastAsia"/>
        <w:lang w:eastAsia="zh-CN"/>
      </w:rPr>
      <w:t>CGSHZJ-2024-N000988</w:t>
    </w:r>
  </w:p>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pPr>
    <w:r>
      <w:rPr>
        <w:rFonts w:hint="eastAsia"/>
        <w:lang w:eastAsia="zh-CN"/>
      </w:rPr>
      <w:t>绍兴虬实企业管理咨询有限公司</w:t>
    </w:r>
    <w:r>
      <w:rPr>
        <w:rFonts w:hint="eastAsia"/>
      </w:rPr>
      <w:t xml:space="preserve">                           招标文件招标编号:</w:t>
    </w:r>
    <w:r>
      <w:rPr>
        <w:rFonts w:hint="eastAsia"/>
        <w:lang w:eastAsia="zh-CN"/>
      </w:rPr>
      <w:t>CGSHZJ-2024-N000988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lang w:eastAsia="zh-CN"/>
      </w:rPr>
      <w:t>绍兴虬实企业管理咨询有限公司</w:t>
    </w:r>
    <w:r>
      <w:rPr>
        <w:rFonts w:hint="eastAsia"/>
      </w:rPr>
      <w:t xml:space="preserve">                                  招标文件招标编号:</w:t>
    </w:r>
    <w:r>
      <w:rPr>
        <w:rFonts w:hint="eastAsia"/>
        <w:lang w:eastAsia="zh-CN"/>
      </w:rPr>
      <w:t>CGSHZJ-2024-N000988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5F960"/>
    <w:multiLevelType w:val="singleLevel"/>
    <w:tmpl w:val="92D5F960"/>
    <w:lvl w:ilvl="0" w:tentative="0">
      <w:start w:val="4"/>
      <w:numFmt w:val="decimal"/>
      <w:lvlText w:val="%1."/>
      <w:lvlJc w:val="left"/>
      <w:pPr>
        <w:tabs>
          <w:tab w:val="left" w:pos="312"/>
        </w:tabs>
      </w:pPr>
    </w:lvl>
  </w:abstractNum>
  <w:abstractNum w:abstractNumId="1">
    <w:nsid w:val="A3590154"/>
    <w:multiLevelType w:val="singleLevel"/>
    <w:tmpl w:val="A3590154"/>
    <w:lvl w:ilvl="0" w:tentative="0">
      <w:start w:val="1"/>
      <w:numFmt w:val="chineseCounting"/>
      <w:suff w:val="nothing"/>
      <w:lvlText w:val="%1、"/>
      <w:lvlJc w:val="left"/>
      <w:rPr>
        <w:rFonts w:hint="eastAsia"/>
      </w:rPr>
    </w:lvl>
  </w:abstractNum>
  <w:abstractNum w:abstractNumId="2">
    <w:nsid w:val="B7C46C1B"/>
    <w:multiLevelType w:val="singleLevel"/>
    <w:tmpl w:val="B7C46C1B"/>
    <w:lvl w:ilvl="0" w:tentative="0">
      <w:start w:val="1"/>
      <w:numFmt w:val="decimal"/>
      <w:lvlText w:val="%1."/>
      <w:lvlJc w:val="left"/>
      <w:pPr>
        <w:tabs>
          <w:tab w:val="left" w:pos="312"/>
        </w:tabs>
      </w:pPr>
    </w:lvl>
  </w:abstractNum>
  <w:abstractNum w:abstractNumId="3">
    <w:nsid w:val="D2537188"/>
    <w:multiLevelType w:val="singleLevel"/>
    <w:tmpl w:val="D2537188"/>
    <w:lvl w:ilvl="0" w:tentative="0">
      <w:start w:val="1"/>
      <w:numFmt w:val="decimal"/>
      <w:lvlText w:val="%1."/>
      <w:lvlJc w:val="left"/>
      <w:pPr>
        <w:tabs>
          <w:tab w:val="left" w:pos="312"/>
        </w:tabs>
      </w:pPr>
    </w:lvl>
  </w:abstractNum>
  <w:abstractNum w:abstractNumId="4">
    <w:nsid w:val="D3C77A14"/>
    <w:multiLevelType w:val="singleLevel"/>
    <w:tmpl w:val="D3C77A14"/>
    <w:lvl w:ilvl="0" w:tentative="0">
      <w:start w:val="1"/>
      <w:numFmt w:val="chineseCounting"/>
      <w:suff w:val="nothing"/>
      <w:lvlText w:val="%1、"/>
      <w:lvlJc w:val="left"/>
      <w:rPr>
        <w:rFonts w:hint="eastAsia"/>
      </w:rPr>
    </w:lvl>
  </w:abstractNum>
  <w:abstractNum w:abstractNumId="5">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6">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7">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1AC68D90"/>
    <w:multiLevelType w:val="singleLevel"/>
    <w:tmpl w:val="1AC68D90"/>
    <w:lvl w:ilvl="0" w:tentative="0">
      <w:start w:val="2"/>
      <w:numFmt w:val="decimal"/>
      <w:lvlText w:val="%1."/>
      <w:lvlJc w:val="left"/>
      <w:pPr>
        <w:tabs>
          <w:tab w:val="left" w:pos="312"/>
        </w:tabs>
      </w:pPr>
    </w:lvl>
  </w:abstractNum>
  <w:abstractNum w:abstractNumId="10">
    <w:nsid w:val="409F12FA"/>
    <w:multiLevelType w:val="singleLevel"/>
    <w:tmpl w:val="409F12FA"/>
    <w:lvl w:ilvl="0" w:tentative="0">
      <w:start w:val="1"/>
      <w:numFmt w:val="decimal"/>
      <w:lvlText w:val="%1."/>
      <w:lvlJc w:val="left"/>
      <w:pPr>
        <w:tabs>
          <w:tab w:val="left" w:pos="312"/>
        </w:tabs>
      </w:pPr>
    </w:lvl>
  </w:abstractNum>
  <w:abstractNum w:abstractNumId="11">
    <w:nsid w:val="4B0D3F1B"/>
    <w:multiLevelType w:val="singleLevel"/>
    <w:tmpl w:val="4B0D3F1B"/>
    <w:lvl w:ilvl="0" w:tentative="0">
      <w:start w:val="1"/>
      <w:numFmt w:val="decimal"/>
      <w:lvlText w:val="%1."/>
      <w:lvlJc w:val="left"/>
      <w:pPr>
        <w:tabs>
          <w:tab w:val="left" w:pos="312"/>
        </w:tabs>
      </w:pPr>
    </w:lvl>
  </w:abstractNum>
  <w:abstractNum w:abstractNumId="12">
    <w:nsid w:val="51404681"/>
    <w:multiLevelType w:val="singleLevel"/>
    <w:tmpl w:val="51404681"/>
    <w:lvl w:ilvl="0" w:tentative="0">
      <w:start w:val="1"/>
      <w:numFmt w:val="chineseCounting"/>
      <w:suff w:val="nothing"/>
      <w:lvlText w:val="%1、"/>
      <w:lvlJc w:val="left"/>
      <w:rPr>
        <w:rFonts w:hint="eastAsia"/>
      </w:rPr>
    </w:lvl>
  </w:abstractNum>
  <w:abstractNum w:abstractNumId="13">
    <w:nsid w:val="5B8497EA"/>
    <w:multiLevelType w:val="singleLevel"/>
    <w:tmpl w:val="5B8497EA"/>
    <w:lvl w:ilvl="0" w:tentative="0">
      <w:start w:val="1"/>
      <w:numFmt w:val="decimal"/>
      <w:lvlText w:val="%1."/>
      <w:lvlJc w:val="left"/>
      <w:pPr>
        <w:tabs>
          <w:tab w:val="left" w:pos="312"/>
        </w:tabs>
      </w:pPr>
    </w:lvl>
  </w:abstractNum>
  <w:abstractNum w:abstractNumId="1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5E720154"/>
    <w:multiLevelType w:val="singleLevel"/>
    <w:tmpl w:val="5E720154"/>
    <w:lvl w:ilvl="0" w:tentative="0">
      <w:start w:val="1"/>
      <w:numFmt w:val="chineseCounting"/>
      <w:suff w:val="nothing"/>
      <w:lvlText w:val="%1、"/>
      <w:lvlJc w:val="left"/>
      <w:rPr>
        <w:rFonts w:hint="eastAsia"/>
      </w:rPr>
    </w:lvl>
  </w:abstractNum>
  <w:abstractNum w:abstractNumId="1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17">
    <w:nsid w:val="799E8B94"/>
    <w:multiLevelType w:val="singleLevel"/>
    <w:tmpl w:val="799E8B94"/>
    <w:lvl w:ilvl="0" w:tentative="0">
      <w:start w:val="3"/>
      <w:numFmt w:val="chineseCounting"/>
      <w:suff w:val="space"/>
      <w:lvlText w:val="第%1部分"/>
      <w:lvlJc w:val="left"/>
      <w:rPr>
        <w:rFonts w:hint="eastAsia"/>
      </w:rPr>
    </w:lvl>
  </w:abstractNum>
  <w:abstractNum w:abstractNumId="18">
    <w:nsid w:val="7A2F23FF"/>
    <w:multiLevelType w:val="singleLevel"/>
    <w:tmpl w:val="7A2F23FF"/>
    <w:lvl w:ilvl="0" w:tentative="0">
      <w:start w:val="1"/>
      <w:numFmt w:val="chineseCounting"/>
      <w:suff w:val="nothing"/>
      <w:lvlText w:val="%1、"/>
      <w:lvlJc w:val="left"/>
      <w:rPr>
        <w:rFonts w:hint="eastAsia"/>
      </w:rPr>
    </w:lvl>
  </w:abstractNum>
  <w:num w:numId="1">
    <w:abstractNumId w:val="14"/>
  </w:num>
  <w:num w:numId="2">
    <w:abstractNumId w:val="7"/>
  </w:num>
  <w:num w:numId="3">
    <w:abstractNumId w:val="6"/>
  </w:num>
  <w:num w:numId="4">
    <w:abstractNumId w:val="16"/>
  </w:num>
  <w:num w:numId="5">
    <w:abstractNumId w:val="5"/>
  </w:num>
  <w:num w:numId="6">
    <w:abstractNumId w:val="17"/>
  </w:num>
  <w:num w:numId="7">
    <w:abstractNumId w:val="1"/>
  </w:num>
  <w:num w:numId="8">
    <w:abstractNumId w:val="2"/>
  </w:num>
  <w:num w:numId="9">
    <w:abstractNumId w:val="9"/>
  </w:num>
  <w:num w:numId="10">
    <w:abstractNumId w:val="0"/>
  </w:num>
  <w:num w:numId="11">
    <w:abstractNumId w:val="15"/>
  </w:num>
  <w:num w:numId="12">
    <w:abstractNumId w:val="10"/>
  </w:num>
  <w:num w:numId="13">
    <w:abstractNumId w:val="18"/>
  </w:num>
  <w:num w:numId="14">
    <w:abstractNumId w:val="3"/>
  </w:num>
  <w:num w:numId="15">
    <w:abstractNumId w:val="12"/>
  </w:num>
  <w:num w:numId="16">
    <w:abstractNumId w:val="13"/>
  </w:num>
  <w:num w:numId="17">
    <w:abstractNumId w:val="4"/>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164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59D1"/>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4CD7"/>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9A"/>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2877"/>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024"/>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44A4"/>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212"/>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4CD8"/>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2F25"/>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5CB6"/>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20C8"/>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28197A"/>
    <w:rsid w:val="0172419D"/>
    <w:rsid w:val="021E11D3"/>
    <w:rsid w:val="02DA75B7"/>
    <w:rsid w:val="057F4D4C"/>
    <w:rsid w:val="07EC4B83"/>
    <w:rsid w:val="08020E14"/>
    <w:rsid w:val="089051BB"/>
    <w:rsid w:val="08AF79AF"/>
    <w:rsid w:val="09077801"/>
    <w:rsid w:val="09675786"/>
    <w:rsid w:val="09746A1E"/>
    <w:rsid w:val="0A3D172D"/>
    <w:rsid w:val="0A853500"/>
    <w:rsid w:val="0A9A47D8"/>
    <w:rsid w:val="0B253438"/>
    <w:rsid w:val="0C8D3783"/>
    <w:rsid w:val="0CA365D7"/>
    <w:rsid w:val="0D7D14CA"/>
    <w:rsid w:val="0F794D02"/>
    <w:rsid w:val="0FD65EF3"/>
    <w:rsid w:val="102B6E13"/>
    <w:rsid w:val="105D305C"/>
    <w:rsid w:val="10BB7167"/>
    <w:rsid w:val="11AE5A53"/>
    <w:rsid w:val="11EE462B"/>
    <w:rsid w:val="122421F1"/>
    <w:rsid w:val="12C66037"/>
    <w:rsid w:val="12E533D6"/>
    <w:rsid w:val="137546C6"/>
    <w:rsid w:val="13C74AE4"/>
    <w:rsid w:val="13FE0808"/>
    <w:rsid w:val="15DD61B1"/>
    <w:rsid w:val="16744DE3"/>
    <w:rsid w:val="17C705D7"/>
    <w:rsid w:val="19923DF0"/>
    <w:rsid w:val="199C575C"/>
    <w:rsid w:val="19CF064A"/>
    <w:rsid w:val="19E41CD3"/>
    <w:rsid w:val="1BB92E49"/>
    <w:rsid w:val="1DEE6396"/>
    <w:rsid w:val="1E3F1812"/>
    <w:rsid w:val="1F7B687C"/>
    <w:rsid w:val="206F7C40"/>
    <w:rsid w:val="209A4A53"/>
    <w:rsid w:val="20FB4C13"/>
    <w:rsid w:val="212B2592"/>
    <w:rsid w:val="221C114F"/>
    <w:rsid w:val="2222290C"/>
    <w:rsid w:val="232C77B6"/>
    <w:rsid w:val="23704381"/>
    <w:rsid w:val="23A36838"/>
    <w:rsid w:val="23FE2F23"/>
    <w:rsid w:val="25866341"/>
    <w:rsid w:val="26A33818"/>
    <w:rsid w:val="27274474"/>
    <w:rsid w:val="276310B7"/>
    <w:rsid w:val="27B36607"/>
    <w:rsid w:val="27FF3F83"/>
    <w:rsid w:val="2989420F"/>
    <w:rsid w:val="29A83F96"/>
    <w:rsid w:val="29CB6C8F"/>
    <w:rsid w:val="2A001626"/>
    <w:rsid w:val="2ABC48F3"/>
    <w:rsid w:val="2C732BFC"/>
    <w:rsid w:val="2E383F22"/>
    <w:rsid w:val="2EDA14AE"/>
    <w:rsid w:val="2FA54326"/>
    <w:rsid w:val="30147E19"/>
    <w:rsid w:val="30744ECD"/>
    <w:rsid w:val="30C67E71"/>
    <w:rsid w:val="30EC3CCF"/>
    <w:rsid w:val="315C308A"/>
    <w:rsid w:val="316B0973"/>
    <w:rsid w:val="319779EB"/>
    <w:rsid w:val="33CD6EA7"/>
    <w:rsid w:val="346A53F9"/>
    <w:rsid w:val="34885BD5"/>
    <w:rsid w:val="34BE4995"/>
    <w:rsid w:val="3653056F"/>
    <w:rsid w:val="368054A0"/>
    <w:rsid w:val="368D4DCD"/>
    <w:rsid w:val="37A119D6"/>
    <w:rsid w:val="3824382A"/>
    <w:rsid w:val="389540DE"/>
    <w:rsid w:val="38DF2BB3"/>
    <w:rsid w:val="38E50ED5"/>
    <w:rsid w:val="38E7638E"/>
    <w:rsid w:val="3A082429"/>
    <w:rsid w:val="3AAF5257"/>
    <w:rsid w:val="3AEB3C3A"/>
    <w:rsid w:val="3B096584"/>
    <w:rsid w:val="3B517DF8"/>
    <w:rsid w:val="3B6B3322"/>
    <w:rsid w:val="3D0531E3"/>
    <w:rsid w:val="3D3F6F8E"/>
    <w:rsid w:val="3D5228D4"/>
    <w:rsid w:val="3DCE5E88"/>
    <w:rsid w:val="3DCF41F1"/>
    <w:rsid w:val="3F6A15CE"/>
    <w:rsid w:val="42981B60"/>
    <w:rsid w:val="42EF5BFA"/>
    <w:rsid w:val="42F5018B"/>
    <w:rsid w:val="44A21D28"/>
    <w:rsid w:val="454E0E4F"/>
    <w:rsid w:val="45AA7762"/>
    <w:rsid w:val="45E42139"/>
    <w:rsid w:val="470E0ED0"/>
    <w:rsid w:val="47240FA3"/>
    <w:rsid w:val="47530A04"/>
    <w:rsid w:val="47C83543"/>
    <w:rsid w:val="47D44680"/>
    <w:rsid w:val="480B2B91"/>
    <w:rsid w:val="480F755D"/>
    <w:rsid w:val="48403BBB"/>
    <w:rsid w:val="48776570"/>
    <w:rsid w:val="488D23E1"/>
    <w:rsid w:val="48AF7E4F"/>
    <w:rsid w:val="4A305BD0"/>
    <w:rsid w:val="4A97220F"/>
    <w:rsid w:val="4B125CE2"/>
    <w:rsid w:val="4B441213"/>
    <w:rsid w:val="4B4A51FE"/>
    <w:rsid w:val="4BD03E08"/>
    <w:rsid w:val="4BF320D0"/>
    <w:rsid w:val="4C0C1B6B"/>
    <w:rsid w:val="4C92576B"/>
    <w:rsid w:val="4CAF540F"/>
    <w:rsid w:val="4D4D28DD"/>
    <w:rsid w:val="4DE17184"/>
    <w:rsid w:val="4DF82359"/>
    <w:rsid w:val="4E9066F0"/>
    <w:rsid w:val="50335E78"/>
    <w:rsid w:val="506B0696"/>
    <w:rsid w:val="50E95217"/>
    <w:rsid w:val="5140605E"/>
    <w:rsid w:val="51C14C15"/>
    <w:rsid w:val="52843451"/>
    <w:rsid w:val="53007D65"/>
    <w:rsid w:val="53CB3256"/>
    <w:rsid w:val="53CF5F6A"/>
    <w:rsid w:val="53E84E1B"/>
    <w:rsid w:val="540828F9"/>
    <w:rsid w:val="54876745"/>
    <w:rsid w:val="55114B48"/>
    <w:rsid w:val="554207BC"/>
    <w:rsid w:val="55EE24D3"/>
    <w:rsid w:val="55F15F96"/>
    <w:rsid w:val="56DF3CA2"/>
    <w:rsid w:val="580D25F6"/>
    <w:rsid w:val="59166000"/>
    <w:rsid w:val="595D53B0"/>
    <w:rsid w:val="59A126C8"/>
    <w:rsid w:val="5A3700FB"/>
    <w:rsid w:val="5AD7152A"/>
    <w:rsid w:val="5B0D544B"/>
    <w:rsid w:val="5B430CB2"/>
    <w:rsid w:val="5B6D5D3E"/>
    <w:rsid w:val="5BA00852"/>
    <w:rsid w:val="5D296550"/>
    <w:rsid w:val="5D6D72F8"/>
    <w:rsid w:val="5E8338EE"/>
    <w:rsid w:val="5ED6696B"/>
    <w:rsid w:val="5F576F4A"/>
    <w:rsid w:val="60617BB3"/>
    <w:rsid w:val="60F7609E"/>
    <w:rsid w:val="614407A6"/>
    <w:rsid w:val="620E34D3"/>
    <w:rsid w:val="62727956"/>
    <w:rsid w:val="62E94148"/>
    <w:rsid w:val="64697071"/>
    <w:rsid w:val="65C16521"/>
    <w:rsid w:val="6848469A"/>
    <w:rsid w:val="68B07E51"/>
    <w:rsid w:val="69FF15CA"/>
    <w:rsid w:val="6A261A93"/>
    <w:rsid w:val="6B321C23"/>
    <w:rsid w:val="6D4C4C2C"/>
    <w:rsid w:val="6D4F74C5"/>
    <w:rsid w:val="6DA11AC8"/>
    <w:rsid w:val="6E565C59"/>
    <w:rsid w:val="6EA507CA"/>
    <w:rsid w:val="6EDB63E4"/>
    <w:rsid w:val="701C7922"/>
    <w:rsid w:val="70827064"/>
    <w:rsid w:val="714E6F7D"/>
    <w:rsid w:val="7172083E"/>
    <w:rsid w:val="72B10A3A"/>
    <w:rsid w:val="72CC6E6D"/>
    <w:rsid w:val="72DD060A"/>
    <w:rsid w:val="72E87C49"/>
    <w:rsid w:val="731B26E8"/>
    <w:rsid w:val="7341725F"/>
    <w:rsid w:val="749A6E45"/>
    <w:rsid w:val="74A86EE8"/>
    <w:rsid w:val="74E22CD1"/>
    <w:rsid w:val="754E569E"/>
    <w:rsid w:val="75CD5F4A"/>
    <w:rsid w:val="7608399B"/>
    <w:rsid w:val="7634234A"/>
    <w:rsid w:val="763E092C"/>
    <w:rsid w:val="768A0869"/>
    <w:rsid w:val="76C96C40"/>
    <w:rsid w:val="77394A41"/>
    <w:rsid w:val="77E261B1"/>
    <w:rsid w:val="78127AAE"/>
    <w:rsid w:val="7914596E"/>
    <w:rsid w:val="7D4D4B04"/>
    <w:rsid w:val="7D833218"/>
    <w:rsid w:val="7DCC1471"/>
    <w:rsid w:val="7DFBB8BB"/>
    <w:rsid w:val="7DFE4B05"/>
    <w:rsid w:val="7EC343EF"/>
    <w:rsid w:val="7F7061A1"/>
    <w:rsid w:val="7F813251"/>
    <w:rsid w:val="7F825BAA"/>
    <w:rsid w:val="7FE76284"/>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84"/>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85"/>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86"/>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87"/>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88"/>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autoRedefine/>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next w:val="1"/>
    <w:link w:val="94"/>
    <w:autoRedefine/>
    <w:qFormat/>
    <w:uiPriority w:val="0"/>
    <w:pPr>
      <w:spacing w:after="120"/>
      <w:ind w:left="420" w:leftChars="200"/>
    </w:pPr>
  </w:style>
  <w:style w:type="paragraph" w:styleId="5">
    <w:name w:val="Normal Indent"/>
    <w:basedOn w:val="1"/>
    <w:next w:val="1"/>
    <w:link w:val="82"/>
    <w:autoRedefine/>
    <w:qFormat/>
    <w:uiPriority w:val="0"/>
    <w:pPr>
      <w:ind w:firstLine="420" w:firstLineChars="200"/>
    </w:pPr>
  </w:style>
  <w:style w:type="paragraph" w:styleId="13">
    <w:name w:val="toc 7"/>
    <w:basedOn w:val="1"/>
    <w:next w:val="1"/>
    <w:autoRedefine/>
    <w:qFormat/>
    <w:uiPriority w:val="0"/>
    <w:pPr>
      <w:adjustRightInd w:val="0"/>
      <w:ind w:left="2520" w:leftChars="1200"/>
    </w:pPr>
  </w:style>
  <w:style w:type="paragraph" w:styleId="14">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autoRedefine/>
    <w:qFormat/>
    <w:uiPriority w:val="0"/>
    <w:pPr>
      <w:spacing w:line="360" w:lineRule="auto"/>
      <w:jc w:val="center"/>
    </w:pPr>
    <w:rPr>
      <w:rFonts w:ascii="Calibri" w:hAnsi="Calibri"/>
      <w:sz w:val="20"/>
      <w:szCs w:val="20"/>
    </w:rPr>
  </w:style>
  <w:style w:type="paragraph" w:styleId="18">
    <w:name w:val="index 5"/>
    <w:basedOn w:val="1"/>
    <w:next w:val="1"/>
    <w:autoRedefine/>
    <w:qFormat/>
    <w:uiPriority w:val="0"/>
    <w:pPr>
      <w:ind w:left="800" w:leftChars="800" w:firstLine="200" w:firstLineChars="200"/>
    </w:pPr>
  </w:style>
  <w:style w:type="paragraph" w:styleId="19">
    <w:name w:val="Document Map"/>
    <w:basedOn w:val="1"/>
    <w:link w:val="148"/>
    <w:autoRedefine/>
    <w:qFormat/>
    <w:uiPriority w:val="0"/>
    <w:pPr>
      <w:shd w:val="clear" w:color="auto" w:fill="000080"/>
    </w:pPr>
  </w:style>
  <w:style w:type="paragraph" w:styleId="20">
    <w:name w:val="annotation text"/>
    <w:basedOn w:val="1"/>
    <w:link w:val="100"/>
    <w:autoRedefine/>
    <w:qFormat/>
    <w:uiPriority w:val="99"/>
    <w:pPr>
      <w:jc w:val="left"/>
    </w:pPr>
  </w:style>
  <w:style w:type="paragraph" w:styleId="21">
    <w:name w:val="Salutation"/>
    <w:basedOn w:val="1"/>
    <w:next w:val="1"/>
    <w:link w:val="317"/>
    <w:autoRedefine/>
    <w:qFormat/>
    <w:uiPriority w:val="0"/>
    <w:pPr>
      <w:adjustRightInd w:val="0"/>
    </w:pPr>
    <w:rPr>
      <w:rFonts w:ascii="仿宋_GB2312" w:eastAsia="仿宋_GB2312"/>
      <w:sz w:val="28"/>
      <w:szCs w:val="20"/>
    </w:rPr>
  </w:style>
  <w:style w:type="paragraph" w:styleId="22">
    <w:name w:val="Body Text 3"/>
    <w:basedOn w:val="1"/>
    <w:link w:val="318"/>
    <w:autoRedefine/>
    <w:qFormat/>
    <w:uiPriority w:val="0"/>
    <w:pPr>
      <w:adjustRightInd w:val="0"/>
      <w:jc w:val="center"/>
    </w:pPr>
    <w:rPr>
      <w:szCs w:val="20"/>
    </w:rPr>
  </w:style>
  <w:style w:type="paragraph" w:styleId="23">
    <w:name w:val="List Bullet 3"/>
    <w:basedOn w:val="1"/>
    <w:autoRedefine/>
    <w:qFormat/>
    <w:uiPriority w:val="0"/>
    <w:pPr>
      <w:adjustRightInd w:val="0"/>
      <w:snapToGrid w:val="0"/>
      <w:spacing w:line="360" w:lineRule="auto"/>
      <w:ind w:left="360" w:right="238" w:hanging="360"/>
      <w:contextualSpacing/>
    </w:pPr>
    <w:rPr>
      <w:sz w:val="24"/>
    </w:rPr>
  </w:style>
  <w:style w:type="paragraph" w:styleId="24">
    <w:name w:val="Body Text"/>
    <w:basedOn w:val="1"/>
    <w:next w:val="25"/>
    <w:link w:val="113"/>
    <w:autoRedefine/>
    <w:qFormat/>
    <w:uiPriority w:val="0"/>
    <w:pPr>
      <w:spacing w:line="360" w:lineRule="auto"/>
    </w:pPr>
    <w:rPr>
      <w:rFonts w:eastAsia="仿宋_GB2312"/>
      <w:sz w:val="28"/>
    </w:rPr>
  </w:style>
  <w:style w:type="paragraph" w:styleId="25">
    <w:name w:val="Body Text First Indent"/>
    <w:basedOn w:val="24"/>
    <w:next w:val="1"/>
    <w:link w:val="231"/>
    <w:autoRedefine/>
    <w:qFormat/>
    <w:uiPriority w:val="0"/>
    <w:pPr>
      <w:spacing w:after="120" w:line="240" w:lineRule="auto"/>
      <w:ind w:firstLine="420" w:firstLineChars="100"/>
    </w:pPr>
    <w:rPr>
      <w:rFonts w:eastAsia="宋体"/>
      <w:sz w:val="21"/>
    </w:rPr>
  </w:style>
  <w:style w:type="paragraph" w:styleId="26">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7">
    <w:name w:val="List 2"/>
    <w:basedOn w:val="1"/>
    <w:autoRedefine/>
    <w:qFormat/>
    <w:uiPriority w:val="0"/>
    <w:pPr>
      <w:spacing w:line="360" w:lineRule="auto"/>
      <w:ind w:left="100" w:leftChars="200" w:hanging="200" w:hangingChars="200"/>
    </w:pPr>
    <w:rPr>
      <w:rFonts w:eastAsia="微软雅黑"/>
    </w:rPr>
  </w:style>
  <w:style w:type="paragraph" w:styleId="28">
    <w:name w:val="Block Text"/>
    <w:basedOn w:val="1"/>
    <w:autoRedefine/>
    <w:qFormat/>
    <w:uiPriority w:val="0"/>
    <w:pPr>
      <w:spacing w:before="120" w:line="360" w:lineRule="auto"/>
      <w:ind w:left="824" w:right="202"/>
    </w:pPr>
    <w:rPr>
      <w:rFonts w:ascii="宋体" w:hAnsi="宋体"/>
      <w:sz w:val="24"/>
      <w:szCs w:val="21"/>
    </w:rPr>
  </w:style>
  <w:style w:type="paragraph" w:styleId="29">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1">
    <w:name w:val="toc 5"/>
    <w:basedOn w:val="1"/>
    <w:next w:val="1"/>
    <w:autoRedefine/>
    <w:qFormat/>
    <w:uiPriority w:val="0"/>
    <w:pPr>
      <w:adjustRightInd w:val="0"/>
      <w:ind w:left="1680" w:leftChars="800"/>
    </w:pPr>
  </w:style>
  <w:style w:type="paragraph" w:styleId="32">
    <w:name w:val="toc 3"/>
    <w:basedOn w:val="1"/>
    <w:next w:val="1"/>
    <w:autoRedefine/>
    <w:unhideWhenUsed/>
    <w:qFormat/>
    <w:uiPriority w:val="0"/>
    <w:pPr>
      <w:ind w:left="840" w:leftChars="400"/>
    </w:pPr>
    <w:rPr>
      <w:rFonts w:ascii="Calibri" w:hAnsi="Calibri"/>
      <w:szCs w:val="22"/>
    </w:rPr>
  </w:style>
  <w:style w:type="paragraph" w:styleId="33">
    <w:name w:val="Plain Text"/>
    <w:basedOn w:val="1"/>
    <w:link w:val="92"/>
    <w:autoRedefine/>
    <w:qFormat/>
    <w:uiPriority w:val="0"/>
    <w:rPr>
      <w:rFonts w:ascii="宋体" w:hAnsi="Courier New"/>
      <w:szCs w:val="20"/>
    </w:rPr>
  </w:style>
  <w:style w:type="paragraph" w:styleId="34">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autoRedefine/>
    <w:qFormat/>
    <w:uiPriority w:val="0"/>
    <w:pPr>
      <w:adjustRightInd w:val="0"/>
      <w:ind w:left="2940" w:leftChars="1400"/>
    </w:pPr>
  </w:style>
  <w:style w:type="paragraph" w:styleId="36">
    <w:name w:val="Date"/>
    <w:basedOn w:val="1"/>
    <w:next w:val="1"/>
    <w:link w:val="95"/>
    <w:autoRedefine/>
    <w:qFormat/>
    <w:uiPriority w:val="0"/>
    <w:rPr>
      <w:rFonts w:ascii="楷体_GB2312" w:eastAsia="楷体_GB2312"/>
      <w:b/>
      <w:sz w:val="28"/>
      <w:szCs w:val="20"/>
    </w:rPr>
  </w:style>
  <w:style w:type="paragraph" w:styleId="37">
    <w:name w:val="Body Text Indent 2"/>
    <w:basedOn w:val="1"/>
    <w:link w:val="109"/>
    <w:autoRedefine/>
    <w:qFormat/>
    <w:uiPriority w:val="0"/>
    <w:pPr>
      <w:spacing w:after="120" w:line="480" w:lineRule="auto"/>
      <w:ind w:left="420" w:leftChars="200"/>
    </w:pPr>
  </w:style>
  <w:style w:type="paragraph" w:styleId="38">
    <w:name w:val="endnote text"/>
    <w:basedOn w:val="1"/>
    <w:link w:val="320"/>
    <w:autoRedefine/>
    <w:qFormat/>
    <w:uiPriority w:val="0"/>
    <w:pPr>
      <w:adjustRightInd w:val="0"/>
    </w:pPr>
    <w:rPr>
      <w:lang w:val="zh-CN"/>
    </w:rPr>
  </w:style>
  <w:style w:type="paragraph" w:styleId="39">
    <w:name w:val="Balloon Text"/>
    <w:basedOn w:val="1"/>
    <w:link w:val="227"/>
    <w:autoRedefine/>
    <w:qFormat/>
    <w:uiPriority w:val="0"/>
    <w:rPr>
      <w:sz w:val="18"/>
      <w:szCs w:val="18"/>
    </w:rPr>
  </w:style>
  <w:style w:type="paragraph" w:styleId="40">
    <w:name w:val="footer"/>
    <w:basedOn w:val="1"/>
    <w:link w:val="97"/>
    <w:autoRedefine/>
    <w:qFormat/>
    <w:uiPriority w:val="99"/>
    <w:pPr>
      <w:tabs>
        <w:tab w:val="center" w:pos="4153"/>
        <w:tab w:val="right" w:pos="8306"/>
      </w:tabs>
      <w:snapToGrid w:val="0"/>
      <w:jc w:val="left"/>
    </w:pPr>
    <w:rPr>
      <w:sz w:val="18"/>
      <w:szCs w:val="18"/>
    </w:rPr>
  </w:style>
  <w:style w:type="paragraph" w:styleId="41">
    <w:name w:val="header"/>
    <w:basedOn w:val="1"/>
    <w:link w:val="96"/>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tabs>
        <w:tab w:val="right" w:leader="dot" w:pos="8314"/>
      </w:tabs>
      <w:ind w:firstLine="588" w:firstLineChars="245"/>
    </w:pPr>
  </w:style>
  <w:style w:type="paragraph" w:styleId="45">
    <w:name w:val="index heading"/>
    <w:basedOn w:val="1"/>
    <w:next w:val="46"/>
    <w:autoRedefine/>
    <w:qFormat/>
    <w:uiPriority w:val="0"/>
    <w:pPr>
      <w:ind w:firstLine="200" w:firstLineChars="200"/>
    </w:pPr>
  </w:style>
  <w:style w:type="paragraph" w:styleId="46">
    <w:name w:val="index 1"/>
    <w:basedOn w:val="1"/>
    <w:next w:val="1"/>
    <w:autoRedefine/>
    <w:qFormat/>
    <w:uiPriority w:val="0"/>
    <w:pPr>
      <w:spacing w:line="320" w:lineRule="exact"/>
    </w:pPr>
    <w:rPr>
      <w:b/>
      <w:snapToGrid w:val="0"/>
      <w:color w:val="FF6600"/>
      <w:kern w:val="0"/>
      <w:sz w:val="18"/>
      <w:szCs w:val="21"/>
    </w:rPr>
  </w:style>
  <w:style w:type="paragraph" w:styleId="47">
    <w:name w:val="Subtitle"/>
    <w:basedOn w:val="1"/>
    <w:next w:val="1"/>
    <w:link w:val="322"/>
    <w:autoRedefine/>
    <w:qFormat/>
    <w:uiPriority w:val="0"/>
    <w:pPr>
      <w:adjustRightInd w:val="0"/>
      <w:snapToGrid w:val="0"/>
      <w:spacing w:before="240" w:after="480"/>
      <w:jc w:val="center"/>
    </w:pPr>
    <w:rPr>
      <w:rFonts w:ascii="Arial" w:hAnsi="Arial" w:eastAsia="隶书"/>
      <w:b/>
      <w:bCs/>
      <w:kern w:val="28"/>
      <w:sz w:val="44"/>
      <w:szCs w:val="32"/>
    </w:rPr>
  </w:style>
  <w:style w:type="paragraph" w:styleId="48">
    <w:name w:val="List Number 5"/>
    <w:basedOn w:val="1"/>
    <w:autoRedefine/>
    <w:unhideWhenUsed/>
    <w:qFormat/>
    <w:uiPriority w:val="0"/>
    <w:pPr>
      <w:numPr>
        <w:ilvl w:val="0"/>
        <w:numId w:val="5"/>
      </w:numPr>
      <w:contextualSpacing/>
    </w:pPr>
  </w:style>
  <w:style w:type="paragraph" w:styleId="49">
    <w:name w:val="List"/>
    <w:basedOn w:val="1"/>
    <w:autoRedefine/>
    <w:qFormat/>
    <w:uiPriority w:val="0"/>
    <w:pPr>
      <w:adjustRightInd w:val="0"/>
      <w:ind w:left="200" w:hanging="200" w:hangingChars="200"/>
    </w:pPr>
  </w:style>
  <w:style w:type="paragraph" w:styleId="50">
    <w:name w:val="footnote text"/>
    <w:basedOn w:val="5"/>
    <w:link w:val="323"/>
    <w:autoRedefine/>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autoRedefine/>
    <w:qFormat/>
    <w:uiPriority w:val="0"/>
    <w:pPr>
      <w:adjustRightInd w:val="0"/>
      <w:ind w:left="2100" w:leftChars="1000"/>
    </w:pPr>
  </w:style>
  <w:style w:type="paragraph" w:styleId="52">
    <w:name w:val="List 5"/>
    <w:basedOn w:val="1"/>
    <w:autoRedefine/>
    <w:qFormat/>
    <w:uiPriority w:val="0"/>
    <w:pPr>
      <w:ind w:left="100" w:leftChars="800" w:hanging="200" w:hangingChars="200"/>
    </w:pPr>
  </w:style>
  <w:style w:type="paragraph" w:styleId="53">
    <w:name w:val="Body Text Indent 3"/>
    <w:basedOn w:val="1"/>
    <w:link w:val="228"/>
    <w:autoRedefine/>
    <w:qFormat/>
    <w:uiPriority w:val="0"/>
    <w:pPr>
      <w:spacing w:after="120"/>
      <w:ind w:left="420" w:leftChars="200"/>
    </w:pPr>
    <w:rPr>
      <w:sz w:val="16"/>
      <w:szCs w:val="16"/>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adjustRightInd w:val="0"/>
      <w:ind w:left="3360" w:leftChars="1600"/>
    </w:pPr>
  </w:style>
  <w:style w:type="paragraph" w:styleId="56">
    <w:name w:val="Body Text 2"/>
    <w:basedOn w:val="1"/>
    <w:link w:val="101"/>
    <w:autoRedefine/>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autoRedefine/>
    <w:qFormat/>
    <w:uiPriority w:val="0"/>
    <w:pPr>
      <w:spacing w:after="120"/>
      <w:ind w:left="840" w:leftChars="400"/>
    </w:pPr>
  </w:style>
  <w:style w:type="paragraph" w:styleId="58">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autoRedefine/>
    <w:qFormat/>
    <w:uiPriority w:val="0"/>
    <w:pPr>
      <w:widowControl/>
      <w:spacing w:afterLines="50"/>
    </w:pPr>
    <w:rPr>
      <w:b/>
      <w:bCs/>
      <w:kern w:val="0"/>
      <w:sz w:val="24"/>
      <w:szCs w:val="20"/>
    </w:rPr>
  </w:style>
  <w:style w:type="paragraph" w:styleId="62">
    <w:name w:val="Body Text First Indent 2"/>
    <w:basedOn w:val="2"/>
    <w:link w:val="232"/>
    <w:autoRedefine/>
    <w:qFormat/>
    <w:uiPriority w:val="0"/>
    <w:pPr>
      <w:ind w:firstLine="420" w:firstLineChars="200"/>
    </w:p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style>
  <w:style w:type="character" w:styleId="74">
    <w:name w:val="FollowedHyperlink"/>
    <w:autoRedefine/>
    <w:qFormat/>
    <w:uiPriority w:val="99"/>
    <w:rPr>
      <w:color w:val="800080"/>
      <w:u w:val="single"/>
    </w:rPr>
  </w:style>
  <w:style w:type="character" w:styleId="75">
    <w:name w:val="Emphasis"/>
    <w:autoRedefine/>
    <w:qFormat/>
    <w:uiPriority w:val="20"/>
    <w:rPr>
      <w:color w:val="CC0000"/>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color w:val="0000FF"/>
      <w:u w:val="singl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表格文字"/>
    <w:basedOn w:val="1"/>
    <w:next w:val="1"/>
    <w:autoRedefine/>
    <w:qFormat/>
    <w:uiPriority w:val="0"/>
    <w:pPr>
      <w:ind w:firstLine="200" w:firstLineChars="200"/>
    </w:pPr>
    <w:rPr>
      <w:rFonts w:ascii="Arial" w:hAnsi="Arial"/>
      <w:spacing w:val="-5"/>
      <w:kern w:val="0"/>
      <w:sz w:val="24"/>
      <w:szCs w:val="20"/>
    </w:rPr>
  </w:style>
  <w:style w:type="character" w:customStyle="1" w:styleId="81">
    <w:name w:val="标题 1 Char"/>
    <w:link w:val="3"/>
    <w:autoRedefine/>
    <w:qFormat/>
    <w:uiPriority w:val="9"/>
    <w:rPr>
      <w:rFonts w:eastAsia="仿宋_GB2312"/>
      <w:b/>
      <w:kern w:val="44"/>
      <w:sz w:val="44"/>
      <w:lang w:val="en-US" w:eastAsia="zh-CN" w:bidi="ar-SA"/>
    </w:rPr>
  </w:style>
  <w:style w:type="character" w:customStyle="1" w:styleId="82">
    <w:name w:val="正文缩进 Char"/>
    <w:link w:val="5"/>
    <w:autoRedefine/>
    <w:qFormat/>
    <w:uiPriority w:val="0"/>
    <w:rPr>
      <w:rFonts w:eastAsia="宋体"/>
      <w:kern w:val="2"/>
      <w:sz w:val="21"/>
      <w:szCs w:val="24"/>
      <w:lang w:val="en-US" w:eastAsia="zh-CN" w:bidi="ar-SA"/>
    </w:rPr>
  </w:style>
  <w:style w:type="paragraph" w:customStyle="1" w:styleId="83">
    <w:name w:val="_Style 15"/>
    <w:basedOn w:val="1"/>
    <w:autoRedefine/>
    <w:qFormat/>
    <w:uiPriority w:val="0"/>
    <w:rPr>
      <w:rFonts w:ascii="Tahoma" w:hAnsi="Tahoma"/>
      <w:sz w:val="24"/>
      <w:szCs w:val="20"/>
    </w:rPr>
  </w:style>
  <w:style w:type="character" w:customStyle="1" w:styleId="84">
    <w:name w:val="标题 2 Char"/>
    <w:link w:val="4"/>
    <w:autoRedefine/>
    <w:qFormat/>
    <w:uiPriority w:val="0"/>
    <w:rPr>
      <w:rFonts w:ascii="Arial" w:hAnsi="Arial" w:eastAsia="黑体"/>
      <w:b/>
      <w:kern w:val="2"/>
      <w:sz w:val="32"/>
      <w:lang w:val="en-US" w:eastAsia="zh-CN" w:bidi="ar-SA"/>
    </w:rPr>
  </w:style>
  <w:style w:type="character" w:customStyle="1" w:styleId="85">
    <w:name w:val="标题 3 Char"/>
    <w:link w:val="6"/>
    <w:autoRedefine/>
    <w:qFormat/>
    <w:uiPriority w:val="0"/>
    <w:rPr>
      <w:rFonts w:eastAsia="仿宋_GB2312"/>
      <w:b/>
      <w:kern w:val="2"/>
      <w:sz w:val="32"/>
      <w:lang w:val="en-US" w:eastAsia="zh-CN" w:bidi="ar-SA"/>
    </w:rPr>
  </w:style>
  <w:style w:type="character" w:customStyle="1" w:styleId="86">
    <w:name w:val="标题 4 Char1"/>
    <w:link w:val="7"/>
    <w:autoRedefine/>
    <w:qFormat/>
    <w:uiPriority w:val="9"/>
    <w:rPr>
      <w:rFonts w:ascii="Arial" w:hAnsi="Arial" w:eastAsia="黑体"/>
      <w:b/>
      <w:kern w:val="2"/>
      <w:sz w:val="28"/>
      <w:lang w:val="en-US" w:eastAsia="zh-CN" w:bidi="ar-SA"/>
    </w:rPr>
  </w:style>
  <w:style w:type="character" w:customStyle="1" w:styleId="87">
    <w:name w:val="标题 5 Char1"/>
    <w:link w:val="8"/>
    <w:autoRedefine/>
    <w:qFormat/>
    <w:uiPriority w:val="0"/>
    <w:rPr>
      <w:rFonts w:eastAsia="宋体"/>
      <w:sz w:val="24"/>
      <w:lang w:val="en-US" w:eastAsia="zh-CN" w:bidi="ar-SA"/>
    </w:rPr>
  </w:style>
  <w:style w:type="character" w:customStyle="1" w:styleId="88">
    <w:name w:val="标题 6 Char1"/>
    <w:link w:val="9"/>
    <w:autoRedefine/>
    <w:qFormat/>
    <w:uiPriority w:val="0"/>
    <w:rPr>
      <w:rFonts w:ascii="宋体" w:hAnsi="Arial" w:eastAsia="宋体"/>
      <w:sz w:val="24"/>
      <w:lang w:val="en-US" w:eastAsia="zh-CN" w:bidi="ar-SA"/>
    </w:rPr>
  </w:style>
  <w:style w:type="character" w:customStyle="1" w:styleId="89">
    <w:name w:val="标题 7 Char1"/>
    <w:link w:val="10"/>
    <w:autoRedefine/>
    <w:qFormat/>
    <w:uiPriority w:val="0"/>
    <w:rPr>
      <w:rFonts w:ascii="宋体" w:hAnsi="Arial" w:eastAsia="宋体"/>
      <w:b/>
      <w:sz w:val="24"/>
      <w:lang w:val="en-US" w:eastAsia="zh-CN" w:bidi="ar-SA"/>
    </w:rPr>
  </w:style>
  <w:style w:type="character" w:customStyle="1" w:styleId="90">
    <w:name w:val="标题 8 Char1"/>
    <w:link w:val="11"/>
    <w:autoRedefine/>
    <w:qFormat/>
    <w:uiPriority w:val="0"/>
    <w:rPr>
      <w:rFonts w:ascii="Arial" w:hAnsi="Arial" w:eastAsia="黑体"/>
      <w:sz w:val="24"/>
      <w:lang w:val="en-US" w:eastAsia="zh-CN" w:bidi="ar-SA"/>
    </w:rPr>
  </w:style>
  <w:style w:type="character" w:customStyle="1" w:styleId="91">
    <w:name w:val="标题 9 Char1"/>
    <w:link w:val="12"/>
    <w:autoRedefine/>
    <w:qFormat/>
    <w:uiPriority w:val="0"/>
    <w:rPr>
      <w:rFonts w:ascii="Arial" w:hAnsi="Arial" w:eastAsia="黑体"/>
      <w:sz w:val="24"/>
      <w:lang w:val="en-US" w:eastAsia="zh-CN" w:bidi="ar-SA"/>
    </w:rPr>
  </w:style>
  <w:style w:type="character" w:customStyle="1" w:styleId="92">
    <w:name w:val="纯文本 Char"/>
    <w:link w:val="33"/>
    <w:autoRedefine/>
    <w:qFormat/>
    <w:uiPriority w:val="0"/>
    <w:rPr>
      <w:rFonts w:ascii="宋体" w:hAnsi="Courier New" w:eastAsia="宋体"/>
      <w:kern w:val="2"/>
      <w:sz w:val="21"/>
      <w:lang w:val="en-US" w:eastAsia="zh-CN" w:bidi="ar-SA"/>
    </w:rPr>
  </w:style>
  <w:style w:type="paragraph" w:customStyle="1" w:styleId="93">
    <w:name w:val="表正文"/>
    <w:basedOn w:val="1"/>
    <w:next w:val="33"/>
    <w:autoRedefine/>
    <w:qFormat/>
    <w:uiPriority w:val="0"/>
    <w:rPr>
      <w:rFonts w:ascii="宋体" w:hAnsi="Courier New"/>
      <w:szCs w:val="20"/>
    </w:rPr>
  </w:style>
  <w:style w:type="character" w:customStyle="1" w:styleId="94">
    <w:name w:val="正文文本缩进 Char"/>
    <w:link w:val="2"/>
    <w:autoRedefine/>
    <w:qFormat/>
    <w:uiPriority w:val="0"/>
    <w:rPr>
      <w:rFonts w:eastAsia="宋体"/>
      <w:kern w:val="2"/>
      <w:sz w:val="21"/>
      <w:szCs w:val="24"/>
      <w:lang w:val="en-US" w:eastAsia="zh-CN" w:bidi="ar-SA"/>
    </w:rPr>
  </w:style>
  <w:style w:type="character" w:customStyle="1" w:styleId="95">
    <w:name w:val="日期 Char2"/>
    <w:link w:val="36"/>
    <w:autoRedefine/>
    <w:qFormat/>
    <w:uiPriority w:val="0"/>
    <w:rPr>
      <w:rFonts w:ascii="楷体_GB2312" w:eastAsia="楷体_GB2312"/>
      <w:b/>
      <w:kern w:val="2"/>
      <w:sz w:val="28"/>
      <w:lang w:val="en-US" w:eastAsia="zh-CN" w:bidi="ar-SA"/>
    </w:rPr>
  </w:style>
  <w:style w:type="character" w:customStyle="1" w:styleId="96">
    <w:name w:val="页眉 Char1"/>
    <w:link w:val="41"/>
    <w:autoRedefine/>
    <w:qFormat/>
    <w:uiPriority w:val="0"/>
    <w:rPr>
      <w:rFonts w:eastAsia="宋体"/>
      <w:kern w:val="2"/>
      <w:sz w:val="18"/>
      <w:szCs w:val="18"/>
      <w:lang w:val="en-US" w:eastAsia="zh-CN" w:bidi="ar-SA"/>
    </w:rPr>
  </w:style>
  <w:style w:type="character" w:customStyle="1" w:styleId="97">
    <w:name w:val="页脚 Char"/>
    <w:link w:val="40"/>
    <w:autoRedefine/>
    <w:qFormat/>
    <w:locked/>
    <w:uiPriority w:val="0"/>
    <w:rPr>
      <w:rFonts w:eastAsia="宋体"/>
      <w:kern w:val="2"/>
      <w:sz w:val="18"/>
      <w:szCs w:val="18"/>
      <w:lang w:val="en-US" w:eastAsia="zh-CN" w:bidi="ar-SA"/>
    </w:rPr>
  </w:style>
  <w:style w:type="paragraph" w:customStyle="1" w:styleId="98">
    <w:name w:val="正文段"/>
    <w:basedOn w:val="1"/>
    <w:link w:val="99"/>
    <w:autoRedefine/>
    <w:qFormat/>
    <w:uiPriority w:val="0"/>
    <w:pPr>
      <w:widowControl/>
      <w:snapToGrid w:val="0"/>
      <w:spacing w:afterLines="50"/>
      <w:ind w:firstLine="200" w:firstLineChars="200"/>
    </w:pPr>
    <w:rPr>
      <w:kern w:val="0"/>
      <w:sz w:val="24"/>
      <w:szCs w:val="20"/>
    </w:rPr>
  </w:style>
  <w:style w:type="character" w:customStyle="1" w:styleId="99">
    <w:name w:val="正文段 Char"/>
    <w:link w:val="98"/>
    <w:autoRedefine/>
    <w:qFormat/>
    <w:uiPriority w:val="0"/>
    <w:rPr>
      <w:rFonts w:eastAsia="宋体"/>
      <w:sz w:val="24"/>
      <w:lang w:val="en-US" w:eastAsia="zh-CN" w:bidi="ar-SA"/>
    </w:rPr>
  </w:style>
  <w:style w:type="character" w:customStyle="1" w:styleId="100">
    <w:name w:val="批注文字 Char1"/>
    <w:link w:val="20"/>
    <w:autoRedefine/>
    <w:qFormat/>
    <w:uiPriority w:val="0"/>
    <w:rPr>
      <w:rFonts w:eastAsia="宋体"/>
      <w:kern w:val="2"/>
      <w:sz w:val="21"/>
      <w:szCs w:val="24"/>
      <w:lang w:val="en-US" w:eastAsia="zh-CN" w:bidi="ar-SA"/>
    </w:rPr>
  </w:style>
  <w:style w:type="character" w:customStyle="1" w:styleId="101">
    <w:name w:val="正文文本 2 Char1"/>
    <w:link w:val="56"/>
    <w:autoRedefine/>
    <w:qFormat/>
    <w:uiPriority w:val="0"/>
    <w:rPr>
      <w:rFonts w:ascii="隶书" w:eastAsia="隶书"/>
      <w:bCs/>
      <w:sz w:val="72"/>
      <w:szCs w:val="84"/>
      <w:lang w:val="en-US" w:eastAsia="zh-CN" w:bidi="ar-SA"/>
    </w:rPr>
  </w:style>
  <w:style w:type="paragraph" w:customStyle="1" w:styleId="102">
    <w:name w:val="Char"/>
    <w:basedOn w:val="1"/>
    <w:autoRedefine/>
    <w:qFormat/>
    <w:uiPriority w:val="0"/>
    <w:rPr>
      <w:rFonts w:ascii="仿宋_GB2312" w:eastAsia="仿宋_GB2312"/>
      <w:b/>
      <w:sz w:val="32"/>
      <w:szCs w:val="32"/>
    </w:rPr>
  </w:style>
  <w:style w:type="paragraph" w:customStyle="1" w:styleId="103">
    <w:name w:val="Table Text"/>
    <w:link w:val="104"/>
    <w:autoRedefine/>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autoRedefine/>
    <w:qFormat/>
    <w:uiPriority w:val="0"/>
    <w:rPr>
      <w:rFonts w:ascii="Arial" w:hAnsi="Arial"/>
      <w:sz w:val="18"/>
      <w:lang w:val="en-US" w:eastAsia="zh-CN" w:bidi="ar-SA"/>
    </w:rPr>
  </w:style>
  <w:style w:type="character" w:customStyle="1" w:styleId="105">
    <w:name w:val="正文（缩进2汉字） Char"/>
    <w:link w:val="106"/>
    <w:autoRedefine/>
    <w:qFormat/>
    <w:uiPriority w:val="0"/>
    <w:rPr>
      <w:rFonts w:ascii="宋体"/>
      <w:kern w:val="2"/>
      <w:sz w:val="21"/>
      <w:lang w:bidi="ar-SA"/>
    </w:rPr>
  </w:style>
  <w:style w:type="paragraph" w:customStyle="1" w:styleId="106">
    <w:name w:val="正文（缩进2汉字）"/>
    <w:basedOn w:val="1"/>
    <w:link w:val="105"/>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autoRedefine/>
    <w:qFormat/>
    <w:uiPriority w:val="0"/>
    <w:pPr>
      <w:tabs>
        <w:tab w:val="left" w:pos="432"/>
      </w:tabs>
      <w:spacing w:beforeLines="50" w:afterLines="50"/>
      <w:ind w:left="432" w:hanging="432"/>
      <w:jc w:val="center"/>
    </w:pPr>
    <w:rPr>
      <w:sz w:val="24"/>
    </w:rPr>
  </w:style>
  <w:style w:type="paragraph" w:customStyle="1" w:styleId="108">
    <w:name w:val="模板普通正文"/>
    <w:basedOn w:val="2"/>
    <w:autoRedefine/>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autoRedefine/>
    <w:qFormat/>
    <w:locked/>
    <w:uiPriority w:val="99"/>
    <w:rPr>
      <w:rFonts w:eastAsia="宋体"/>
      <w:kern w:val="2"/>
      <w:sz w:val="21"/>
      <w:szCs w:val="24"/>
      <w:lang w:val="en-US" w:eastAsia="zh-CN" w:bidi="ar-SA"/>
    </w:rPr>
  </w:style>
  <w:style w:type="paragraph" w:customStyle="1" w:styleId="110">
    <w:name w:val="缺省文本"/>
    <w:basedOn w:val="1"/>
    <w:autoRedefine/>
    <w:qFormat/>
    <w:uiPriority w:val="0"/>
    <w:pPr>
      <w:autoSpaceDE w:val="0"/>
      <w:autoSpaceDN w:val="0"/>
      <w:adjustRightInd w:val="0"/>
      <w:jc w:val="left"/>
    </w:pPr>
    <w:rPr>
      <w:kern w:val="0"/>
      <w:sz w:val="24"/>
    </w:rPr>
  </w:style>
  <w:style w:type="paragraph" w:customStyle="1" w:styleId="111">
    <w:name w:val="WW-正文文字缩进 2"/>
    <w:basedOn w:val="1"/>
    <w:autoRedefine/>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autoRedefine/>
    <w:qFormat/>
    <w:uiPriority w:val="0"/>
    <w:rPr>
      <w:rFonts w:ascii="Tahoma" w:hAnsi="Tahoma"/>
      <w:sz w:val="24"/>
      <w:szCs w:val="20"/>
    </w:rPr>
  </w:style>
  <w:style w:type="character" w:customStyle="1" w:styleId="113">
    <w:name w:val="正文文本 Char1"/>
    <w:link w:val="24"/>
    <w:autoRedefine/>
    <w:qFormat/>
    <w:locked/>
    <w:uiPriority w:val="0"/>
    <w:rPr>
      <w:rFonts w:eastAsia="仿宋_GB2312"/>
      <w:kern w:val="2"/>
      <w:sz w:val="28"/>
      <w:szCs w:val="24"/>
      <w:lang w:val="en-US" w:eastAsia="zh-CN" w:bidi="ar-SA"/>
    </w:rPr>
  </w:style>
  <w:style w:type="paragraph" w:customStyle="1" w:styleId="114">
    <w:name w:val="项目排列"/>
    <w:basedOn w:val="1"/>
    <w:link w:val="115"/>
    <w:autoRedefine/>
    <w:qFormat/>
    <w:uiPriority w:val="0"/>
    <w:pPr>
      <w:tabs>
        <w:tab w:val="left" w:pos="900"/>
      </w:tabs>
      <w:spacing w:beforeLines="50" w:afterLines="50" w:line="300" w:lineRule="auto"/>
      <w:ind w:left="900" w:hanging="420"/>
    </w:pPr>
    <w:rPr>
      <w:sz w:val="24"/>
    </w:rPr>
  </w:style>
  <w:style w:type="character" w:customStyle="1" w:styleId="115">
    <w:name w:val="项目排列 Char"/>
    <w:link w:val="114"/>
    <w:autoRedefine/>
    <w:qFormat/>
    <w:uiPriority w:val="0"/>
    <w:rPr>
      <w:kern w:val="2"/>
      <w:sz w:val="24"/>
      <w:szCs w:val="24"/>
    </w:rPr>
  </w:style>
  <w:style w:type="character" w:customStyle="1" w:styleId="116">
    <w:name w:val="style21"/>
    <w:autoRedefine/>
    <w:qFormat/>
    <w:uiPriority w:val="0"/>
    <w:rPr>
      <w:sz w:val="15"/>
      <w:szCs w:val="15"/>
    </w:rPr>
  </w:style>
  <w:style w:type="paragraph" w:customStyle="1" w:styleId="117">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autoRedefine/>
    <w:qFormat/>
    <w:uiPriority w:val="0"/>
    <w:rPr>
      <w:szCs w:val="20"/>
    </w:rPr>
  </w:style>
  <w:style w:type="paragraph" w:customStyle="1" w:styleId="120">
    <w:name w:val="列出段落1"/>
    <w:basedOn w:val="1"/>
    <w:autoRedefine/>
    <w:qFormat/>
    <w:uiPriority w:val="0"/>
    <w:pPr>
      <w:ind w:firstLine="420" w:firstLineChars="200"/>
    </w:pPr>
    <w:rPr>
      <w:rFonts w:ascii="Calibri" w:hAnsi="Calibri"/>
      <w:szCs w:val="22"/>
    </w:rPr>
  </w:style>
  <w:style w:type="paragraph" w:customStyle="1" w:styleId="121">
    <w:name w:val="默认段落字体 Para Char Char Char Char"/>
    <w:basedOn w:val="1"/>
    <w:autoRedefine/>
    <w:qFormat/>
    <w:uiPriority w:val="0"/>
  </w:style>
  <w:style w:type="paragraph" w:customStyle="1" w:styleId="122">
    <w:name w:val="Char Char Char1 Char Char Char1 Char Char Char Char"/>
    <w:basedOn w:val="1"/>
    <w:autoRedefine/>
    <w:qFormat/>
    <w:uiPriority w:val="0"/>
  </w:style>
  <w:style w:type="character" w:customStyle="1" w:styleId="123">
    <w:name w:val="font1"/>
    <w:autoRedefine/>
    <w:qFormat/>
    <w:uiPriority w:val="0"/>
    <w:rPr>
      <w:color w:val="999999"/>
      <w:sz w:val="18"/>
      <w:szCs w:val="18"/>
      <w:u w:val="none"/>
    </w:rPr>
  </w:style>
  <w:style w:type="paragraph" w:customStyle="1" w:styleId="124">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autoRedefine/>
    <w:qFormat/>
    <w:uiPriority w:val="0"/>
    <w:rPr>
      <w:rFonts w:ascii="Tahoma" w:hAnsi="Tahoma"/>
      <w:sz w:val="24"/>
      <w:szCs w:val="20"/>
    </w:rPr>
  </w:style>
  <w:style w:type="character" w:customStyle="1" w:styleId="126">
    <w:name w:val="apple-style-span"/>
    <w:basedOn w:val="70"/>
    <w:autoRedefine/>
    <w:qFormat/>
    <w:uiPriority w:val="0"/>
  </w:style>
  <w:style w:type="paragraph" w:customStyle="1" w:styleId="127">
    <w:name w:val="正文无缩进"/>
    <w:basedOn w:val="1"/>
    <w:link w:val="128"/>
    <w:autoRedefine/>
    <w:qFormat/>
    <w:uiPriority w:val="0"/>
    <w:pPr>
      <w:spacing w:line="360" w:lineRule="auto"/>
    </w:pPr>
    <w:rPr>
      <w:rFonts w:ascii="宋体"/>
      <w:color w:val="000000"/>
      <w:sz w:val="24"/>
    </w:rPr>
  </w:style>
  <w:style w:type="character" w:customStyle="1" w:styleId="128">
    <w:name w:val="正文无缩进 Char"/>
    <w:link w:val="127"/>
    <w:autoRedefine/>
    <w:qFormat/>
    <w:uiPriority w:val="0"/>
    <w:rPr>
      <w:rFonts w:ascii="宋体" w:eastAsia="宋体"/>
      <w:color w:val="000000"/>
      <w:kern w:val="2"/>
      <w:sz w:val="24"/>
      <w:szCs w:val="24"/>
      <w:lang w:val="en-US" w:eastAsia="zh-CN" w:bidi="ar-SA"/>
    </w:rPr>
  </w:style>
  <w:style w:type="paragraph" w:customStyle="1" w:styleId="129">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0"/>
    <w:autoRedefine/>
    <w:qFormat/>
    <w:uiPriority w:val="0"/>
  </w:style>
  <w:style w:type="paragraph" w:customStyle="1" w:styleId="131">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2">
    <w:name w:val="表格 Char Char"/>
    <w:link w:val="133"/>
    <w:autoRedefine/>
    <w:qFormat/>
    <w:locked/>
    <w:uiPriority w:val="0"/>
    <w:rPr>
      <w:rFonts w:ascii="宋体" w:hAnsi="宋体" w:eastAsia="宋体"/>
      <w:lang w:val="en-US" w:eastAsia="zh-CN" w:bidi="ar-SA"/>
    </w:rPr>
  </w:style>
  <w:style w:type="paragraph" w:customStyle="1" w:styleId="133">
    <w:name w:val="表格"/>
    <w:basedOn w:val="1"/>
    <w:link w:val="132"/>
    <w:autoRedefine/>
    <w:qFormat/>
    <w:uiPriority w:val="0"/>
    <w:pPr>
      <w:snapToGrid w:val="0"/>
      <w:ind w:firstLine="42" w:firstLineChars="21"/>
    </w:pPr>
    <w:rPr>
      <w:rFonts w:ascii="宋体" w:hAnsi="宋体"/>
      <w:kern w:val="0"/>
      <w:sz w:val="20"/>
      <w:szCs w:val="20"/>
    </w:rPr>
  </w:style>
  <w:style w:type="paragraph" w:customStyle="1" w:styleId="134">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autoRedefine/>
    <w:qFormat/>
    <w:uiPriority w:val="0"/>
    <w:pPr>
      <w:widowControl/>
      <w:spacing w:after="160" w:line="240" w:lineRule="exact"/>
      <w:jc w:val="left"/>
    </w:pPr>
  </w:style>
  <w:style w:type="character" w:customStyle="1" w:styleId="136">
    <w:name w:val="Char Char"/>
    <w:autoRedefine/>
    <w:qFormat/>
    <w:uiPriority w:val="0"/>
    <w:rPr>
      <w:rFonts w:hint="eastAsia" w:ascii="宋体" w:hAnsi="Courier New" w:eastAsia="宋体"/>
      <w:kern w:val="2"/>
      <w:sz w:val="21"/>
      <w:lang w:val="en-US" w:eastAsia="zh-CN" w:bidi="ar-SA"/>
    </w:rPr>
  </w:style>
  <w:style w:type="character" w:customStyle="1" w:styleId="137">
    <w:name w:val="style51"/>
    <w:autoRedefine/>
    <w:qFormat/>
    <w:uiPriority w:val="0"/>
    <w:rPr>
      <w:sz w:val="21"/>
      <w:szCs w:val="21"/>
    </w:rPr>
  </w:style>
  <w:style w:type="paragraph" w:customStyle="1" w:styleId="138">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autoRedefine/>
    <w:qFormat/>
    <w:uiPriority w:val="0"/>
    <w:pPr>
      <w:spacing w:line="360" w:lineRule="auto"/>
      <w:ind w:firstLine="480" w:firstLineChars="200"/>
    </w:pPr>
    <w:rPr>
      <w:rFonts w:cs="宋体"/>
      <w:sz w:val="24"/>
      <w:szCs w:val="20"/>
    </w:rPr>
  </w:style>
  <w:style w:type="character" w:customStyle="1" w:styleId="140">
    <w:name w:val="标准文本 Char"/>
    <w:link w:val="139"/>
    <w:autoRedefine/>
    <w:qFormat/>
    <w:uiPriority w:val="0"/>
    <w:rPr>
      <w:rFonts w:eastAsia="宋体" w:cs="宋体"/>
      <w:kern w:val="2"/>
      <w:sz w:val="24"/>
      <w:lang w:val="en-US" w:eastAsia="zh-CN" w:bidi="ar-SA"/>
    </w:rPr>
  </w:style>
  <w:style w:type="paragraph" w:customStyle="1" w:styleId="141">
    <w:name w:val="Default"/>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19"/>
    <w:autoRedefine/>
    <w:qFormat/>
    <w:uiPriority w:val="0"/>
    <w:rPr>
      <w:rFonts w:ascii="Tahoma" w:hAnsi="Tahoma"/>
      <w:sz w:val="24"/>
    </w:rPr>
  </w:style>
  <w:style w:type="paragraph" w:customStyle="1" w:styleId="168">
    <w:name w:val="Char Char Char"/>
    <w:basedOn w:val="19"/>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0"/>
    <w:autoRedefine/>
    <w:qFormat/>
    <w:uiPriority w:val="0"/>
  </w:style>
  <w:style w:type="paragraph" w:customStyle="1" w:styleId="180">
    <w:name w:val="样式 正文缩进 + 首行缩进:  2 字符"/>
    <w:basedOn w:val="5"/>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0"/>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6"/>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Char"/>
    <w:basedOn w:val="70"/>
    <w:link w:val="39"/>
    <w:autoRedefine/>
    <w:qFormat/>
    <w:uiPriority w:val="0"/>
    <w:rPr>
      <w:kern w:val="2"/>
      <w:sz w:val="18"/>
      <w:szCs w:val="18"/>
    </w:rPr>
  </w:style>
  <w:style w:type="character" w:customStyle="1" w:styleId="228">
    <w:name w:val="正文文本缩进 3 Char"/>
    <w:basedOn w:val="70"/>
    <w:link w:val="53"/>
    <w:autoRedefine/>
    <w:qFormat/>
    <w:uiPriority w:val="0"/>
    <w:rPr>
      <w:kern w:val="2"/>
      <w:sz w:val="16"/>
      <w:szCs w:val="16"/>
    </w:rPr>
  </w:style>
  <w:style w:type="character" w:customStyle="1" w:styleId="229">
    <w:name w:val="HTML 预设格式 Char"/>
    <w:basedOn w:val="70"/>
    <w:link w:val="58"/>
    <w:autoRedefine/>
    <w:qFormat/>
    <w:uiPriority w:val="0"/>
    <w:rPr>
      <w:rFonts w:ascii="黑体" w:hAnsi="Courier New" w:eastAsia="黑体" w:cs="Courier New"/>
    </w:rPr>
  </w:style>
  <w:style w:type="character" w:customStyle="1" w:styleId="230">
    <w:name w:val="批注主题 Char"/>
    <w:basedOn w:val="197"/>
    <w:link w:val="61"/>
    <w:autoRedefine/>
    <w:qFormat/>
    <w:uiPriority w:val="0"/>
    <w:rPr>
      <w:rFonts w:eastAsia="宋体"/>
      <w:b/>
      <w:bCs/>
      <w:kern w:val="2"/>
      <w:sz w:val="24"/>
      <w:szCs w:val="24"/>
      <w:lang w:val="en-US" w:eastAsia="zh-CN" w:bidi="ar-SA"/>
    </w:rPr>
  </w:style>
  <w:style w:type="character" w:customStyle="1" w:styleId="231">
    <w:name w:val="正文首行缩进 Char"/>
    <w:basedOn w:val="192"/>
    <w:link w:val="25"/>
    <w:autoRedefine/>
    <w:qFormat/>
    <w:uiPriority w:val="0"/>
    <w:rPr>
      <w:rFonts w:eastAsia="仿宋_GB2312"/>
      <w:kern w:val="2"/>
      <w:sz w:val="21"/>
      <w:szCs w:val="24"/>
      <w:lang w:val="en-US" w:eastAsia="zh-CN" w:bidi="ar-SA"/>
    </w:rPr>
  </w:style>
  <w:style w:type="character" w:customStyle="1" w:styleId="232">
    <w:name w:val="正文首行缩进 2 Char"/>
    <w:basedOn w:val="94"/>
    <w:link w:val="62"/>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autoRedefine/>
    <w:qFormat/>
    <w:uiPriority w:val="0"/>
    <w:rPr>
      <w:rFonts w:hint="eastAsia" w:ascii="宋体" w:hAnsi="宋体" w:eastAsia="宋体" w:cs="宋体"/>
      <w:color w:val="000000"/>
      <w:sz w:val="22"/>
      <w:szCs w:val="22"/>
      <w:u w:val="none"/>
    </w:rPr>
  </w:style>
  <w:style w:type="character" w:customStyle="1" w:styleId="295">
    <w:name w:val="font11"/>
    <w:basedOn w:val="70"/>
    <w:autoRedefine/>
    <w:qFormat/>
    <w:uiPriority w:val="0"/>
    <w:rPr>
      <w:rFonts w:hint="eastAsia" w:ascii="宋体" w:hAnsi="宋体" w:eastAsia="宋体" w:cs="宋体"/>
      <w:color w:val="FF0000"/>
      <w:sz w:val="22"/>
      <w:szCs w:val="22"/>
      <w:u w:val="none"/>
    </w:rPr>
  </w:style>
  <w:style w:type="character" w:customStyle="1" w:styleId="296">
    <w:name w:val="font41"/>
    <w:basedOn w:val="70"/>
    <w:autoRedefine/>
    <w:qFormat/>
    <w:uiPriority w:val="0"/>
    <w:rPr>
      <w:rFonts w:hint="default" w:ascii="等线" w:hAnsi="等线" w:eastAsia="等线" w:cs="等线"/>
      <w:color w:val="FF0000"/>
      <w:sz w:val="22"/>
      <w:szCs w:val="22"/>
      <w:u w:val="none"/>
    </w:rPr>
  </w:style>
  <w:style w:type="character" w:customStyle="1" w:styleId="297">
    <w:name w:val="font21"/>
    <w:basedOn w:val="70"/>
    <w:autoRedefine/>
    <w:qFormat/>
    <w:uiPriority w:val="0"/>
    <w:rPr>
      <w:rFonts w:hint="default" w:ascii="等线" w:hAnsi="等线" w:eastAsia="等线" w:cs="等线"/>
      <w:color w:val="000000"/>
      <w:sz w:val="22"/>
      <w:szCs w:val="22"/>
      <w:u w:val="none"/>
    </w:rPr>
  </w:style>
  <w:style w:type="character" w:customStyle="1" w:styleId="298">
    <w:name w:val="font51"/>
    <w:basedOn w:val="70"/>
    <w:autoRedefine/>
    <w:qFormat/>
    <w:uiPriority w:val="0"/>
    <w:rPr>
      <w:rFonts w:hint="default" w:ascii="等线" w:hAnsi="等线" w:eastAsia="等线" w:cs="等线"/>
      <w:color w:val="FF0000"/>
      <w:sz w:val="22"/>
      <w:szCs w:val="22"/>
      <w:u w:val="none"/>
    </w:rPr>
  </w:style>
  <w:style w:type="character" w:customStyle="1" w:styleId="299">
    <w:name w:val="font61"/>
    <w:basedOn w:val="70"/>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0"/>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141"/>
    <w:autoRedefine/>
    <w:qFormat/>
    <w:uiPriority w:val="0"/>
    <w:rPr>
      <w:color w:val="000000"/>
      <w:sz w:val="24"/>
      <w:szCs w:val="24"/>
    </w:rPr>
  </w:style>
  <w:style w:type="paragraph" w:customStyle="1" w:styleId="31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0"/>
    <w:link w:val="21"/>
    <w:autoRedefine/>
    <w:qFormat/>
    <w:uiPriority w:val="0"/>
    <w:rPr>
      <w:rFonts w:ascii="仿宋_GB2312" w:eastAsia="仿宋_GB2312"/>
      <w:kern w:val="2"/>
      <w:sz w:val="28"/>
    </w:rPr>
  </w:style>
  <w:style w:type="character" w:customStyle="1" w:styleId="318">
    <w:name w:val="正文文本 3 Char"/>
    <w:basedOn w:val="70"/>
    <w:link w:val="22"/>
    <w:autoRedefine/>
    <w:qFormat/>
    <w:uiPriority w:val="0"/>
    <w:rPr>
      <w:kern w:val="2"/>
      <w:sz w:val="21"/>
    </w:rPr>
  </w:style>
  <w:style w:type="character" w:customStyle="1" w:styleId="319">
    <w:name w:val="HTML 地址 Char"/>
    <w:basedOn w:val="70"/>
    <w:link w:val="30"/>
    <w:autoRedefine/>
    <w:qFormat/>
    <w:uiPriority w:val="0"/>
    <w:rPr>
      <w:rFonts w:ascii="宋体" w:hAnsi="宋体"/>
      <w:i/>
      <w:iCs/>
      <w:sz w:val="24"/>
      <w:szCs w:val="24"/>
    </w:rPr>
  </w:style>
  <w:style w:type="character" w:customStyle="1" w:styleId="320">
    <w:name w:val="尾注文本 Char"/>
    <w:basedOn w:val="70"/>
    <w:link w:val="38"/>
    <w:autoRedefine/>
    <w:qFormat/>
    <w:uiPriority w:val="0"/>
    <w:rPr>
      <w:kern w:val="2"/>
      <w:sz w:val="21"/>
      <w:szCs w:val="24"/>
      <w:lang w:val="zh-CN"/>
    </w:rPr>
  </w:style>
  <w:style w:type="character" w:customStyle="1" w:styleId="321">
    <w:name w:val="签名 Char"/>
    <w:basedOn w:val="70"/>
    <w:link w:val="42"/>
    <w:autoRedefine/>
    <w:qFormat/>
    <w:uiPriority w:val="0"/>
    <w:rPr>
      <w:rFonts w:eastAsia="仿宋_GB2312"/>
      <w:sz w:val="24"/>
    </w:rPr>
  </w:style>
  <w:style w:type="character" w:customStyle="1" w:styleId="322">
    <w:name w:val="副标题 Char"/>
    <w:basedOn w:val="70"/>
    <w:link w:val="47"/>
    <w:autoRedefine/>
    <w:qFormat/>
    <w:uiPriority w:val="0"/>
    <w:rPr>
      <w:rFonts w:ascii="Arial" w:hAnsi="Arial" w:eastAsia="隶书"/>
      <w:b/>
      <w:bCs/>
      <w:kern w:val="28"/>
      <w:sz w:val="44"/>
      <w:szCs w:val="32"/>
    </w:rPr>
  </w:style>
  <w:style w:type="character" w:customStyle="1" w:styleId="323">
    <w:name w:val="脚注文本 Char"/>
    <w:basedOn w:val="70"/>
    <w:link w:val="50"/>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autoRedefine/>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0"/>
    <w:autoRedefine/>
    <w:qFormat/>
    <w:uiPriority w:val="0"/>
    <w:rPr>
      <w:rFonts w:ascii="Arial" w:hAnsi="Arial" w:eastAsia="黑体" w:cs="Arial"/>
      <w:snapToGrid w:val="0"/>
      <w:kern w:val="0"/>
      <w:szCs w:val="21"/>
    </w:rPr>
  </w:style>
  <w:style w:type="character" w:customStyle="1" w:styleId="361">
    <w:name w:val="标书1 Char"/>
    <w:autoRedefine/>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autoRedefine/>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autoRedefine/>
    <w:qFormat/>
    <w:uiPriority w:val="0"/>
  </w:style>
  <w:style w:type="character" w:customStyle="1" w:styleId="382">
    <w:name w:val="正文 项目 Char"/>
    <w:autoRedefine/>
    <w:qFormat/>
    <w:uiPriority w:val="0"/>
    <w:rPr>
      <w:rFonts w:ascii="仿宋_GB2312" w:hAnsi="仿宋_GB2312" w:eastAsia="仿宋_GB2312"/>
      <w:kern w:val="2"/>
      <w:sz w:val="24"/>
      <w:lang w:bidi="ar-SA"/>
    </w:rPr>
  </w:style>
  <w:style w:type="character" w:customStyle="1" w:styleId="383">
    <w:name w:val="h Char Char1"/>
    <w:autoRedefine/>
    <w:qFormat/>
    <w:uiPriority w:val="0"/>
    <w:rPr>
      <w:rFonts w:eastAsia="宋体"/>
      <w:kern w:val="2"/>
      <w:sz w:val="18"/>
      <w:szCs w:val="18"/>
      <w:lang w:val="en-US" w:eastAsia="zh-CN" w:bidi="ar-SA"/>
    </w:rPr>
  </w:style>
  <w:style w:type="character" w:customStyle="1" w:styleId="384">
    <w:name w:val="px14"/>
    <w:autoRedefine/>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4"/>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6"/>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0"/>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7"/>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autoRedefine/>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autoRedefine/>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autoRedefine/>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0"/>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autoRedefine/>
    <w:qFormat/>
    <w:uiPriority w:val="0"/>
    <w:rPr>
      <w:rFonts w:ascii="仿宋_GB2312" w:eastAsia="仿宋_GB2312"/>
      <w:b/>
      <w:color w:val="000000"/>
      <w:kern w:val="2"/>
      <w:sz w:val="24"/>
      <w:lang w:val="en-US" w:eastAsia="zh-CN" w:bidi="ar-SA"/>
    </w:rPr>
  </w:style>
  <w:style w:type="character" w:customStyle="1" w:styleId="467">
    <w:name w:val="Char Char30"/>
    <w:autoRedefine/>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autoRedefine/>
    <w:qFormat/>
    <w:uiPriority w:val="0"/>
    <w:rPr>
      <w:rFonts w:hint="default" w:ascii="Tahoma" w:hAnsi="Tahoma" w:cs="Tahoma"/>
      <w:sz w:val="18"/>
      <w:szCs w:val="18"/>
    </w:rPr>
  </w:style>
  <w:style w:type="character" w:customStyle="1" w:styleId="474">
    <w:name w:val="Char Char23"/>
    <w:autoRedefine/>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autoRedefine/>
    <w:qFormat/>
    <w:uiPriority w:val="99"/>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autoRedefine/>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autoRedefine/>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autoRedefine/>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autoRedefine/>
    <w:qFormat/>
    <w:uiPriority w:val="0"/>
    <w:rPr>
      <w:rFonts w:ascii="Calibri" w:hAnsi="Calibri" w:eastAsia="黑体" w:cs="Arial"/>
      <w:snapToGrid w:val="0"/>
      <w:kern w:val="2"/>
      <w:sz w:val="28"/>
      <w:szCs w:val="21"/>
    </w:rPr>
  </w:style>
  <w:style w:type="character" w:customStyle="1" w:styleId="491">
    <w:name w:val="带编号样式 Char"/>
    <w:autoRedefine/>
    <w:qFormat/>
    <w:uiPriority w:val="0"/>
    <w:rPr>
      <w:rFonts w:ascii="仿宋_GB2312" w:eastAsia="仿宋_GB2312"/>
      <w:color w:val="000000"/>
      <w:sz w:val="24"/>
      <w:lang w:bidi="ar-SA"/>
    </w:rPr>
  </w:style>
  <w:style w:type="character" w:customStyle="1" w:styleId="492">
    <w:name w:val="unnamed31"/>
    <w:autoRedefine/>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autoRedefine/>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autoRedefine/>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7"/>
    <w:link w:val="578"/>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autoRedefine/>
    <w:qFormat/>
    <w:uiPriority w:val="0"/>
    <w:rPr>
      <w:rFonts w:ascii="宋体" w:eastAsia="宋体"/>
      <w:snapToGrid w:val="0"/>
      <w:color w:val="000000"/>
      <w:kern w:val="28"/>
      <w:sz w:val="28"/>
      <w:lang w:val="en-US" w:eastAsia="zh-CN" w:bidi="ar-SA"/>
    </w:rPr>
  </w:style>
  <w:style w:type="character" w:customStyle="1" w:styleId="500">
    <w:name w:val="Char Char5"/>
    <w:autoRedefine/>
    <w:qFormat/>
    <w:uiPriority w:val="0"/>
    <w:rPr>
      <w:rFonts w:ascii="宋体" w:hAnsi="Courier New" w:eastAsia="宋体"/>
      <w:kern w:val="2"/>
      <w:sz w:val="21"/>
      <w:lang w:val="en-US" w:eastAsia="zh-CN"/>
    </w:rPr>
  </w:style>
  <w:style w:type="character" w:customStyle="1" w:styleId="501">
    <w:name w:val="称呼 Char1"/>
    <w:autoRedefine/>
    <w:qFormat/>
    <w:uiPriority w:val="0"/>
    <w:rPr>
      <w:rFonts w:ascii="Times New Roman" w:hAnsi="Times New Roman" w:eastAsia="宋体" w:cs="Times New Roman"/>
      <w:szCs w:val="24"/>
    </w:rPr>
  </w:style>
  <w:style w:type="character" w:customStyle="1" w:styleId="502">
    <w:name w:val="正文1 Char"/>
    <w:autoRedefine/>
    <w:qFormat/>
    <w:uiPriority w:val="0"/>
    <w:rPr>
      <w:rFonts w:ascii="宋体" w:eastAsia="宋体"/>
      <w:snapToGrid w:val="0"/>
      <w:color w:val="000000"/>
      <w:kern w:val="28"/>
      <w:sz w:val="28"/>
      <w:lang w:val="en-US" w:eastAsia="zh-CN" w:bidi="ar-SA"/>
    </w:rPr>
  </w:style>
  <w:style w:type="character" w:customStyle="1" w:styleId="503">
    <w:name w:val="正文缩进 Char1"/>
    <w:autoRedefine/>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autoRedefine/>
    <w:qFormat/>
    <w:uiPriority w:val="0"/>
    <w:rPr>
      <w:rFonts w:ascii="Arial"/>
      <w:bCs/>
      <w:sz w:val="21"/>
      <w:szCs w:val="21"/>
    </w:rPr>
  </w:style>
  <w:style w:type="paragraph" w:customStyle="1" w:styleId="506">
    <w:name w:val="Item List"/>
    <w:link w:val="50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autoRedefine/>
    <w:qFormat/>
    <w:uiPriority w:val="0"/>
    <w:rPr>
      <w:rFonts w:eastAsia="宋体"/>
      <w:b/>
      <w:kern w:val="2"/>
      <w:sz w:val="32"/>
      <w:lang w:val="en-US" w:eastAsia="zh-CN" w:bidi="ar-SA"/>
    </w:rPr>
  </w:style>
  <w:style w:type="character" w:customStyle="1" w:styleId="509">
    <w:name w:val="dandyren_title1"/>
    <w:autoRedefine/>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autoRedefine/>
    <w:qFormat/>
    <w:uiPriority w:val="0"/>
    <w:rPr>
      <w:sz w:val="18"/>
      <w:szCs w:val="18"/>
    </w:rPr>
  </w:style>
  <w:style w:type="character" w:customStyle="1" w:styleId="512">
    <w:name w:val="solutionfonts"/>
    <w:autoRedefine/>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basedOn w:val="70"/>
    <w:autoRedefine/>
    <w:qFormat/>
    <w:uiPriority w:val="0"/>
    <w:rPr>
      <w:rFonts w:hint="eastAsia" w:ascii="仿宋" w:hAnsi="仿宋" w:eastAsia="仿宋" w:cs="仿宋"/>
      <w:color w:val="000000"/>
      <w:sz w:val="20"/>
      <w:szCs w:val="20"/>
      <w:u w:val="none"/>
    </w:rPr>
  </w:style>
  <w:style w:type="character" w:customStyle="1" w:styleId="517">
    <w:name w:val="正文说明 Char"/>
    <w:link w:val="518"/>
    <w:autoRedefine/>
    <w:qFormat/>
    <w:uiPriority w:val="0"/>
    <w:rPr>
      <w:sz w:val="24"/>
      <w:szCs w:val="24"/>
    </w:rPr>
  </w:style>
  <w:style w:type="paragraph" w:customStyle="1" w:styleId="518">
    <w:name w:val="正文说明"/>
    <w:basedOn w:val="1"/>
    <w:link w:val="517"/>
    <w:autoRedefine/>
    <w:qFormat/>
    <w:uiPriority w:val="0"/>
    <w:pPr>
      <w:spacing w:line="360" w:lineRule="auto"/>
    </w:pPr>
    <w:rPr>
      <w:kern w:val="0"/>
      <w:sz w:val="24"/>
    </w:rPr>
  </w:style>
  <w:style w:type="character" w:customStyle="1" w:styleId="519">
    <w:name w:val="脚注文本 Char1"/>
    <w:autoRedefine/>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autoRedefine/>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0">
    <w:name w:val="Char Char37"/>
    <w:autoRedefine/>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autoRedefine/>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autoRedefine/>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autoRedefine/>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autoRedefine/>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autoRedefine/>
    <w:qFormat/>
    <w:uiPriority w:val="99"/>
    <w:rPr>
      <w:kern w:val="2"/>
      <w:sz w:val="18"/>
      <w:szCs w:val="18"/>
    </w:rPr>
  </w:style>
  <w:style w:type="character" w:customStyle="1" w:styleId="548">
    <w:name w:val="Char Char33"/>
    <w:autoRedefine/>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autoRedefine/>
    <w:qFormat/>
    <w:uiPriority w:val="0"/>
    <w:rPr>
      <w:rFonts w:eastAsia="宋体"/>
      <w:kern w:val="2"/>
      <w:sz w:val="18"/>
      <w:lang w:val="en-US" w:eastAsia="zh-CN" w:bidi="ar-SA"/>
    </w:rPr>
  </w:style>
  <w:style w:type="character" w:customStyle="1" w:styleId="55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4">
    <w:name w:val="Char Char61"/>
    <w:autoRedefine/>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autoRedefine/>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autoRedefine/>
    <w:qFormat/>
    <w:uiPriority w:val="0"/>
    <w:rPr>
      <w:rFonts w:eastAsia="宋体"/>
      <w:b/>
      <w:sz w:val="24"/>
      <w:lang w:val="en-GB" w:eastAsia="zh-CN" w:bidi="ar-SA"/>
    </w:rPr>
  </w:style>
  <w:style w:type="character" w:customStyle="1" w:styleId="562">
    <w:name w:val="large1"/>
    <w:autoRedefine/>
    <w:qFormat/>
    <w:uiPriority w:val="0"/>
    <w:rPr>
      <w:rFonts w:hint="eastAsia" w:ascii="宋体" w:hAnsi="宋体" w:eastAsia="宋体"/>
      <w:sz w:val="21"/>
      <w:szCs w:val="21"/>
    </w:rPr>
  </w:style>
  <w:style w:type="character" w:customStyle="1" w:styleId="563">
    <w:name w:val="Char Char13"/>
    <w:autoRedefine/>
    <w:qFormat/>
    <w:uiPriority w:val="6"/>
    <w:rPr>
      <w:rFonts w:ascii="宋体" w:hAnsi="宋体"/>
      <w:kern w:val="1"/>
      <w:sz w:val="21"/>
      <w:szCs w:val="24"/>
    </w:rPr>
  </w:style>
  <w:style w:type="character" w:customStyle="1" w:styleId="56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autoRedefine/>
    <w:qFormat/>
    <w:uiPriority w:val="0"/>
    <w:rPr>
      <w:rFonts w:ascii="宋体" w:hAnsi="宋体"/>
      <w:kern w:val="2"/>
      <w:sz w:val="24"/>
      <w:szCs w:val="22"/>
    </w:rPr>
  </w:style>
  <w:style w:type="paragraph" w:customStyle="1" w:styleId="566">
    <w:name w:val="冯广丽"/>
    <w:basedOn w:val="1"/>
    <w:link w:val="565"/>
    <w:autoRedefine/>
    <w:qFormat/>
    <w:uiPriority w:val="0"/>
    <w:pPr>
      <w:spacing w:line="360" w:lineRule="auto"/>
      <w:ind w:firstLine="480" w:firstLineChars="200"/>
    </w:pPr>
    <w:rPr>
      <w:rFonts w:ascii="宋体" w:hAnsi="宋体"/>
      <w:sz w:val="24"/>
      <w:szCs w:val="22"/>
    </w:rPr>
  </w:style>
  <w:style w:type="character" w:customStyle="1" w:styleId="567">
    <w:name w:val="批注文字 字符"/>
    <w:autoRedefine/>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autoRedefine/>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0"/>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0"/>
    <w:autoRedefine/>
    <w:qFormat/>
    <w:uiPriority w:val="0"/>
    <w:rPr>
      <w:rFonts w:ascii="Arial" w:hAnsi="Arial" w:eastAsia="黑体" w:cs="Arial"/>
      <w:snapToGrid w:val="0"/>
      <w:kern w:val="0"/>
      <w:szCs w:val="21"/>
    </w:rPr>
  </w:style>
  <w:style w:type="character" w:customStyle="1" w:styleId="594">
    <w:name w:val="hui"/>
    <w:basedOn w:val="70"/>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7"/>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4"/>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9"/>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6"/>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8"/>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autoRedefine/>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6"/>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0">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autoRedefine/>
    <w:qFormat/>
    <w:uiPriority w:val="0"/>
    <w:pPr>
      <w:ind w:firstLine="420" w:firstLineChars="200"/>
    </w:pPr>
    <w:rPr>
      <w:rFonts w:eastAsia="仿宋_GB2312"/>
      <w:sz w:val="28"/>
    </w:rPr>
  </w:style>
  <w:style w:type="paragraph" w:customStyle="1" w:styleId="672">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5"/>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autoRedefine/>
    <w:qFormat/>
    <w:uiPriority w:val="0"/>
    <w:pPr>
      <w:ind w:firstLine="200" w:firstLineChars="200"/>
      <w:jc w:val="right"/>
    </w:pPr>
  </w:style>
  <w:style w:type="paragraph" w:customStyle="1" w:styleId="675">
    <w:name w:val="Char Char11 Char Char Char Char Char Char Char Char Char"/>
    <w:basedOn w:val="1"/>
    <w:autoRedefine/>
    <w:qFormat/>
    <w:uiPriority w:val="0"/>
    <w:pPr>
      <w:adjustRightInd w:val="0"/>
      <w:spacing w:line="360" w:lineRule="auto"/>
    </w:pPr>
    <w:rPr>
      <w:szCs w:val="20"/>
    </w:rPr>
  </w:style>
  <w:style w:type="paragraph" w:customStyle="1" w:styleId="676">
    <w:name w:val="正文1.25"/>
    <w:basedOn w:val="1"/>
    <w:autoRedefine/>
    <w:qFormat/>
    <w:uiPriority w:val="0"/>
    <w:pPr>
      <w:spacing w:line="300" w:lineRule="auto"/>
      <w:ind w:firstLine="480" w:firstLineChars="200"/>
    </w:pPr>
    <w:rPr>
      <w:sz w:val="24"/>
      <w:szCs w:val="20"/>
    </w:rPr>
  </w:style>
  <w:style w:type="paragraph" w:customStyle="1" w:styleId="677">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autoRedefine/>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autoRedefine/>
    <w:qFormat/>
    <w:uiPriority w:val="0"/>
    <w:pPr>
      <w:adjustRightInd w:val="0"/>
    </w:pPr>
    <w:rPr>
      <w:rFonts w:eastAsia="仿宋_GB2312"/>
      <w:sz w:val="28"/>
      <w:szCs w:val="20"/>
    </w:rPr>
  </w:style>
  <w:style w:type="paragraph" w:customStyle="1" w:styleId="681">
    <w:name w:val="样式 标题 4PIM 4H4h4bulletblbbH41H42H43H44H45H46H47H48...1"/>
    <w:basedOn w:val="7"/>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autoRedefine/>
    <w:qFormat/>
    <w:uiPriority w:val="0"/>
    <w:pPr>
      <w:ind w:firstLine="420" w:firstLineChars="200"/>
    </w:pPr>
    <w:rPr>
      <w:rFonts w:ascii="Calibri" w:hAnsi="Calibri"/>
      <w:szCs w:val="22"/>
    </w:rPr>
  </w:style>
  <w:style w:type="paragraph" w:customStyle="1" w:styleId="683">
    <w:name w:val="加粗正文"/>
    <w:basedOn w:val="1"/>
    <w:autoRedefine/>
    <w:qFormat/>
    <w:uiPriority w:val="0"/>
    <w:pPr>
      <w:spacing w:beforeLines="50" w:afterLines="50" w:line="360" w:lineRule="auto"/>
      <w:ind w:firstLine="422" w:firstLineChars="200"/>
    </w:pPr>
    <w:rPr>
      <w:b/>
      <w:bCs/>
      <w:szCs w:val="21"/>
    </w:rPr>
  </w:style>
  <w:style w:type="paragraph" w:customStyle="1" w:styleId="684">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5">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89">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1"/>
    <w:next w:val="141"/>
    <w:autoRedefine/>
    <w:qFormat/>
    <w:uiPriority w:val="0"/>
    <w:pPr>
      <w:spacing w:after="68"/>
    </w:pPr>
    <w:rPr>
      <w:rFonts w:ascii="FHLHE E+ Futura Bk" w:eastAsia="FHLHE E+ Futura Bk"/>
      <w:color w:val="auto"/>
    </w:rPr>
  </w:style>
  <w:style w:type="paragraph" w:customStyle="1" w:styleId="691">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1"/>
    <w:next w:val="141"/>
    <w:autoRedefine/>
    <w:qFormat/>
    <w:uiPriority w:val="0"/>
    <w:rPr>
      <w:rFonts w:ascii="宋体"/>
      <w:color w:val="auto"/>
    </w:rPr>
  </w:style>
  <w:style w:type="paragraph" w:customStyle="1" w:styleId="693">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autoRedefine/>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6">
    <w:name w:val="Char Char111"/>
    <w:basedOn w:val="1"/>
    <w:autoRedefine/>
    <w:qFormat/>
    <w:uiPriority w:val="0"/>
    <w:pPr>
      <w:adjustRightInd w:val="0"/>
      <w:spacing w:line="360" w:lineRule="auto"/>
    </w:pPr>
    <w:rPr>
      <w:szCs w:val="20"/>
    </w:rPr>
  </w:style>
  <w:style w:type="paragraph" w:customStyle="1" w:styleId="697">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autoRedefine/>
    <w:qFormat/>
    <w:uiPriority w:val="0"/>
    <w:pPr>
      <w:spacing w:line="360" w:lineRule="auto"/>
      <w:ind w:firstLine="200" w:firstLineChars="200"/>
    </w:pPr>
    <w:rPr>
      <w:rFonts w:ascii="宋体" w:hAnsi="Calibri"/>
      <w:sz w:val="24"/>
    </w:rPr>
  </w:style>
  <w:style w:type="paragraph" w:customStyle="1" w:styleId="699">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2">
    <w:name w:val="_正文段落"/>
    <w:basedOn w:val="1"/>
    <w:autoRedefine/>
    <w:qFormat/>
    <w:uiPriority w:val="0"/>
    <w:pPr>
      <w:ind w:firstLine="560"/>
    </w:pPr>
    <w:rPr>
      <w:rFonts w:ascii="仿宋_GB2312" w:hAnsi="仿宋" w:eastAsia="仿宋_GB2312"/>
      <w:kern w:val="0"/>
      <w:sz w:val="28"/>
      <w:szCs w:val="28"/>
    </w:rPr>
  </w:style>
  <w:style w:type="paragraph" w:customStyle="1" w:styleId="713">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autoRedefine/>
    <w:qFormat/>
    <w:uiPriority w:val="0"/>
    <w:pPr>
      <w:adjustRightInd w:val="0"/>
    </w:pPr>
    <w:rPr>
      <w:szCs w:val="20"/>
    </w:rPr>
  </w:style>
  <w:style w:type="paragraph" w:customStyle="1" w:styleId="719">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autoRedefine/>
    <w:qFormat/>
    <w:uiPriority w:val="0"/>
    <w:pPr>
      <w:adjustRightInd w:val="0"/>
    </w:pPr>
    <w:rPr>
      <w:rFonts w:ascii="Tahoma" w:hAnsi="Tahoma"/>
      <w:sz w:val="24"/>
      <w:szCs w:val="20"/>
    </w:rPr>
  </w:style>
  <w:style w:type="paragraph" w:customStyle="1" w:styleId="721">
    <w:name w:val="标题五"/>
    <w:basedOn w:val="1"/>
    <w:autoRedefine/>
    <w:qFormat/>
    <w:uiPriority w:val="0"/>
    <w:pPr>
      <w:spacing w:beforeLines="50" w:line="360" w:lineRule="auto"/>
    </w:pPr>
    <w:rPr>
      <w:b/>
      <w:sz w:val="24"/>
    </w:rPr>
  </w:style>
  <w:style w:type="paragraph" w:customStyle="1" w:styleId="722">
    <w:name w:val="Char Char1101"/>
    <w:basedOn w:val="1"/>
    <w:autoRedefine/>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autoRedefine/>
    <w:qFormat/>
    <w:uiPriority w:val="0"/>
    <w:pPr>
      <w:tabs>
        <w:tab w:val="left" w:pos="360"/>
      </w:tabs>
      <w:adjustRightInd w:val="0"/>
    </w:pPr>
    <w:rPr>
      <w:sz w:val="24"/>
      <w:szCs w:val="20"/>
    </w:rPr>
  </w:style>
  <w:style w:type="paragraph" w:customStyle="1" w:styleId="724">
    <w:name w:val="Char Char Char Char Char Char Char"/>
    <w:basedOn w:val="1"/>
    <w:autoRedefine/>
    <w:qFormat/>
    <w:uiPriority w:val="0"/>
    <w:pPr>
      <w:adjustRightInd w:val="0"/>
    </w:pPr>
    <w:rPr>
      <w:rFonts w:ascii="仿宋_GB2312" w:eastAsia="仿宋_GB2312"/>
      <w:b/>
      <w:sz w:val="32"/>
      <w:szCs w:val="32"/>
    </w:rPr>
  </w:style>
  <w:style w:type="paragraph" w:customStyle="1" w:styleId="725">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autoRedefine/>
    <w:qFormat/>
    <w:uiPriority w:val="0"/>
    <w:rPr>
      <w:sz w:val="18"/>
      <w:szCs w:val="20"/>
    </w:rPr>
  </w:style>
  <w:style w:type="paragraph" w:customStyle="1" w:styleId="730">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2">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
    <w:autoRedefine/>
    <w:qFormat/>
    <w:uiPriority w:val="0"/>
    <w:pPr>
      <w:tabs>
        <w:tab w:val="left" w:pos="840"/>
      </w:tabs>
      <w:ind w:left="0" w:leftChars="0" w:hanging="420"/>
    </w:pPr>
    <w:rPr>
      <w:rFonts w:ascii="Tahoma" w:hAnsi="Tahoma"/>
      <w:sz w:val="22"/>
      <w:szCs w:val="20"/>
    </w:rPr>
  </w:style>
  <w:style w:type="paragraph" w:customStyle="1" w:styleId="735">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autoRedefine/>
    <w:qFormat/>
    <w:uiPriority w:val="0"/>
    <w:pPr>
      <w:adjustRightInd w:val="0"/>
      <w:snapToGrid w:val="0"/>
      <w:spacing w:line="360" w:lineRule="auto"/>
    </w:pPr>
    <w:rPr>
      <w:rFonts w:ascii="宋体"/>
      <w:b/>
      <w:sz w:val="24"/>
      <w:szCs w:val="20"/>
    </w:rPr>
  </w:style>
  <w:style w:type="paragraph" w:customStyle="1" w:styleId="737">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8">
    <w:name w:val="小节"/>
    <w:basedOn w:val="6"/>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autoRedefine/>
    <w:qFormat/>
    <w:uiPriority w:val="7"/>
    <w:rPr>
      <w:rFonts w:ascii="宋体" w:hAnsi="Courier New"/>
    </w:rPr>
  </w:style>
  <w:style w:type="paragraph" w:customStyle="1" w:styleId="740">
    <w:name w:val="Char3"/>
    <w:basedOn w:val="1"/>
    <w:autoRedefine/>
    <w:qFormat/>
    <w:uiPriority w:val="0"/>
    <w:rPr>
      <w:rFonts w:ascii="仿宋_GB2312" w:eastAsia="仿宋_GB2312"/>
      <w:b/>
      <w:sz w:val="32"/>
      <w:szCs w:val="32"/>
    </w:rPr>
  </w:style>
  <w:style w:type="paragraph" w:customStyle="1" w:styleId="741">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6"/>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autoRedefine/>
    <w:qFormat/>
    <w:uiPriority w:val="0"/>
    <w:pPr>
      <w:widowControl/>
      <w:spacing w:after="160" w:line="240" w:lineRule="exact"/>
      <w:jc w:val="left"/>
    </w:pPr>
    <w:rPr>
      <w:szCs w:val="20"/>
    </w:rPr>
  </w:style>
  <w:style w:type="paragraph" w:customStyle="1" w:styleId="749">
    <w:name w:val="表格标题2"/>
    <w:basedOn w:val="750"/>
    <w:autoRedefine/>
    <w:qFormat/>
    <w:uiPriority w:val="0"/>
    <w:rPr>
      <w:b/>
    </w:rPr>
  </w:style>
  <w:style w:type="paragraph" w:customStyle="1" w:styleId="750">
    <w:name w:val="表格内文"/>
    <w:basedOn w:val="1"/>
    <w:autoRedefine/>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autoRedefine/>
    <w:qFormat/>
    <w:uiPriority w:val="0"/>
    <w:pPr>
      <w:adjustRightInd w:val="0"/>
      <w:spacing w:line="360" w:lineRule="auto"/>
    </w:pPr>
    <w:rPr>
      <w:szCs w:val="20"/>
    </w:rPr>
  </w:style>
  <w:style w:type="paragraph" w:customStyle="1" w:styleId="755">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7">
    <w:name w:val="MM Topic 1"/>
    <w:basedOn w:val="3"/>
    <w:autoRedefine/>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autoRedefine/>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0">
    <w:name w:val="标书标题4"/>
    <w:basedOn w:val="7"/>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autoRedefine/>
    <w:qFormat/>
    <w:uiPriority w:val="0"/>
    <w:pPr>
      <w:spacing w:line="300" w:lineRule="auto"/>
      <w:jc w:val="center"/>
    </w:pPr>
  </w:style>
  <w:style w:type="paragraph" w:customStyle="1" w:styleId="764">
    <w:name w:val="_Style 6"/>
    <w:basedOn w:val="1"/>
    <w:autoRedefine/>
    <w:qFormat/>
    <w:uiPriority w:val="34"/>
    <w:pPr>
      <w:ind w:firstLine="420" w:firstLineChars="200"/>
    </w:pPr>
    <w:rPr>
      <w:rFonts w:eastAsia="仿宋_GB2312"/>
      <w:sz w:val="28"/>
    </w:rPr>
  </w:style>
  <w:style w:type="paragraph" w:customStyle="1" w:styleId="765">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autoRedefine/>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4">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5">
    <w:name w:val="Char1 Char Char Char1"/>
    <w:basedOn w:val="1"/>
    <w:autoRedefine/>
    <w:qFormat/>
    <w:uiPriority w:val="0"/>
    <w:pPr>
      <w:ind w:firstLine="200" w:firstLineChars="200"/>
    </w:pPr>
    <w:rPr>
      <w:rFonts w:ascii="Tahoma" w:hAnsi="Tahoma"/>
      <w:sz w:val="24"/>
      <w:szCs w:val="20"/>
    </w:rPr>
  </w:style>
  <w:style w:type="paragraph" w:customStyle="1" w:styleId="776">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autoRedefine/>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79">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autoRedefine/>
    <w:qFormat/>
    <w:uiPriority w:val="0"/>
    <w:rPr>
      <w:rFonts w:ascii="Tahoma" w:hAnsi="Tahoma"/>
      <w:sz w:val="24"/>
      <w:szCs w:val="20"/>
    </w:rPr>
  </w:style>
  <w:style w:type="paragraph" w:customStyle="1" w:styleId="782">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autoRedefine/>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autoRedefine/>
    <w:qFormat/>
    <w:uiPriority w:val="0"/>
    <w:pPr>
      <w:tabs>
        <w:tab w:val="left" w:pos="1260"/>
        <w:tab w:val="left" w:pos="1680"/>
        <w:tab w:val="left" w:pos="2100"/>
      </w:tabs>
      <w:ind w:left="0"/>
      <w:outlineLvl w:val="3"/>
    </w:pPr>
  </w:style>
  <w:style w:type="paragraph" w:customStyle="1" w:styleId="785">
    <w:name w:val="一级条标题"/>
    <w:basedOn w:val="786"/>
    <w:next w:val="162"/>
    <w:autoRedefine/>
    <w:qFormat/>
    <w:uiPriority w:val="0"/>
    <w:pPr>
      <w:tabs>
        <w:tab w:val="left" w:pos="1260"/>
        <w:tab w:val="left" w:pos="1680"/>
      </w:tabs>
      <w:ind w:left="1680"/>
      <w:outlineLvl w:val="2"/>
    </w:pPr>
  </w:style>
  <w:style w:type="paragraph" w:customStyle="1" w:styleId="786">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autoRedefine/>
    <w:qFormat/>
    <w:uiPriority w:val="0"/>
    <w:pPr>
      <w:tabs>
        <w:tab w:val="left" w:pos="840"/>
      </w:tabs>
      <w:spacing w:after="0"/>
      <w:ind w:left="900"/>
    </w:pPr>
  </w:style>
  <w:style w:type="paragraph" w:customStyle="1" w:styleId="793">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autoRedefine/>
    <w:qFormat/>
    <w:uiPriority w:val="6"/>
    <w:pPr>
      <w:widowControl/>
      <w:ind w:left="720" w:hanging="720"/>
    </w:pPr>
    <w:rPr>
      <w:color w:val="000000"/>
      <w:kern w:val="0"/>
      <w:sz w:val="24"/>
      <w:szCs w:val="20"/>
      <w:lang w:val="en-GB"/>
    </w:rPr>
  </w:style>
  <w:style w:type="paragraph" w:customStyle="1" w:styleId="795">
    <w:name w:val="表1"/>
    <w:basedOn w:val="1"/>
    <w:autoRedefine/>
    <w:qFormat/>
    <w:uiPriority w:val="0"/>
    <w:pPr>
      <w:tabs>
        <w:tab w:val="left" w:pos="703"/>
      </w:tabs>
      <w:spacing w:line="360" w:lineRule="auto"/>
      <w:ind w:left="703"/>
      <w:jc w:val="center"/>
    </w:pPr>
  </w:style>
  <w:style w:type="paragraph" w:customStyle="1" w:styleId="79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autoRedefine/>
    <w:qFormat/>
    <w:uiPriority w:val="0"/>
    <w:pPr>
      <w:jc w:val="left"/>
      <w:outlineLvl w:val="1"/>
    </w:pPr>
    <w:rPr>
      <w:rFonts w:ascii="Times New Roman" w:hAnsi="Times New Roman" w:eastAsia="仿宋"/>
      <w:sz w:val="30"/>
    </w:rPr>
  </w:style>
  <w:style w:type="paragraph" w:customStyle="1" w:styleId="800">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autoRedefine/>
    <w:qFormat/>
    <w:uiPriority w:val="0"/>
    <w:pPr>
      <w:tabs>
        <w:tab w:val="left" w:pos="840"/>
      </w:tabs>
      <w:ind w:left="840" w:hanging="420"/>
    </w:pPr>
  </w:style>
  <w:style w:type="paragraph" w:customStyle="1" w:styleId="806">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7"/>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autoRedefine/>
    <w:qFormat/>
    <w:uiPriority w:val="6"/>
    <w:pPr>
      <w:adjustRightInd w:val="0"/>
      <w:spacing w:line="360" w:lineRule="auto"/>
    </w:pPr>
    <w:rPr>
      <w:szCs w:val="20"/>
    </w:rPr>
  </w:style>
  <w:style w:type="paragraph" w:customStyle="1" w:styleId="814">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5">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4"/>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autoRedefine/>
    <w:qFormat/>
    <w:uiPriority w:val="0"/>
    <w:pPr>
      <w:spacing w:line="360" w:lineRule="auto"/>
      <w:jc w:val="center"/>
    </w:pPr>
    <w:rPr>
      <w:sz w:val="24"/>
    </w:rPr>
  </w:style>
  <w:style w:type="paragraph" w:customStyle="1" w:styleId="822">
    <w:name w:val="Char Char Char Char Char Char Char1"/>
    <w:basedOn w:val="1"/>
    <w:autoRedefine/>
    <w:qFormat/>
    <w:uiPriority w:val="6"/>
    <w:pPr>
      <w:adjustRightInd w:val="0"/>
    </w:pPr>
    <w:rPr>
      <w:rFonts w:ascii="仿宋_GB2312" w:eastAsia="仿宋_GB2312"/>
      <w:b/>
      <w:sz w:val="32"/>
      <w:szCs w:val="32"/>
    </w:rPr>
  </w:style>
  <w:style w:type="paragraph" w:customStyle="1" w:styleId="82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autoRedefine/>
    <w:qFormat/>
    <w:uiPriority w:val="0"/>
    <w:pPr>
      <w:widowControl/>
      <w:spacing w:after="160" w:line="240" w:lineRule="exact"/>
      <w:jc w:val="left"/>
    </w:pPr>
    <w:rPr>
      <w:szCs w:val="20"/>
    </w:rPr>
  </w:style>
  <w:style w:type="paragraph" w:customStyle="1" w:styleId="825">
    <w:name w:val="Char Char1121"/>
    <w:basedOn w:val="1"/>
    <w:autoRedefine/>
    <w:qFormat/>
    <w:uiPriority w:val="0"/>
    <w:pPr>
      <w:adjustRightInd w:val="0"/>
      <w:spacing w:line="360" w:lineRule="auto"/>
    </w:pPr>
    <w:rPr>
      <w:szCs w:val="20"/>
    </w:rPr>
  </w:style>
  <w:style w:type="paragraph" w:customStyle="1" w:styleId="826">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autoRedefine/>
    <w:qFormat/>
    <w:uiPriority w:val="0"/>
    <w:rPr>
      <w:rFonts w:ascii="Times New Roman" w:hAnsi="Times New Roman" w:eastAsia="宋体" w:cs="Times New Roman"/>
      <w:lang w:val="en-US" w:eastAsia="en-US" w:bidi="ar-SA"/>
    </w:rPr>
  </w:style>
  <w:style w:type="paragraph" w:customStyle="1" w:styleId="829">
    <w:name w:val="带编号样式"/>
    <w:basedOn w:val="759"/>
    <w:autoRedefine/>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5">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autoRedefine/>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autoRedefine/>
    <w:qFormat/>
    <w:uiPriority w:val="0"/>
    <w:pPr>
      <w:adjustRightInd w:val="0"/>
      <w:spacing w:after="120" w:line="480" w:lineRule="auto"/>
      <w:ind w:left="420" w:leftChars="200"/>
    </w:pPr>
    <w:rPr>
      <w:sz w:val="24"/>
      <w:szCs w:val="20"/>
    </w:rPr>
  </w:style>
  <w:style w:type="paragraph" w:customStyle="1" w:styleId="840">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6"/>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autoRedefine/>
    <w:qFormat/>
    <w:uiPriority w:val="0"/>
    <w:pPr>
      <w:adjustRightInd w:val="0"/>
    </w:pPr>
    <w:rPr>
      <w:rFonts w:ascii="仿宋_GB2312" w:eastAsia="仿宋_GB2312"/>
      <w:b/>
      <w:sz w:val="32"/>
      <w:szCs w:val="20"/>
    </w:rPr>
  </w:style>
  <w:style w:type="paragraph" w:customStyle="1" w:styleId="848">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0">
    <w:name w:val="Picture"/>
    <w:basedOn w:val="1"/>
    <w:next w:val="17"/>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autoRedefine/>
    <w:qFormat/>
    <w:uiPriority w:val="0"/>
    <w:pPr>
      <w:adjustRightInd w:val="0"/>
    </w:pPr>
    <w:rPr>
      <w:rFonts w:ascii="仿宋_GB2312" w:eastAsia="仿宋_GB2312"/>
      <w:b/>
      <w:sz w:val="32"/>
      <w:szCs w:val="32"/>
    </w:rPr>
  </w:style>
  <w:style w:type="paragraph" w:customStyle="1" w:styleId="852">
    <w:name w:val="Char3 Char Char Char1"/>
    <w:basedOn w:val="1"/>
    <w:autoRedefine/>
    <w:qFormat/>
    <w:uiPriority w:val="6"/>
    <w:pPr>
      <w:widowControl/>
      <w:spacing w:after="160" w:line="240" w:lineRule="exact"/>
      <w:jc w:val="left"/>
    </w:pPr>
    <w:rPr>
      <w:szCs w:val="20"/>
    </w:rPr>
  </w:style>
  <w:style w:type="paragraph" w:customStyle="1" w:styleId="853">
    <w:name w:val="Char1 Char Char Char21"/>
    <w:basedOn w:val="1"/>
    <w:autoRedefine/>
    <w:qFormat/>
    <w:uiPriority w:val="0"/>
    <w:pPr>
      <w:adjustRightInd w:val="0"/>
    </w:pPr>
    <w:rPr>
      <w:rFonts w:ascii="Tahoma" w:hAnsi="Tahoma"/>
      <w:sz w:val="24"/>
      <w:szCs w:val="20"/>
    </w:rPr>
  </w:style>
  <w:style w:type="paragraph" w:customStyle="1" w:styleId="854">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5">
    <w:name w:val="正文（标题三）"/>
    <w:basedOn w:val="1"/>
    <w:autoRedefine/>
    <w:qFormat/>
    <w:uiPriority w:val="0"/>
    <w:pPr>
      <w:adjustRightInd w:val="0"/>
      <w:spacing w:line="360" w:lineRule="auto"/>
      <w:ind w:firstLine="200" w:firstLineChars="200"/>
    </w:pPr>
    <w:rPr>
      <w:sz w:val="24"/>
    </w:rPr>
  </w:style>
  <w:style w:type="paragraph" w:customStyle="1" w:styleId="856">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autoRedefine/>
    <w:qFormat/>
    <w:uiPriority w:val="0"/>
    <w:pPr>
      <w:ind w:firstLine="200" w:firstLineChars="200"/>
    </w:pPr>
    <w:rPr>
      <w:rFonts w:ascii="Tahoma" w:hAnsi="Tahoma"/>
      <w:sz w:val="24"/>
      <w:szCs w:val="20"/>
    </w:rPr>
  </w:style>
  <w:style w:type="paragraph" w:customStyle="1" w:styleId="861">
    <w:name w:val="_标题2"/>
    <w:basedOn w:val="833"/>
    <w:next w:val="83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autoRedefine/>
    <w:qFormat/>
    <w:uiPriority w:val="0"/>
    <w:pPr>
      <w:spacing w:line="360" w:lineRule="auto"/>
    </w:pPr>
    <w:rPr>
      <w:rFonts w:ascii="宋体" w:hAnsi="宋体"/>
      <w:szCs w:val="20"/>
    </w:rPr>
  </w:style>
  <w:style w:type="paragraph" w:customStyle="1" w:styleId="866">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autoRedefine/>
    <w:qFormat/>
    <w:uiPriority w:val="0"/>
    <w:rPr>
      <w:rFonts w:ascii="Tahoma" w:hAnsi="Tahoma"/>
      <w:sz w:val="24"/>
    </w:rPr>
  </w:style>
  <w:style w:type="paragraph" w:customStyle="1" w:styleId="868">
    <w:name w:val="Char Char Char Char11"/>
    <w:basedOn w:val="1"/>
    <w:autoRedefine/>
    <w:qFormat/>
    <w:uiPriority w:val="0"/>
    <w:pPr>
      <w:adjustRightInd w:val="0"/>
    </w:pPr>
    <w:rPr>
      <w:rFonts w:ascii="Tahoma" w:hAnsi="Tahoma"/>
      <w:sz w:val="24"/>
      <w:szCs w:val="20"/>
    </w:rPr>
  </w:style>
  <w:style w:type="paragraph" w:customStyle="1" w:styleId="869">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autoRedefine/>
    <w:qFormat/>
    <w:uiPriority w:val="0"/>
    <w:rPr>
      <w:szCs w:val="20"/>
    </w:rPr>
  </w:style>
  <w:style w:type="paragraph" w:customStyle="1" w:styleId="872">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autoRedefine/>
    <w:qFormat/>
    <w:uiPriority w:val="34"/>
    <w:pPr>
      <w:ind w:firstLine="420" w:firstLineChars="200"/>
    </w:pPr>
    <w:rPr>
      <w:rFonts w:eastAsia="仿宋_GB2312"/>
      <w:sz w:val="28"/>
    </w:rPr>
  </w:style>
  <w:style w:type="paragraph" w:customStyle="1" w:styleId="875">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autoRedefine/>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autoRedefine/>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4"/>
    <w:autoRedefine/>
    <w:qFormat/>
    <w:uiPriority w:val="0"/>
    <w:pPr>
      <w:adjustRightInd w:val="0"/>
      <w:snapToGrid w:val="0"/>
      <w:ind w:firstLine="480" w:firstLineChars="200"/>
    </w:pPr>
    <w:rPr>
      <w:rFonts w:hAnsi="Arial" w:eastAsia="宋体" w:cs="Arial"/>
      <w:snapToGrid w:val="0"/>
      <w:sz w:val="24"/>
    </w:rPr>
  </w:style>
  <w:style w:type="paragraph" w:customStyle="1" w:styleId="883">
    <w:name w:val="表文字"/>
    <w:autoRedefine/>
    <w:qFormat/>
    <w:uiPriority w:val="0"/>
    <w:rPr>
      <w:rFonts w:ascii="宋体" w:hAnsi="Times New Roman" w:eastAsia="宋体" w:cs="Times New Roman"/>
      <w:kern w:val="2"/>
      <w:lang w:val="en-US" w:eastAsia="zh-CN" w:bidi="ar-SA"/>
    </w:rPr>
  </w:style>
  <w:style w:type="paragraph" w:customStyle="1" w:styleId="884">
    <w:name w:val="MM Title"/>
    <w:basedOn w:val="60"/>
    <w:autoRedefine/>
    <w:qFormat/>
    <w:uiPriority w:val="0"/>
    <w:pPr>
      <w:adjustRightInd/>
    </w:pPr>
    <w:rPr>
      <w:rFonts w:ascii="Arial" w:hAnsi="Arial" w:cs="Arial"/>
    </w:rPr>
  </w:style>
  <w:style w:type="paragraph" w:customStyle="1" w:styleId="885">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autoRedefine/>
    <w:qFormat/>
    <w:uiPriority w:val="0"/>
    <w:pPr>
      <w:tabs>
        <w:tab w:val="left" w:pos="360"/>
      </w:tabs>
      <w:adjustRightInd w:val="0"/>
    </w:pPr>
    <w:rPr>
      <w:sz w:val="24"/>
      <w:szCs w:val="20"/>
    </w:rPr>
  </w:style>
  <w:style w:type="paragraph" w:customStyle="1" w:styleId="887">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3">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autoRedefine/>
    <w:qFormat/>
    <w:uiPriority w:val="0"/>
    <w:pPr>
      <w:adjustRightInd w:val="0"/>
    </w:pPr>
    <w:rPr>
      <w:rFonts w:ascii="仿宋_GB2312" w:eastAsia="仿宋_GB2312"/>
      <w:b/>
      <w:sz w:val="32"/>
      <w:szCs w:val="32"/>
    </w:rPr>
  </w:style>
  <w:style w:type="paragraph" w:customStyle="1" w:styleId="895">
    <w:name w:val="标题3"/>
    <w:basedOn w:val="6"/>
    <w:next w:val="53"/>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autoRedefine/>
    <w:qFormat/>
    <w:uiPriority w:val="0"/>
    <w:pPr>
      <w:ind w:firstLine="200" w:firstLineChars="200"/>
    </w:pPr>
    <w:rPr>
      <w:rFonts w:ascii="Tahoma" w:hAnsi="Tahoma"/>
      <w:sz w:val="24"/>
      <w:szCs w:val="20"/>
    </w:rPr>
  </w:style>
  <w:style w:type="paragraph" w:customStyle="1" w:styleId="899">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autoRedefine/>
    <w:qFormat/>
    <w:uiPriority w:val="0"/>
    <w:pPr>
      <w:adjustRightInd w:val="0"/>
    </w:pPr>
    <w:rPr>
      <w:rFonts w:ascii="仿宋_GB2312" w:eastAsia="仿宋_GB2312"/>
      <w:b/>
      <w:sz w:val="32"/>
      <w:szCs w:val="32"/>
    </w:rPr>
  </w:style>
  <w:style w:type="paragraph" w:customStyle="1" w:styleId="901">
    <w:name w:val="五级条标题"/>
    <w:basedOn w:val="902"/>
    <w:next w:val="162"/>
    <w:autoRedefine/>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autoRedefine/>
    <w:qFormat/>
    <w:uiPriority w:val="0"/>
    <w:pPr>
      <w:tabs>
        <w:tab w:val="clear" w:pos="2520"/>
      </w:tabs>
      <w:ind w:left="2940"/>
      <w:outlineLvl w:val="5"/>
    </w:pPr>
  </w:style>
  <w:style w:type="paragraph" w:customStyle="1" w:styleId="903">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autoRedefine/>
    <w:qFormat/>
    <w:uiPriority w:val="0"/>
    <w:pPr>
      <w:adjustRightInd w:val="0"/>
    </w:pPr>
    <w:rPr>
      <w:rFonts w:ascii="仿宋_GB2312" w:eastAsia="仿宋_GB2312"/>
      <w:b/>
      <w:sz w:val="32"/>
      <w:szCs w:val="32"/>
    </w:rPr>
  </w:style>
  <w:style w:type="paragraph" w:customStyle="1" w:styleId="905">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7">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09">
    <w:name w:val="单元格左对齐"/>
    <w:basedOn w:val="1"/>
    <w:autoRedefine/>
    <w:qFormat/>
    <w:uiPriority w:val="0"/>
    <w:pPr>
      <w:spacing w:line="360" w:lineRule="auto"/>
    </w:pPr>
    <w:rPr>
      <w:sz w:val="24"/>
    </w:rPr>
  </w:style>
  <w:style w:type="paragraph" w:customStyle="1" w:styleId="910">
    <w:name w:val="正文主体"/>
    <w:basedOn w:val="756"/>
    <w:autoRedefine/>
    <w:qFormat/>
    <w:uiPriority w:val="0"/>
  </w:style>
  <w:style w:type="paragraph" w:customStyle="1" w:styleId="911">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autoRedefine/>
    <w:qFormat/>
    <w:uiPriority w:val="0"/>
    <w:pPr>
      <w:spacing w:line="360" w:lineRule="auto"/>
      <w:ind w:firstLine="480" w:firstLineChars="200"/>
    </w:pPr>
    <w:rPr>
      <w:sz w:val="24"/>
      <w:szCs w:val="20"/>
    </w:rPr>
  </w:style>
  <w:style w:type="paragraph" w:customStyle="1" w:styleId="914">
    <w:name w:val="P1"/>
    <w:basedOn w:val="1"/>
    <w:autoRedefine/>
    <w:qFormat/>
    <w:uiPriority w:val="0"/>
    <w:pPr>
      <w:spacing w:line="288" w:lineRule="auto"/>
      <w:ind w:firstLine="425" w:firstLineChars="200"/>
    </w:pPr>
  </w:style>
  <w:style w:type="paragraph" w:customStyle="1" w:styleId="915">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autoRedefine/>
    <w:qFormat/>
    <w:uiPriority w:val="6"/>
    <w:pPr>
      <w:adjustRightInd w:val="0"/>
      <w:spacing w:line="360" w:lineRule="auto"/>
    </w:pPr>
    <w:rPr>
      <w:szCs w:val="20"/>
    </w:rPr>
  </w:style>
  <w:style w:type="paragraph" w:customStyle="1" w:styleId="917">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4"/>
    <w:autoRedefine/>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autoRedefine/>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autoRedefine/>
    <w:qFormat/>
    <w:uiPriority w:val="0"/>
    <w:pPr>
      <w:spacing w:line="360" w:lineRule="auto"/>
      <w:ind w:firstLine="480"/>
    </w:pPr>
    <w:rPr>
      <w:rFonts w:cs="宋体"/>
      <w:sz w:val="24"/>
      <w:szCs w:val="20"/>
    </w:rPr>
  </w:style>
  <w:style w:type="paragraph" w:customStyle="1" w:styleId="926">
    <w:name w:val="Char Char4 Char Char"/>
    <w:basedOn w:val="1"/>
    <w:autoRedefine/>
    <w:qFormat/>
    <w:uiPriority w:val="0"/>
    <w:pPr>
      <w:widowControl/>
      <w:spacing w:after="160" w:line="240" w:lineRule="exact"/>
      <w:jc w:val="left"/>
    </w:pPr>
  </w:style>
  <w:style w:type="paragraph" w:customStyle="1" w:styleId="927">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autoRedefine/>
    <w:qFormat/>
    <w:uiPriority w:val="0"/>
    <w:pPr>
      <w:adjustRightInd w:val="0"/>
      <w:spacing w:line="360" w:lineRule="auto"/>
    </w:pPr>
    <w:rPr>
      <w:szCs w:val="20"/>
    </w:rPr>
  </w:style>
  <w:style w:type="paragraph" w:customStyle="1" w:styleId="92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7"/>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autoRedefine/>
    <w:qFormat/>
    <w:uiPriority w:val="0"/>
    <w:pPr>
      <w:ind w:firstLine="200" w:firstLineChars="200"/>
    </w:pPr>
    <w:rPr>
      <w:rFonts w:ascii="Tahoma" w:hAnsi="Tahoma"/>
      <w:sz w:val="24"/>
      <w:szCs w:val="20"/>
    </w:rPr>
  </w:style>
  <w:style w:type="paragraph" w:customStyle="1" w:styleId="936">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autoRedefine/>
    <w:qFormat/>
    <w:uiPriority w:val="0"/>
    <w:pPr>
      <w:tabs>
        <w:tab w:val="left" w:pos="0"/>
      </w:tabs>
      <w:ind w:left="900" w:firstLine="0" w:firstLineChars="0"/>
    </w:pPr>
  </w:style>
  <w:style w:type="paragraph" w:customStyle="1" w:styleId="939">
    <w:name w:val="Bulleted List"/>
    <w:basedOn w:val="1"/>
    <w:autoRedefine/>
    <w:qFormat/>
    <w:uiPriority w:val="0"/>
    <w:pPr>
      <w:tabs>
        <w:tab w:val="left" w:pos="1260"/>
      </w:tabs>
      <w:ind w:left="1260" w:hanging="420"/>
    </w:pPr>
  </w:style>
  <w:style w:type="paragraph" w:customStyle="1" w:styleId="940">
    <w:name w:val="样式 正文文本缩进 2 + 仿宋_GB2312 黑色 行距: 1.5 倍行距"/>
    <w:basedOn w:val="37"/>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autoRedefine/>
    <w:qFormat/>
    <w:uiPriority w:val="2"/>
    <w:pPr>
      <w:spacing w:line="360" w:lineRule="auto"/>
    </w:pPr>
    <w:rPr>
      <w:rFonts w:cs="宋体"/>
      <w:sz w:val="24"/>
      <w:szCs w:val="20"/>
    </w:rPr>
  </w:style>
  <w:style w:type="paragraph" w:customStyle="1" w:styleId="942">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5">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7">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autoRedefine/>
    <w:qFormat/>
    <w:uiPriority w:val="0"/>
    <w:rPr>
      <w:rFonts w:ascii="仿宋_GB2312" w:eastAsia="仿宋_GB2312"/>
      <w:b/>
      <w:sz w:val="32"/>
      <w:szCs w:val="32"/>
    </w:rPr>
  </w:style>
  <w:style w:type="paragraph" w:customStyle="1" w:styleId="953">
    <w:name w:val="样式 标题 3h33rd level3Heading 3 - oldH3l3CTheading 3Headin..."/>
    <w:basedOn w:val="6"/>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autoRedefine/>
    <w:qFormat/>
    <w:uiPriority w:val="0"/>
    <w:pPr>
      <w:ind w:firstLine="200" w:firstLineChars="200"/>
    </w:pPr>
    <w:rPr>
      <w:rFonts w:ascii="仿宋_GB2312" w:eastAsia="仿宋_GB2312"/>
      <w:b/>
      <w:sz w:val="32"/>
      <w:szCs w:val="32"/>
    </w:rPr>
  </w:style>
  <w:style w:type="paragraph" w:customStyle="1" w:styleId="956">
    <w:name w:val="列表段落1"/>
    <w:basedOn w:val="1"/>
    <w:autoRedefine/>
    <w:qFormat/>
    <w:uiPriority w:val="34"/>
    <w:pPr>
      <w:ind w:right="238" w:firstLine="420"/>
    </w:pPr>
    <w:rPr>
      <w:rFonts w:ascii="Calibri" w:hAnsi="Calibri"/>
      <w:sz w:val="24"/>
    </w:rPr>
  </w:style>
  <w:style w:type="paragraph" w:customStyle="1" w:styleId="957">
    <w:name w:val="Char Char110"/>
    <w:basedOn w:val="1"/>
    <w:autoRedefine/>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1">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4">
    <w:name w:val="_Style 12"/>
    <w:basedOn w:val="19"/>
    <w:autoRedefine/>
    <w:qFormat/>
    <w:uiPriority w:val="0"/>
    <w:pPr>
      <w:adjustRightInd w:val="0"/>
      <w:snapToGrid w:val="0"/>
      <w:spacing w:line="360" w:lineRule="auto"/>
    </w:pPr>
  </w:style>
  <w:style w:type="paragraph" w:customStyle="1" w:styleId="965">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0"/>
    <w:autoRedefine/>
    <w:qFormat/>
    <w:uiPriority w:val="34"/>
    <w:pPr>
      <w:spacing w:line="360" w:lineRule="auto"/>
      <w:ind w:firstLine="200" w:firstLineChars="200"/>
    </w:pPr>
    <w:rPr>
      <w:rFonts w:ascii="Calibri" w:hAnsi="Calibri"/>
      <w:sz w:val="28"/>
      <w:szCs w:val="20"/>
    </w:rPr>
  </w:style>
  <w:style w:type="paragraph" w:customStyle="1" w:styleId="968">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autoRedefine/>
    <w:qFormat/>
    <w:uiPriority w:val="0"/>
    <w:pPr>
      <w:outlineLvl w:val="2"/>
    </w:pPr>
  </w:style>
  <w:style w:type="paragraph" w:customStyle="1" w:styleId="972">
    <w:name w:val="Char1 Char Char Char3"/>
    <w:basedOn w:val="1"/>
    <w:autoRedefine/>
    <w:qFormat/>
    <w:uiPriority w:val="0"/>
    <w:pPr>
      <w:ind w:firstLine="200" w:firstLineChars="200"/>
    </w:pPr>
    <w:rPr>
      <w:rFonts w:ascii="Tahoma" w:hAnsi="Tahoma"/>
      <w:sz w:val="24"/>
      <w:szCs w:val="20"/>
    </w:rPr>
  </w:style>
  <w:style w:type="paragraph" w:customStyle="1" w:styleId="973">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4">
    <w:name w:val="MM Empty"/>
    <w:basedOn w:val="1"/>
    <w:autoRedefine/>
    <w:qFormat/>
    <w:uiPriority w:val="0"/>
  </w:style>
  <w:style w:type="paragraph" w:customStyle="1" w:styleId="975">
    <w:name w:val="Char24"/>
    <w:basedOn w:val="1"/>
    <w:autoRedefine/>
    <w:qFormat/>
    <w:uiPriority w:val="0"/>
    <w:pPr>
      <w:adjustRightInd w:val="0"/>
    </w:pPr>
    <w:rPr>
      <w:rFonts w:ascii="仿宋_GB2312" w:eastAsia="仿宋_GB2312"/>
      <w:b/>
      <w:sz w:val="32"/>
      <w:szCs w:val="32"/>
    </w:rPr>
  </w:style>
  <w:style w:type="paragraph" w:customStyle="1" w:styleId="976">
    <w:name w:val="正文箭头"/>
    <w:basedOn w:val="684"/>
    <w:autoRedefine/>
    <w:qFormat/>
    <w:uiPriority w:val="0"/>
  </w:style>
  <w:style w:type="paragraph" w:customStyle="1" w:styleId="977">
    <w:name w:val="U_编号2"/>
    <w:basedOn w:val="1"/>
    <w:autoRedefine/>
    <w:qFormat/>
    <w:uiPriority w:val="0"/>
    <w:pPr>
      <w:tabs>
        <w:tab w:val="left" w:pos="785"/>
      </w:tabs>
      <w:spacing w:beforeLines="10" w:afterLines="10" w:line="300" w:lineRule="auto"/>
    </w:pPr>
    <w:rPr>
      <w:sz w:val="24"/>
    </w:rPr>
  </w:style>
  <w:style w:type="paragraph" w:customStyle="1" w:styleId="978">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6"/>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autoRedefine/>
    <w:qFormat/>
    <w:uiPriority w:val="34"/>
    <w:pPr>
      <w:ind w:firstLine="420" w:firstLineChars="200"/>
    </w:pPr>
    <w:rPr>
      <w:rFonts w:eastAsia="仿宋_GB2312"/>
      <w:sz w:val="28"/>
    </w:rPr>
  </w:style>
  <w:style w:type="paragraph" w:customStyle="1" w:styleId="981">
    <w:name w:val="表格 内容"/>
    <w:basedOn w:val="846"/>
    <w:autoRedefine/>
    <w:qFormat/>
    <w:uiPriority w:val="0"/>
    <w:rPr>
      <w:b w:val="0"/>
      <w:sz w:val="20"/>
    </w:rPr>
  </w:style>
  <w:style w:type="paragraph" w:customStyle="1" w:styleId="982">
    <w:name w:val="正文首行缩进1"/>
    <w:basedOn w:val="24"/>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4">
    <w:name w:val="数字标题5"/>
    <w:basedOn w:val="8"/>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7">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autoRedefine/>
    <w:qFormat/>
    <w:uiPriority w:val="0"/>
    <w:pPr>
      <w:widowControl/>
      <w:adjustRightInd w:val="0"/>
    </w:pPr>
    <w:rPr>
      <w:kern w:val="0"/>
      <w:sz w:val="24"/>
      <w:szCs w:val="20"/>
    </w:rPr>
  </w:style>
  <w:style w:type="paragraph" w:customStyle="1" w:styleId="992">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3">
    <w:name w:val="_Style 8"/>
    <w:basedOn w:val="1"/>
    <w:autoRedefine/>
    <w:qFormat/>
    <w:uiPriority w:val="34"/>
    <w:pPr>
      <w:ind w:firstLine="420" w:firstLineChars="200"/>
    </w:pPr>
    <w:rPr>
      <w:rFonts w:eastAsia="仿宋_GB2312"/>
      <w:sz w:val="28"/>
    </w:rPr>
  </w:style>
  <w:style w:type="paragraph" w:customStyle="1" w:styleId="994">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5">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999">
    <w:name w:val="正文 图"/>
    <w:basedOn w:val="605"/>
    <w:autoRedefine/>
    <w:qFormat/>
    <w:uiPriority w:val="0"/>
    <w:pPr>
      <w:adjustRightInd/>
      <w:spacing w:before="0"/>
      <w:ind w:firstLine="0"/>
      <w:jc w:val="center"/>
    </w:pPr>
    <w:rPr>
      <w:rFonts w:ascii="微软雅黑" w:hAnsi="微软雅黑"/>
    </w:rPr>
  </w:style>
  <w:style w:type="paragraph" w:customStyle="1" w:styleId="1000">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autoRedefine/>
    <w:qFormat/>
    <w:uiPriority w:val="0"/>
    <w:pPr>
      <w:ind w:left="0"/>
    </w:pPr>
  </w:style>
  <w:style w:type="paragraph" w:customStyle="1" w:styleId="1002">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autoRedefine/>
    <w:qFormat/>
    <w:uiPriority w:val="0"/>
    <w:pPr>
      <w:spacing w:line="360" w:lineRule="auto"/>
      <w:ind w:firstLine="480"/>
    </w:pPr>
    <w:rPr>
      <w:sz w:val="24"/>
    </w:rPr>
  </w:style>
  <w:style w:type="table" w:customStyle="1" w:styleId="1004">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autoRedefine/>
    <w:qFormat/>
    <w:uiPriority w:val="0"/>
    <w:rPr>
      <w:rFonts w:ascii="宋体" w:eastAsia="宋体"/>
      <w:snapToGrid w:val="0"/>
      <w:color w:val="000000"/>
      <w:kern w:val="28"/>
      <w:sz w:val="28"/>
      <w:lang w:val="en-US" w:eastAsia="zh-CN" w:bidi="ar-SA"/>
    </w:rPr>
  </w:style>
  <w:style w:type="character" w:customStyle="1" w:styleId="1012">
    <w:name w:val="页脚 字符1"/>
    <w:autoRedefine/>
    <w:qFormat/>
    <w:uiPriority w:val="99"/>
    <w:rPr>
      <w:kern w:val="2"/>
      <w:sz w:val="18"/>
      <w:szCs w:val="18"/>
    </w:rPr>
  </w:style>
  <w:style w:type="character" w:customStyle="1" w:styleId="1013">
    <w:name w:val="页眉 字符1"/>
    <w:autoRedefine/>
    <w:qFormat/>
    <w:uiPriority w:val="99"/>
    <w:rPr>
      <w:kern w:val="2"/>
      <w:sz w:val="18"/>
      <w:szCs w:val="18"/>
    </w:rPr>
  </w:style>
  <w:style w:type="character" w:customStyle="1" w:styleId="1014">
    <w:name w:val="无间隔 Char"/>
    <w:link w:val="638"/>
    <w:autoRedefine/>
    <w:qFormat/>
    <w:uiPriority w:val="0"/>
    <w:rPr>
      <w:kern w:val="2"/>
      <w:sz w:val="21"/>
      <w:szCs w:val="22"/>
    </w:rPr>
  </w:style>
  <w:style w:type="character" w:customStyle="1" w:styleId="1015">
    <w:name w:val="标准文本 Char Char"/>
    <w:autoRedefine/>
    <w:qFormat/>
    <w:uiPriority w:val="0"/>
    <w:rPr>
      <w:rFonts w:cs="宋体"/>
      <w:kern w:val="2"/>
      <w:sz w:val="24"/>
    </w:rPr>
  </w:style>
  <w:style w:type="character" w:customStyle="1" w:styleId="1016">
    <w:name w:val="Char Char213"/>
    <w:autoRedefine/>
    <w:qFormat/>
    <w:uiPriority w:val="0"/>
    <w:rPr>
      <w:rFonts w:eastAsia="Century Gothic"/>
      <w:b/>
      <w:bCs/>
      <w:kern w:val="44"/>
      <w:sz w:val="32"/>
      <w:szCs w:val="44"/>
      <w:lang w:val="en-US" w:eastAsia="zh-CN" w:bidi="ar-SA"/>
    </w:rPr>
  </w:style>
  <w:style w:type="character" w:customStyle="1" w:styleId="1017">
    <w:name w:val="15"/>
    <w:autoRedefine/>
    <w:qFormat/>
    <w:uiPriority w:val="0"/>
    <w:rPr>
      <w:rFonts w:hint="default" w:ascii="Calibri" w:hAnsi="Calibri"/>
      <w:color w:val="0000FF"/>
      <w:u w:val="single"/>
    </w:rPr>
  </w:style>
  <w:style w:type="character" w:customStyle="1" w:styleId="1018">
    <w:name w:val="16"/>
    <w:autoRedefine/>
    <w:qFormat/>
    <w:uiPriority w:val="0"/>
    <w:rPr>
      <w:rFonts w:hint="eastAsia" w:ascii="宋体" w:hAnsi="宋体" w:eastAsia="宋体"/>
      <w:color w:val="000000"/>
      <w:sz w:val="20"/>
      <w:szCs w:val="20"/>
    </w:rPr>
  </w:style>
  <w:style w:type="character" w:customStyle="1" w:styleId="1019">
    <w:name w:val="edui-unclickable"/>
    <w:autoRedefine/>
    <w:qFormat/>
    <w:uiPriority w:val="0"/>
    <w:rPr>
      <w:color w:val="808080"/>
    </w:rPr>
  </w:style>
  <w:style w:type="character" w:customStyle="1" w:styleId="1020">
    <w:name w:val="正文文本缩进 字符"/>
    <w:autoRedefine/>
    <w:qFormat/>
    <w:uiPriority w:val="0"/>
    <w:rPr>
      <w:rFonts w:ascii="Century Gothic" w:hAnsi="Century Gothic" w:eastAsia="Century Gothic"/>
      <w:kern w:val="2"/>
      <w:sz w:val="24"/>
      <w:lang w:val="en-US" w:eastAsia="zh-CN" w:bidi="ar-SA"/>
    </w:rPr>
  </w:style>
  <w:style w:type="character" w:customStyle="1" w:styleId="1021">
    <w:name w:val="正文文本 2 字符"/>
    <w:autoRedefine/>
    <w:qFormat/>
    <w:uiPriority w:val="0"/>
    <w:rPr>
      <w:rFonts w:ascii="Arial" w:hAnsi="Arial" w:eastAsia="宋体"/>
      <w:kern w:val="2"/>
      <w:sz w:val="24"/>
      <w:szCs w:val="24"/>
      <w:lang w:val="en-US" w:eastAsia="zh-CN" w:bidi="ar-SA"/>
    </w:rPr>
  </w:style>
  <w:style w:type="character" w:customStyle="1" w:styleId="1022">
    <w:name w:val="edui-clickable2"/>
    <w:autoRedefine/>
    <w:qFormat/>
    <w:uiPriority w:val="0"/>
    <w:rPr>
      <w:color w:val="0000FF"/>
      <w:u w:val="single"/>
    </w:rPr>
  </w:style>
  <w:style w:type="character" w:customStyle="1" w:styleId="1023">
    <w:name w:val="style1"/>
    <w:autoRedefine/>
    <w:qFormat/>
    <w:uiPriority w:val="0"/>
    <w:rPr>
      <w:rFonts w:ascii="Arial" w:hAnsi="Arial" w:eastAsia="黑体" w:cs="Arial"/>
      <w:snapToGrid w:val="0"/>
      <w:kern w:val="0"/>
      <w:szCs w:val="21"/>
    </w:rPr>
  </w:style>
  <w:style w:type="character" w:customStyle="1" w:styleId="1024">
    <w:name w:val="zbggtop11 style5"/>
    <w:autoRedefine/>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0"/>
    <w:autoRedefine/>
    <w:qFormat/>
    <w:uiPriority w:val="34"/>
    <w:pPr>
      <w:ind w:firstLine="420" w:firstLineChars="200"/>
    </w:pPr>
  </w:style>
  <w:style w:type="paragraph" w:customStyle="1" w:styleId="102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autoRedefine/>
    <w:qFormat/>
    <w:uiPriority w:val="0"/>
    <w:pPr>
      <w:snapToGrid w:val="0"/>
      <w:jc w:val="left"/>
    </w:pPr>
    <w:rPr>
      <w:rFonts w:ascii="Century Gothic" w:hAnsi="楷体_GB2312" w:eastAsia="Century Gothic"/>
      <w:szCs w:val="20"/>
    </w:rPr>
  </w:style>
  <w:style w:type="paragraph" w:customStyle="1" w:styleId="102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autoRedefine/>
    <w:qFormat/>
    <w:uiPriority w:val="0"/>
    <w:pPr>
      <w:jc w:val="left"/>
    </w:pPr>
    <w:rPr>
      <w:rFonts w:ascii="Calibri" w:hAnsi="Calibri"/>
      <w:kern w:val="0"/>
      <w:sz w:val="22"/>
      <w:szCs w:val="22"/>
      <w:lang w:eastAsia="en-US"/>
    </w:rPr>
  </w:style>
  <w:style w:type="paragraph" w:customStyle="1" w:styleId="103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autoRedefine/>
    <w:qFormat/>
    <w:uiPriority w:val="0"/>
    <w:rPr>
      <w:color w:val="000000"/>
      <w:shd w:val="clear" w:color="auto" w:fill="EFD200"/>
    </w:rPr>
  </w:style>
  <w:style w:type="character" w:customStyle="1" w:styleId="1036">
    <w:name w:val="font71"/>
    <w:autoRedefine/>
    <w:qFormat/>
    <w:uiPriority w:val="0"/>
    <w:rPr>
      <w:rFonts w:hint="eastAsia" w:ascii="宋体" w:hAnsi="宋体" w:eastAsia="宋体" w:cs="宋体"/>
      <w:color w:val="000000"/>
      <w:sz w:val="22"/>
      <w:szCs w:val="22"/>
      <w:u w:val="none"/>
    </w:rPr>
  </w:style>
  <w:style w:type="character" w:customStyle="1" w:styleId="1037">
    <w:name w:val="font91"/>
    <w:autoRedefine/>
    <w:qFormat/>
    <w:uiPriority w:val="0"/>
    <w:rPr>
      <w:rFonts w:hint="eastAsia" w:ascii="仿宋" w:hAnsi="仿宋" w:eastAsia="仿宋" w:cs="仿宋"/>
      <w:color w:val="000000"/>
      <w:sz w:val="22"/>
      <w:szCs w:val="22"/>
      <w:u w:val="none"/>
    </w:rPr>
  </w:style>
  <w:style w:type="paragraph" w:customStyle="1" w:styleId="1038">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autoRedefine/>
    <w:qFormat/>
    <w:uiPriority w:val="0"/>
    <w:rPr>
      <w:szCs w:val="21"/>
    </w:rPr>
  </w:style>
  <w:style w:type="character" w:customStyle="1" w:styleId="1040">
    <w:name w:val="font101"/>
    <w:basedOn w:val="70"/>
    <w:autoRedefine/>
    <w:qFormat/>
    <w:uiPriority w:val="0"/>
    <w:rPr>
      <w:rFonts w:ascii="等线" w:hAnsi="等线" w:eastAsia="等线" w:cs="等线"/>
      <w:b/>
      <w:bCs/>
      <w:color w:val="FF0000"/>
      <w:sz w:val="20"/>
      <w:szCs w:val="20"/>
      <w:u w:val="none"/>
    </w:rPr>
  </w:style>
  <w:style w:type="character" w:customStyle="1" w:styleId="1041">
    <w:name w:val="NormalCharacter"/>
    <w:autoRedefine/>
    <w:qFormat/>
    <w:uiPriority w:val="0"/>
  </w:style>
  <w:style w:type="paragraph" w:customStyle="1" w:styleId="1042">
    <w:name w:val="正文-公1"/>
    <w:basedOn w:val="1"/>
    <w:next w:val="1"/>
    <w:autoRedefine/>
    <w:qFormat/>
    <w:uiPriority w:val="0"/>
    <w:pPr>
      <w:ind w:firstLine="200" w:firstLineChars="200"/>
      <w:jc w:val="left"/>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165</Pages>
  <Words>79502</Words>
  <Characters>89206</Characters>
  <Lines>582</Lines>
  <Paragraphs>164</Paragraphs>
  <TotalTime>6</TotalTime>
  <ScaleCrop>false</ScaleCrop>
  <LinksUpToDate>false</LinksUpToDate>
  <CharactersWithSpaces>96752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吃西瓜不吐西瓜子</cp:lastModifiedBy>
  <cp:lastPrinted>2024-05-29T02:17:00Z</cp:lastPrinted>
  <dcterms:modified xsi:type="dcterms:W3CDTF">2024-06-12T08:33:19Z</dcterms:modified>
  <dc:title>绍兴文理学院计算机机房设备及录播系统供货项目</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3886F0986F2F41E9B3C74F9A2A150102_13</vt:lpwstr>
  </property>
</Properties>
</file>