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z w:val="72"/>
          <w:szCs w:val="72"/>
        </w:rPr>
      </w:pPr>
      <w:r>
        <w:rPr>
          <w:rFonts w:hint="eastAsia" w:ascii="仿宋" w:hAnsi="仿宋" w:eastAsia="仿宋" w:cs="仿宋"/>
          <w:b/>
          <w:bCs/>
          <w:color w:val="auto"/>
          <w:sz w:val="56"/>
          <w:szCs w:val="56"/>
          <w:lang w:eastAsia="zh-CN"/>
        </w:rPr>
        <w:t>绍兴市社会矛盾风险预防化解“数智枫桥”综合集成应用项目</w:t>
      </w:r>
    </w:p>
    <w:p>
      <w:pPr>
        <w:pStyle w:val="23"/>
        <w:rPr>
          <w:rFonts w:hint="eastAsia"/>
        </w:rPr>
      </w:pPr>
    </w:p>
    <w:p>
      <w:pPr>
        <w:jc w:val="center"/>
        <w:outlineLvl w:val="0"/>
        <w:rPr>
          <w:rFonts w:hint="eastAsia" w:ascii="仿宋" w:hAnsi="仿宋" w:eastAsia="仿宋" w:cs="仿宋"/>
          <w:b/>
          <w:sz w:val="52"/>
          <w:szCs w:val="52"/>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r>
        <w:rPr>
          <w:rFonts w:hint="eastAsia" w:ascii="仿宋" w:hAnsi="仿宋" w:eastAsia="仿宋" w:cs="仿宋"/>
          <w:b/>
          <w:sz w:val="28"/>
          <w:szCs w:val="28"/>
        </w:rPr>
        <w:t>招标编号:ZJXSC-2024-120</w:t>
      </w:r>
    </w:p>
    <w:tbl>
      <w:tblPr>
        <w:tblStyle w:val="62"/>
        <w:tblW w:w="7395" w:type="dxa"/>
        <w:jc w:val="center"/>
        <w:tblLayout w:type="fixed"/>
        <w:tblCellMar>
          <w:top w:w="0" w:type="dxa"/>
          <w:left w:w="108" w:type="dxa"/>
          <w:bottom w:w="0" w:type="dxa"/>
          <w:right w:w="108" w:type="dxa"/>
        </w:tblCellMar>
      </w:tblPr>
      <w:tblGrid>
        <w:gridCol w:w="2652"/>
        <w:gridCol w:w="4743"/>
      </w:tblGrid>
      <w:tr>
        <w:tblPrEx>
          <w:tblCellMar>
            <w:top w:w="0" w:type="dxa"/>
            <w:left w:w="108" w:type="dxa"/>
            <w:bottom w:w="0" w:type="dxa"/>
            <w:right w:w="108" w:type="dxa"/>
          </w:tblCellMar>
        </w:tblPrEx>
        <w:trPr>
          <w:trHeight w:val="549" w:hRule="atLeast"/>
          <w:jc w:val="center"/>
        </w:trPr>
        <w:tc>
          <w:tcPr>
            <w:tcW w:w="2652"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743" w:type="dxa"/>
            <w:vAlign w:val="center"/>
          </w:tcPr>
          <w:p>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绍兴市委政法委员会</w:t>
            </w:r>
          </w:p>
        </w:tc>
      </w:tr>
      <w:tr>
        <w:tblPrEx>
          <w:tblCellMar>
            <w:top w:w="0" w:type="dxa"/>
            <w:left w:w="108" w:type="dxa"/>
            <w:bottom w:w="0" w:type="dxa"/>
            <w:right w:w="108" w:type="dxa"/>
          </w:tblCellMar>
        </w:tblPrEx>
        <w:trPr>
          <w:trHeight w:val="612" w:hRule="atLeast"/>
          <w:jc w:val="center"/>
        </w:trPr>
        <w:tc>
          <w:tcPr>
            <w:tcW w:w="2652"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90345957"/>
              </w:rPr>
              <w:t>采购代理机构</w:t>
            </w:r>
            <w:r>
              <w:rPr>
                <w:rFonts w:hint="eastAsia" w:ascii="仿宋" w:hAnsi="仿宋" w:eastAsia="仿宋" w:cs="仿宋"/>
                <w:sz w:val="28"/>
                <w:szCs w:val="28"/>
              </w:rPr>
              <w:t>：</w:t>
            </w:r>
          </w:p>
        </w:tc>
        <w:tc>
          <w:tcPr>
            <w:tcW w:w="4743" w:type="dxa"/>
            <w:vAlign w:val="center"/>
          </w:tcPr>
          <w:p>
            <w:pPr>
              <w:spacing w:line="320" w:lineRule="exact"/>
              <w:jc w:val="both"/>
              <w:outlineLvl w:val="0"/>
              <w:rPr>
                <w:rFonts w:hint="eastAsia" w:ascii="仿宋" w:hAnsi="仿宋" w:eastAsia="仿宋" w:cs="仿宋"/>
                <w:sz w:val="28"/>
                <w:szCs w:val="28"/>
              </w:rPr>
            </w:pPr>
            <w:r>
              <w:rPr>
                <w:rFonts w:hint="eastAsia" w:ascii="仿宋" w:hAnsi="仿宋" w:eastAsia="仿宋" w:cs="仿宋"/>
                <w:sz w:val="28"/>
                <w:szCs w:val="28"/>
                <w:lang w:val="en-US" w:eastAsia="zh-CN"/>
              </w:rPr>
              <w:t>浙江翔实建设项目管理有限公司</w:t>
            </w:r>
          </w:p>
        </w:tc>
      </w:tr>
      <w:tr>
        <w:tblPrEx>
          <w:tblCellMar>
            <w:top w:w="0" w:type="dxa"/>
            <w:left w:w="108" w:type="dxa"/>
            <w:bottom w:w="0" w:type="dxa"/>
            <w:right w:w="108" w:type="dxa"/>
          </w:tblCellMar>
        </w:tblPrEx>
        <w:trPr>
          <w:trHeight w:val="397" w:hRule="atLeast"/>
          <w:jc w:val="center"/>
        </w:trPr>
        <w:tc>
          <w:tcPr>
            <w:tcW w:w="2652"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743" w:type="dxa"/>
            <w:vAlign w:val="center"/>
          </w:tcPr>
          <w:p>
            <w:pPr>
              <w:spacing w:line="320" w:lineRule="exact"/>
              <w:jc w:val="both"/>
              <w:outlineLvl w:val="0"/>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395"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w:t>
      </w:r>
      <w:r>
        <w:rPr>
          <w:rFonts w:hint="eastAsia" w:ascii="仿宋" w:hAnsi="仿宋" w:eastAsia="仿宋" w:cs="仿宋"/>
          <w:b/>
          <w:sz w:val="44"/>
          <w:szCs w:val="44"/>
          <w:lang w:val="en-US" w:eastAsia="zh-CN"/>
        </w:rPr>
        <w:t xml:space="preserve"> </w:t>
      </w:r>
      <w:r>
        <w:rPr>
          <w:rFonts w:hint="eastAsia" w:ascii="仿宋" w:hAnsi="仿宋" w:eastAsia="仿宋" w:cs="仿宋"/>
          <w:b/>
          <w:sz w:val="44"/>
          <w:szCs w:val="44"/>
        </w:rPr>
        <w:t>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绍兴市社会矛盾风险预防化解“数智枫桥”综合集成应用项目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4</w:t>
      </w:r>
      <w:r>
        <w:rPr>
          <w:rStyle w:val="76"/>
          <w:rFonts w:hint="eastAsia" w:ascii="仿宋" w:hAnsi="仿宋" w:eastAsia="仿宋" w:cs="仿宋"/>
          <w:snapToGrid/>
          <w:color w:val="auto"/>
          <w:kern w:val="2"/>
          <w:sz w:val="24"/>
          <w:szCs w:val="24"/>
        </w:rPr>
        <w:t>年 月 日 点 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项目编号：ZJXSC-2024-120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u w:val="none"/>
          <w:lang w:val="en-US" w:eastAsia="zh-CN"/>
        </w:rPr>
        <w:t>绍兴市社会矛盾风险预防化解“数智枫桥”综合集成应用项目</w:t>
      </w:r>
      <w:r>
        <w:rPr>
          <w:rFonts w:hint="eastAsia" w:ascii="仿宋" w:hAnsi="仿宋" w:eastAsia="仿宋" w:cs="仿宋"/>
          <w:b w:val="0"/>
          <w:bCs/>
          <w:color w:val="auto"/>
          <w:sz w:val="24"/>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2956000.00</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2956000.00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u w:val="none"/>
          <w:lang w:val="en-US" w:eastAsia="zh-CN"/>
        </w:rPr>
        <w:t>绍兴市社会矛盾风险预防化解“数智枫桥”综合集成应用项目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w:t>
      </w:r>
      <w:r>
        <w:rPr>
          <w:rFonts w:hint="eastAsia" w:ascii="仿宋" w:hAnsi="仿宋" w:eastAsia="仿宋" w:cs="仿宋"/>
          <w:b w:val="0"/>
          <w:bCs/>
          <w:color w:val="auto"/>
          <w:sz w:val="24"/>
          <w:lang w:val="en-US" w:eastAsia="zh-CN"/>
        </w:rPr>
        <w:t>2956000.00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highlight w:val="none"/>
        </w:rPr>
        <w:t>简要规格描述或项目基本概况介绍、用途</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w:t>
      </w:r>
      <w:r>
        <w:rPr>
          <w:rFonts w:hint="eastAsia" w:ascii="仿宋" w:hAnsi="仿宋" w:eastAsia="仿宋" w:cs="仿宋"/>
          <w:b w:val="0"/>
          <w:bCs w:val="0"/>
          <w:color w:val="auto"/>
          <w:sz w:val="24"/>
          <w:highlight w:val="none"/>
        </w:rPr>
        <w:t>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kern w:val="0"/>
          <w:sz w:val="24"/>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w:t>
      </w:r>
      <w:r>
        <w:rPr>
          <w:rFonts w:hint="eastAsia" w:ascii="仿宋" w:hAnsi="仿宋" w:eastAsia="仿宋" w:cs="仿宋"/>
          <w:color w:val="auto"/>
          <w:sz w:val="24"/>
          <w:highlight w:val="none"/>
        </w:rPr>
        <w:t>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w:t>
      </w:r>
      <w:r>
        <w:rPr>
          <w:rFonts w:hint="eastAsia" w:ascii="仿宋" w:hAnsi="仿宋" w:eastAsia="仿宋" w:cs="仿宋"/>
          <w:color w:val="auto"/>
          <w:sz w:val="24"/>
        </w:rPr>
        <w:t>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28359019"/>
      <w:bookmarkStart w:id="7" w:name="_Toc35393637"/>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zh-CN" w:eastAsia="zh-CN"/>
        </w:rPr>
        <w:t>绍兴市委政法委员会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址：绍兴市洋江西路589号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项目联系人（询问）：沈峰杰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85739056</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李蕾蕾</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质疑联系方式：</w:t>
      </w:r>
      <w:r>
        <w:rPr>
          <w:rFonts w:hint="eastAsia" w:ascii="仿宋" w:hAnsi="仿宋" w:eastAsia="仿宋" w:cs="仿宋"/>
          <w:b w:val="0"/>
          <w:bCs w:val="0"/>
          <w:color w:val="auto"/>
          <w:sz w:val="24"/>
          <w:szCs w:val="24"/>
          <w:highlight w:val="none"/>
          <w:lang w:val="en-US" w:eastAsia="zh-CN"/>
        </w:rPr>
        <w:t>0575-87283293</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28359097"/>
      <w:bookmarkStart w:id="11" w:name="_Toc3539380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b w:val="0"/>
          <w:bCs w:val="0"/>
          <w:color w:val="auto"/>
          <w:sz w:val="24"/>
          <w:szCs w:val="24"/>
          <w:lang w:val="en-US" w:eastAsia="zh-CN"/>
        </w:rPr>
        <w:t>浙江翔实建设项目管理有限公司</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址：绍兴市越城区阳明北路692号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金一静</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0575-88979683/18267597863</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808"/>
      <w:bookmarkStart w:id="14" w:name="_Toc28359021"/>
      <w:bookmarkStart w:id="15" w:name="_Toc35393639"/>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称：绍兴市财政局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lang w:val="en-US" w:eastAsia="zh-CN"/>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r>
        <w:rPr>
          <w:rFonts w:hint="eastAsia" w:ascii="仿宋" w:hAnsi="仿宋" w:eastAsia="仿宋" w:cs="仿宋"/>
          <w:color w:val="auto"/>
          <w:sz w:val="24"/>
          <w:lang w:val="en-US" w:eastAsia="zh-CN"/>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w:t>
      </w:r>
      <w:r>
        <w:rPr>
          <w:rFonts w:ascii="仿宋" w:hAnsi="仿宋" w:eastAsia="仿宋" w:cs="仿宋"/>
          <w:color w:val="auto"/>
          <w:sz w:val="24"/>
        </w:rPr>
        <w:t>9697</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绍兴市越城区阳明北路</w:t>
            </w:r>
            <w:r>
              <w:rPr>
                <w:rFonts w:hint="eastAsia" w:ascii="仿宋" w:hAnsi="仿宋" w:eastAsia="仿宋" w:cs="仿宋"/>
                <w:color w:val="auto"/>
                <w:sz w:val="24"/>
                <w:highlight w:val="none"/>
                <w:u w:val="single"/>
                <w:lang w:val="en-US" w:eastAsia="zh-CN"/>
              </w:rPr>
              <w:t>692号浙江翔实建设项目管理有限公司一楼开标室</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w:t>
            </w:r>
            <w:r>
              <w:rPr>
                <w:rFonts w:hint="eastAsia" w:ascii="仿宋" w:hAnsi="仿宋" w:eastAsia="仿宋" w:cs="仿宋"/>
                <w:color w:val="auto"/>
                <w:sz w:val="24"/>
                <w:highlight w:val="none"/>
                <w:lang w:val="zh-CN"/>
              </w:rPr>
              <w:t>演示以</w:t>
            </w:r>
            <w:r>
              <w:rPr>
                <w:rFonts w:hint="eastAsia" w:ascii="仿宋" w:hAnsi="仿宋" w:eastAsia="仿宋" w:cs="仿宋"/>
                <w:color w:val="auto"/>
                <w:sz w:val="24"/>
                <w:highlight w:val="none"/>
                <w:lang w:val="en-US" w:eastAsia="zh-CN"/>
              </w:rPr>
              <w:t>系统</w:t>
            </w:r>
            <w:r>
              <w:rPr>
                <w:rFonts w:hint="eastAsia" w:ascii="仿宋" w:hAnsi="仿宋" w:eastAsia="仿宋" w:cs="仿宋"/>
                <w:color w:val="auto"/>
                <w:sz w:val="24"/>
                <w:highlight w:val="none"/>
                <w:lang w:val="zh-CN"/>
              </w:rPr>
              <w:t>录制视频形式播放，</w:t>
            </w:r>
            <w:r>
              <w:rPr>
                <w:rFonts w:hint="eastAsia" w:ascii="仿宋" w:hAnsi="仿宋" w:eastAsia="仿宋" w:cs="仿宋"/>
                <w:color w:val="auto"/>
                <w:sz w:val="24"/>
                <w:highlight w:val="none"/>
                <w:lang w:val="en-US" w:eastAsia="zh-CN"/>
              </w:rPr>
              <w:t>由投标人自行制作后拷贝到U盘中播放，自带播放电脑，采用PPT和DEMO演示不得分</w:t>
            </w:r>
            <w:r>
              <w:rPr>
                <w:rFonts w:hint="eastAsia" w:ascii="仿宋" w:hAnsi="仿宋" w:eastAsia="仿宋" w:cs="仿宋"/>
                <w:color w:val="auto"/>
                <w:sz w:val="24"/>
                <w:highlight w:val="none"/>
                <w:lang w:val="zh-CN"/>
              </w:rPr>
              <w:t>；播放时间控制在1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zh-CN"/>
              </w:rPr>
              <w:t>分钟内；演示播放顺序将按电子投标文件解密先后顺序进行。</w:t>
            </w:r>
            <w:r>
              <w:rPr>
                <w:rFonts w:hint="eastAsia" w:ascii="仿宋" w:hAnsi="仿宋" w:eastAsia="仿宋" w:cs="仿宋"/>
                <w:color w:val="auto"/>
                <w:sz w:val="24"/>
                <w:szCs w:val="24"/>
                <w:highlight w:val="none"/>
                <w:lang w:val="zh-CN"/>
              </w:rPr>
              <w:t>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01标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color w:val="auto"/>
                <w:kern w:val="0"/>
                <w:sz w:val="24"/>
                <w:highlight w:val="none"/>
                <w:u w:val="single"/>
                <w:lang w:val="en-US" w:eastAsia="zh-CN"/>
              </w:rPr>
              <w:t>软件和信息技术服务</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pPr>
              <w:autoSpaceDE w:val="0"/>
              <w:autoSpaceDN w:val="0"/>
              <w:spacing w:line="360" w:lineRule="exact"/>
              <w:textAlignment w:val="bottom"/>
              <w:rPr>
                <w:rFonts w:hint="eastAsia" w:ascii="仿宋" w:hAnsi="Times New Roman" w:eastAsia="仿宋" w:cs="Times New Roman"/>
                <w:b/>
                <w:bCs/>
                <w:color w:val="auto"/>
                <w:sz w:val="24"/>
              </w:rPr>
            </w:pPr>
            <w:r>
              <w:rPr>
                <w:rFonts w:hint="eastAsia" w:ascii="仿宋" w:hAnsi="Times New Roman" w:eastAsia="仿宋" w:cs="Times New Roman"/>
                <w:b/>
                <w:bCs/>
                <w:color w:val="auto"/>
                <w:sz w:val="24"/>
              </w:rPr>
              <w:t>采购代理服务费：</w:t>
            </w:r>
          </w:p>
          <w:p>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color w:val="auto"/>
                <w:sz w:val="24"/>
              </w:rPr>
              <w:t>中标人须向招标</w:t>
            </w:r>
            <w:r>
              <w:rPr>
                <w:rFonts w:hint="eastAsia" w:ascii="仿宋" w:eastAsia="仿宋" w:cs="仿宋_GB2312"/>
                <w:b w:val="0"/>
                <w:bCs w:val="0"/>
                <w:color w:val="auto"/>
                <w:sz w:val="24"/>
                <w:highlight w:val="none"/>
              </w:rPr>
              <w:t>代理机构交纳招标代理服务费，并在投标报价中自行考虑：</w:t>
            </w:r>
          </w:p>
          <w:p>
            <w:pPr>
              <w:autoSpaceDE w:val="0"/>
              <w:autoSpaceDN w:val="0"/>
              <w:spacing w:line="360" w:lineRule="exact"/>
              <w:textAlignment w:val="bottom"/>
              <w:rPr>
                <w:rFonts w:ascii="仿宋" w:eastAsia="仿宋"/>
                <w:color w:val="auto"/>
                <w:sz w:val="24"/>
              </w:rPr>
            </w:pPr>
            <w:r>
              <w:rPr>
                <w:rFonts w:hint="eastAsia" w:ascii="仿宋" w:eastAsia="仿宋" w:cs="仿宋_GB2312"/>
                <w:b w:val="0"/>
                <w:bCs w:val="0"/>
                <w:color w:val="auto"/>
                <w:sz w:val="24"/>
                <w:highlight w:val="none"/>
              </w:rPr>
              <w:t>①</w:t>
            </w:r>
            <w:r>
              <w:rPr>
                <w:rFonts w:hint="eastAsia" w:ascii="仿宋" w:eastAsia="仿宋"/>
                <w:color w:val="auto"/>
                <w:sz w:val="24"/>
              </w:rPr>
              <w:t>以中标通知书中确定的中标总金额作为服务费的计算基数，具体比例参照《国家计委关于印发&lt;招标代理服务收费管理暂行办法&gt;的通知》（计价格[2002]1980号）文件</w:t>
            </w:r>
            <w:r>
              <w:rPr>
                <w:rFonts w:hint="eastAsia" w:ascii="仿宋" w:eastAsia="仿宋"/>
                <w:color w:val="auto"/>
                <w:sz w:val="24"/>
                <w:lang w:val="en-US" w:eastAsia="zh-CN"/>
              </w:rPr>
              <w:t>规定</w:t>
            </w:r>
            <w:r>
              <w:rPr>
                <w:rFonts w:hint="eastAsia" w:ascii="仿宋" w:eastAsia="仿宋"/>
                <w:color w:val="auto"/>
                <w:sz w:val="24"/>
              </w:rPr>
              <w:t>标准的</w:t>
            </w:r>
            <w:r>
              <w:rPr>
                <w:rFonts w:hint="eastAsia" w:ascii="仿宋" w:eastAsia="仿宋"/>
                <w:color w:val="auto"/>
                <w:sz w:val="24"/>
                <w:lang w:val="en-US" w:eastAsia="zh-CN"/>
              </w:rPr>
              <w:t>八折</w:t>
            </w:r>
            <w:r>
              <w:rPr>
                <w:rFonts w:hint="eastAsia" w:ascii="仿宋" w:eastAsia="仿宋"/>
                <w:color w:val="auto"/>
                <w:sz w:val="24"/>
              </w:rPr>
              <w:t>执行。不足5000元按5000元计取。</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② 招标代理服务费的交纳方式：</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用银行支票、汇票、电汇、现金等付款方式直接交纳招标代理服务费。</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公司名称：浙江翔实建设项目管理有限公司</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 xml:space="preserve">开户行：建行绍兴越城支行 </w:t>
            </w:r>
          </w:p>
          <w:p>
            <w:pPr>
              <w:keepNext w:val="0"/>
              <w:keepLines w:val="0"/>
              <w:pageBreakBefore w:val="0"/>
              <w:widowControl w:val="0"/>
              <w:kinsoku/>
              <w:wordWrap/>
              <w:overflowPunct/>
              <w:topLinePunct w:val="0"/>
              <w:autoSpaceDE w:val="0"/>
              <w:autoSpaceDN w:val="0"/>
              <w:bidi w:val="0"/>
              <w:adjustRightInd/>
              <w:snapToGrid/>
              <w:spacing w:line="360" w:lineRule="exact"/>
              <w:textAlignment w:val="bottom"/>
              <w:rPr>
                <w:rFonts w:hint="eastAsia" w:ascii="仿宋" w:hAnsi="Times New Roman" w:eastAsia="仿宋" w:cs="Times New Roman"/>
                <w:color w:val="auto"/>
                <w:sz w:val="24"/>
              </w:rPr>
            </w:pPr>
            <w:r>
              <w:rPr>
                <w:rFonts w:hint="eastAsia" w:ascii="仿宋" w:hAnsi="Times New Roman" w:eastAsia="仿宋" w:cs="Times New Roman"/>
                <w:color w:val="auto"/>
                <w:sz w:val="24"/>
              </w:rPr>
              <w:t>账  号：33001653549053003519</w:t>
            </w:r>
          </w:p>
          <w:p>
            <w:pPr>
              <w:spacing w:line="336" w:lineRule="auto"/>
              <w:rPr>
                <w:rFonts w:hint="eastAsia" w:ascii="仿宋" w:hAnsi="仿宋" w:eastAsia="仿宋" w:cs="仿宋"/>
                <w:kern w:val="2"/>
                <w:sz w:val="21"/>
                <w:szCs w:val="24"/>
                <w:lang w:val="en-US" w:eastAsia="zh-CN" w:bidi="ar-SA"/>
              </w:rPr>
            </w:pPr>
            <w:r>
              <w:rPr>
                <w:rFonts w:hint="eastAsia" w:ascii="仿宋" w:hAnsi="Times New Roman" w:eastAsia="仿宋" w:cs="Times New Roman"/>
                <w:color w:val="auto"/>
                <w:sz w:val="24"/>
              </w:rPr>
              <w:t>③交纳时间：领取中标通知书前交纳。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b/>
          <w:bCs/>
          <w:color w:val="auto"/>
          <w:sz w:val="24"/>
          <w:highlight w:val="none"/>
          <w:lang w:eastAsia="zh-CN"/>
        </w:rPr>
        <w:t>“资格文件”</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lang w:eastAsia="zh-CN"/>
        </w:rPr>
        <w:t>“商务技术（资信）文件资料”</w:t>
      </w:r>
      <w:r>
        <w:rPr>
          <w:rFonts w:hint="eastAsia" w:ascii="仿宋" w:hAnsi="仿宋" w:eastAsia="仿宋" w:cs="仿宋"/>
          <w:color w:val="auto"/>
          <w:sz w:val="24"/>
          <w:highlight w:val="none"/>
          <w:lang w:eastAsia="zh-CN"/>
        </w:rPr>
        <w:t>、</w:t>
      </w:r>
      <w:r>
        <w:rPr>
          <w:rFonts w:hint="eastAsia" w:ascii="仿宋" w:hAnsi="仿宋" w:eastAsia="仿宋" w:cs="仿宋"/>
          <w:b/>
          <w:bCs/>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2.2.4法定代表人及其授权代表身份证复印件；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5236101"/>
      <w:bookmarkEnd w:id="20"/>
      <w:bookmarkStart w:id="21" w:name="_Hlt68072998"/>
      <w:bookmarkEnd w:id="21"/>
      <w:bookmarkStart w:id="22" w:name="_Hlt68057669"/>
      <w:bookmarkEnd w:id="22"/>
      <w:bookmarkStart w:id="23" w:name="_Hlt75236290"/>
      <w:bookmarkEnd w:id="23"/>
      <w:bookmarkStart w:id="24" w:name="_Hlt74714665"/>
      <w:bookmarkEnd w:id="24"/>
      <w:bookmarkStart w:id="25" w:name="_Hlt75236011"/>
      <w:bookmarkEnd w:id="25"/>
      <w:bookmarkStart w:id="26" w:name="_Hlt74707468"/>
      <w:bookmarkEnd w:id="26"/>
      <w:bookmarkStart w:id="27" w:name="_Hlt74730295"/>
      <w:bookmarkEnd w:id="27"/>
      <w:bookmarkStart w:id="28" w:name="_Hlt68403820"/>
      <w:bookmarkEnd w:id="28"/>
      <w:bookmarkStart w:id="29" w:name="_Hlt74729768"/>
      <w:bookmarkEnd w:id="29"/>
      <w:bookmarkStart w:id="30" w:name="_Hlt68073093"/>
      <w:bookmarkEnd w:id="30"/>
      <w:bookmarkStart w:id="31" w:name="_Hlt68072990"/>
      <w:bookmarkEnd w:id="31"/>
      <w:bookmarkStart w:id="32" w:name="_Toc81372776"/>
      <w:bookmarkStart w:id="33" w:name="_Toc84325929"/>
      <w:bookmarkStart w:id="34" w:name="_Toc81372953"/>
      <w:r>
        <w:rPr>
          <w:rFonts w:hint="eastAsia" w:ascii="仿宋" w:hAnsi="仿宋" w:eastAsia="仿宋" w:cs="仿宋"/>
          <w:b/>
          <w:sz w:val="32"/>
          <w:szCs w:val="32"/>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3.供应商质疑</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6" w:type="default"/>
          <w:pgSz w:w="11906" w:h="16838"/>
          <w:pgMar w:top="1474" w:right="1587" w:bottom="1474" w:left="1587"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pPr>
        <w:pStyle w:val="256"/>
        <w:numPr>
          <w:ilvl w:val="0"/>
          <w:numId w:val="0"/>
        </w:numPr>
        <w:spacing w:line="360" w:lineRule="auto"/>
        <w:ind w:leftChars="0"/>
        <w:outlineLvl w:val="0"/>
        <w:rPr>
          <w:rFonts w:hint="eastAsia" w:ascii="仿宋" w:hAnsi="仿宋" w:eastAsia="仿宋" w:cs="仿宋"/>
          <w:b/>
          <w:bCs/>
          <w:szCs w:val="21"/>
          <w:lang w:val="en-US" w:eastAsia="zh-CN"/>
        </w:rPr>
      </w:pPr>
      <w:bookmarkStart w:id="36" w:name="第五部分"/>
      <w:bookmarkStart w:id="37" w:name="_Toc86217003"/>
    </w:p>
    <w:p>
      <w:pPr>
        <w:pStyle w:val="256"/>
        <w:numPr>
          <w:ilvl w:val="0"/>
          <w:numId w:val="0"/>
        </w:numPr>
        <w:spacing w:line="360" w:lineRule="auto"/>
        <w:ind w:leftChars="0"/>
        <w:outlineLvl w:val="0"/>
        <w:rPr>
          <w:rFonts w:hint="eastAsia" w:ascii="仿宋" w:hAnsi="仿宋" w:eastAsia="仿宋" w:cs="仿宋"/>
          <w:b/>
          <w:bCs/>
          <w:szCs w:val="21"/>
        </w:rPr>
      </w:pPr>
      <w:r>
        <w:rPr>
          <w:rFonts w:hint="eastAsia" w:ascii="仿宋" w:hAnsi="仿宋" w:eastAsia="仿宋" w:cs="仿宋"/>
          <w:b/>
          <w:bCs/>
          <w:szCs w:val="21"/>
          <w:lang w:val="en-US" w:eastAsia="zh-CN"/>
        </w:rPr>
        <w:t>一、</w:t>
      </w:r>
      <w:r>
        <w:rPr>
          <w:rFonts w:hint="eastAsia" w:ascii="仿宋" w:hAnsi="仿宋" w:eastAsia="仿宋" w:cs="仿宋"/>
          <w:b/>
          <w:bCs/>
          <w:szCs w:val="21"/>
        </w:rPr>
        <w:t>项目</w:t>
      </w:r>
      <w:r>
        <w:rPr>
          <w:rFonts w:hint="eastAsia" w:ascii="仿宋" w:hAnsi="仿宋" w:eastAsia="仿宋" w:cs="仿宋"/>
          <w:b/>
          <w:bCs/>
          <w:szCs w:val="21"/>
          <w:lang w:val="en-US" w:eastAsia="zh-CN"/>
        </w:rPr>
        <w:t>背景</w:t>
      </w:r>
    </w:p>
    <w:p>
      <w:pPr>
        <w:pStyle w:val="256"/>
        <w:spacing w:line="360" w:lineRule="auto"/>
        <w:rPr>
          <w:rFonts w:hint="eastAsia" w:ascii="仿宋" w:hAnsi="仿宋" w:eastAsia="仿宋" w:cs="仿宋"/>
          <w:szCs w:val="21"/>
        </w:rPr>
      </w:pPr>
      <w:r>
        <w:rPr>
          <w:rFonts w:hint="eastAsia" w:ascii="仿宋" w:hAnsi="仿宋" w:eastAsia="仿宋" w:cs="仿宋"/>
          <w:szCs w:val="21"/>
        </w:rPr>
        <w:t>“枫桥经验”是我国基层社会治理的一面旗帜，六十年来历久弥新、经久不衰，在传承创新中不断发挥典范作用。党的十八大以来，习近平总书记提出了一系列社会治理的新理念新思想新战略，特别是对坚持发展“枫桥经验”作出重要指示，要求把“枫桥经验”坚持好、发展好，把党的群众路线坚持好、贯彻好。</w:t>
      </w:r>
    </w:p>
    <w:p>
      <w:pPr>
        <w:pStyle w:val="256"/>
        <w:spacing w:line="360" w:lineRule="auto"/>
        <w:rPr>
          <w:rFonts w:hint="eastAsia" w:ascii="仿宋" w:hAnsi="仿宋" w:eastAsia="仿宋" w:cs="仿宋"/>
          <w:szCs w:val="21"/>
        </w:rPr>
      </w:pPr>
      <w:r>
        <w:rPr>
          <w:rFonts w:hint="eastAsia" w:ascii="仿宋" w:hAnsi="仿宋" w:eastAsia="仿宋" w:cs="仿宋"/>
          <w:szCs w:val="21"/>
        </w:rPr>
        <w:t>党的十九届四中全会指出要“坚持和发展新时代‘枫桥经验’，畅通和规范群众诉求表达、利益协调、权益保障通道，完善信访制度，完善人民调解、行政调解、司法调解联动工作体系，健全社会心理服务体系和危机干预机制，完善社会矛盾纠纷多元预防调处化解综合机制，努力将矛盾化解在基层”。</w:t>
      </w:r>
    </w:p>
    <w:p>
      <w:pPr>
        <w:pStyle w:val="256"/>
        <w:spacing w:line="360" w:lineRule="auto"/>
        <w:rPr>
          <w:rFonts w:hint="eastAsia" w:ascii="仿宋" w:hAnsi="仿宋" w:eastAsia="仿宋" w:cs="仿宋"/>
          <w:szCs w:val="21"/>
        </w:rPr>
      </w:pPr>
      <w:r>
        <w:rPr>
          <w:rFonts w:hint="eastAsia" w:ascii="仿宋" w:hAnsi="仿宋" w:eastAsia="仿宋" w:cs="仿宋"/>
          <w:szCs w:val="21"/>
        </w:rPr>
        <w:t>2022年浙江省人民政府发布的《关于深化数字政府建设的实施意见》中明确坚持和发展新时代“枫桥经验”，提出构建协同闭环的数字化社会治理体系的目标，推动社会治理模式从单向管理转向双向互动、从线下转向线上线下融合，完善风险预警防控体系，着力提升社会治理各领域的数字化治理能力。</w:t>
      </w:r>
    </w:p>
    <w:p>
      <w:pPr>
        <w:pStyle w:val="256"/>
        <w:spacing w:line="360" w:lineRule="auto"/>
        <w:rPr>
          <w:rFonts w:hint="eastAsia" w:ascii="仿宋" w:hAnsi="仿宋" w:eastAsia="仿宋" w:cs="仿宋"/>
          <w:szCs w:val="21"/>
        </w:rPr>
      </w:pPr>
      <w:r>
        <w:rPr>
          <w:rFonts w:hint="eastAsia" w:ascii="仿宋" w:hAnsi="仿宋" w:eastAsia="仿宋" w:cs="仿宋"/>
          <w:szCs w:val="21"/>
        </w:rPr>
        <w:t>202</w:t>
      </w:r>
      <w:r>
        <w:rPr>
          <w:rFonts w:hint="eastAsia" w:ascii="仿宋" w:hAnsi="仿宋" w:eastAsia="仿宋" w:cs="仿宋"/>
          <w:szCs w:val="21"/>
          <w:lang w:val="en-US" w:eastAsia="zh-CN"/>
        </w:rPr>
        <w:t>4</w:t>
      </w:r>
      <w:r>
        <w:rPr>
          <w:rFonts w:hint="eastAsia" w:ascii="仿宋" w:hAnsi="仿宋" w:eastAsia="仿宋" w:cs="仿宋"/>
          <w:szCs w:val="21"/>
        </w:rPr>
        <w:t>年在迭代后的省数字化改革一本帐S</w:t>
      </w:r>
      <w:r>
        <w:rPr>
          <w:rFonts w:hint="eastAsia" w:ascii="仿宋" w:hAnsi="仿宋" w:eastAsia="仿宋" w:cs="仿宋"/>
          <w:szCs w:val="21"/>
          <w:lang w:val="en-US" w:eastAsia="zh-CN"/>
        </w:rPr>
        <w:t>4</w:t>
      </w:r>
      <w:r>
        <w:rPr>
          <w:rFonts w:hint="eastAsia" w:ascii="仿宋" w:hAnsi="仿宋" w:eastAsia="仿宋" w:cs="仿宋"/>
          <w:szCs w:val="21"/>
        </w:rPr>
        <w:t>中，新增一项重大改革：创新发展新时代“枫桥经验”。社会矛盾风险防范化解应用(数智枫桥)</w:t>
      </w:r>
      <w:r>
        <w:rPr>
          <w:rFonts w:hint="eastAsia" w:ascii="仿宋" w:hAnsi="仿宋" w:eastAsia="仿宋" w:cs="仿宋"/>
          <w:szCs w:val="21"/>
          <w:lang w:val="en-US" w:eastAsia="zh-CN"/>
        </w:rPr>
        <w:t>作</w:t>
      </w:r>
      <w:r>
        <w:rPr>
          <w:rFonts w:hint="eastAsia" w:ascii="仿宋" w:hAnsi="仿宋" w:eastAsia="仿宋" w:cs="仿宋"/>
          <w:szCs w:val="21"/>
        </w:rPr>
        <w:t>为此项重大改革的支撑应用。牵头单位为省委政法委、绍兴作为省委政法委明确的唯一协同地市。</w:t>
      </w:r>
    </w:p>
    <w:p>
      <w:pPr>
        <w:pStyle w:val="256"/>
        <w:spacing w:line="360" w:lineRule="auto"/>
        <w:rPr>
          <w:rFonts w:hint="eastAsia" w:ascii="仿宋" w:hAnsi="仿宋" w:eastAsia="仿宋" w:cs="仿宋"/>
          <w:szCs w:val="21"/>
        </w:rPr>
      </w:pPr>
      <w:r>
        <w:rPr>
          <w:rFonts w:hint="eastAsia" w:ascii="仿宋" w:hAnsi="仿宋" w:eastAsia="仿宋" w:cs="仿宋"/>
          <w:szCs w:val="21"/>
        </w:rPr>
        <w:t>“绍兴市始终以党的二十大报告中关于在社会基层坚持和发展 新时代“枫桥经验”的重要论述为指引,肩负“枫桥经验 ”发源地的 使命,坚持运用法治思维和法治方式解决社会矛盾纠纷和各类问题, 依托“一中心、 四平台、一网格”基层治理体系,打造 “数智枫桥” 综合集成应用,通过制度改革、 业务重塑和图库整合,不断提高社会 治理科学化、社会化、法治化、智能化水平。万人成诉率持续下降, 民转刑案件数有效减少,信访事项办理质效明显提升。</w:t>
      </w:r>
    </w:p>
    <w:p>
      <w:pPr>
        <w:pStyle w:val="256"/>
        <w:numPr>
          <w:ilvl w:val="-1"/>
          <w:numId w:val="0"/>
        </w:numPr>
        <w:spacing w:line="360" w:lineRule="auto"/>
        <w:ind w:left="0" w:firstLine="0" w:firstLineChars="0"/>
        <w:outlineLvl w:val="0"/>
        <w:rPr>
          <w:rFonts w:hint="eastAsia" w:ascii="仿宋" w:hAnsi="仿宋" w:eastAsia="仿宋" w:cs="仿宋"/>
          <w:b/>
          <w:bCs/>
          <w:szCs w:val="21"/>
        </w:rPr>
      </w:pPr>
      <w:r>
        <w:rPr>
          <w:rFonts w:hint="eastAsia" w:ascii="仿宋" w:hAnsi="仿宋" w:eastAsia="仿宋" w:cs="仿宋"/>
          <w:b/>
          <w:bCs/>
          <w:szCs w:val="21"/>
          <w:lang w:val="en-US" w:eastAsia="zh-CN"/>
        </w:rPr>
        <w:t>二、服务</w:t>
      </w:r>
      <w:r>
        <w:rPr>
          <w:rFonts w:hint="eastAsia" w:ascii="仿宋" w:hAnsi="仿宋" w:eastAsia="仿宋" w:cs="仿宋"/>
          <w:b/>
          <w:bCs/>
          <w:szCs w:val="21"/>
        </w:rPr>
        <w:t>要求</w:t>
      </w:r>
    </w:p>
    <w:p>
      <w:pPr>
        <w:pStyle w:val="256"/>
        <w:spacing w:line="360" w:lineRule="auto"/>
        <w:rPr>
          <w:rFonts w:hint="eastAsia" w:ascii="仿宋" w:hAnsi="仿宋" w:eastAsia="仿宋" w:cs="仿宋"/>
          <w:color w:val="000000"/>
          <w:szCs w:val="21"/>
        </w:rPr>
      </w:pPr>
      <w:r>
        <w:rPr>
          <w:rFonts w:hint="eastAsia" w:ascii="仿宋" w:hAnsi="仿宋" w:eastAsia="仿宋" w:cs="仿宋"/>
          <w:szCs w:val="21"/>
        </w:rPr>
        <w:t>绍兴市社会矛盾风险防范化解“数智枫桥”综合集成应用项目,按照 “1233”的整体思路,牢牢把握两个不变的原则,做深做实平安法治 平台,聚焦矛盾风险治理和社会治理一张图,优化指挥调度、专题晾晒、 风险研判等实战功能,筑牢应用贯通、数据归集、组建能力等技 术底座,为加快构建矛盾纠纷多元化解、平安稳定、市域社会治理三 大工作体系提供更多数智支撑。</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一）坚持线上线下主干不变。实现省、市、县、镇、村（网格）五级双向贯通、横向协同，以县级社会治理中心为中枢，镇、村两级社会治理中心为主阵地。线上线下以“浙江解纷码”、基层智治综合应用为主干。</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二）夯实平安法治平台。做强平安综治、监管执法、应急管理、法治宣传等四条子跑道，健全完善平安法治平台业务，助力实现全市平安法治业务全流程在线，跨部门、跨领域、跨层级全链条联动，着力构建一个功能集成、扁平一体、处置高效、执行有力的一体化平台，有效支撑市、县、镇、村社会治理实体化运行，为基层减负、赋能、提效。</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（三）重点突出防范预想和预警监测，从基础统计、管理决策、风险感知等多维度开发分险研判平台，完善重大决策风险评估功能，建立科学化矛盾风险防范体系，着力提升风险分析能力、决策辅助支撑能力。</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（四）建立平时为掌，战时为拳的平战一体指挥体系。畅通综合信息指挥链，强化日常调度；聚焦平安稳定工作体系，完善等级响应、双想会商等场景。</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（五）构建以除险保安和平安建设为核心内容的晾晒板块，对照平安建设四大指标体系，实现预期性指标、过程性指标、结果性指标全过程、多维度纵横比对，一屏掌握工作，一图分析不足，一键下令整改。</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六）建立适用多业务场景的矛盾纠纷化解兜底一件事处置闭环流程。一键受理纠纷处置分派诉求，高效便民；简单事项快速处置，或分派专业力量办理；专业事项根据矛盾纠纷分类协同专项部门处置；复杂事项多方衔接联合专班兜底化解。</w:t>
      </w:r>
    </w:p>
    <w:p>
      <w:pPr>
        <w:pStyle w:val="256"/>
        <w:spacing w:line="360" w:lineRule="auto"/>
        <w:rPr>
          <w:rFonts w:hint="eastAsia" w:ascii="仿宋" w:hAnsi="仿宋" w:eastAsia="仿宋" w:cs="仿宋"/>
          <w:color w:val="000000"/>
          <w:szCs w:val="21"/>
        </w:rPr>
      </w:pPr>
      <w:r>
        <w:rPr>
          <w:rFonts w:hint="eastAsia" w:ascii="仿宋" w:hAnsi="仿宋" w:eastAsia="仿宋" w:cs="仿宋"/>
          <w:color w:val="000000"/>
          <w:szCs w:val="21"/>
        </w:rPr>
        <w:t>（七）建立应用支撑能力中心，为上端业务应用提供支撑和赋能，基于微服务框架，采用解耦、支持组件能力可拔插形式形成的平台底座。市级层面统筹建设业务流程引擎中心、自助数据可视化分析等基础应用服务，为绍兴市社会矛盾风险防范化解“数智枫桥”综合集成应用建设提供基础性平台支撑。</w:t>
      </w:r>
    </w:p>
    <w:p>
      <w:pPr>
        <w:pStyle w:val="256"/>
        <w:numPr>
          <w:ilvl w:val="-1"/>
          <w:numId w:val="0"/>
        </w:numPr>
        <w:spacing w:line="360" w:lineRule="auto"/>
        <w:ind w:left="0" w:firstLine="0" w:firstLineChars="0"/>
        <w:outlineLvl w:val="0"/>
        <w:rPr>
          <w:rFonts w:hint="default" w:ascii="仿宋" w:hAnsi="仿宋" w:eastAsia="仿宋" w:cs="仿宋"/>
          <w:b/>
          <w:bCs/>
          <w:color w:val="auto"/>
          <w:szCs w:val="21"/>
          <w:highlight w:val="none"/>
          <w:lang w:val="en-US" w:eastAsia="zh-CN"/>
        </w:rPr>
      </w:pPr>
      <w:r>
        <w:rPr>
          <w:rFonts w:hint="eastAsia" w:ascii="仿宋" w:hAnsi="仿宋" w:eastAsia="仿宋" w:cs="仿宋"/>
          <w:b/>
          <w:bCs/>
          <w:color w:val="auto"/>
          <w:szCs w:val="21"/>
          <w:highlight w:val="none"/>
          <w:lang w:val="en-US" w:eastAsia="zh-CN"/>
        </w:rPr>
        <w:t>三、服务清单</w:t>
      </w:r>
    </w:p>
    <w:tbl>
      <w:tblPr>
        <w:tblStyle w:val="62"/>
        <w:tblW w:w="57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409"/>
        <w:gridCol w:w="1188"/>
        <w:gridCol w:w="1056"/>
        <w:gridCol w:w="1270"/>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序号</w:t>
            </w:r>
          </w:p>
        </w:tc>
        <w:tc>
          <w:tcPr>
            <w:tcW w:w="686"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项目内容</w:t>
            </w:r>
          </w:p>
        </w:tc>
        <w:tc>
          <w:tcPr>
            <w:tcW w:w="57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w:t>
            </w:r>
          </w:p>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模块</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二级</w:t>
            </w:r>
          </w:p>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模块</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三级</w:t>
            </w:r>
          </w:p>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模块</w:t>
            </w:r>
          </w:p>
        </w:tc>
        <w:tc>
          <w:tcPr>
            <w:tcW w:w="221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数智枫桥驾驶舱建设</w:t>
            </w: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数智枫桥驾驶舱首屏</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平安法治（省级数据贯通获取）</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概况数据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展示平安法治事件总量、任务总量、诉求总量、案件总量，数据统计截止到昨日</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平安综治</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【全量事件】展示本年事件量，事件量同比去年百分比，今年事件办理平均用时，今年事件类型分布情况，研判分析</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【网格管理】展示辖区网格总数、网格人员数、参与学习数、网格学习覆盖率</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【矛盾纠纷】展示矛盾纠纷年度案件量、矛盾调处年度办结量、调处办结率、top3矛盾纠纷类型</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应急管理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【防汛防台】展示重点防洪镇街数、受灾镇街数、影响我市台风数</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【森林防灭火】展示火灾事件数、火险等级分布</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【安全生产】事故数、事故同比、事故环比、事故等级分布</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监督执法</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【概况数据】展示检查计划执行率、协同执法响应率、线索研判处置率</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【行政许可】告知承诺办件、告知承诺履约率、证后核查办件、证后核查处置率</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【行政检查】检查总数、跨部门联合检查、辖区行政检查分布情况</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【行政处罚】总案件数、简易程序／普通程序占比、综合执法／专业执法／乡镇执法比例</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【行政监管】许可办证问题、监督检查问题、处罚办案问题、监督通知书</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法治宣传</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【宣传途径】宣传总数、微信宣传／微博宣传／抖音宣传／头条宣传</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【粉丝引流】粉丝总数、微信粉丝／微博粉丝／头条粉丝／抖音粉丝</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【内容榜单】标题、排行榜、查看频次</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【宣传文章】宣传文章标题、单位、日期展示，支持文章详情查看。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实战指挥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平战一体</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展示管控力量数、全市预案库储备、接入摄像头总数、平均处置时长、指挥事件数、总参与人数、平均响应时长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风险研判</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支持展示重点人、重点物、重点敏感事、重点目标、重点行业等风险预警信息，分级分类进行统计分析。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专题晾晒</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【除险保安】展示政治安全、公共安全、网络安全、社会治安、社会矛盾情况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【平安建设】展示结果指标、专项工作、暗访指标、奖励性指标、评价性指标情况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风险研判专题驾驶舱</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五大重点风险隐患</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概况数据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展示辖区摸排总量、总处置数、总处置率；新增摸排总量、新增总处置数、新增总处置率；摸排存量、存量处置数、存量处置率</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五大重点风险分类</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展示重点人、重点敏感类事件、重点目标、重点物、重点行业的事件数、占比，辖区分布</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五大重点风险隐患一级分类统计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传统行业、新兴行业、低空飞行物、危化/剧毒/易制毒/放射等物品、易制爆物品、重点单位/重点交通枢纽和重点基础设施等重点目标、特殊社会人群、涉稳重点人、管制枪爆物品、涉政重点人、邻里矛盾纠纷、亚运会比赛场地/驻地宾馆周边重点目标等摸排总量、总处置数、总处置率</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风险隐患统计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展示辖区风险等级中、高的风险隐患数环比、占比</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高发镇街Top5</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展示风险隐患高发镇街Top5。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各地区重点风险化解排名</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展示各地区重点风险化解排名，化解数、环比</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除险保安专题驾驶舱</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电子专报档案馆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展示每月除险保安各类专报主题。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电子专报在线查看</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电子专报在线查看，通过电子翻书效果，查看专报。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电子专报上下架管理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电子专报上下架管理。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平安建设专题驾驶舱</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当年平安考核分析驾驶舱</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预估分数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显示市本级、县市区目前最新的预估分数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大市控制指标落实情况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显示大市各项指标落实情况、如果超过控制值，显示为红色</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大市结果性指标扣分情况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显示大市结果性指标的扣分情况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地图预警</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显示总分、五项指标、平安指数三色预警</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平安指数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显示本市和各区县分数、省级排名、每个地区最近半年的指数情况，本级较差二级指标等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县市区控制指标落实情况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显示县市区每项县市区控制性指标的控制情况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亮灯警示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显示各地区亮点警示指标</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挂牌整治</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显示地区被挂牌整治名单</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历年平安考核分析驾驶舱</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考核成绩</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显示历年考核成绩、最高荣誉、最好成绩等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五大指标数据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按单年，按最近三年显示五项指标的扣分情况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扣分重点领域</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显示各地区的扣分重点领域</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地图预警</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显示所选年份的总分、五项指标分值预警</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创新亮点</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显示区域创新亮点内容</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平安三率</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显示平安三率扣分情况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县市区历年考核成绩</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显示县市区所选年度考核成绩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县市区荣誉榜</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显示所选县市区最高荣誉、目前为止获得的最好名次，其他荣誉等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矛盾风险治理专题驾驶舱</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中心运行驾驶舱</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受理情况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展示绍兴市下辖各个区县矛调总事件量，下辖</w:t>
            </w:r>
            <w:r>
              <w:rPr>
                <w:rFonts w:hint="eastAsia" w:ascii="仿宋" w:hAnsi="仿宋" w:eastAsia="仿宋" w:cs="仿宋"/>
                <w:color w:val="000000"/>
                <w:kern w:val="0"/>
                <w:sz w:val="24"/>
                <w:szCs w:val="24"/>
                <w:lang w:val="en-US" w:eastAsia="zh-CN"/>
              </w:rPr>
              <w:t>区域</w:t>
            </w:r>
            <w:r>
              <w:rPr>
                <w:rFonts w:hint="eastAsia" w:ascii="仿宋" w:hAnsi="仿宋" w:eastAsia="仿宋" w:cs="仿宋"/>
                <w:color w:val="000000"/>
                <w:kern w:val="0"/>
                <w:sz w:val="24"/>
                <w:szCs w:val="24"/>
              </w:rPr>
              <w:t>的事件量</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处置流向</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内部调解窗口处置的事件量、诉前窗口处置的事件量、法律援助窗口处置的事件量、信访窗口+纪委窗口+公安信访+检察院信访处置的事件量、商事仲裁窗口处置的事件量、基层治理窗口处置的事件量、法院立案(民商)窗口处置的事件量、人社窗口处置的事件量、行政复议窗口处置的事件量、交办到镇街处置的事件量、协同到浙江解纷码处置的事件量、协同到部门处置的事件量</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新增时间分布</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展示各区县/区县矛调中心/镇街每天新增的事件数量统计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纠纷类型情况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展示市级/区县/区县矛调中心/镇街纠纷事件量按照类型排名,显示top7；top7各类型纠纷事件量的平均办结时长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调解卷宗情况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展示市级/区县/区县矛调中心/镇街无附件的纠纷事件量/纠纷总事件量、1个附件的纠纷事件量/纠纷总事件量、2个附件的纠纷事件量/纠纷总事件量、3个及以上附件的纠纷事件量/纠纷总事件量</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录入质量情况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展示市级/区县/区县矛调中心/镇街10字以下的事件量/总事件量，20字及以上且50字以下的事件量/总事件量，50字及以上事件量/总事件量</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超期办理情况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展示区县/区县矛调中心/镇街超过办理时限办结的事件量，超期办结量/总事件量</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调解失败情况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展示区县/区县矛调中心/镇街调解失败的纠纷事件量，调解失败的纠纷事件量/纠纷总事件量</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中心运行分析报告</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析报告开发】开发绍兴市中心运行一张图分析报告，将受理情况/处置流向/新增事件分布/纠纷类型情况/调解卷宗情况/录入质量情况/超期办理情况/调解失败情况，按需转换成图表或表单，配以文字的形式，生成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【分析报告自动化生成】支持通过自动化生成的方式，生成中心运行分析报告。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【分析报告在线预览】支持在中心运行一张图上进行分析报告的在线预览功能。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【分析报告下载】支持在中心运行一张图驾驶舱对分析报告进行下载。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风险预警驾驶舱</w:t>
            </w:r>
          </w:p>
        </w:tc>
        <w:tc>
          <w:tcPr>
            <w:tcW w:w="61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风险预警指标</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【群体事件】以群体事件为指标，按市级、区县级统计数据，并可展示列表信息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highlight w:val="none"/>
              </w:rPr>
              <w:t>【危险行为】以危险行为为指标，按市级、区县级统计数据，并可展示列表信息</w:t>
            </w:r>
            <w:r>
              <w:rPr>
                <w:rFonts w:hint="eastAsia" w:ascii="仿宋" w:hAnsi="仿宋" w:eastAsia="仿宋" w:cs="仿宋"/>
                <w:color w:val="000000"/>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【欠薪讨薪】以欠薪讨薪为指标，按市级、区县级统计数据，并可展示列表信息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【债务纠纷】以债务纠纷为指标，按市级、区县级统计数据，并可展示列表信息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【涉反社会行为】以涉反社会行为为指标，按市级、区县级统计数据，并可展示列表信息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【扬言进京上访】以扬言进京上访为指标，按市级、区县级统计数据，并可展示列表信息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【群体上访】以群体上访为指标，按市级、区县级统计数据，并可展示列表信息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【扬言极端】以扬言极端为指标，按市级、区县级统计数据，并可展示列表信息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【校园暴力】以校园暴力为指标，按市级、区县级统计数据，并可展示列表信息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【电信诈骗】以电信诈骗为指标，按市级、区县级统计数据，并可展示列表信息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风险预警指标上图</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【群体事件】以群体事件为指标，在地图上通过柱状图的形式进行上图展示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【危险行为】以危险行为为指标，在地图上通过柱状图的形式进行上图展示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【欠薪讨薪】以欠薪讨薪为指标，在地图上通过柱状图的形式进行上图展示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【债务纠纷】以债务纠纷为指标，在地图上通过柱状图的形式进行上图展示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【涉反社会行为】以涉反社会行为为指标，在地图上通过柱状图的形式进行上图展示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【扬言进京上访】以扬言进京上访为指标，在地图上通过柱状图的形式进行上图展示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【群体上访】以群体上访为指标，在地图上通过柱状图的形式进行上图展示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【扬言极端】以扬言极端为指标，在地图上通过柱状图的形式进行上图展示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【校园暴力】以校园暴力为指标，在地图上通过柱状图的形式进行上图展示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【电信诈骗】以电信诈骗为指标，在地图上通过柱状图的形式进行上图展示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工作预想</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【纠纷预测类型分布】通过饼图的方式展示各纠纷类型的预测分布，并显示百分占比</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【纠纷数量预测趋势】通过折线图的方式展示各区县未来的预测趋势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【预测预警】通过列表的方式展示预测预警的发生地点、发生时间、发生类型信息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【纠纷预测类型数量排行】通过排行榜的方式展示各纠纷类型的数量信息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【纠纷预测热力图】通过热力图的方式在地图上展示区县的纠纷预测热度和数量情况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矛盾分析驾驶舱</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矛盾纠纷晾晒</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通过详细的表格形式展示了每个地区每种的纠纷化解情况，包含纠纷事件数、化解数、化解率。可根据省28+x、中央8+x，2种分类规则，进行查看</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总量及化解率环比分析</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通过图表分析，展示每个区县在上月和上上月的矛盾纠纷数量环比，化解率环比</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区县总体分析</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通过详细的表格，对每个街道，分析环比上升前三和环比下降前三的纠纷类型</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全量矛盾风险数据分析月报表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【本年度总体情况】展示本年度的矛盾纠纷总量，分区域分来源展示纠纷总数，纠纷化解率，纠纷占比；各区域万人纠纷发生情况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【月度总体情况】展示上月的矛盾纠纷总量，分区域分来源展示纠纷总数，纠纷化解率，纠纷占比；各区域万人纠纷发生情况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【主要矛盾纠纷类型分析】展示全市各类别矛盾纠纷的数量、占比、排序、环比、化解率、排序；以及各类矛盾排名最高的区县、环比最高的区县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【TOP5矛盾纠纷详细分析】详细分析矛盾最多的5个类型下，各个区县的数量和化解率，并按数量进行排序和分析</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【重点关注事件】展示上个月重点事件预警情况，包含欠薪讨薪批注、电信诈骗、扬言极端、群体事件、涉反社会、债务纠纷、校园暴力、危险行为等，并对每一类重点预警情况，进行区县分析和排名晾晒</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vMerge w:val="continue"/>
            <w:noWrap w:val="0"/>
            <w:vAlign w:val="center"/>
          </w:tcPr>
          <w:p>
            <w:pPr>
              <w:widowControl/>
              <w:jc w:val="left"/>
              <w:rPr>
                <w:rFonts w:hint="eastAsia" w:ascii="仿宋" w:hAnsi="仿宋" w:eastAsia="仿宋" w:cs="仿宋"/>
                <w:color w:val="000000"/>
                <w:kern w:val="0"/>
                <w:sz w:val="24"/>
                <w:szCs w:val="24"/>
              </w:rPr>
            </w:pP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【重点关注人员】展示上个月重点人员预警情况，跟进重点人员的行为轨迹，形成潜在风险、隐患风险、激发风险三个风险发展阶段进行预警分析</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并详细分析各区县的情况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全量库可视化专题驾驶舱</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数据汇聚情况</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部门数据质量</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通过柱状图的形式展现各部门数据质量情况，有高、中、低三个等级；数据质量得分=更新量指数*更新频率指数*更新时间指数。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部门数据归集情况</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细介绍各部门的数据归集总量、汇聚目录、汇聚指标、总体数据质量、高质量目录数、中质量目录数、低质量目录数。以表格形式详细介绍各目录数据的目录中文名、归集总量、最近一次更新量、最新一次更新时间、目录质量、数据质量得分、更新数据量指数、更新延迟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数据治理情况</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部门数据治理概况</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以表格的形式展现各部门部门角度的事件事件数、涉及人数、涉及企业数、最近一次发生日期。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各部门数据治理详情</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展示部门的总事件事件量、涉及人数、涉及组织数、最近一次事件发生日期；其次，及以下二个治理分析：</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1、事件来源分析：从事件来源角度，展现部门的事件事件数、涉及人数、涉及组织数、近三个月事件事件量、上月事件环比及事件事件新增月趋势图。</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2、事件分类分析：从事件分类角度，展现部门的事件事件、涉及人数、涉及组织数、近三个月事件事件量及上月事件环比。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矛盾事件处置情况</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事件受理分析</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1、事件受理概况</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主要展示本年度事件总受理数、受理率。</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2、二级弹窗-事件受理详情</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反映全市及各区县的事件总量、受理量、受理率、化解率及本年度矛盾事件月度趋势。</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3、三级弹窗：月度事件受理情况</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简述本月总事件事件数、环比变化情况、受理率，以及表现优异的区县情况和需要关注的区县情况，并从以下两个方面进行详细分析：</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①</w:t>
            </w:r>
            <w:r>
              <w:rPr>
                <w:rFonts w:hint="eastAsia" w:ascii="仿宋" w:hAnsi="仿宋" w:eastAsia="仿宋" w:cs="仿宋"/>
                <w:color w:val="000000"/>
                <w:kern w:val="0"/>
                <w:sz w:val="24"/>
                <w:szCs w:val="24"/>
              </w:rPr>
              <w:t>图表分析：以柱状图的形式展现全市及各区县的事件总量、受理量及环比变化</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②</w:t>
            </w:r>
            <w:r>
              <w:rPr>
                <w:rFonts w:hint="eastAsia" w:ascii="仿宋" w:hAnsi="仿宋" w:eastAsia="仿宋" w:cs="仿宋"/>
                <w:color w:val="000000"/>
                <w:kern w:val="0"/>
                <w:sz w:val="24"/>
                <w:szCs w:val="24"/>
              </w:rPr>
              <w:t>表格分析：以表格的形式展现全市及各区县的本月研判情况及环比变化</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事件化解分析</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1、事件化解概况</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主要反映本年度事件总化解数、化解率。</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2、二级弹窗-事件化解详情</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以表格的形式展现全市每月的事件总化解率、村社、镇街及区县化解率占比；此外，以柱状图的形式，从月份、区县两个维度展现村社化解率、乡镇化解率、区县化解率及未化解率占比情况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事件类型分布情况</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1、分布概况</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以饼图的形式展现各类型事件的分布情况及各类型事件的数量。</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2、二级弹窗-事件分类分析</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主要以表格的形式详细展示每月各类型事件的总量、总量环比、受理量、受理量环比、受理率、受理率环比、化解量、化解量环比、化解率、化解率环比情况。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年度事件人员及重点关注人员分析</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1、分析总览</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主要介绍本年度事件人员数及重点关注人员数。</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2、二级弹窗-人员特征一张像</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从户籍、婚姻状况、年龄、学历分布情况，反映事件人员情况，并以表格的形式呈现出重点关注人员、一人多事事件明细</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事件人员户籍分布：主要展现事件人员中流动人口、常住人口的占比情况</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事件人员婚姻状况分布：分析事件人员的已婚、未婚、离异情况</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事件人员年龄分布：分析事件人员各年龄段的分布情况。</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事件人员学历分布：主要分析事件人员在小学、初中、高中、大专、本科不同学历的分布</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重点关注人员月度趋势：以表格的形式展现重点关注人员的姓名、重点特征、人员属地、最近一次事件、处置结果、时间</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一人多事件明细：以表格的形式展现一人多事事件人员的姓名、今年矛盾事件事件数量、涉及区县、最近一次矛盾事件、最近一次地址、是否异地、时间</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矛盾纠纷地图总览</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数据概览</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数据总览：展现累计清洗数量、归集部门数、总数据项、事件事件数、更新时间。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本年度事件人数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1、月度：展现本年度各月份事件人数。</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2、任意时间段：可查询本年度任意时间段的事件人数。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本年度事件事件</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1、月度：展现本年度各月份事件事件数。</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2、任意时间段：可查询本年度任意时间段的事件事件数。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本年度事件组织</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1、月度：展现本年度各月份事件组织数。</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2、任意时间段：可查询本年度任意时间段的事件组织数。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矛盾纠纷研判指标</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化解分析</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1、化解分析柱状图</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主要介绍全市及各区县的就地化解率、首次化解率情况</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2、二级弹窗-全市及各区县的化解率趋势分析</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1）年趋势图：展现就地化解率、首次化解率的年度变化趋势</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2）月趋势图：展现就地化解率、首次化解率的月度变化趋势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万人事件率</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1、万人事件率柱状图</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主要介绍全市及各区县的万人事件率情况</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2、二级弹窗-全市及各区县的万人事件率</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趋势分析</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1）年趋势图：展现万人事件率的年度变化趋势</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2）月趋势图：展现万人事件率的月度变化趋势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枫景图</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【地区分布图】展示辖区新时代枫桥经验辖区分布</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【市级单位榜】展示辖区各市级单位榜</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【亮点分类】展示党建统领、人民主体、四治融合、四防并举、共建共享情况</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【视频案例】展示新时代枫桥经验优秀视频案例</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【示范案例】展示新时代枫桥经验优秀示范案例。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96</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平安综治平台</w:t>
            </w: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平安综治事件中心</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PC端事件中心</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对接工作</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支持特定事件来源数据对接，同时对处置结果可进行协同反馈给来源方</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支持数据列表处置相关操作自定义快捷配置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数据预览</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支持数据列表预览详情，可查看事件相关内容</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线下来访页面</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支持人工新增线下来访数据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附件上传/预览</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支持附件上传和预览功能</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数据修改</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支持对已产生的事件数据进行修改</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数据详情</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支持查看事件数据详情，并可在详情中对事件进行处置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高级搜索</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支持自定义条件进行搜索，支持单号，分类，来源，创建人等条件</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列表字段自定义</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支持列表中事件标题，事件分类，事件单号，创建人，来源等字段自定义展示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处置流转功能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支持数据在不同的对象之间进行流转，并做记录</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个性表单自定义</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支持事件不同层级，不同来源，不同分类的操作表单自定义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步骤操作功能自定义</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支持事件不同层级，不同来源，不同分类的流程操作功能自定义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签名功能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支持处置意见上传个人签名</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109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流程单导出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支持流程单导出自定义个人签名</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自动生成word功能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支持详情导出为word文档</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数据同步</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与四平台特定事件来源数据实时同步</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地址查询</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支持地址模糊查询，并在地图上标注点位</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网格反查</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支持根据所填地址或地图选点，精确定位网格区域</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移动端事件中心</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处置流转功能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支持移动端数据流转</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数据详情</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支持查看事件数据详情，并可在详情中对事件进行处置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116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支持数据列表处置相关操作自定义快捷配置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117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平安综治组织人员管理</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组织、人员管理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综治子跑道开发建设组织人员管理功能，实现对社会治理中心、乡镇（街道）平安法治平台、基层网格、社会力量等组织、人员信息的统一管理，并可对力量配置情况进行统计分析；新增人员平安法治平台标签，对乡镇（街道）平安法治平台工作人员进行标识，实现对县、乡两级平安法治平台组织、人员的“一体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18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省平安法治专项数据推送</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“民转刑”数据指标推送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根据省里要求，推送“民转刑”明细数据、统计数据指标给到省平安法治。主要实施改造工作包括：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119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网格信息推送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网格信息推送：农村网格、社区网格数据推送；网格队伍信息推送，包括网格长、网格指导员，专职网格员、兼职网格员；网格员巡查轨迹对接接口。主要实施改造工作包括：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120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流口数据推送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流口数据推送省平安法治。主要实施改造工作包括：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出租房数据推送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出租房数据推送省平安法治。主要实施改造工作包括：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重点人员推送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重点人员推送省平安法治。主要实施改造工作包括：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重点场所数据</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重点场所数据推送至省平安法治。主要实施改造工作包括：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宣传任务推送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获取省宣传任务接口对接，推送宣传任务到省平安法治。主要实施改造工作包括：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巡查任务推送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获取省巡查任务接口对接，推送巡查任务到省平安法治。主要实施改造工作包括：</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1、按省平安法治组织机构编码清洗系统数据、与系统组织机构映射对应关系</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2、按省平安法治接口标准，清洗字典数据、数据类型转换、字段映射等</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3、推送失败数据人工排查、核对、清洗、重新推送等。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线培训功</w:t>
            </w:r>
          </w:p>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能与浙政钉“掌上基层”功能对接融合</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平安实训部署对接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网格员在线培训功能（移动端）将采用单点登录方式嵌入各设区市“掌上基层”，功能名称为“平安实训”</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矛调应用对接</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ODR对接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派发调解组织</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在基层智治平台的镇街矛调应用的专窗受理环节，开发查询解纷码镇街层级调解组织，并将事项派发至镇街层级的调解组织进行调解的功能。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调解结果回传接收</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浙江解纷码的调解组织在调解完毕以后，将调解结果同步给镇街矛调，由镇街矛调应用进行事项办结。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29</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风险研判平台</w:t>
            </w: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全量风险</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全量风险起底细化清单</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支持全量风险起底细化清单列表展示，包括清单名称、填报时间、填报部门、填报方式；</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支持全量风险起底细化清单详情查看，包括全量风险的一级风险、二级风险、摸排总量、总处置数、总处置率、新增摸排总量、新增处置数、新增处置率、摸排存量、存量处置数、存量处置率；</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支持全量风险起底细化清单的导入、导出，按填报日期查询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全量风险起底清单</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支持全量风险起底清单列表展示，包括风险类型、风险项目、主要风险内容、风险情况、是否化解、填报部门、填报时间；</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支持全量风险起底清单详情查看、编辑，包括风险类型、风险项目、风险情况、风险内容、是否化解、所属街道、责任部门、地址；</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支持全量风险起底清单的导入、导出，按填报日期、风险类别查询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全量风险起底进展表</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支持全量风险起底进度列表展示，包括地区、风险类型、风险总量、摸排总量、总处置数、总处置率、新增摸排总量、新增处置数、新增处置率、摸排存量、存量处置数、存量处置率</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重点风险事件管理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支持重点事件填报列表展示，包括事件名称、事发时间、涉事类型、基本情况、预计办结时间、主管部门、填报时间；</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支持重点事件详情查看、编辑，包括事件编号、事件名称、事发事件、事发地址、涉事类型、主管单位、协管单位、预计办结时间、基本情况；</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支持重点事件导入，按填报日期查询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重点风险人员管理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支持重点人员填报列表展示，包括人员名称、身份证号、性别、反馈频率、管控状态、主管单位、填报时间；</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事件详情查看、编辑，包括基础信息（人员编号、人员姓名、身份证号、性别、年龄、出生日期、民族、政治面貌、户籍所在地、现住地址、工作单位、手机号码、车牌号）、管控信息（反馈频率、管控状态、人员标签、人员类别、列管事由、民族、管控等级、主管单位、协管单位、管控小组、负责人姓名、负责人单位、负责人职务、协管小组）</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支持重点事人员导入，按填报日期查询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重点风险隐患排查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支持重点风险隐患排查列表展示，包括风险类型、二级类型、主要内容、是否化解、责任部门、填报部门、填报时间；</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支持重点风险隐患排查详情查看、编辑，包括风险类别、风险项目、涉及项目、主要内容、风险等级、紧急程度、保密程度、整治化解措施、整治化解时限、完成情况、责任部门、责任人、是否化解；</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支持重点风险隐患排查清单的导入，按填报日期查询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部门填报</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每日要情</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支持每日要情列表展示，包括编号、填报部门、内容对应时间、填报时间；支持每日要情详情查看，包括全市整体情况、预警信息、填报部门、填报时间；支持按创建日期查询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紧急事项上报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支持紧急事项上报列表展示，包括事件单号、事件标题、填报部门、填报时间；支持紧急事项详情查看，包括事件标题、发生时间、事件内容、发生地点、附件、填报部门、填报时间；支持按创建日期查询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双想清单</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支持双想清单列表展示，包括编号、类型、填报部门、内容对应时间、填报时间；支持双想清单详情查看，包括类型、日期、双想标题、双想详细信息、附件、填报部门、填报时间；支持按创建日期、类型查询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会商清单</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支持会商清单列表展示，包括编号、填报部门、填报时间；支持会商清单详情查看，包括会商标题、会商详情、附件、填报部门、填报时间；支持按创建日期查询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39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每日简报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支持每日简报列表展示，包括简报日期、状态、简报下载、精修简报；支持按简报日期、状态查询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14</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填报单位维护</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填报单位列表展示，包括单位名称、要情上报、紧急上报、双想清单、会商清单、状态启动停用；支持新增、修改填报单位信息，包括填报单位、绑定组织、填报内容管理（填报服务名称、是否填报、表单关联）</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14</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检查表配置</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支持检查表图标展示，包括标题、启用时间、设置人、启用、停用；支持检查表详情查看，包括接处警数量、火警数量、火警详情、全市整体情况等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14</w:t>
            </w:r>
            <w:r>
              <w:rPr>
                <w:rFonts w:hint="eastAsia" w:ascii="仿宋" w:hAnsi="仿宋" w:eastAsia="仿宋" w:cs="仿宋"/>
                <w:color w:val="000000"/>
                <w:kern w:val="0"/>
                <w:sz w:val="24"/>
                <w:szCs w:val="24"/>
                <w:lang w:val="en-US" w:eastAsia="zh-CN"/>
              </w:rPr>
              <w:t>2</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平战一体指挥平台</w:t>
            </w: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事件管理</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紧急事件管理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紧急事件受理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对重要紧急事件进行受理，可以查看事件详情、包括处理记录等。支持对事件进行受理、不予受理、调度等的操作。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14</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声光报警</w:t>
            </w:r>
          </w:p>
        </w:tc>
        <w:tc>
          <w:tcPr>
            <w:tcW w:w="2215" w:type="pct"/>
            <w:noWrap w:val="0"/>
            <w:vAlign w:val="center"/>
          </w:tcPr>
          <w:p>
            <w:pPr>
              <w:widowControl/>
              <w:jc w:val="lef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发生新的重要紧急事件后，通过声光报警方式及时提醒指挥大厅人员</w:t>
            </w:r>
            <w:r>
              <w:rPr>
                <w:rFonts w:hint="eastAsia" w:ascii="仿宋" w:hAnsi="仿宋" w:eastAsia="仿宋" w:cs="仿宋"/>
                <w:color w:val="000000"/>
                <w:kern w:val="0"/>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14</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事件关联分析研判</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事件关联当事人员/场所基础信息查询</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若该事件信息内带了当事人。自动根据身份证号/手机号码等查询该当事人的基础信息。若该事件内带了场所，则自动查询该场所的基础信息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14</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当事人员标签查询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从重点人库内查询到当事人的信息后，自动查询该人员的标签信息，如是否是社区矫正人员、是否是精神病患者等。并将标签信息显示，提供用户进行研判。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当时人员历史事件数据查询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查询到当事人后，从事件库内继续查询该当事人相关的所有历史事件数据。并将查询到的所有历史数据按照事件倒序排列，提供用户进行研判。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调度任务管理</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本部门进行中调度任务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查看本部门正在进行中的调度任务，点击可以查看该调度任务详情</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本部门已结束调度任务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查看本部门已经结束的调度任务，点击可以查看该调度任务详情</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49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辖区进行中调度任务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查看下属单位正在进行中的调度任务，点击可以查看该调度任务详情</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15</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辖区已结束调度任务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查看下属单位已经结束的调度任务，点击可以查看该调度任务详情</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15</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战时调度</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事件调度</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发起基于事件和预警的调度任务，发起调度时，可以基于事件/预警信息进行研判，并且支持选择周边/全部/值班人员进行调度下发，调度下发时选择对应预案，即可执行该预案对应的流程、时限等。</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周边人员：查询事件周边一定范围内的人员数据，并按照距离由近到远排序</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全部人员：查询内外部所有人员数据，支持按照单位、姓名等进行搜索</w:t>
            </w:r>
            <w:r>
              <w:rPr>
                <w:rFonts w:hint="eastAsia" w:ascii="仿宋" w:hAnsi="仿宋" w:eastAsia="仿宋" w:cs="仿宋"/>
                <w:color w:val="000000"/>
                <w:kern w:val="0"/>
                <w:sz w:val="24"/>
                <w:szCs w:val="24"/>
                <w:lang w:eastAsia="zh-CN"/>
              </w:rPr>
              <w:t>。</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值班人员：查询当日各部门的值班人员数据，支持按照单位进行筛选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15</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无事件日常调度</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在无事件的情况下，直接发起调度任务。</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支持无点位和有点位两种模式，无点位是无需选择任务坐标，直接选择周边/全部/值班人员后发起调度。</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有点位模式是在地图上直接选择任务坐标后，再选择人员发起调度。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15</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基于摄像头发起调度</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在指挥大屏进行视频巡检时，若发现问题，可直接从摄像头发起调度任务。摄像头坐标自动作为任务坐标进行下发</w:t>
            </w:r>
          </w:p>
        </w:tc>
      </w:tr>
      <w:tr>
        <w:tblPrEx>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15</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基于人员发起调度</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在地图或者通讯录中选择管控力量后，比如选择网格人员、街道人员等后，可直接发起调度，下发调度任务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15</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任务处置进度管理</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对调度任务的过程进行管理，可以查看每个进行中的调度任务中，每个环节的人员完成情况。若是环节超时，则打红勾。若是正常完成，打绿勾。若一直未操作，显示“-”。</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支持查看每个任务参与人员的任务处理记录。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任务人员实时位置跟踪</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在每个调度任务内，可以在地图上查看每个任务参与人员的实时位置。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追加调度</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正在进行中的调度任务，支持选择任务外人员，追加到该任务中。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任务督办</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对于任务执行过程中，发现执行不力等情况时，支持指挥中心选择任务人员后，发送督办消息进行催办。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59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任务结束</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指挥中心对已经执行完成的调度任务，进行任务结束操作</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视频通话</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支持通过浙政钉进行指挥室和人员直接进行单人或者多人的视频通话</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平时会商</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会商上屏</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要情数据上屏展示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各部门填报的要情数据在大屏进行展示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双想数据上屏展示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各部门填报的双响数据在大屏进行展示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会商数据上屏展示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各部门填报的会商数据在大屏进行展示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发起视频会商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支持跟各部门领导发起多人视频通话，进行远程视频会商</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16</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GIS地图基础应用</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战时要素落点</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人口地图内展示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实现多种人员上图，包括实有人口、实有人口、管控对象、服务对象、依靠对象、其他对象、人物全息图、持有物等数据。</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实有人口分为户籍、流动、境外人员数据；</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管控对象分为社区矫正人员、刑满释放人员、涉毒人员、涉教人员、精神病人员、重点青少年、重点信访人员等等；</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服务对象分为留守儿童、救助对象、残疾人、优抚对象等；</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依靠对象分为党员干部、村民代表、法人代表等；</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其他对象分为危险品从业人员、见义勇为、育龄妇女等；</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人物全息图包括生命周期图，包含包含户籍人口的基础信息、社会关系网情况、管控对象信息、持有物、行为轨迹等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全量事件统计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展示新增和当前未办结事件；</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以饼图的形式展示各个来源的事件占比；</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以柱形图的形式展示各个类型的事件占比，并和地图进行联动，点击类型，地图上该类事件上图展示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全量事件地图内展示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事件筛选：可按照提交时间，按照今日、本周、本月进行筛选。</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事件上图：低层级事件撒点显示，高层级显示聚合总数，点击可查看事件详情。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地址数据地图内展示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多种场所、建筑物等的的上图：</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包括消防重点，治安重点，安全生产重点，公共场所，特种行业等其他数据；</w:t>
            </w:r>
          </w:p>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可查看场所列表数据，也可选择或查看可上图的场所，包括消防重点，治安重点，安全生产等；</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地图上高层级显示聚合总数，点击可查看地址详情。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69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企业/组织地图内展示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实现多种企业自组织的上图，包括但不限于，党组织，企业等各种组织；可查看企业组织的详情，后期还可以与人的部分关联关系</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17</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城市物件地图内展示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城市部件、器械设备等的上图。地图上高层级显示聚合总数，点击可查看物件详情。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17</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管控力量上图</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摄像头地图展示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支持全量摄像头在地图上上图展示，不同层级采用不同的展示方式。社区层级以上采用聚合，显示各个行政区的摄像头总数，社区以下，撒点展示。点击摄像头点位，支持摄像头播放。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17</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摄像头多路视频预览播放</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支持多路摄像头同时预览播放，支持每页最多5路。在不影响指挥舱首页其他数据展示和功能使用时，同时进行全部或者特定摄像头的画面预览播放。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17</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视频墙及自动翻页功能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视频墙功能，即在指挥舱大屏内展开平铺窗口，播放多路摄像头。视频墙内又分收藏夹和全部两个页签，每个页签内均支持按照行政区划、标签、摄像头名称等进行搜索。同时在视频墙内支持摄像头的自动翻页功能</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17</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视频收藏功能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支持对摄像头进行收藏和移出收藏的功能，通过视频收藏夹的功能，实现对重点区域和场所摄像头的快速盯防</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17</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摄像头标签功能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支持对摄像头进行自定义打标签操作，一个摄像头可打多个标签。打好标签后，可对摄像头进行基于标签的管理，例如标签查询等。支持多级标签功能</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摄像头坐标自动清洗功能</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针对摄像头数据只有坐标，没有跟行政组织数据关联的情况。后台开发了摄像头坐标自动清洗功能，对同步过来的摄像头数据，根据坐标，依次清洗到各个网格内。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人员力量统计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展示所有管控力量的统计数据，包括总数、值班人数、各类型力量的数据等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人员实时位置展示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支持人员力量的地图展示，地图上实时刷新人员的最新位置。若是携带了单兵设备的人员，地图上显示单兵的位置数据。可以查看人员的详细信息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79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人员通讯录</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展示所有整合的管控人员信息、包括外部人员、内部人员、部门人员、村社人员、网格人员等。支持按照部门进行查询，支持按照姓名进行搜索。支持选择人员后，直接发起调度。支持勾选人员后，发起视频通话</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18</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部门值班表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查询当日本单位及下辖部门的值班表信息，支持通过值班表选择值班人员进行调度和视频通话</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18</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网格上图</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支持网格上图展示，采用不同层级不同展示方式。社区层级以上展示各行政区的网格数量，社区层级以下全部网格边界在地图上进行绘制展示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18</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周边信息研判</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周边摄像头研判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在调度过程中，支持调出地图上事件/任务周边的所有摄像头，可以通过查看事发地附近摄像头画面的的方式，对调度进行最直观的研判辅助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18</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周边力量研判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在调度过程中，地图上展示事件/任务周边的所有人员实时点位。点击人员，查看该人员的详细信息。若该人员有浙政钉账号，可直接发起浙政钉视频通话。若该人员绑定了单兵设备，可直接发起单兵视频通话</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18</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周边重点人口研判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在调度过程中，支持调出地图上事件/任务周边的所有重点人口信息，比如精神病患者等，可以查看重点人口的位置以及基础信息。通过对重点人口的查询，对调度进行研判辅助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18</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周边历史事件研判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在调度过程中，支持调出地图上事件/任务周边的所有过去一年的历史事件，可以查看上述历史事件的位置、基础信息、处理方式等。通过对历史事件的查询，对调度进行研判辅助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周边重点场所研判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在调度过程中，支持调出地图上事件/任务周边的所有重点场所信息，比如安全生产场所等，可以查看重点场所的位置以及基础信息。通过对重点场所的查询，对调度进行研判辅助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周边城市部件研判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在调度过程中，支持调出地图上事件/任务周边的所有城市部件信息，可以查看部件的位置以及基础信息。通过对部件的查询，对调度进行研判辅助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周边组织数据研判</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在调度过程中，支持调出地图上事件/任务周边的所有组织数据，如企业、单位等。可以查看组织的位置以及基础信息。通过对组织的查询，对调度进行研判辅助</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89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地图图层切换</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支持矢量图和卫星图的图层切换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19</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指挥小工具</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提供地图测距、测面积等地图小工具</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19</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管理后台</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资源管理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内部人员管理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体制内部人员的信息维护，包括人员姓名、头像、身份证号、性别、出生年月、文化程度、手机号、部门、职务、标签等。支持硬件设备绑定。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19</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社会人员管理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体制外部人员的信息维护，包括人员姓名、头像、身份证号、性别、出生年月、文化程度、手机号、部门、职务、标签、专长、证书信息、专业信息等。支持硬件设备绑定。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19</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标签管理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对标签信息进行维护，标签分为固有标签和自定义标签，例如固有标签“网格人员”、“志愿者”。人员和备灾点维护时，均可以使用标签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19</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值班管理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班次配置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对班次数据进行增删改查操作</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19</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岗位配置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对值班岗位进行增删改查操作</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196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值班表管理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支持区县/镇街/社区/网格等录入自己值班人员的信息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197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处置流程管理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库表配置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对流程涉及相关的数据库库表进行配置，包括库表内各字段设置，以及库表基础信息设置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198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表单配置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对流程涉及相关的前端录入表单进行配置，实现每个操作步骤都可以有不同的录入表单的功能</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199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基础信息配置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对流程的基础进行进行配置，包括名称、标签、处置标准、携带附件、消息群发内容等。在流程管理内关联库表、表单和配置的流程线</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环节时间计时配置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对各流程环节之间的计时规则进行配置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20</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流程环节配置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用可视化流程定义工具对预案内的流转流程进行配置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20</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会商填报配置</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填报表单自定义配置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对会商上报需要填写的表单进行自定义配置，包括数据字段配置、表单录入控件配置等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20</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填报部门配置</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对会商填报的部门进行配置，包括部门字典表配置、部门权限配置、部门表单关联等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20</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日志管理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调度记录</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展示本部门的所有的调度记录，包括各种基于事件的调度和无事件调度记录。调度详情内可查看每次的任务下发信息、人员执行情况、附带的事件/预警信息等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20</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统计报表</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调度任务统计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对本部门下发的所有调度任务进行统计，包括每个预案的调用次数、超期情况、完成情况、每个人员的超期情况等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移动平台（掌上指挥）</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调度任务接收模块</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待办理列表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指挥室下发的，未办理完成的任务列表。点击任务，可以查看任务详情，并对任务按照预定义的流程进行操作</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已办理列表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指挥室下发的，自己办理完成但未结束的任务列表。点击任务，可以查看任务详情</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已处置列表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指挥室下发的，已经结束的任务列表。点击任务，可以查看任务详情</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09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视频通话</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支持接受指挥室或者其他用户的视频通话，也支持发起视频通话</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21</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移动端会商填报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每日要情填报</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移动端开放给各部门/单位等填写要情信息，可按照专题进行填报，也可以按照机制进行每日/周填报等。填报内容包括当前概括、详细情况、采取措施、上传附件等。填报表单支持自定义配置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21</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紧急事项填报</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移动端开放给各部门/单位等填写，若发生紧急情况时，可通过该填报模块进行紧急事项填报。填报表单支持自定义配置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21</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数据对接</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管控力量基础数据对接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对接基层四平台等平台的管控力量（如网格员）的基础数据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21</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管控力量实时坐标对接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对接基层四平台等平台的管控力量（如网格员）的实时坐标数据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21</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事件数据对接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对接基层四平台等平台的事件实时数据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21</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基础数据对接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对接社会治理要素数据中，人口、单位、场所等的数据。支持根据事件内的当事人、事发场所等数据进行查询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摄像头数据对接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对接视频共享平台（公共安全视频图像信息共享平台），用于获取点位基础信息与视频对接，支持新国标GB/T 28181，ONVIF，SDK等方式接入；支持跨域、跨网闸下级国标平台接入，支持主流厂商平台接入。实现实时监控应用和录像检索回放应用</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17</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平安建设晾晒平台</w:t>
            </w: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考核模板管理</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设置模板</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引用参照模板</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利用已设置模板成果，实现新模板的快速配置。通过引用参照模板，系统自动填充形成新模板，用户在此基础上进行二次编辑再应用管理。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考核基础规则设置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提供对考核标题、考核模板类型、考核年度、填报起止时间，是否支持当月数据报送，备注信息等。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19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考核总分和否决分数设置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设置考核最高分，区域得分以最高分不超过考核总分为限。设置模板重特大事项的否决分数，设置成功后，在重特大事项中直接引用否决分数。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22</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一级分类管理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对考核一级分类信息进行管理，包括一级类名称、所属类型，如一般事项、重特大事项、项目加分、平安暗访检查、总则扣分，其中一般事项类型中可选择是否下辖扣分不纳入上级平均分计算。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22</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子类管理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基于考核指标大类信息，对大类指标项目下小类信息进行管理，包括类别名称、分值，其中一般事项类型中可选择是否下辖扣分不纳入上级平均分计算。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22</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细则管理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基于考核内容大、小类设置，设置条款内容，细则简称、事件描述要求、细则编码、是否下级扣分不纳入上级平均分计算等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22</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项目加分设置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大类为项目加分，项目加分类型中分为奖励性加分和关联扣分项加分，关联扣分项加分中可设置关联扣分类别或关联扣分细则，关联扣分类别可抵扣此类别下所有扣分，关联扣分细则，此细则加分只能抵扣关联的扣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22</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列表内容显示自定义</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对考核项目列表所属类别、细则、分值、操作列是否显提供自定义设置功能。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22</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参照模板设置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基于已设置模板，提供参照模板标记功能，为模板设置引用参照模板提供基础。提供多条件模板查询功能，可将已有模板设为参照模板或对已设置的参照模板进行取消设置。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模板启停设置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对于已设置好的模板，参照模板启停校验规则，提供启用、停用设置功能。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设置填报部门</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指标填报部门</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通过模板查下切换设置，查找设置目标模板，对目标模板中各指标项的填报部门进行设置，每个细则可以设置多个填报部门，并可对每个填报部门的填报的条款内容进行再精细化设置。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填报部门向下匹配批量设置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针对模板设置中设置了需要下辖地区参与报送的模板，按照设置好的本级部门，读取部门组织架构上下级从属关系，通过按层级匹配到下级地区，完成下辖地区指标报送部门的批量设置。该搭配指标填报部门设置，可对匹配后下辖地区指标报送部门进行调整设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29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镇、村级区划转区划自评设置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解决镇街、村社站所职能部门不全，数据在镇街办事处、村社区汇聚的情况，提供指标条款单个或多个批量指向镇街办事处、村社区进行自评报送的功能，具体包括模板查询、切换，指标自评设置，批量设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考核地区设置</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参与考核地区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考核模板设置自动匹配模板考核类型、所属地区覆盖地区的考核要求的情况，提供对特殊地区不参与考核的排除设置功能，取消对该类地区的考核要求与排名计算。对于“取消参与考核”的地区可以恢复“参与考核”。具体功能包括：模板查询、切换，模板匹配考核地区展示，取消参与考核设置，参与考核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列表显示内容自定义设置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对考核设置信息列表地区名称、所属层级、行政编码、是否参与考核、数据更新时间是否显进行自定义设置。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考核填报管理</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数据核准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报送指标清单</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通过考核模板条件切换可查询不同模板下当前用户的所属部门责任条款信息，以树形结构的方式展示全部细则信息，支持三级指标的展开和收起，形成指标目录，为指标报送、数据查看提供基础。关联功能包括模板查询切换，指标展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细则填报</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按照考核模板中填报部门、填报地区设置，各级用户查看本部门可见责任条款，选择具体细则进行指标数据的填报管理。具体功能包括细则数据新增、查询、查看、修改、删除、排序等。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细则填报加强功能</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结合数据提供特征情况，简化数据采集操作，在模板报送基础规则设置的基础上，提供数据批量导入、特殊修改、特殊删除、标记/取消待定等功能。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23</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填报数据审核</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依据考核模板中设定的数据填报核准规则，对本级指标填报数据进行审核，审核通过数据纳入结果成绩计算，审核不通过的数据进行退回重报。具体包括审核数据查询、审核标记、审核数据状态同步更新等功能。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列表数据全屏显示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报送清单数据更简洁显示，可以点击全屏展示，将清单数据进行全屏展示。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列表显示内容自定义设置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对数据核准报送信息列表信息序号、细则名称、发生地点、数量（百分比）、描述、统计月份、报送单位、是否审核、新增时间、数据来源、更新时间、操作列是否显进行自定义设置。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指标数据查看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针对查询模板中，下辖地区部门自评情况，分级、分类展示下辖指标数据报送情况，提供指标查询，详情查看功能。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39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下辖数据批量转入</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每个责任部门可以查看下辖部门报送的清单数据，可以将下辖部门报送的数据批量转入本级清单中，做为本级核准数据。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24</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部门报送</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一般事项数据汇总</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根据考核模板，对一般事项进行汇总上报，没有扣分事项发生的责任部门可以直接新增零报送，每个责任部门可以查看本级清单和下辖部门汇总的清单数据，每级平安办汇总所有审核通过的责任部门上报的数据。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24</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一般事项数据上报</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针对部门按月汇总的部门统计表，提供数据上报功能，通过上报，锁定部门数据汇总表，将部门数据转入上级单位，禁用汇总表删除，禁止部门数据的修改。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24</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重特大事项数据汇总</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根据考核条款，有重特大事项发生时，按照对应的条款进行重特大事项录入。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24</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重特大事项数据上报</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针对地区按月汇总的区域数据统计表，提供数据上报功能，通过上报，锁定地区数据汇总表，将地区数据转入上级区域，禁用汇总表删除等功能</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24</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报送统计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按年统计</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帮助操作用户掌握管辖地区或下辖部门查询模板、查询年份的指标报送情况。按查询模板配置的报送地区，有该统计模块权限的指标管理部门按行政区划层级查询对应层级各个地区的指数报送情况，填报部门仅可查询下辖各部门的指数报送情况。提供按模板、按年统计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24</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批量回退重报</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对于按行政区划报送的指标数据存在疑问的情况，提供按地区、按月批量退回填报数据功能，实现重新再填报与统计。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统计结果列表自定义</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对报送统计月份显示内容进行自定义显示设置。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专题管理</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设置关联条款</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设置命案与考核条款关联，相关条款的考核数据会自动归类到对应的专题标签下，再对特别标签的字段进行维护。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取消标签</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如果标签下的某些数据不属于此标签，可以通过取消标签，将数据移除。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49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命案</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命案专题中维护死亡人数，嫌疑人是否涉及重点人员类型，被害人是否涉及学生、事件是否属于民转刑、案犯地是否涉及公共场所等信息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亡人交通事故</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亡人交通事故中维护肇事车辆类型、是否含酒驾等、责任划分等信息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25</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火灾</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火灾专题中维护发生领域、是否为出租房、危险或血拼生产经营性亡人事故、生产经营性火灾、森林火灾等信息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25</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安全生产事故</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安全生产事故维护事故类别、事故严重程度、涉及交通事故地点、设计交通事故责任等信息</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25</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本年数据</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控制性指标限值</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设置控制性指标的每月控制值</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25</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控制性指标分值</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显示控制性指标分值，分值根据指标设置时规则显示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25</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控制性指标详情</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显示控制性指标详情，扣分明细</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自定义控制指标</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自定义控制性指标名称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排查整治</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设置排查政治名称、维护督办单位、督办原因、督办状态等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预警分数</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设置被考核对象，总分、五项指标、指数等三色预警区间</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59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指数分数</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设置市级及区县每月指数总分分数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26</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一级分数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设置市级及区县每月一级类指数分数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26</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二级分数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设置市级及区县每月二级类指数分数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26</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平均值</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总分平均值</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设置市级及区县每月指数总分平均值分数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26</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一级类平均分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设置市级及区县每月一级类指数平均值分数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26</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二级类平均分</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设置市级及区县每月二级类指数平均值分数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26</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历年数据</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历年考核分数</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设置历年考核分数、省级排名、获得的最高荣誉、获得的最好名次、获得的其他荣誉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五项指标分值</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设置结果性指标分数、专项工作指标、暗访指标、评价性指标、奖励性指标分数</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扣分重点领域</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设置扣分重点领域扣分分值</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自定义重点领域</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自定义扣分重点领域名称、所属五项指标等</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69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扣分明细</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显示扣分重点领域扣分明细</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27</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创新亮点</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设置地区创新亮点情况</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27</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预警分值</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设置历年考核总分、五项指标分数的预警分值</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27</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报表统计</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年度报表</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根据考核规则，生成申报表、得分汇总表、扣分说明表、加分说明表、加分统计表、扣分比率表（一级）、扣分比率表（末级）、一级类扣分汇总表、末级扣分汇总表、加分汇总表、责任单位扣分说明表等。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27</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一级类报表</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根据考核内容生成各级一级类数据报表，如重特大事项报表、结果性指标报表、专项工作指标报表、暗访指标、评价性指标等报表。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27</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其他报表</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针对最终部门核准的数据结果，进行报表结果统计，如评价数据汇总表-一级类、评价数据汇总表-二级类、评价数据汇总表-条款等。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27</w:t>
            </w:r>
            <w:r>
              <w:rPr>
                <w:rFonts w:hint="eastAsia" w:ascii="仿宋" w:hAnsi="仿宋" w:eastAsia="仿宋" w:cs="仿宋"/>
                <w:color w:val="000000"/>
                <w:kern w:val="0"/>
                <w:sz w:val="24"/>
                <w:szCs w:val="24"/>
                <w:lang w:val="en-US" w:eastAsia="zh-CN"/>
              </w:rPr>
              <w:t>5</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矛盾纠纷化解兜底一件事</w:t>
            </w:r>
          </w:p>
        </w:tc>
        <w:tc>
          <w:tcPr>
            <w:tcW w:w="57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申报审批</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发起申报</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发起申报</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乡镇（街道）或部门按照兜底一件事要求内容，通过“发起申报”功能，申报兜底一件事。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待申报</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对于上级回退的事件，列表有红色标记的待申报状态，支持申报人重新修改和完善兜底一件事信息，并再次提交。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智能标签</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系统根据用户选择的标签，通过系统自动推荐匹配的专班成员信息。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申报列表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展示事件单号 事件类型 事件标签 申报单位 申报人 办理状态 事件描述 当事人 当前办理部门申报时间</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79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28</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28</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初审</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28</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组建专班</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初审时专班根据标签进行预设，点击“通过”，专班组建成功，最终专班数量，包案领导1个主办单位1个协办单位、专班成员支持多个。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28</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28</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复审</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28</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审核</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审批</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89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29</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审批列表</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审批列表</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展示所有需要本账号要审批的事件</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29</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29</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29</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辖区事件</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辖区事件列表</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根据当前账号所在辖区，显示本账号下面的辖区事件。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29</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29</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事件列表点击进入详情页面，查询事件基本信息、专班信息、当事人信息，兜底化解，流程进度信息。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296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承办调处</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基本操作</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事件列表点击进入审核详情页面，查询事件基本信息、专班信息、兜底化解、流程进度</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297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298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兜底化解</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按联合调解、协调化解、说事评理、救助帮扶、终结备案、信用奖惩、打击处理、稳控处置兜底八式跟踪查看兜底八式协同及处置流程。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299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专班成员操作</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会商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弹窗标题，会商。展示会商研判的人员所属单位、姓名，支持填写会商意见，上传会商附件。抄送包案领导，点击确定提交会商信息，点击取消回到列表。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30</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包案领导操作</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领导批示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弹窗标题，领导批示。展示批示领导的所属单位、姓名，支持领导填写批示意见，上传相关附件。点击确定提交批示信息，点击取消回到列表。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30</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主办方操作</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协同</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点击部门协同，在弹窗内选择化解举措，支持多选，并按照举措填写不同的内容。进行专家增补、部门增补、细化举措填写，上传附件。点击确定提交批示信息，点击确定提交批示信息，点击取消回到列表。</w:t>
            </w:r>
          </w:p>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主办单位对事件的协同交办，确定化解举措，处置力量的操作。化解举措共有8种，称为兜底八式。分别为联合调解、协调化解、说事评理、救助帮扶、终结备案、信用奖惩、打击处理、稳控处置。一个事件可以多个化解举措。每个化解举措都需要明确对应的处置力量及细化举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30</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主办办理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不需要协同，主办单位自己能给出办理意见的可以通过主办办理完成操作。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30</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结案申请</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填写结案申请意见，上传申请附件。点击确定提交结案申请信息，提交至兜底化解科进行结案审核。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30</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协同方操作</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回退</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对于非职责范围内的事件，点击回退，退回至主办单位。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30</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督办列表</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督办规则</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“办理中”“协同中”的事件且4天内没有新的事件流程进度则被黄牌督办，7天内没有新的事件流程进度则被红牌督办</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事件列表点击进入详情页面，查询事件基本信息、专班信息、当事人信息，兜底化解，流程进度信息。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结案回访</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基本操作</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事件列表点击进入审核详情页面，查询事件基本信息、专班信息、兜底化解、流程进度</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09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结案确认</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弹窗标题结案，支持选择同意或者不同意，默认同意。支持填写意见，上传附件。点击确定提交信息，点击取消回到列表。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31</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结案确认</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事件列表点击进入详情页面，查询事件基本信息、专班信息、当事人信息，兜底化解，流程进度信息。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31</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评价</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详情查看</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事件列表点击进入详情页面，查询事件基本信息、专班信息、当事人信息，兜底化解，流程进度信息。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31</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列表查询</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支持按单号、类型、标签、姓名、身份证、手机号、发生时间、申报时间搜索。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31</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评价</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针对事件的办理情况，从服务态度、处置效率、办理结果进行星级评价，支持输入评价意见。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31</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配置管理</w:t>
            </w:r>
          </w:p>
        </w:tc>
        <w:tc>
          <w:tcPr>
            <w:tcW w:w="514"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标签配置</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列表展示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标签查询列表，包含事件一级分类、二级分类、标签名称等信息。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31</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事件配置</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标签管理</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基于事件类型维护单个事件标签。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标签修改</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对事件类型下对应的标签进行修改。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专班配置</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基于事件标签，绑定包案领导、主办单位、协办单位、调解专家。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批量配置专班</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基于多个事件标签，批量绑定包案领导、主办单位、协办单位、调解专家。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19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专家库配置</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列表展示</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列表展示专家姓名，性别，所属单位，系统账号，更新时间，操作栏等信息。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新增</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支持新增专家姓名、手机号、账号等信息，支持维护专家身份、擅长领域信息。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查询</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支持按照姓名、手机号、账号进行专家信息查询</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修改</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支持修改专家姓名、手机号、账号等信息，支持维护专家身份、擅长领域信息。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val="en-US" w:eastAsia="zh-CN"/>
              </w:rPr>
              <w:t>3</w:t>
            </w:r>
          </w:p>
        </w:tc>
        <w:tc>
          <w:tcPr>
            <w:tcW w:w="686"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社会治理"一张图"迭代</w:t>
            </w: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一张图优化</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数据联动</w:t>
            </w: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地图、数据联动框架</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根据地图的区域定位，支持联动属性数据；选择属性的区域，自动联动地图定位</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户数和常住人口数据联动优化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将户数和常住人口，根据地图的层级，自动联动，自动分层数据展示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32</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户数和常住人口区域统计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通过饼图方便展示区域的户数和常住人口的数据统计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26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区域信息数据联动优化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将区域各种基本信息和要素信息，根据地图的层级，自动联动，自动分层数据展示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27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人属性数据联动优化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将人属性的数据，根据地图的层级，自动联动，自动分层数据展示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28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事属性数据联动优化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将事属性的数据，根据地图的层级，自动联动，自动分层数据展示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29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物属性数据联动优化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将物属性的数据，根据地图的层级，自动联动，自动分层数据展示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33</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地属性数据联动优化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将地属性的数据，根据地图的层级，自动联动，自动分层数据展示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33</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“一张图”底图定制化</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根据应用场景需求，编制2种以上覆盖绍兴市行政区划范围的电子地图，分别适配暗色系和明色社会治理要素展示使用。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33</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全市网格整合</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制定市级社会治理网格数据入库规范，整合六个区县市社会治理网格，对全市网格重编编码，进行拓扑关系检查和处理，保证各区县之间无重叠无空白，上下级关系拓扑关系合理无矛盾，对网格数据进行轻量化处理后形成系统完备的网格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33</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人员网格落图</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配合市组织部调整更新市、区、村、网格四级网格配备人员信息。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33</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房屋数据整合</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试点区域对政法系统户址与分户模型标准地址进行基于地理空间的语义匹配，构建房屋实体编码，实现产权体模型、基础数据与政法信息数据相匹配。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33</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不动产分户数据整合</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试点区域以不动产登记数据为本底，融合实有房屋数据形成覆盖建设区域的房屋数据。不动产分户数据由房屋编码、空间信息、基本属性信息组成，形成统一的底板不动产分户数据。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36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房屋和分户数据关联</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建模好的分户模型根据房产数据自动填写了部分属性,对于需要关联的业务数据，需要将收集到的业务数据中的属性与产权体模型进行属性配置、数据融合，建立关联关系，实现属性查询。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37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社会治理重点业务落图</w:t>
            </w:r>
          </w:p>
        </w:tc>
        <w:tc>
          <w:tcPr>
            <w:tcW w:w="2215"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结合业务实际，紧盯年度重点工作、常态业务开展和基础能力支撑三个方面，推进社会治理业务相关数据落图。围绕服务常态业务、关注重点信息，实现重点人员、重点场所及相关事件、巡查走访任务等数据治理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38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地图优化</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数据目录支持动态更新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支持属性目录，可扩展新的目录，并同时在图上联动</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39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地图数据支持动态更新</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支持地图数据，可扩展新的数据，并同时在图上联动</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34</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人属性数据分布上图优化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人属性数据，根据地图层级，自动联动展示聚合数据或细节</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34</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事属性数据分布上图优化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事属性数据，根据地图层级，自动联动展示聚合数据或细节</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34</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物属性数据分布上图优化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物属性数据，根据地图层级，自动联动展示聚合数据或细节</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34</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地属性数据分布上图优化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地属性数据，根据地图层级，自动联动展示聚合数据或细节</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34</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区域下钻上钻优化</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通过区域管理，支持市、区县、乡镇（街道）、村（社区）、网格、微网格的上钻和下钻</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34</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跨层级区域展示</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可以在地图上跨一级进行区域切换展示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区域支持流动特效</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支持美观的展示区域流动特效</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区域透明度调节</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支持动态调节区域透明度</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边界线支持流动特效</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支持美观的展示边界线流动特效</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49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区域查询</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根据经纬度或名称可以查询区域，并定位至目标区域</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整合服务</w:t>
            </w: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整合至数智枫桥</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支持数智枫桥整合系统</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通过数智枫桥主系统，可以跳转进入系统，并可以返回</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支持数智枫桥无密码安全跳转</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通过数智枫桥主系统，跳转进入系统时，进行无需密码，即可安全登录</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数据服务</w:t>
            </w: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区域数据服务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为其他内部系统提供区域信息的数据服务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市区划数据服务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通过GeoJson格式为其他内部系统提供绍兴市区划的数据服务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区县区划数据服务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通过GeoJson格式为其他内部系统提供绍兴市的区县区划的数据服务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35</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乡镇（街道）区划数据服务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通过GeoJson格式为其他内部系统提供绍兴市的乡镇（街道）区划的数据服务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56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村（社区）区划数据服务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通过GeoJson格式为其他内部系统提供绍兴市的村（社区）区划的数据服务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57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网格区划数据服务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通过GeoJson格式为其他内部系统提供绍兴市的网格区划的数据服务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58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微网格区划数据服务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通过GeoJson格式为其他内部系统提供绍兴市的微网格区划的数据服务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59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人属性数据服务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为其他内部系统提供人属性的数据服务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36</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事属性数据服务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为其他内部系统提供事属性的数据服务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36</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物属性数据服务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为其他内部系统提供物属性的数据服务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36</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地属性数据服务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为其他内部系统提供地属性的数据服务</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36</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数据实施</w:t>
            </w:r>
          </w:p>
        </w:tc>
        <w:tc>
          <w:tcPr>
            <w:tcW w:w="514"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人员数据实施</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涉邪人员数据实施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收集涉邪人员的基础数据并支持信息展示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36</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事件数据实施</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扫黄打非数据实施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收集非法出版物销售、低俗演出、流动搭台非法淫秽演出、文物违法、娱乐场所接纳未成年人等扫黄打非的基础数据并支持信息展示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36</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农林水利数据实施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收集乱砍乱伐偷伐、生产经营假劣农资、违规使用投入品、违规经营禁限用农药、非法捕鱼、电鱼、药鱼等农林水利的基础数据并支持信息展示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66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食药安全数据实施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收集无证无照食品药品经营行为、无证照食品小作坊、食品、药品无证照经营、生活饮用水卫生等食药安全的基础数据并支持信息展示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生态环境数据实施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收集露天焚烧垃圾、秸秆、噪音、粉尘扰民、水源污染、小微水体污染、污水问题、工业三废等生态环境的基础数据并支持信息展示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68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交通安全数据实施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收集道路安全隐患信息、僵尸车、违法占道停车、设摊等妨碍交通的信息、违规占用地下公共行人通道等交通安全的基础数据并支持信息展示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69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金融监管数据实施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收集互联网金融、线下、融资性担保典当等金融监管的基础数据并支持信息展示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37</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卫生健康数据实施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收集无证或超范围行医、传染病爆发苗头信息、奖特扶对象信息等卫生健康的基础数据并支持信息展示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37</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治危拆违数据实施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收集违法批地、危房隐患、危房巡查、安置补偿、征地拆迁、违规装修、违法占地、违法转让、违法建设、防违控违等治危拆违的基础数据并支持信息展示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37</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质量监管数据实施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收集特种设备超过定期检验时间继续使用、未张贴特种设备使用标志的等质量监管的基础数据</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37</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优抚安置数据实施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收集军转干部、复员退伍军人安置等优抚安置的基础数据并支持信息展示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37</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文教体育数据实施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收集非法办学事件、健身设施建设情况、破损事件、义务教育流生情况等文教体育的基础数据并支持信息展示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37</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困难救助数据实施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收集残疾人家庭、低保户、高龄空巢老人、居家养老对象家庭异常动态和求助需求、就业信息等困难救助的基础数据并支持信息展示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76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老龄殡葬数据实施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收集老龄殡葬的基础数据并支持信息展示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77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工会工作数据实施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收集工会工作的基础数据并支持信息展示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78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妇联工作数据实施</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收集妇联工作的基础数据并支持信息展示</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79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数据分析</w:t>
            </w:r>
          </w:p>
        </w:tc>
        <w:tc>
          <w:tcPr>
            <w:tcW w:w="514" w:type="pct"/>
            <w:noWrap w:val="0"/>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人员数据统计</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涉邪人员数据统计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统计涉邪人员的数据并支持上图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80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restar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事件数据统计</w:t>
            </w: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扫黄打非数据统计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统计非法出版物销售、低俗演出、流动搭台非法淫秽演出、文物违法、娱乐场所接纳未成年人等扫黄打非的数据并支持上图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38</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农林水利数据统计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统计乱砍乱伐偷伐、生产经营假劣农资、违规使用投入品、违规经营禁限用农药、非法捕鱼、电鱼、药鱼等农林水利的数据并支持上图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38</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食药安全数据统计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统计无证无照食品药品经营行为、无证照食品小作坊、食品、药品无证照经营、生活饮用水卫生等食药安全的数据并支持上图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38</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生态环境数据统计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统计露天焚烧垃圾、秸秆、噪音、粉尘扰民、水源污染、小微水体污染、污水问题、工业三废等生态环境的数据并支持上图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38</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交通安全数据统计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统计道路安全隐患信息、僵尸车、违法占道停车、设摊等妨碍交通的信息、违规占用地下公共行人通道等交通安全的数据并支持上图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38</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金融监管数据统计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统计互联网金融、线下、融资性担保典当等金融监管的数据并支持上图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86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卫生健康数据统计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统计无证或超范围行医、传染病爆发苗头信息、奖特扶对象信息等卫生健康的数据并支持上图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87</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治危拆违数据统计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统计违法批地、危房隐患、危房巡查、安置补偿、征地拆迁、违规装修、违法占地、违法转让、违法建设、防违控违等治危拆违的数据并支持上图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88</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质量监管数据统计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统计特种设备超过定期检验时间继续使用、未张贴特种设备使用标志的等质量监管的数据并支持上图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89</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优抚安置数据统计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统计军转干部、复员退伍军人安置等优抚安置的数据并支持上图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39</w:t>
            </w:r>
            <w:r>
              <w:rPr>
                <w:rFonts w:hint="eastAsia" w:ascii="仿宋" w:hAnsi="仿宋" w:eastAsia="仿宋" w:cs="仿宋"/>
                <w:color w:val="000000"/>
                <w:kern w:val="0"/>
                <w:sz w:val="24"/>
                <w:szCs w:val="24"/>
                <w:lang w:val="en-US" w:eastAsia="zh-CN"/>
              </w:rPr>
              <w:t>0</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文教体育数据统计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统计非法办学事件、健身设施建设情况、破损事件、义务教育流生情况等文教体育的数据并支持上图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39</w:t>
            </w:r>
            <w:r>
              <w:rPr>
                <w:rFonts w:hint="eastAsia" w:ascii="仿宋" w:hAnsi="仿宋" w:eastAsia="仿宋" w:cs="仿宋"/>
                <w:color w:val="000000"/>
                <w:kern w:val="0"/>
                <w:sz w:val="24"/>
                <w:szCs w:val="24"/>
                <w:lang w:val="en-US" w:eastAsia="zh-CN"/>
              </w:rPr>
              <w:t>1</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困难救助数据统计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统计残疾人家庭、低保户、高龄空巢老人、居家养老对象家庭异常动态和求助需求、就业信息等困难救助的数据并支持上图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39</w:t>
            </w:r>
            <w:r>
              <w:rPr>
                <w:rFonts w:hint="eastAsia" w:ascii="仿宋" w:hAnsi="仿宋" w:eastAsia="仿宋" w:cs="仿宋"/>
                <w:color w:val="000000"/>
                <w:kern w:val="0"/>
                <w:sz w:val="24"/>
                <w:szCs w:val="24"/>
                <w:lang w:val="en-US" w:eastAsia="zh-CN"/>
              </w:rPr>
              <w:t>2</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老龄殡葬数据统计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统计老龄殡葬的数据并支持上图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39</w:t>
            </w:r>
            <w:r>
              <w:rPr>
                <w:rFonts w:hint="eastAsia" w:ascii="仿宋" w:hAnsi="仿宋" w:eastAsia="仿宋" w:cs="仿宋"/>
                <w:color w:val="000000"/>
                <w:kern w:val="0"/>
                <w:sz w:val="24"/>
                <w:szCs w:val="24"/>
                <w:lang w:val="en-US" w:eastAsia="zh-CN"/>
              </w:rPr>
              <w:t>3</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工会工作数据统计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统计工会工作的数据并支持上图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39</w:t>
            </w:r>
            <w:r>
              <w:rPr>
                <w:rFonts w:hint="eastAsia" w:ascii="仿宋" w:hAnsi="仿宋" w:eastAsia="仿宋" w:cs="仿宋"/>
                <w:color w:val="000000"/>
                <w:kern w:val="0"/>
                <w:sz w:val="24"/>
                <w:szCs w:val="24"/>
                <w:lang w:val="en-US" w:eastAsia="zh-CN"/>
              </w:rPr>
              <w:t>4</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妇联工作数据统计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统计妇联工作的数据并支持上图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39</w:t>
            </w:r>
            <w:r>
              <w:rPr>
                <w:rFonts w:hint="eastAsia" w:ascii="仿宋" w:hAnsi="仿宋" w:eastAsia="仿宋" w:cs="仿宋"/>
                <w:color w:val="000000"/>
                <w:kern w:val="0"/>
                <w:sz w:val="24"/>
                <w:szCs w:val="24"/>
                <w:lang w:val="en-US" w:eastAsia="zh-CN"/>
              </w:rPr>
              <w:t>5</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工会工作数据统计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统计工会工作的数据并支持上图</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5" w:type="pct"/>
            <w:noWrap w:val="0"/>
            <w:vAlign w:val="center"/>
          </w:tcPr>
          <w:p>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96</w:t>
            </w:r>
          </w:p>
        </w:tc>
        <w:tc>
          <w:tcPr>
            <w:tcW w:w="686" w:type="pct"/>
            <w:vMerge w:val="continue"/>
            <w:noWrap w:val="0"/>
            <w:vAlign w:val="center"/>
          </w:tcPr>
          <w:p>
            <w:pPr>
              <w:widowControl/>
              <w:jc w:val="left"/>
              <w:rPr>
                <w:rFonts w:hint="eastAsia" w:ascii="仿宋" w:hAnsi="仿宋" w:eastAsia="仿宋" w:cs="仿宋"/>
                <w:color w:val="000000"/>
                <w:kern w:val="0"/>
                <w:sz w:val="24"/>
                <w:szCs w:val="24"/>
              </w:rPr>
            </w:pPr>
          </w:p>
        </w:tc>
        <w:tc>
          <w:tcPr>
            <w:tcW w:w="578" w:type="pct"/>
            <w:vMerge w:val="continue"/>
            <w:noWrap w:val="0"/>
            <w:vAlign w:val="center"/>
          </w:tcPr>
          <w:p>
            <w:pPr>
              <w:widowControl/>
              <w:jc w:val="left"/>
              <w:rPr>
                <w:rFonts w:hint="eastAsia" w:ascii="仿宋" w:hAnsi="仿宋" w:eastAsia="仿宋" w:cs="仿宋"/>
                <w:color w:val="000000"/>
                <w:kern w:val="0"/>
                <w:sz w:val="24"/>
                <w:szCs w:val="24"/>
              </w:rPr>
            </w:pPr>
          </w:p>
        </w:tc>
        <w:tc>
          <w:tcPr>
            <w:tcW w:w="514" w:type="pct"/>
            <w:vMerge w:val="continue"/>
            <w:noWrap w:val="0"/>
            <w:vAlign w:val="center"/>
          </w:tcPr>
          <w:p>
            <w:pPr>
              <w:widowControl/>
              <w:jc w:val="left"/>
              <w:rPr>
                <w:rFonts w:hint="eastAsia" w:ascii="仿宋" w:hAnsi="仿宋" w:eastAsia="仿宋" w:cs="仿宋"/>
                <w:color w:val="000000"/>
                <w:kern w:val="0"/>
                <w:sz w:val="24"/>
                <w:szCs w:val="24"/>
              </w:rPr>
            </w:pPr>
          </w:p>
        </w:tc>
        <w:tc>
          <w:tcPr>
            <w:tcW w:w="618" w:type="pct"/>
            <w:noWrap w:val="0"/>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妇联工作数据统计</w:t>
            </w:r>
          </w:p>
        </w:tc>
        <w:tc>
          <w:tcPr>
            <w:tcW w:w="2215" w:type="pct"/>
            <w:noWrap w:val="0"/>
            <w:vAlign w:val="center"/>
          </w:tcPr>
          <w:p>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统计妇联工作的数据并支持上图</w:t>
            </w:r>
            <w:r>
              <w:rPr>
                <w:rFonts w:hint="eastAsia" w:ascii="仿宋" w:hAnsi="仿宋" w:eastAsia="仿宋" w:cs="仿宋"/>
                <w:color w:val="000000"/>
                <w:kern w:val="0"/>
                <w:sz w:val="24"/>
                <w:szCs w:val="24"/>
                <w:lang w:eastAsia="zh-CN"/>
              </w:rPr>
              <w:t>。</w:t>
            </w:r>
          </w:p>
        </w:tc>
      </w:tr>
    </w:tbl>
    <w:p>
      <w:pPr>
        <w:spacing w:line="360" w:lineRule="auto"/>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其它内容：</w:t>
      </w:r>
    </w:p>
    <w:p>
      <w:pPr>
        <w:pStyle w:val="256"/>
        <w:spacing w:line="360" w:lineRule="auto"/>
        <w:rPr>
          <w:rFonts w:hint="eastAsia" w:ascii="仿宋" w:hAnsi="仿宋" w:eastAsia="仿宋" w:cs="仿宋"/>
          <w:szCs w:val="21"/>
          <w:lang w:val="en-US" w:eastAsia="zh-CN"/>
        </w:rPr>
      </w:pPr>
      <w:r>
        <w:rPr>
          <w:rFonts w:hint="eastAsia" w:ascii="仿宋" w:hAnsi="仿宋" w:eastAsia="仿宋" w:cs="仿宋"/>
          <w:szCs w:val="21"/>
          <w:lang w:val="en-US" w:eastAsia="zh-CN"/>
        </w:rPr>
        <w:t>（1）本项目需采用</w:t>
      </w:r>
      <w:r>
        <w:rPr>
          <w:rFonts w:hint="eastAsia" w:ascii="仿宋" w:hAnsi="仿宋" w:eastAsia="仿宋" w:cs="仿宋"/>
          <w:szCs w:val="21"/>
        </w:rPr>
        <w:t>创信云部署技术</w:t>
      </w:r>
      <w:r>
        <w:rPr>
          <w:rFonts w:hint="eastAsia" w:ascii="仿宋" w:hAnsi="仿宋" w:eastAsia="仿宋" w:cs="仿宋"/>
          <w:szCs w:val="21"/>
          <w:lang w:eastAsia="zh-CN"/>
        </w:rPr>
        <w:t>，</w:t>
      </w:r>
      <w:r>
        <w:rPr>
          <w:rFonts w:hint="eastAsia" w:ascii="仿宋" w:hAnsi="仿宋" w:eastAsia="仿宋" w:cs="仿宋"/>
          <w:szCs w:val="21"/>
        </w:rPr>
        <w:t>在开发过程中，可使用低代码开发平台、微服务开发、工具配置等多种方式，但必须确保可实施及数据、信息安全。所有外网访问数据传输必须使用https网络协议。</w:t>
      </w:r>
    </w:p>
    <w:p>
      <w:pPr>
        <w:pStyle w:val="256"/>
        <w:spacing w:line="360" w:lineRule="auto"/>
        <w:rPr>
          <w:rFonts w:hint="eastAsia" w:ascii="仿宋" w:hAnsi="仿宋" w:eastAsia="仿宋" w:cs="仿宋"/>
          <w:szCs w:val="21"/>
          <w:lang w:val="en-US" w:eastAsia="zh-CN"/>
        </w:rPr>
      </w:pPr>
      <w:r>
        <w:rPr>
          <w:rFonts w:hint="eastAsia" w:ascii="仿宋" w:hAnsi="仿宋" w:eastAsia="仿宋" w:cs="仿宋"/>
          <w:szCs w:val="21"/>
          <w:lang w:val="en-US" w:eastAsia="zh-CN"/>
        </w:rPr>
        <w:t>（2）本项目需提供系统稳定性巡检服务。</w:t>
      </w:r>
    </w:p>
    <w:p>
      <w:pPr>
        <w:pStyle w:val="256"/>
        <w:spacing w:line="360" w:lineRule="auto"/>
        <w:rPr>
          <w:rFonts w:hint="eastAsia" w:ascii="仿宋" w:hAnsi="仿宋" w:eastAsia="仿宋" w:cs="仿宋"/>
          <w:szCs w:val="21"/>
          <w:lang w:val="en-US" w:eastAsia="zh-CN"/>
        </w:rPr>
      </w:pPr>
      <w:r>
        <w:rPr>
          <w:rFonts w:hint="eastAsia" w:ascii="仿宋" w:hAnsi="仿宋" w:eastAsia="仿宋" w:cs="仿宋"/>
          <w:szCs w:val="21"/>
          <w:lang w:val="en-US" w:eastAsia="zh-CN"/>
        </w:rPr>
        <w:t>（3）费用包含二级等保及功能测评相关费用。</w:t>
      </w:r>
      <w:bookmarkStart w:id="38" w:name="_Toc1883245872"/>
    </w:p>
    <w:p>
      <w:pPr>
        <w:pStyle w:val="256"/>
        <w:spacing w:line="360" w:lineRule="auto"/>
        <w:ind w:left="0" w:leftChars="0" w:firstLine="0" w:firstLineChars="0"/>
        <w:rPr>
          <w:rFonts w:hint="eastAsia" w:ascii="仿宋" w:hAnsi="仿宋" w:eastAsia="仿宋" w:cs="仿宋"/>
          <w:b/>
          <w:bCs/>
          <w:szCs w:val="21"/>
        </w:rPr>
      </w:pPr>
      <w:r>
        <w:rPr>
          <w:rFonts w:hint="eastAsia" w:ascii="仿宋" w:hAnsi="仿宋" w:eastAsia="仿宋" w:cs="仿宋"/>
          <w:b/>
          <w:bCs/>
          <w:szCs w:val="21"/>
          <w:lang w:val="en-US" w:eastAsia="zh-CN"/>
        </w:rPr>
        <w:t>四、</w:t>
      </w:r>
      <w:r>
        <w:rPr>
          <w:rFonts w:hint="eastAsia" w:ascii="仿宋" w:hAnsi="仿宋" w:eastAsia="仿宋" w:cs="仿宋"/>
          <w:b/>
          <w:bCs/>
          <w:szCs w:val="21"/>
        </w:rPr>
        <w:t>售后服务要求</w:t>
      </w:r>
      <w:bookmarkEnd w:id="38"/>
    </w:p>
    <w:p>
      <w:pPr>
        <w:pStyle w:val="256"/>
        <w:spacing w:line="360" w:lineRule="auto"/>
        <w:rPr>
          <w:rFonts w:hint="eastAsia" w:ascii="仿宋" w:hAnsi="仿宋" w:eastAsia="仿宋" w:cs="仿宋"/>
          <w:szCs w:val="21"/>
        </w:rPr>
      </w:pPr>
      <w:r>
        <w:rPr>
          <w:rFonts w:hint="eastAsia" w:ascii="仿宋" w:hAnsi="仿宋" w:eastAsia="仿宋" w:cs="仿宋"/>
          <w:szCs w:val="21"/>
        </w:rPr>
        <w:t>（1）提供7×24×365全天侯服务，及时解决故障。电话半小时内必须响应，现场排除故障响应时间小于8小时，24小时内恢复系统正常运行。重大技术问题，技术专家1小时内抵达现场，4小时内给予解决；若短期无法解决的，应及时提供应急措施，并提出书面解决方案报业主批准。</w:t>
      </w:r>
    </w:p>
    <w:p>
      <w:pPr>
        <w:pStyle w:val="256"/>
        <w:spacing w:line="360" w:lineRule="auto"/>
        <w:rPr>
          <w:rFonts w:hint="eastAsia" w:ascii="仿宋" w:hAnsi="仿宋" w:eastAsia="仿宋" w:cs="仿宋"/>
          <w:szCs w:val="21"/>
        </w:rPr>
      </w:pPr>
      <w:r>
        <w:rPr>
          <w:rFonts w:hint="eastAsia" w:ascii="仿宋" w:hAnsi="仿宋" w:eastAsia="仿宋" w:cs="仿宋"/>
          <w:szCs w:val="21"/>
        </w:rPr>
        <w:t>（2）</w:t>
      </w:r>
      <w:r>
        <w:rPr>
          <w:rFonts w:hint="eastAsia" w:ascii="仿宋" w:hAnsi="仿宋" w:eastAsia="仿宋" w:cs="仿宋"/>
          <w:szCs w:val="21"/>
          <w:lang w:val="en-US" w:eastAsia="zh-CN"/>
        </w:rPr>
        <w:t>中标人</w:t>
      </w:r>
      <w:r>
        <w:rPr>
          <w:rFonts w:hint="eastAsia" w:ascii="仿宋" w:hAnsi="仿宋" w:eastAsia="仿宋" w:cs="仿宋"/>
          <w:szCs w:val="21"/>
        </w:rPr>
        <w:t>必须保证解决项目所涉及的技术问题，如因技术原因无法满足用户需求，由此产生的风险由</w:t>
      </w:r>
      <w:r>
        <w:rPr>
          <w:rFonts w:hint="eastAsia" w:ascii="仿宋" w:hAnsi="仿宋" w:eastAsia="仿宋" w:cs="仿宋"/>
          <w:szCs w:val="21"/>
          <w:lang w:val="en-US" w:eastAsia="zh-CN"/>
        </w:rPr>
        <w:t>中标人</w:t>
      </w:r>
      <w:r>
        <w:rPr>
          <w:rFonts w:hint="eastAsia" w:ascii="仿宋" w:hAnsi="仿宋" w:eastAsia="仿宋" w:cs="仿宋"/>
          <w:szCs w:val="21"/>
        </w:rPr>
        <w:t>承担。</w:t>
      </w:r>
    </w:p>
    <w:p>
      <w:pPr>
        <w:pStyle w:val="256"/>
        <w:numPr>
          <w:ilvl w:val="-1"/>
          <w:numId w:val="0"/>
        </w:numPr>
        <w:spacing w:line="360" w:lineRule="auto"/>
        <w:ind w:left="0" w:firstLine="0" w:firstLineChars="0"/>
        <w:outlineLvl w:val="9"/>
        <w:rPr>
          <w:rFonts w:hint="eastAsia" w:ascii="仿宋" w:hAnsi="仿宋" w:eastAsia="仿宋" w:cs="仿宋"/>
          <w:b/>
          <w:bCs/>
          <w:szCs w:val="21"/>
        </w:rPr>
      </w:pPr>
      <w:r>
        <w:rPr>
          <w:rFonts w:hint="eastAsia" w:ascii="仿宋" w:hAnsi="仿宋" w:eastAsia="仿宋" w:cs="仿宋"/>
          <w:b/>
          <w:bCs/>
          <w:szCs w:val="21"/>
          <w:lang w:val="en-US" w:eastAsia="zh-CN"/>
        </w:rPr>
        <w:t>五、</w:t>
      </w:r>
      <w:bookmarkStart w:id="39" w:name="_Toc61874011"/>
      <w:bookmarkStart w:id="40" w:name="_Toc760431598"/>
      <w:r>
        <w:rPr>
          <w:rFonts w:hint="eastAsia" w:ascii="仿宋" w:hAnsi="仿宋" w:eastAsia="仿宋" w:cs="仿宋"/>
          <w:b/>
          <w:bCs/>
          <w:szCs w:val="21"/>
        </w:rPr>
        <w:t>培训要求</w:t>
      </w:r>
      <w:bookmarkEnd w:id="39"/>
      <w:bookmarkEnd w:id="40"/>
    </w:p>
    <w:p>
      <w:pPr>
        <w:pStyle w:val="256"/>
        <w:spacing w:line="360" w:lineRule="auto"/>
        <w:ind w:left="0" w:firstLine="480" w:firstLineChars="200"/>
        <w:rPr>
          <w:rFonts w:hint="eastAsia" w:ascii="仿宋" w:hAnsi="仿宋" w:eastAsia="仿宋" w:cs="仿宋"/>
          <w:szCs w:val="21"/>
        </w:rPr>
      </w:pPr>
      <w:r>
        <w:rPr>
          <w:rFonts w:hint="eastAsia" w:ascii="仿宋" w:hAnsi="仿宋" w:eastAsia="仿宋" w:cs="仿宋"/>
          <w:szCs w:val="21"/>
        </w:rPr>
        <w:t>（1）中标人负责提供采购人所在地或中标人所在地现场培训，根据采购人的要求和建议列出培训内容、计划和被培训人员可达到的水平，落实培训的时间和地点，为所有参加培训人员提供培训用文字资料和讲义等相关资料。项目培训服务标准范围内培训场地费、资料费、培训人员讲课费、培训人员的食宿和交通费由中标人负责，包含在本项目投标总价中。</w:t>
      </w:r>
    </w:p>
    <w:p>
      <w:pPr>
        <w:pStyle w:val="256"/>
        <w:spacing w:line="360" w:lineRule="auto"/>
        <w:ind w:left="0" w:firstLine="480" w:firstLineChars="200"/>
        <w:rPr>
          <w:rFonts w:hint="eastAsia" w:ascii="仿宋" w:hAnsi="仿宋" w:eastAsia="仿宋" w:cs="仿宋"/>
          <w:szCs w:val="21"/>
        </w:rPr>
      </w:pPr>
      <w:r>
        <w:rPr>
          <w:rFonts w:hint="eastAsia" w:ascii="仿宋" w:hAnsi="仿宋" w:eastAsia="仿宋" w:cs="仿宋"/>
          <w:szCs w:val="21"/>
        </w:rPr>
        <w:t>（2）培训内容要求</w:t>
      </w:r>
    </w:p>
    <w:p>
      <w:pPr>
        <w:pStyle w:val="256"/>
        <w:spacing w:line="360" w:lineRule="auto"/>
        <w:ind w:left="0" w:firstLine="480" w:firstLineChars="200"/>
        <w:rPr>
          <w:rFonts w:hint="eastAsia" w:ascii="仿宋" w:hAnsi="仿宋" w:eastAsia="仿宋" w:cs="仿宋"/>
          <w:szCs w:val="21"/>
        </w:rPr>
      </w:pPr>
      <w:r>
        <w:rPr>
          <w:rFonts w:hint="eastAsia" w:ascii="仿宋" w:hAnsi="仿宋" w:eastAsia="仿宋" w:cs="仿宋"/>
          <w:szCs w:val="21"/>
        </w:rPr>
        <w:t>项目培训工作包含：培训方案的设计、培训制度的制定、培训效果评估，以保证培训课程符合采购人实际的需要。为保证业务操作人员对系统的熟练操作， 在系统初验通过后，中标人对业务操作人员进行管理培训和平台功能操作培训。</w:t>
      </w:r>
    </w:p>
    <w:p>
      <w:pPr>
        <w:pStyle w:val="256"/>
        <w:spacing w:line="360" w:lineRule="auto"/>
        <w:ind w:left="360" w:firstLine="0" w:firstLineChars="0"/>
        <w:rPr>
          <w:rFonts w:hint="eastAsia" w:ascii="仿宋" w:hAnsi="仿宋" w:eastAsia="仿宋" w:cs="仿宋"/>
          <w:szCs w:val="21"/>
        </w:rPr>
      </w:pPr>
      <w:r>
        <w:rPr>
          <w:rFonts w:hint="eastAsia" w:ascii="仿宋" w:hAnsi="仿宋" w:eastAsia="仿宋" w:cs="仿宋"/>
          <w:szCs w:val="21"/>
        </w:rPr>
        <w:t>（3）培训手册编制</w:t>
      </w:r>
    </w:p>
    <w:p>
      <w:pPr>
        <w:pStyle w:val="256"/>
        <w:spacing w:line="360" w:lineRule="auto"/>
        <w:ind w:left="0" w:firstLine="480" w:firstLineChars="200"/>
        <w:rPr>
          <w:rFonts w:hint="eastAsia" w:ascii="仿宋" w:hAnsi="仿宋" w:eastAsia="仿宋" w:cs="仿宋"/>
          <w:szCs w:val="21"/>
        </w:rPr>
      </w:pPr>
      <w:r>
        <w:rPr>
          <w:rFonts w:hint="eastAsia" w:ascii="仿宋" w:hAnsi="仿宋" w:eastAsia="仿宋" w:cs="仿宋"/>
          <w:szCs w:val="21"/>
        </w:rPr>
        <w:t>为采购人提供详细管理员使用手册、用户使用手册，其中管理员使用手册和用户使用手册需挂在平台门户帮助中心醒目位置，并根据平台的开发进展按时更新。</w:t>
      </w:r>
    </w:p>
    <w:p>
      <w:pPr>
        <w:pStyle w:val="256"/>
        <w:numPr>
          <w:ilvl w:val="-1"/>
          <w:numId w:val="0"/>
        </w:numPr>
        <w:spacing w:line="360" w:lineRule="auto"/>
        <w:ind w:left="0" w:firstLine="0" w:firstLineChars="0"/>
        <w:outlineLvl w:val="0"/>
        <w:rPr>
          <w:rFonts w:hint="eastAsia" w:ascii="仿宋" w:hAnsi="仿宋" w:eastAsia="仿宋" w:cs="仿宋"/>
          <w:b/>
          <w:bCs/>
          <w:szCs w:val="21"/>
        </w:rPr>
      </w:pPr>
      <w:r>
        <w:rPr>
          <w:rFonts w:hint="eastAsia" w:ascii="仿宋" w:hAnsi="仿宋" w:eastAsia="仿宋" w:cs="仿宋"/>
          <w:b/>
          <w:bCs/>
          <w:szCs w:val="21"/>
          <w:lang w:val="en-US" w:eastAsia="zh-CN"/>
        </w:rPr>
        <w:t>六、</w:t>
      </w:r>
      <w:r>
        <w:rPr>
          <w:rFonts w:hint="eastAsia" w:ascii="仿宋" w:hAnsi="仿宋" w:eastAsia="仿宋" w:cs="仿宋"/>
          <w:b/>
          <w:bCs/>
          <w:szCs w:val="21"/>
        </w:rPr>
        <w:t>服务期</w:t>
      </w:r>
    </w:p>
    <w:p>
      <w:pPr>
        <w:pStyle w:val="256"/>
        <w:spacing w:line="360" w:lineRule="auto"/>
        <w:ind w:left="360"/>
        <w:rPr>
          <w:rFonts w:hint="eastAsia" w:ascii="仿宋" w:hAnsi="仿宋" w:eastAsia="仿宋" w:cs="仿宋"/>
          <w:szCs w:val="21"/>
        </w:rPr>
      </w:pPr>
      <w:r>
        <w:rPr>
          <w:rFonts w:hint="eastAsia" w:ascii="仿宋" w:hAnsi="仿宋" w:eastAsia="仿宋" w:cs="仿宋"/>
          <w:szCs w:val="21"/>
        </w:rPr>
        <w:t>合同签订后90天内完成安装调试，组织项目初验，项目整体系统试运行90天后，组织项目终验。</w:t>
      </w:r>
    </w:p>
    <w:p>
      <w:pPr>
        <w:pStyle w:val="256"/>
        <w:numPr>
          <w:ilvl w:val="-1"/>
          <w:numId w:val="0"/>
        </w:numPr>
        <w:spacing w:line="360" w:lineRule="auto"/>
        <w:ind w:left="0" w:firstLine="0" w:firstLineChars="0"/>
        <w:outlineLvl w:val="9"/>
        <w:rPr>
          <w:rFonts w:hint="eastAsia" w:ascii="仿宋" w:hAnsi="仿宋" w:eastAsia="仿宋" w:cs="仿宋"/>
          <w:b/>
          <w:bCs/>
          <w:szCs w:val="21"/>
        </w:rPr>
      </w:pPr>
      <w:r>
        <w:rPr>
          <w:rFonts w:hint="eastAsia" w:ascii="仿宋" w:hAnsi="仿宋" w:eastAsia="仿宋" w:cs="仿宋"/>
          <w:b/>
          <w:bCs/>
          <w:szCs w:val="21"/>
          <w:lang w:val="en-US" w:eastAsia="zh-CN"/>
        </w:rPr>
        <w:t>七、</w:t>
      </w:r>
      <w:r>
        <w:rPr>
          <w:rFonts w:hint="eastAsia" w:ascii="仿宋" w:hAnsi="仿宋" w:eastAsia="仿宋" w:cs="仿宋"/>
          <w:b/>
          <w:bCs/>
          <w:szCs w:val="21"/>
        </w:rPr>
        <w:t>付款方式</w:t>
      </w:r>
    </w:p>
    <w:p>
      <w:pPr>
        <w:pStyle w:val="256"/>
        <w:spacing w:line="360" w:lineRule="auto"/>
        <w:ind w:left="360"/>
        <w:rPr>
          <w:rFonts w:hint="eastAsia" w:ascii="仿宋" w:hAnsi="仿宋" w:eastAsia="仿宋" w:cs="仿宋"/>
          <w:szCs w:val="21"/>
        </w:rPr>
      </w:pPr>
      <w:r>
        <w:rPr>
          <w:rFonts w:hint="eastAsia" w:ascii="仿宋" w:hAnsi="仿宋" w:eastAsia="仿宋" w:cs="仿宋"/>
          <w:szCs w:val="21"/>
        </w:rPr>
        <w:t>按《浙江省财政厅关于进一步发挥政府采购政策 功能全力推动经济稳进提质的通知》（浙财采监〔2022〕3号）等文件要求执行，具体付款方式由双方协商后在合同中明确。</w:t>
      </w:r>
    </w:p>
    <w:p>
      <w:pPr>
        <w:pStyle w:val="256"/>
        <w:numPr>
          <w:ilvl w:val="-1"/>
          <w:numId w:val="0"/>
        </w:numPr>
        <w:spacing w:line="360" w:lineRule="auto"/>
        <w:ind w:left="0" w:firstLine="0" w:firstLineChars="0"/>
        <w:outlineLvl w:val="9"/>
        <w:rPr>
          <w:rFonts w:hint="eastAsia" w:ascii="仿宋" w:hAnsi="仿宋" w:eastAsia="仿宋" w:cs="仿宋"/>
          <w:b/>
          <w:bCs/>
          <w:szCs w:val="21"/>
          <w:lang w:val="en-US" w:eastAsia="zh-CN"/>
        </w:rPr>
      </w:pPr>
      <w:r>
        <w:rPr>
          <w:rFonts w:hint="eastAsia" w:ascii="仿宋" w:hAnsi="仿宋" w:eastAsia="仿宋" w:cs="仿宋"/>
          <w:b/>
          <w:bCs/>
          <w:szCs w:val="21"/>
          <w:lang w:val="en-US" w:eastAsia="zh-CN"/>
        </w:rPr>
        <w:t>八、维保期</w:t>
      </w:r>
    </w:p>
    <w:p>
      <w:pPr>
        <w:pStyle w:val="256"/>
        <w:spacing w:line="360" w:lineRule="auto"/>
        <w:ind w:left="360"/>
        <w:rPr>
          <w:rFonts w:hint="eastAsia" w:ascii="宋体" w:hAnsi="宋体" w:eastAsia="宋体" w:cs="仿宋"/>
          <w:szCs w:val="21"/>
        </w:rPr>
      </w:pPr>
      <w:r>
        <w:rPr>
          <w:rFonts w:hint="eastAsia" w:ascii="仿宋" w:hAnsi="仿宋" w:eastAsia="仿宋" w:cs="仿宋"/>
          <w:szCs w:val="21"/>
        </w:rPr>
        <w:t>终验合格之日起</w:t>
      </w:r>
      <w:r>
        <w:rPr>
          <w:rFonts w:hint="eastAsia" w:ascii="仿宋" w:hAnsi="仿宋" w:eastAsia="仿宋" w:cs="仿宋"/>
          <w:szCs w:val="21"/>
          <w:lang w:val="en-US" w:eastAsia="zh-CN"/>
        </w:rPr>
        <w:t>一</w:t>
      </w:r>
      <w:r>
        <w:rPr>
          <w:rFonts w:hint="eastAsia" w:ascii="仿宋" w:hAnsi="仿宋" w:eastAsia="仿宋" w:cs="仿宋"/>
          <w:szCs w:val="21"/>
        </w:rPr>
        <w:t>年。</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170" w:name="_GoBack"/>
      <w:bookmarkEnd w:id="170"/>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3"/>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587" w:bottom="1474" w:left="1587" w:header="851" w:footer="851" w:gutter="0"/>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41" w:name="_Toc15367"/>
      <w:bookmarkStart w:id="42" w:name="_Toc22967"/>
      <w:bookmarkStart w:id="43" w:name="_Toc28855"/>
      <w:bookmarkStart w:id="44" w:name="_Toc19273"/>
      <w:bookmarkStart w:id="45" w:name="_Toc20421"/>
      <w:r>
        <w:rPr>
          <w:rFonts w:hint="eastAsia" w:ascii="仿宋" w:hAnsi="仿宋" w:eastAsia="仿宋" w:cs="仿宋"/>
          <w:b/>
          <w:sz w:val="24"/>
        </w:rPr>
        <w:t>1.1 合同组成部分</w:t>
      </w:r>
      <w:bookmarkEnd w:id="41"/>
      <w:bookmarkEnd w:id="42"/>
      <w:bookmarkEnd w:id="43"/>
      <w:bookmarkEnd w:id="44"/>
      <w:bookmarkEnd w:id="4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6" w:name="_Toc22185"/>
      <w:bookmarkStart w:id="47" w:name="_Toc6773"/>
      <w:bookmarkStart w:id="48" w:name="_Toc2918"/>
      <w:bookmarkStart w:id="49" w:name="_Toc18585"/>
      <w:bookmarkStart w:id="50" w:name="_Toc6311"/>
      <w:r>
        <w:rPr>
          <w:rFonts w:hint="eastAsia" w:ascii="仿宋" w:hAnsi="仿宋" w:eastAsia="仿宋" w:cs="仿宋"/>
          <w:b/>
          <w:sz w:val="24"/>
        </w:rPr>
        <w:t>1.2 标的</w:t>
      </w:r>
      <w:bookmarkEnd w:id="46"/>
      <w:bookmarkEnd w:id="47"/>
      <w:bookmarkEnd w:id="48"/>
      <w:bookmarkEnd w:id="49"/>
      <w:bookmarkEnd w:id="5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51" w:name="_Toc13918"/>
      <w:bookmarkStart w:id="52" w:name="_Toc4929"/>
      <w:bookmarkStart w:id="53" w:name="_Toc5635"/>
      <w:bookmarkStart w:id="54" w:name="_Toc1386"/>
      <w:bookmarkStart w:id="55"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1"/>
      <w:bookmarkEnd w:id="52"/>
      <w:bookmarkEnd w:id="53"/>
      <w:bookmarkEnd w:id="54"/>
      <w:bookmarkEnd w:id="5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6" w:name="_Toc14993"/>
      <w:bookmarkStart w:id="57" w:name="_Toc3654"/>
      <w:bookmarkStart w:id="58" w:name="_Toc26916"/>
      <w:bookmarkStart w:id="59" w:name="_Toc30158"/>
      <w:bookmarkStart w:id="60" w:name="_Toc3050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6"/>
    <w:bookmarkEnd w:id="57"/>
    <w:bookmarkEnd w:id="58"/>
    <w:bookmarkEnd w:id="59"/>
    <w:bookmarkEnd w:id="60"/>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61" w:name="_Toc10340"/>
      <w:bookmarkStart w:id="62" w:name="_Toc22618"/>
      <w:bookmarkStart w:id="63" w:name="_Toc1814"/>
      <w:bookmarkStart w:id="64" w:name="_Toc11108"/>
      <w:bookmarkStart w:id="65" w:name="_Toc8772"/>
      <w:bookmarkStart w:id="66" w:name="_Toc31421"/>
      <w:bookmarkStart w:id="67" w:name="_Toc3625"/>
      <w:bookmarkStart w:id="68" w:name="_Toc4760"/>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1"/>
      <w:bookmarkEnd w:id="62"/>
      <w:bookmarkEnd w:id="63"/>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4"/>
      <w:bookmarkEnd w:id="65"/>
      <w:bookmarkEnd w:id="66"/>
      <w:bookmarkEnd w:id="67"/>
      <w:bookmarkEnd w:id="6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9" w:name="_Toc3079"/>
      <w:bookmarkStart w:id="70" w:name="_Toc24662"/>
      <w:bookmarkStart w:id="71" w:name="_Toc8586"/>
      <w:bookmarkStart w:id="72" w:name="_Toc5698"/>
      <w:bookmarkStart w:id="73" w:name="_Toc2375"/>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9"/>
      <w:bookmarkEnd w:id="70"/>
      <w:bookmarkEnd w:id="71"/>
      <w:bookmarkEnd w:id="72"/>
      <w:bookmarkEnd w:id="7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4" w:name="_Toc32454"/>
      <w:bookmarkStart w:id="75" w:name="_Toc18683"/>
      <w:bookmarkStart w:id="76" w:name="_Toc30329"/>
      <w:bookmarkStart w:id="77" w:name="_Toc9497"/>
      <w:bookmarkStart w:id="78"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4"/>
    <w:bookmarkEnd w:id="75"/>
    <w:bookmarkEnd w:id="76"/>
    <w:bookmarkEnd w:id="77"/>
    <w:bookmarkEnd w:id="78"/>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15583"/>
      <w:bookmarkStart w:id="80" w:name="_Toc16021"/>
      <w:bookmarkStart w:id="81" w:name="_Toc28375"/>
      <w:r>
        <w:rPr>
          <w:rFonts w:hint="eastAsia" w:ascii="仿宋" w:hAnsi="仿宋" w:eastAsia="仿宋" w:cs="仿宋"/>
          <w:b/>
          <w:sz w:val="24"/>
        </w:rPr>
        <w:t>1.9合同争议的解决</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82" w:name="_Toc11173"/>
      <w:bookmarkStart w:id="83" w:name="_Toc15322"/>
      <w:bookmarkStart w:id="84" w:name="_Toc7245"/>
      <w:r>
        <w:rPr>
          <w:rFonts w:hint="eastAsia" w:ascii="仿宋" w:hAnsi="仿宋" w:eastAsia="仿宋" w:cs="仿宋"/>
          <w:b/>
          <w:sz w:val="24"/>
        </w:rPr>
        <w:t>2.0 合同生效</w:t>
      </w:r>
      <w:bookmarkEnd w:id="82"/>
      <w:bookmarkEnd w:id="83"/>
      <w:bookmarkEnd w:id="8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85" w:name="_Toc19680"/>
      <w:bookmarkStart w:id="86" w:name="_Toc31297"/>
      <w:bookmarkStart w:id="87" w:name="_Toc5228"/>
      <w:bookmarkStart w:id="88" w:name="_Toc25079"/>
      <w:bookmarkStart w:id="89" w:name="_Toc14021"/>
      <w:r>
        <w:rPr>
          <w:rFonts w:hint="eastAsia" w:ascii="仿宋" w:hAnsi="仿宋" w:eastAsia="仿宋" w:cs="仿宋"/>
          <w:b/>
          <w:sz w:val="24"/>
        </w:rPr>
        <w:t>2.1 定义</w:t>
      </w:r>
      <w:bookmarkEnd w:id="85"/>
      <w:bookmarkEnd w:id="86"/>
      <w:bookmarkEnd w:id="87"/>
      <w:bookmarkEnd w:id="88"/>
      <w:bookmarkEnd w:id="8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90" w:name="_Toc19539"/>
      <w:bookmarkStart w:id="91" w:name="_Toc3769"/>
      <w:bookmarkStart w:id="92" w:name="_Toc23289"/>
      <w:bookmarkStart w:id="93" w:name="_Toc16752"/>
      <w:bookmarkStart w:id="94" w:name="_Toc31402"/>
      <w:r>
        <w:rPr>
          <w:rFonts w:hint="eastAsia" w:ascii="仿宋" w:hAnsi="仿宋" w:eastAsia="仿宋" w:cs="仿宋"/>
          <w:b/>
          <w:sz w:val="24"/>
        </w:rPr>
        <w:t>2.2 技术规范</w:t>
      </w:r>
      <w:bookmarkEnd w:id="90"/>
      <w:bookmarkEnd w:id="91"/>
      <w:bookmarkEnd w:id="92"/>
      <w:bookmarkEnd w:id="93"/>
      <w:bookmarkEnd w:id="9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95" w:name="_Toc9161"/>
      <w:bookmarkStart w:id="96" w:name="_Toc12412"/>
      <w:bookmarkStart w:id="97" w:name="_Toc13673"/>
      <w:bookmarkStart w:id="98" w:name="_Toc4133"/>
      <w:bookmarkStart w:id="99" w:name="_Toc27945"/>
      <w:r>
        <w:rPr>
          <w:rFonts w:hint="eastAsia" w:ascii="仿宋" w:hAnsi="仿宋" w:eastAsia="仿宋" w:cs="仿宋"/>
          <w:b/>
          <w:sz w:val="24"/>
        </w:rPr>
        <w:t>2.3 知识产权</w:t>
      </w:r>
      <w:bookmarkEnd w:id="95"/>
      <w:bookmarkEnd w:id="96"/>
      <w:bookmarkEnd w:id="97"/>
      <w:bookmarkEnd w:id="98"/>
      <w:bookmarkEnd w:id="9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100" w:name="_Toc31233"/>
      <w:bookmarkStart w:id="101" w:name="_Toc22011"/>
      <w:bookmarkStart w:id="102" w:name="_Toc26555"/>
      <w:bookmarkStart w:id="103" w:name="_Toc15447"/>
      <w:bookmarkStart w:id="104" w:name="_Toc32670"/>
      <w:r>
        <w:rPr>
          <w:rFonts w:hint="eastAsia" w:ascii="仿宋" w:hAnsi="仿宋" w:eastAsia="仿宋" w:cs="仿宋"/>
          <w:b/>
          <w:sz w:val="24"/>
        </w:rPr>
        <w:t>2.5 结算方式和付款条件</w:t>
      </w:r>
      <w:bookmarkEnd w:id="100"/>
      <w:bookmarkEnd w:id="101"/>
      <w:bookmarkEnd w:id="102"/>
      <w:bookmarkEnd w:id="103"/>
      <w:bookmarkEnd w:id="10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05" w:name="_Toc16163"/>
      <w:bookmarkStart w:id="106" w:name="_Toc18990"/>
      <w:bookmarkStart w:id="107" w:name="_Toc13467"/>
      <w:bookmarkStart w:id="108" w:name="_Toc30507"/>
      <w:bookmarkStart w:id="109" w:name="_Toc13154"/>
      <w:r>
        <w:rPr>
          <w:rFonts w:hint="eastAsia" w:ascii="仿宋" w:hAnsi="仿宋" w:eastAsia="仿宋" w:cs="仿宋"/>
          <w:b/>
          <w:sz w:val="24"/>
        </w:rPr>
        <w:t>2.6 技术资料和保密义务</w:t>
      </w:r>
      <w:bookmarkEnd w:id="105"/>
      <w:bookmarkEnd w:id="106"/>
      <w:bookmarkEnd w:id="107"/>
      <w:bookmarkEnd w:id="108"/>
      <w:bookmarkEnd w:id="10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10" w:name="_Toc19069"/>
      <w:r>
        <w:rPr>
          <w:rFonts w:hint="eastAsia" w:ascii="仿宋" w:hAnsi="仿宋" w:eastAsia="仿宋" w:cs="仿宋"/>
          <w:b/>
          <w:sz w:val="24"/>
        </w:rPr>
        <w:t>2.7 质量保证</w:t>
      </w:r>
      <w:bookmarkEnd w:id="11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11" w:name="_Toc22267"/>
      <w:r>
        <w:rPr>
          <w:rFonts w:hint="eastAsia" w:ascii="仿宋" w:hAnsi="仿宋" w:eastAsia="仿宋" w:cs="仿宋"/>
          <w:b/>
          <w:sz w:val="24"/>
        </w:rPr>
        <w:t>2.8 延迟履行</w:t>
      </w:r>
      <w:bookmarkEnd w:id="11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112" w:name="_Toc10611"/>
      <w:r>
        <w:rPr>
          <w:rFonts w:hint="eastAsia" w:ascii="仿宋" w:hAnsi="仿宋" w:eastAsia="仿宋" w:cs="仿宋"/>
          <w:b/>
          <w:sz w:val="24"/>
        </w:rPr>
        <w:t>2.9 合同变更</w:t>
      </w:r>
      <w:bookmarkEnd w:id="11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13" w:name="_Toc10663"/>
      <w:bookmarkStart w:id="114" w:name="_Toc23368"/>
      <w:bookmarkStart w:id="115" w:name="_Toc26689"/>
      <w:bookmarkStart w:id="116" w:name="_Toc42"/>
      <w:bookmarkStart w:id="117" w:name="_Toc21830"/>
      <w:r>
        <w:rPr>
          <w:rFonts w:hint="eastAsia" w:ascii="仿宋" w:hAnsi="仿宋" w:eastAsia="仿宋" w:cs="仿宋"/>
          <w:b/>
          <w:sz w:val="24"/>
        </w:rPr>
        <w:t>2.10 合同转让和分包</w:t>
      </w:r>
      <w:bookmarkEnd w:id="113"/>
      <w:bookmarkEnd w:id="114"/>
      <w:bookmarkEnd w:id="115"/>
      <w:bookmarkEnd w:id="116"/>
      <w:bookmarkEnd w:id="1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18" w:name="_Toc25571"/>
      <w:bookmarkStart w:id="119" w:name="_Toc4720"/>
      <w:bookmarkStart w:id="120" w:name="_Toc32494"/>
      <w:bookmarkStart w:id="121" w:name="_Toc14371"/>
      <w:bookmarkStart w:id="122" w:name="_Toc26633"/>
      <w:r>
        <w:rPr>
          <w:rFonts w:hint="eastAsia" w:ascii="仿宋" w:hAnsi="仿宋" w:eastAsia="仿宋" w:cs="仿宋"/>
          <w:b/>
          <w:sz w:val="24"/>
        </w:rPr>
        <w:t>2.11 不可抗力</w:t>
      </w:r>
      <w:bookmarkEnd w:id="118"/>
      <w:bookmarkEnd w:id="119"/>
      <w:bookmarkEnd w:id="120"/>
      <w:bookmarkEnd w:id="121"/>
      <w:bookmarkEnd w:id="12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23" w:name="_Toc25783"/>
      <w:bookmarkStart w:id="124" w:name="_Toc3638"/>
      <w:bookmarkStart w:id="125" w:name="_Toc14115"/>
      <w:bookmarkStart w:id="126" w:name="_Toc24465"/>
      <w:bookmarkStart w:id="127" w:name="_Toc23854"/>
      <w:r>
        <w:rPr>
          <w:rFonts w:hint="eastAsia" w:ascii="仿宋" w:hAnsi="仿宋" w:eastAsia="仿宋" w:cs="仿宋"/>
          <w:b/>
          <w:sz w:val="24"/>
        </w:rPr>
        <w:t>2.12 税费</w:t>
      </w:r>
      <w:bookmarkEnd w:id="123"/>
      <w:bookmarkEnd w:id="124"/>
      <w:bookmarkEnd w:id="125"/>
      <w:bookmarkEnd w:id="126"/>
      <w:bookmarkEnd w:id="12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28" w:name="_Toc26883"/>
      <w:bookmarkStart w:id="129" w:name="_Toc7315"/>
      <w:bookmarkStart w:id="130" w:name="_Toc30105"/>
      <w:bookmarkStart w:id="131" w:name="_Toc25525"/>
      <w:bookmarkStart w:id="132" w:name="_Toc14814"/>
      <w:r>
        <w:rPr>
          <w:rFonts w:hint="eastAsia" w:ascii="仿宋" w:hAnsi="仿宋" w:eastAsia="仿宋" w:cs="仿宋"/>
          <w:b/>
          <w:sz w:val="24"/>
        </w:rPr>
        <w:t>2.13 乙方破产</w:t>
      </w:r>
      <w:bookmarkEnd w:id="128"/>
      <w:bookmarkEnd w:id="129"/>
      <w:bookmarkEnd w:id="130"/>
      <w:bookmarkEnd w:id="131"/>
      <w:bookmarkEnd w:id="13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33" w:name="_Toc23323"/>
      <w:bookmarkStart w:id="134" w:name="_Toc1123"/>
      <w:bookmarkStart w:id="135" w:name="_Toc2016"/>
      <w:r>
        <w:rPr>
          <w:rFonts w:hint="eastAsia" w:ascii="仿宋" w:hAnsi="仿宋" w:eastAsia="仿宋" w:cs="仿宋"/>
          <w:b/>
          <w:sz w:val="24"/>
        </w:rPr>
        <w:t>2.14 合同中止、终止</w:t>
      </w:r>
      <w:bookmarkEnd w:id="133"/>
      <w:bookmarkEnd w:id="134"/>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36" w:name="_Toc1969"/>
      <w:bookmarkStart w:id="137" w:name="_Toc17363"/>
      <w:bookmarkStart w:id="138" w:name="_Toc14525"/>
      <w:r>
        <w:rPr>
          <w:rFonts w:hint="eastAsia" w:ascii="仿宋" w:hAnsi="仿宋" w:eastAsia="仿宋" w:cs="仿宋"/>
          <w:b/>
          <w:sz w:val="24"/>
        </w:rPr>
        <w:t>2.15 检验和验收</w:t>
      </w:r>
      <w:bookmarkEnd w:id="136"/>
      <w:bookmarkEnd w:id="137"/>
      <w:bookmarkEnd w:id="138"/>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39" w:name="_Toc31892"/>
      <w:bookmarkStart w:id="140" w:name="_Toc2308"/>
      <w:bookmarkStart w:id="141" w:name="_Toc12666"/>
      <w:bookmarkStart w:id="142" w:name="_Toc25198"/>
      <w:bookmarkStart w:id="143" w:name="_Toc9808"/>
      <w:r>
        <w:rPr>
          <w:rFonts w:hint="eastAsia" w:ascii="仿宋" w:hAnsi="仿宋" w:eastAsia="仿宋" w:cs="仿宋"/>
          <w:b/>
          <w:sz w:val="24"/>
        </w:rPr>
        <w:t>2.16 通知和送达</w:t>
      </w:r>
      <w:bookmarkEnd w:id="139"/>
      <w:bookmarkEnd w:id="140"/>
      <w:bookmarkEnd w:id="141"/>
      <w:bookmarkEnd w:id="142"/>
      <w:bookmarkEnd w:id="143"/>
    </w:p>
    <w:p>
      <w:pPr>
        <w:spacing w:line="560" w:lineRule="exact"/>
        <w:ind w:firstLine="480" w:firstLineChars="200"/>
        <w:rPr>
          <w:rFonts w:hint="eastAsia" w:ascii="仿宋" w:hAnsi="仿宋" w:eastAsia="仿宋" w:cs="仿宋"/>
          <w:sz w:val="24"/>
        </w:rPr>
      </w:pPr>
      <w:bookmarkStart w:id="144" w:name="_Toc18401"/>
      <w:bookmarkStart w:id="145"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pPr>
        <w:spacing w:line="560" w:lineRule="exact"/>
        <w:ind w:firstLine="482" w:firstLineChars="200"/>
        <w:outlineLvl w:val="0"/>
        <w:rPr>
          <w:rFonts w:hint="eastAsia" w:ascii="仿宋" w:hAnsi="仿宋" w:eastAsia="仿宋" w:cs="仿宋"/>
          <w:b/>
          <w:sz w:val="24"/>
        </w:rPr>
      </w:pPr>
      <w:bookmarkStart w:id="146" w:name="_Toc28906"/>
      <w:bookmarkStart w:id="147" w:name="_Toc20808"/>
      <w:bookmarkStart w:id="148" w:name="_Toc27644"/>
      <w:bookmarkStart w:id="149" w:name="_Toc5063"/>
      <w:bookmarkStart w:id="150" w:name="_Toc12254"/>
      <w:r>
        <w:rPr>
          <w:rFonts w:hint="eastAsia" w:ascii="仿宋" w:hAnsi="仿宋" w:eastAsia="仿宋" w:cs="仿宋"/>
          <w:b/>
          <w:sz w:val="24"/>
        </w:rPr>
        <w:t>2.17 合同使用的文字和适用的法律</w:t>
      </w:r>
      <w:bookmarkEnd w:id="146"/>
      <w:bookmarkEnd w:id="147"/>
      <w:bookmarkEnd w:id="148"/>
      <w:bookmarkEnd w:id="149"/>
      <w:bookmarkEnd w:id="15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51" w:name="_Toc30599"/>
      <w:bookmarkStart w:id="152" w:name="_Toc4355"/>
      <w:bookmarkStart w:id="153" w:name="_Toc18540"/>
      <w:r>
        <w:rPr>
          <w:rFonts w:hint="eastAsia" w:ascii="仿宋" w:hAnsi="仿宋" w:eastAsia="仿宋" w:cs="仿宋"/>
          <w:b/>
          <w:sz w:val="24"/>
        </w:rPr>
        <w:t>2.18 计量单位</w:t>
      </w:r>
      <w:bookmarkEnd w:id="151"/>
      <w:bookmarkEnd w:id="152"/>
      <w:bookmarkEnd w:id="15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54" w:name="_Toc259093692"/>
      <w:bookmarkStart w:id="155" w:name="_Toc487900373"/>
      <w:bookmarkStart w:id="156" w:name="_Toc18567"/>
      <w:bookmarkStart w:id="157" w:name="_Toc279701263"/>
      <w:bookmarkStart w:id="158" w:name="_Toc10330"/>
      <w:bookmarkStart w:id="159" w:name="_Toc12773"/>
      <w:r>
        <w:rPr>
          <w:rFonts w:hint="eastAsia" w:ascii="仿宋" w:hAnsi="仿宋" w:eastAsia="仿宋" w:cs="仿宋"/>
          <w:b/>
          <w:sz w:val="24"/>
        </w:rPr>
        <w:t>2.19 合同使用的文字和适用的法律</w:t>
      </w:r>
      <w:bookmarkEnd w:id="154"/>
      <w:bookmarkEnd w:id="155"/>
      <w:bookmarkEnd w:id="156"/>
      <w:bookmarkEnd w:id="157"/>
      <w:bookmarkEnd w:id="158"/>
      <w:bookmarkEnd w:id="15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60" w:name="_Toc331685784"/>
      <w:r>
        <w:rPr>
          <w:rFonts w:hint="eastAsia" w:ascii="仿宋" w:hAnsi="仿宋" w:eastAsia="仿宋" w:cs="仿宋"/>
          <w:b/>
          <w:sz w:val="24"/>
        </w:rPr>
        <w:t xml:space="preserve"> </w:t>
      </w:r>
      <w:bookmarkEnd w:id="160"/>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1.</w:t>
      </w:r>
      <w:r>
        <w:rPr>
          <w:rFonts w:hint="eastAsia" w:ascii="仿宋" w:hAnsi="仿宋" w:eastAsia="仿宋" w:cs="仿宋"/>
          <w:b/>
          <w:sz w:val="24"/>
        </w:rPr>
        <w:t>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80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20 </w:t>
      </w:r>
      <w:r>
        <w:rPr>
          <w:rFonts w:hint="eastAsia" w:ascii="仿宋" w:hAnsi="仿宋" w:eastAsia="仿宋" w:cs="仿宋"/>
          <w:sz w:val="24"/>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2"/>
        <w:tblW w:w="9838" w:type="dxa"/>
        <w:jc w:val="center"/>
        <w:tblLayout w:type="fixed"/>
        <w:tblCellMar>
          <w:top w:w="0" w:type="dxa"/>
          <w:left w:w="108" w:type="dxa"/>
          <w:bottom w:w="0" w:type="dxa"/>
          <w:right w:w="108" w:type="dxa"/>
        </w:tblCellMar>
      </w:tblPr>
      <w:tblGrid>
        <w:gridCol w:w="852"/>
        <w:gridCol w:w="1316"/>
        <w:gridCol w:w="6434"/>
        <w:gridCol w:w="1236"/>
      </w:tblGrid>
      <w:tr>
        <w:tblPrEx>
          <w:tblCellMar>
            <w:top w:w="0" w:type="dxa"/>
            <w:left w:w="108" w:type="dxa"/>
            <w:bottom w:w="0" w:type="dxa"/>
            <w:right w:w="108" w:type="dxa"/>
          </w:tblCellMar>
        </w:tblPrEx>
        <w:trPr>
          <w:trHeight w:val="561"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adjustRightInd w:val="0"/>
              <w:snapToGrid w:val="0"/>
              <w:spacing w:line="440" w:lineRule="exact"/>
              <w:textAlignment w:val="auto"/>
              <w:rPr>
                <w:rFonts w:ascii="仿宋" w:hAnsi="仿宋" w:eastAsia="仿宋" w:cs="仿宋"/>
                <w:b/>
                <w:bCs/>
                <w:kern w:val="0"/>
                <w:sz w:val="24"/>
              </w:rPr>
            </w:pPr>
            <w:r>
              <w:rPr>
                <w:rFonts w:hint="eastAsia" w:ascii="仿宋" w:hAnsi="仿宋" w:eastAsia="仿宋" w:cs="仿宋"/>
                <w:sz w:val="20"/>
                <w:szCs w:val="20"/>
                <w:shd w:val="clear" w:color="auto" w:fill="FFFFFF"/>
              </w:rPr>
              <w:t> </w:t>
            </w:r>
            <w:r>
              <w:rPr>
                <w:rFonts w:hint="eastAsia" w:ascii="仿宋" w:hAnsi="仿宋" w:eastAsia="仿宋" w:cs="仿宋"/>
                <w:b/>
                <w:bCs/>
                <w:kern w:val="0"/>
                <w:sz w:val="24"/>
              </w:rPr>
              <w:t>序号</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616"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1</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投标单位技术力量</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①拟派项目负责人具有网络安全能力认证（CCSC）、信息安全保障人员认证证书（CISAW）、通信中级证书（互联网技术）的，每提供一个得1分，最高得3分。</w:t>
            </w:r>
          </w:p>
          <w:p>
            <w:pPr>
              <w:widowControl/>
              <w:adjustRightInd w:val="0"/>
              <w:snapToGrid w:val="0"/>
              <w:spacing w:line="440" w:lineRule="exact"/>
              <w:jc w:val="left"/>
              <w:rPr>
                <w:rFonts w:ascii="仿宋" w:hAnsi="仿宋" w:eastAsia="仿宋" w:cs="仿宋"/>
                <w:sz w:val="24"/>
                <w:highlight w:val="yellow"/>
              </w:rPr>
            </w:pPr>
            <w:r>
              <w:rPr>
                <w:rFonts w:hint="eastAsia" w:ascii="仿宋" w:hAnsi="仿宋" w:eastAsia="仿宋" w:cs="仿宋"/>
                <w:sz w:val="24"/>
              </w:rPr>
              <w:t>②拟派项目技术负责人具有信息系统项目管理师高级证书、网络工程师、信息通信技术高级工程师证书、信息系统监理师、互联网技术（中级证书）的，每提供一个得0.4分，最高得2分。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③具有CISP信息安全认证工程师3名及以上，得1分；具有CISP信息安全认证工程师2名，得0.5分；具有CISP信息安全认证工程师1名，得0.2分。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b/>
                <w:bCs/>
                <w:sz w:val="24"/>
              </w:rPr>
              <w:t>注：需提供相关证书、证书持有人必须为投标人本单位正式员工同时需出具本单位社保缴纳证明并加盖公章。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6分</w:t>
            </w:r>
          </w:p>
        </w:tc>
      </w:tr>
      <w:tr>
        <w:tblPrEx>
          <w:tblCellMar>
            <w:top w:w="0" w:type="dxa"/>
            <w:left w:w="108" w:type="dxa"/>
            <w:bottom w:w="0" w:type="dxa"/>
            <w:right w:w="108" w:type="dxa"/>
          </w:tblCellMar>
        </w:tblPrEx>
        <w:trPr>
          <w:trHeight w:val="1921"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2</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同类案例</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提供自20</w:t>
            </w:r>
            <w:r>
              <w:rPr>
                <w:rFonts w:hint="eastAsia" w:ascii="仿宋" w:hAnsi="仿宋" w:eastAsia="仿宋" w:cs="仿宋"/>
                <w:color w:val="auto"/>
                <w:sz w:val="24"/>
                <w:highlight w:val="none"/>
                <w:lang w:val="en-US" w:eastAsia="zh-CN"/>
              </w:rPr>
              <w:t>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月以来</w:t>
            </w:r>
            <w:r>
              <w:rPr>
                <w:rFonts w:hint="eastAsia" w:ascii="仿宋" w:hAnsi="仿宋" w:eastAsia="仿宋" w:cs="仿宋"/>
                <w:b/>
                <w:bCs/>
                <w:color w:val="auto"/>
                <w:sz w:val="24"/>
                <w:highlight w:val="none"/>
              </w:rPr>
              <w:t>（合同签订时间为准）</w:t>
            </w:r>
            <w:r>
              <w:rPr>
                <w:rFonts w:hint="eastAsia" w:ascii="仿宋" w:hAnsi="仿宋" w:eastAsia="仿宋" w:cs="仿宋"/>
                <w:color w:val="auto"/>
                <w:sz w:val="24"/>
                <w:highlight w:val="none"/>
              </w:rPr>
              <w:t>同类项目案例，每提供一个案例得0.5分，最高得2分。</w:t>
            </w:r>
            <w:r>
              <w:rPr>
                <w:rFonts w:hint="eastAsia" w:ascii="仿宋" w:hAnsi="仿宋" w:eastAsia="仿宋" w:cs="仿宋"/>
                <w:b/>
                <w:bCs/>
                <w:color w:val="auto"/>
                <w:sz w:val="24"/>
                <w:highlight w:val="none"/>
              </w:rPr>
              <w:t>（投标文件中提供案例合同、中标通知书及验收单并加盖公章，缺一不得分。）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2分</w:t>
            </w:r>
          </w:p>
        </w:tc>
      </w:tr>
      <w:tr>
        <w:tblPrEx>
          <w:tblCellMar>
            <w:top w:w="0" w:type="dxa"/>
            <w:left w:w="108" w:type="dxa"/>
            <w:bottom w:w="0" w:type="dxa"/>
            <w:right w:w="108" w:type="dxa"/>
          </w:tblCellMar>
        </w:tblPrEx>
        <w:trPr>
          <w:trHeight w:val="1134"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3</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投标单位资质</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ITSS信息技术服务标准符合性证书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软件能力成熟度CMMI3级证书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数据治理符合性评价证书ISO /IEC38505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隐私信息管理体系认证证书 ISO /IEC27701。以上每提供一个得1分，最高得4分。</w:t>
            </w:r>
          </w:p>
          <w:p>
            <w:pPr>
              <w:widowControl/>
              <w:adjustRightInd w:val="0"/>
              <w:snapToGrid w:val="0"/>
              <w:spacing w:line="440" w:lineRule="exact"/>
              <w:jc w:val="left"/>
              <w:rPr>
                <w:rFonts w:ascii="仿宋" w:hAnsi="仿宋" w:eastAsia="仿宋" w:cs="仿宋"/>
                <w:color w:val="auto"/>
                <w:sz w:val="24"/>
                <w:highlight w:val="none"/>
              </w:rPr>
            </w:pPr>
            <w:r>
              <w:rPr>
                <w:rFonts w:hint="eastAsia" w:ascii="仿宋" w:hAnsi="仿宋" w:eastAsia="仿宋" w:cs="仿宋"/>
                <w:b/>
                <w:color w:val="auto"/>
                <w:spacing w:val="4"/>
                <w:sz w:val="24"/>
                <w:highlight w:val="none"/>
              </w:rPr>
              <w:t>注：投标文件中提供有效期内的相关证明文件并加盖公章。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4分</w:t>
            </w:r>
          </w:p>
        </w:tc>
      </w:tr>
      <w:tr>
        <w:tblPrEx>
          <w:tblCellMar>
            <w:top w:w="0" w:type="dxa"/>
            <w:left w:w="108" w:type="dxa"/>
            <w:bottom w:w="0" w:type="dxa"/>
            <w:right w:w="108" w:type="dxa"/>
          </w:tblCellMar>
        </w:tblPrEx>
        <w:trPr>
          <w:trHeight w:val="5484"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4</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highlight w:val="yellow"/>
              </w:rPr>
            </w:pPr>
            <w:r>
              <w:rPr>
                <w:rFonts w:hint="eastAsia" w:ascii="仿宋" w:hAnsi="仿宋" w:eastAsia="仿宋" w:cs="仿宋"/>
                <w:kern w:val="0"/>
                <w:sz w:val="24"/>
              </w:rPr>
              <w:t>软件技术方案</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整体技术方案迭代思路清晰，能满足“实战实效、减负赋能”要求，所采用技术较为先进、性能稳定、安全可靠。</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1、根据投标人编制的总体建设思路方案的完整性、合理性等方面，由评委进行综合评分。（0-4分）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2、根据投标人编制的数智枫桥驾驶舱建设方案的完整性、合理性等方面，由评委进行综合评分。（0-4分）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3、根据投标人编制的平安综治平台建设方案的完整性、合理性等方面，由评委进行综合评分。（0-5分）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4、根据投标人编制的风险研判平台、平战一体指挥平台、平安建设晾晒平台、矛盾纠纷化解兜底一件事建设方案的完整性、合理性等方面，由评委进行综合评分。（0-5分）</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5、根据投标人编制的社会治理"一张图"迭代建设方案的完整性、合理性等方面，由评委进行综合评分。（0-2分）</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20分</w:t>
            </w:r>
          </w:p>
        </w:tc>
      </w:tr>
      <w:tr>
        <w:tblPrEx>
          <w:tblCellMar>
            <w:top w:w="0" w:type="dxa"/>
            <w:left w:w="108" w:type="dxa"/>
            <w:bottom w:w="0" w:type="dxa"/>
            <w:right w:w="108" w:type="dxa"/>
          </w:tblCellMar>
        </w:tblPrEx>
        <w:trPr>
          <w:trHeight w:val="1510"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5</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highlight w:val="yellow"/>
              </w:rPr>
            </w:pPr>
            <w:r>
              <w:rPr>
                <w:rFonts w:hint="eastAsia" w:ascii="仿宋" w:hAnsi="仿宋" w:eastAsia="仿宋" w:cs="仿宋"/>
                <w:kern w:val="0"/>
                <w:sz w:val="24"/>
              </w:rPr>
              <w:t>项目实施方案</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根据投标人的项目编制实施方案，项目管理及施工方案的合理性、人员安排、进度计划、质量控制等方面，由评委进行综合评分。（0-6分）</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6分</w:t>
            </w:r>
          </w:p>
        </w:tc>
      </w:tr>
      <w:tr>
        <w:tblPrEx>
          <w:tblCellMar>
            <w:top w:w="0" w:type="dxa"/>
            <w:left w:w="108" w:type="dxa"/>
            <w:bottom w:w="0" w:type="dxa"/>
            <w:right w:w="108" w:type="dxa"/>
          </w:tblCellMar>
        </w:tblPrEx>
        <w:trPr>
          <w:trHeight w:val="642"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6</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highlight w:val="yellow"/>
              </w:rPr>
            </w:pPr>
            <w:r>
              <w:rPr>
                <w:rFonts w:hint="eastAsia" w:ascii="仿宋" w:hAnsi="仿宋" w:eastAsia="仿宋" w:cs="仿宋"/>
                <w:kern w:val="0"/>
                <w:sz w:val="24"/>
              </w:rPr>
              <w:t>培训方案</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根据项目实际需求，是否提供完整、可行的培训计划和培训实施方案，明确具体培训与实施计划（含对相关的系统维护管理人员、业务管理人员和业务经办人员等的培训），是否配备专业的培训队伍，由评委进行综合评分。（0-6分）</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6分</w:t>
            </w:r>
          </w:p>
        </w:tc>
      </w:tr>
      <w:tr>
        <w:tblPrEx>
          <w:tblCellMar>
            <w:top w:w="0" w:type="dxa"/>
            <w:left w:w="108" w:type="dxa"/>
            <w:bottom w:w="0" w:type="dxa"/>
            <w:right w:w="108" w:type="dxa"/>
          </w:tblCellMar>
        </w:tblPrEx>
        <w:trPr>
          <w:trHeight w:val="1134"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7</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施工进度承诺</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投标人需承诺项目自签订合同日起进场施工，并在三个月内完成开发达到初验要求，得2分；未提供承诺函的不得分。</w:t>
            </w:r>
            <w:r>
              <w:rPr>
                <w:rFonts w:hint="eastAsia" w:ascii="仿宋" w:hAnsi="仿宋" w:eastAsia="仿宋" w:cs="仿宋"/>
                <w:b/>
                <w:bCs/>
                <w:sz w:val="24"/>
              </w:rPr>
              <w:t>（承诺函格式自拟）</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2分</w:t>
            </w:r>
          </w:p>
        </w:tc>
      </w:tr>
      <w:tr>
        <w:tblPrEx>
          <w:tblCellMar>
            <w:top w:w="0" w:type="dxa"/>
            <w:left w:w="108" w:type="dxa"/>
            <w:bottom w:w="0" w:type="dxa"/>
            <w:right w:w="108" w:type="dxa"/>
          </w:tblCellMar>
        </w:tblPrEx>
        <w:trPr>
          <w:trHeight w:val="1134" w:hRule="atLeast"/>
          <w:jc w:val="center"/>
        </w:trPr>
        <w:tc>
          <w:tcPr>
            <w:tcW w:w="85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8</w:t>
            </w:r>
          </w:p>
        </w:tc>
        <w:tc>
          <w:tcPr>
            <w:tcW w:w="131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售后服务</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根据售后服务方案、承诺的范围和完善程度（包括服务年限、服务标准，故障修复响应时间、方式及保障措施）等，由评委进行综合评分。（0-6分）</w:t>
            </w:r>
          </w:p>
        </w:tc>
        <w:tc>
          <w:tcPr>
            <w:tcW w:w="1236"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10分</w:t>
            </w:r>
          </w:p>
        </w:tc>
      </w:tr>
      <w:tr>
        <w:tblPrEx>
          <w:tblCellMar>
            <w:top w:w="0" w:type="dxa"/>
            <w:left w:w="108" w:type="dxa"/>
            <w:bottom w:w="0" w:type="dxa"/>
            <w:right w:w="108" w:type="dxa"/>
          </w:tblCellMar>
        </w:tblPrEx>
        <w:trPr>
          <w:trHeight w:val="1810" w:hRule="atLeast"/>
          <w:jc w:val="center"/>
        </w:trPr>
        <w:tc>
          <w:tcPr>
            <w:tcW w:w="852" w:type="dxa"/>
            <w:vMerge w:val="continue"/>
            <w:tcBorders>
              <w:top w:val="single" w:color="auto" w:sz="4" w:space="0"/>
              <w:left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p>
        </w:tc>
        <w:tc>
          <w:tcPr>
            <w:tcW w:w="1316" w:type="dxa"/>
            <w:vMerge w:val="continue"/>
            <w:tcBorders>
              <w:top w:val="single" w:color="auto" w:sz="4" w:space="0"/>
              <w:left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售后服务队伍：售后服务负责人具有网络安全能力认证（CCSC）、软件设计师的，每提供一个得1分，最高得2分。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b/>
                <w:bCs/>
                <w:sz w:val="24"/>
              </w:rPr>
              <w:t>注：需提供相关证书、证书持有人必须为投标人本单位正式员工同时需出具本单位社保缴纳证明并加盖公章。</w:t>
            </w:r>
          </w:p>
        </w:tc>
        <w:tc>
          <w:tcPr>
            <w:tcW w:w="1236" w:type="dxa"/>
            <w:vMerge w:val="continue"/>
            <w:tcBorders>
              <w:top w:val="single" w:color="auto" w:sz="4" w:space="0"/>
              <w:left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kern w:val="0"/>
                <w:sz w:val="24"/>
              </w:rPr>
            </w:pPr>
          </w:p>
        </w:tc>
      </w:tr>
      <w:tr>
        <w:tblPrEx>
          <w:tblCellMar>
            <w:top w:w="0" w:type="dxa"/>
            <w:left w:w="108" w:type="dxa"/>
            <w:bottom w:w="0" w:type="dxa"/>
            <w:right w:w="108" w:type="dxa"/>
          </w:tblCellMar>
        </w:tblPrEx>
        <w:trPr>
          <w:trHeight w:val="1524" w:hRule="atLeast"/>
          <w:jc w:val="center"/>
        </w:trPr>
        <w:tc>
          <w:tcPr>
            <w:tcW w:w="852"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p>
        </w:tc>
        <w:tc>
          <w:tcPr>
            <w:tcW w:w="1316"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本地化服务：投标人提供在本地（绍兴市行政区域范围内）设立的项目部、办公室、办事处等机构的证明材料或作出的成交后提供本地化服务的承诺得2分。</w:t>
            </w:r>
            <w:r>
              <w:rPr>
                <w:rFonts w:hint="eastAsia" w:ascii="仿宋" w:hAnsi="仿宋" w:eastAsia="仿宋" w:cs="仿宋"/>
                <w:b/>
                <w:bCs/>
                <w:sz w:val="24"/>
              </w:rPr>
              <w:t>（承诺函格式自拟）</w:t>
            </w:r>
          </w:p>
        </w:tc>
        <w:tc>
          <w:tcPr>
            <w:tcW w:w="1236"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kern w:val="0"/>
                <w:sz w:val="24"/>
              </w:rPr>
            </w:pPr>
          </w:p>
        </w:tc>
      </w:tr>
      <w:tr>
        <w:tblPrEx>
          <w:tblCellMar>
            <w:top w:w="0" w:type="dxa"/>
            <w:left w:w="108" w:type="dxa"/>
            <w:bottom w:w="0" w:type="dxa"/>
            <w:right w:w="108" w:type="dxa"/>
          </w:tblCellMar>
        </w:tblPrEx>
        <w:trPr>
          <w:trHeight w:val="1134" w:hRule="atLeast"/>
          <w:jc w:val="center"/>
        </w:trPr>
        <w:tc>
          <w:tcPr>
            <w:tcW w:w="85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9</w:t>
            </w:r>
          </w:p>
        </w:tc>
        <w:tc>
          <w:tcPr>
            <w:tcW w:w="131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系统演示</w:t>
            </w:r>
          </w:p>
        </w:tc>
        <w:tc>
          <w:tcPr>
            <w:tcW w:w="6434"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left"/>
              <w:rPr>
                <w:rFonts w:ascii="仿宋" w:hAnsi="仿宋" w:eastAsia="仿宋" w:cs="仿宋"/>
                <w:sz w:val="24"/>
              </w:rPr>
            </w:pPr>
            <w:r>
              <w:rPr>
                <w:rFonts w:ascii="仿宋" w:hAnsi="仿宋" w:eastAsia="仿宋" w:cs="仿宋"/>
                <w:sz w:val="24"/>
              </w:rPr>
              <w:t>为有效推进本项目，须</w:t>
            </w:r>
            <w:r>
              <w:rPr>
                <w:rFonts w:hint="eastAsia" w:ascii="仿宋" w:hAnsi="仿宋" w:eastAsia="仿宋" w:cs="仿宋"/>
                <w:sz w:val="24"/>
              </w:rPr>
              <w:t>提供系统设计思路、系统设计方案等演示。</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【演示1】数智枫桥驾驶舱模块：</w:t>
            </w:r>
          </w:p>
          <w:p>
            <w:pPr>
              <w:widowControl/>
              <w:numPr>
                <w:ilvl w:val="0"/>
                <w:numId w:val="1"/>
              </w:numPr>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lang w:val="en-US" w:eastAsia="zh-CN"/>
              </w:rPr>
              <w:t>首页支持平安法治平台四条子跑道内容展示，包括平安综治、应急管理、监督执法、法治宣传；显示实战指挥的平战一体、风险研判、专题晾晒模块；</w:t>
            </w:r>
          </w:p>
          <w:p>
            <w:pPr>
              <w:widowControl/>
              <w:numPr>
                <w:ilvl w:val="0"/>
                <w:numId w:val="1"/>
              </w:numPr>
              <w:adjustRightInd w:val="0"/>
              <w:snapToGrid w:val="0"/>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平安建设专题驾驶舱显示本年及历年驾驶舱，本年可体现预估分数、大市控制指标落实情况、大市结果性指标扣分情况、地图预警、平安指数等；历年可体现考核成绩、五大指标数据、扣分重点领域、地图预警等；</w:t>
            </w:r>
          </w:p>
          <w:p>
            <w:pPr>
              <w:widowControl/>
              <w:numPr>
                <w:ilvl w:val="0"/>
                <w:numId w:val="1"/>
              </w:numPr>
              <w:adjustRightInd w:val="0"/>
              <w:snapToGrid w:val="0"/>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中心运行驾驶舱显示受理情况、处置流向、新增时间分布、纠纷类型情况、调解卷宗情况、中心运行分析报告等</w:t>
            </w:r>
          </w:p>
          <w:p>
            <w:pPr>
              <w:widowControl/>
              <w:numPr>
                <w:ilvl w:val="0"/>
                <w:numId w:val="1"/>
              </w:numPr>
              <w:adjustRightInd w:val="0"/>
              <w:snapToGrid w:val="0"/>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风险研判显示五大重点风险隐患、五大重点风险隐患一级分类统计、风险隐患统计、高发镇街Top5、各地区重点风险化解排名等。</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由评委根据上述功能演示情况综合比较打分（0-5分）。</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【演示2】平安综治模块：</w:t>
            </w:r>
          </w:p>
          <w:p>
            <w:pPr>
              <w:widowControl/>
              <w:numPr>
                <w:ilvl w:val="0"/>
                <w:numId w:val="2"/>
              </w:numPr>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平安综治（PC端）：包括线下来访页面、在信访类事件录入过程中可进行附件上传/预览、数据修改、数据详情，同时支持事件的高级搜索、处置流转功能，事件办结后可使用签名功能进行流程表单导出最后自动生成word版的信访处理表单，关联地图可进行事件发生点地图点位的选择。</w:t>
            </w:r>
          </w:p>
          <w:p>
            <w:pPr>
              <w:widowControl/>
              <w:numPr>
                <w:ilvl w:val="0"/>
                <w:numId w:val="2"/>
              </w:numPr>
              <w:adjustRightInd w:val="0"/>
              <w:snapToGrid w:val="0"/>
              <w:spacing w:line="440" w:lineRule="exact"/>
              <w:jc w:val="left"/>
              <w:rPr>
                <w:rFonts w:ascii="仿宋" w:hAnsi="仿宋" w:eastAsia="仿宋" w:cs="仿宋"/>
                <w:sz w:val="24"/>
              </w:rPr>
            </w:pPr>
            <w:r>
              <w:rPr>
                <w:rFonts w:hint="eastAsia" w:ascii="仿宋" w:hAnsi="仿宋" w:eastAsia="仿宋" w:cs="仿宋"/>
                <w:sz w:val="24"/>
              </w:rPr>
              <w:t>移动端功能包括查看个人收到的事件的数据列表和数据详情，同时可对收到事件进行处置流转。</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由评委根据上述功能演示情况综合比较打分（0-5分）。</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【演示3】</w:t>
            </w:r>
            <w:r>
              <w:rPr>
                <w:rFonts w:hint="eastAsia" w:ascii="仿宋" w:hAnsi="仿宋" w:eastAsia="仿宋" w:cs="仿宋"/>
                <w:sz w:val="24"/>
                <w:lang w:val="en-US" w:eastAsia="zh-CN"/>
              </w:rPr>
              <w:t>平战一体后台</w:t>
            </w:r>
            <w:r>
              <w:rPr>
                <w:rFonts w:hint="eastAsia" w:ascii="仿宋" w:hAnsi="仿宋" w:eastAsia="仿宋" w:cs="仿宋"/>
                <w:sz w:val="24"/>
              </w:rPr>
              <w:t>模块：</w:t>
            </w:r>
          </w:p>
          <w:p>
            <w:pPr>
              <w:widowControl/>
              <w:numPr>
                <w:ilvl w:val="0"/>
                <w:numId w:val="3"/>
              </w:numPr>
              <w:adjustRightInd w:val="0"/>
              <w:snapToGrid w:val="0"/>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可以进行填报，支持每日要情、紧急事项上报、双想清单、检查表配置支持展示、填报、附件上传等功能；</w:t>
            </w:r>
          </w:p>
          <w:p>
            <w:pPr>
              <w:widowControl/>
              <w:numPr>
                <w:ilvl w:val="0"/>
                <w:numId w:val="3"/>
              </w:numPr>
              <w:adjustRightInd w:val="0"/>
              <w:snapToGrid w:val="0"/>
              <w:spacing w:line="440" w:lineRule="exact"/>
              <w:jc w:val="left"/>
              <w:rPr>
                <w:rFonts w:hint="default" w:ascii="仿宋" w:hAnsi="仿宋" w:eastAsia="仿宋" w:cs="仿宋"/>
                <w:sz w:val="24"/>
                <w:lang w:val="en-US" w:eastAsia="zh-CN"/>
              </w:rPr>
            </w:pPr>
            <w:r>
              <w:rPr>
                <w:rFonts w:hint="eastAsia" w:ascii="仿宋" w:hAnsi="仿宋" w:eastAsia="仿宋" w:cs="仿宋"/>
                <w:sz w:val="24"/>
                <w:lang w:val="en-US" w:eastAsia="zh-CN"/>
              </w:rPr>
              <w:t>值班管理，根据部门排班需要，班次配置、岗位配置、值班表维护支持增删改查；</w:t>
            </w:r>
          </w:p>
          <w:p>
            <w:pPr>
              <w:widowControl/>
              <w:numPr>
                <w:ilvl w:val="0"/>
                <w:numId w:val="3"/>
              </w:numPr>
              <w:adjustRightInd w:val="0"/>
              <w:snapToGrid w:val="0"/>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可以进行配置管理；</w:t>
            </w:r>
          </w:p>
          <w:p>
            <w:pPr>
              <w:widowControl/>
              <w:numPr>
                <w:ilvl w:val="0"/>
                <w:numId w:val="3"/>
              </w:numPr>
              <w:adjustRightInd w:val="0"/>
              <w:snapToGrid w:val="0"/>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手机端可以支持每日要情、双想清单填报、批示。</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由评委根据上述功能演示情况综合比较打分（0-5分）。</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【演示4】矛盾纠纷一张图模块：</w:t>
            </w:r>
          </w:p>
          <w:p>
            <w:pPr>
              <w:widowControl/>
              <w:numPr>
                <w:ilvl w:val="0"/>
                <w:numId w:val="4"/>
              </w:numPr>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通过饼图的方式展示各纠纷类型（法律咨询、生产经营、法律援助咨询、信访咨询、道路交通事故、劳动人事纠纷、信访接待）的预测分布，并显示各类型的百分占比。</w:t>
            </w:r>
          </w:p>
          <w:p>
            <w:pPr>
              <w:widowControl/>
              <w:numPr>
                <w:ilvl w:val="0"/>
                <w:numId w:val="4"/>
              </w:numPr>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lang w:val="en-US" w:eastAsia="zh-CN"/>
              </w:rPr>
              <w:t>矛盾分析驾驶舱显示矛盾纠纷晾晒、总量及化解率环比分析、区县总体分析等</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由评委根据上述功能演示情况综合比较打分（0-5分）。</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【演示5】社会治理"一张图"模块：</w:t>
            </w:r>
          </w:p>
          <w:p>
            <w:pPr>
              <w:widowControl/>
              <w:adjustRightInd w:val="0"/>
              <w:snapToGrid w:val="0"/>
              <w:spacing w:line="440" w:lineRule="exact"/>
              <w:jc w:val="left"/>
              <w:rPr>
                <w:rFonts w:ascii="仿宋" w:hAnsi="仿宋" w:eastAsia="仿宋" w:cs="仿宋"/>
                <w:sz w:val="24"/>
              </w:rPr>
            </w:pPr>
            <w:r>
              <w:rPr>
                <w:rFonts w:hint="eastAsia" w:ascii="仿宋" w:hAnsi="仿宋" w:eastAsia="仿宋" w:cs="仿宋"/>
                <w:sz w:val="24"/>
              </w:rPr>
              <w:t>支持地图、数据在不同的区域层级，实现同步联动。根据地图的区域定位，自动联动属性数据；选择属性的区域，自动联动地图定位。</w:t>
            </w:r>
          </w:p>
          <w:p>
            <w:pPr>
              <w:widowControl/>
              <w:adjustRightInd w:val="0"/>
              <w:snapToGrid w:val="0"/>
              <w:spacing w:line="440" w:lineRule="exact"/>
              <w:jc w:val="left"/>
              <w:rPr>
                <w:rFonts w:hint="eastAsia" w:ascii="仿宋" w:hAnsi="仿宋" w:eastAsia="仿宋" w:cs="仿宋"/>
                <w:sz w:val="24"/>
              </w:rPr>
            </w:pPr>
            <w:r>
              <w:rPr>
                <w:rFonts w:hint="eastAsia" w:ascii="仿宋" w:hAnsi="仿宋" w:eastAsia="仿宋" w:cs="仿宋"/>
                <w:sz w:val="24"/>
              </w:rPr>
              <w:t>由评委根据上述功能演示情况综合比较打分（0-4分）。</w:t>
            </w:r>
          </w:p>
          <w:p>
            <w:pPr>
              <w:widowControl/>
              <w:adjustRightInd w:val="0"/>
              <w:snapToGrid w:val="0"/>
              <w:spacing w:line="440" w:lineRule="exact"/>
              <w:jc w:val="left"/>
              <w:rPr>
                <w:rFonts w:ascii="仿宋" w:hAnsi="仿宋" w:eastAsia="仿宋" w:cs="仿宋"/>
                <w:sz w:val="24"/>
              </w:rPr>
            </w:pPr>
            <w:r>
              <w:rPr>
                <w:rFonts w:hint="eastAsia" w:ascii="仿宋_GB2312" w:hAnsi="仿宋" w:eastAsia="仿宋_GB2312" w:cs="仿宋"/>
                <w:b/>
                <w:bCs/>
                <w:sz w:val="24"/>
              </w:rPr>
              <w:t>注：演示说明具体详见招标文件前附表。</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440" w:lineRule="exact"/>
              <w:jc w:val="center"/>
              <w:rPr>
                <w:rFonts w:ascii="仿宋" w:hAnsi="仿宋" w:eastAsia="仿宋" w:cs="仿宋"/>
                <w:kern w:val="0"/>
                <w:sz w:val="24"/>
              </w:rPr>
            </w:pPr>
            <w:r>
              <w:rPr>
                <w:rFonts w:hint="eastAsia" w:ascii="仿宋" w:hAnsi="仿宋" w:eastAsia="仿宋" w:cs="仿宋"/>
                <w:kern w:val="0"/>
                <w:sz w:val="24"/>
              </w:rPr>
              <w:t>24分</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pPr>
        <w:pStyle w:val="24"/>
        <w:snapToGrid w:val="0"/>
        <w:spacing w:line="360" w:lineRule="auto"/>
        <w:ind w:firstLine="0" w:firstLineChars="0"/>
        <w:rPr>
          <w:rFonts w:hint="eastAsia" w:ascii="仿宋" w:hAnsi="仿宋" w:eastAsia="仿宋" w:cs="仿宋"/>
        </w:rPr>
      </w:pPr>
    </w:p>
    <w:p>
      <w:pPr>
        <w:widowControl/>
        <w:adjustRightInd/>
        <w:jc w:val="cente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60"/>
        <w:rPr>
          <w:rFonts w:hint="eastAsia" w:ascii="仿宋" w:hAnsi="仿宋" w:eastAsia="仿宋" w:cs="仿宋"/>
          <w:b/>
          <w:sz w:val="36"/>
          <w:szCs w:val="20"/>
        </w:rPr>
      </w:pPr>
    </w:p>
    <w:p>
      <w:pP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60"/>
        <w:rPr>
          <w:rFonts w:hint="eastAsia" w:ascii="仿宋" w:hAnsi="仿宋" w:eastAsia="仿宋" w:cs="仿宋"/>
          <w:b/>
          <w:sz w:val="36"/>
          <w:szCs w:val="20"/>
        </w:rPr>
      </w:pPr>
    </w:p>
    <w:p>
      <w:pP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60"/>
        <w:rPr>
          <w:rFonts w:hint="eastAsia" w:ascii="仿宋" w:hAnsi="仿宋" w:eastAsia="仿宋" w:cs="仿宋"/>
          <w:b/>
          <w:sz w:val="36"/>
          <w:szCs w:val="20"/>
        </w:rPr>
      </w:pPr>
    </w:p>
    <w:p>
      <w:pPr>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60"/>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23"/>
        <w:rPr>
          <w:rFonts w:hint="eastAsia" w:ascii="仿宋" w:hAnsi="仿宋" w:eastAsia="仿宋" w:cs="仿宋"/>
          <w:b/>
          <w:sz w:val="36"/>
          <w:szCs w:val="20"/>
        </w:rPr>
      </w:pPr>
    </w:p>
    <w:p>
      <w:pPr>
        <w:pStyle w:val="60"/>
        <w:rPr>
          <w:rFonts w:hint="eastAsia" w:ascii="仿宋" w:hAnsi="仿宋" w:eastAsia="仿宋" w:cs="仿宋"/>
          <w:b/>
          <w:sz w:val="36"/>
          <w:szCs w:val="20"/>
        </w:rPr>
      </w:pPr>
    </w:p>
    <w:p>
      <w:pPr>
        <w:rPr>
          <w:rFonts w:hint="eastAsia" w:ascii="仿宋" w:hAnsi="仿宋" w:eastAsia="仿宋" w:cs="仿宋"/>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spacing w:line="336" w:lineRule="auto"/>
        <w:jc w:val="center"/>
        <w:rPr>
          <w:rFonts w:hint="eastAsia" w:ascii="仿宋" w:hAnsi="仿宋" w:eastAsia="仿宋" w:cs="仿宋"/>
          <w:b/>
          <w:kern w:val="0"/>
          <w:sz w:val="36"/>
          <w:szCs w:val="36"/>
        </w:rPr>
      </w:pPr>
    </w:p>
    <w:p>
      <w:pPr>
        <w:tabs>
          <w:tab w:val="left" w:pos="5318"/>
        </w:tabs>
        <w:bidi w:val="0"/>
        <w:jc w:val="left"/>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ab/>
      </w: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w:t>
      </w:r>
      <w:r>
        <w:rPr>
          <w:rFonts w:hint="eastAsia" w:ascii="仿宋" w:hAnsi="仿宋" w:eastAsia="仿宋" w:cs="仿宋"/>
          <w:b/>
          <w:kern w:val="0"/>
          <w:sz w:val="28"/>
          <w:szCs w:val="28"/>
          <w:lang w:val="en-US" w:eastAsia="zh-CN"/>
        </w:rPr>
        <w:t xml:space="preserve"> </w:t>
      </w:r>
      <w:r>
        <w:rPr>
          <w:rFonts w:hint="eastAsia" w:ascii="仿宋" w:hAnsi="仿宋" w:eastAsia="仿宋" w:cs="仿宋"/>
          <w:b/>
          <w:kern w:val="0"/>
          <w:sz w:val="28"/>
          <w:szCs w:val="28"/>
        </w:rPr>
        <w:t>录</w:t>
      </w:r>
    </w:p>
    <w:p>
      <w:pPr>
        <w:pStyle w:val="904"/>
        <w:numPr>
          <w:ilvl w:val="0"/>
          <w:numId w:val="5"/>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5"/>
        </w:numPr>
        <w:spacing w:line="336" w:lineRule="auto"/>
        <w:ind w:left="0" w:firstLine="0" w:firstLineChars="0"/>
        <w:jc w:val="both"/>
        <w:rPr>
          <w:rFonts w:ascii="仿宋" w:eastAsia="仿宋" w:cs="仿宋"/>
        </w:rPr>
      </w:pPr>
      <w:r>
        <w:rPr>
          <w:rFonts w:hint="eastAsia" w:ascii="仿宋" w:eastAsia="仿宋" w:cs="仿宋"/>
        </w:rPr>
        <w:t>法定代表人授权书 …………………………………………………………（页码）</w:t>
      </w:r>
    </w:p>
    <w:p>
      <w:pPr>
        <w:pStyle w:val="904"/>
        <w:numPr>
          <w:ilvl w:val="0"/>
          <w:numId w:val="5"/>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5"/>
        </w:numPr>
        <w:spacing w:line="336" w:lineRule="auto"/>
        <w:ind w:left="0" w:firstLine="0" w:firstLineChars="0"/>
        <w:jc w:val="both"/>
        <w:rPr>
          <w:rFonts w:ascii="仿宋" w:eastAsia="仿宋" w:cs="仿宋"/>
        </w:rPr>
      </w:pPr>
      <w:r>
        <w:rPr>
          <w:rFonts w:hint="eastAsia" w:ascii="仿宋" w:eastAsia="仿宋" w:cs="仿宋"/>
        </w:rPr>
        <w:t>法定代表人身份证明书……………………………………………………（页码）</w:t>
      </w:r>
    </w:p>
    <w:p>
      <w:pPr>
        <w:pStyle w:val="904"/>
        <w:numPr>
          <w:ilvl w:val="0"/>
          <w:numId w:val="5"/>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……………………………………………………………（页码）</w:t>
      </w:r>
    </w:p>
    <w:p>
      <w:pPr>
        <w:pStyle w:val="904"/>
        <w:numPr>
          <w:ilvl w:val="0"/>
          <w:numId w:val="5"/>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lang w:eastAsia="zh-CN"/>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lang w:eastAsia="zh-CN"/>
        </w:rPr>
      </w:pP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bCs/>
          <w:sz w:val="32"/>
          <w:szCs w:val="32"/>
          <w:lang w:eastAsia="zh-CN"/>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79"/>
        <w:jc w:val="center"/>
        <w:rPr>
          <w:rFonts w:hint="eastAsia" w:ascii="仿宋" w:hAnsi="仿宋" w:eastAsia="仿宋" w:cs="仿宋"/>
          <w:b/>
          <w:bCs/>
          <w:sz w:val="24"/>
        </w:rPr>
      </w:pPr>
    </w:p>
    <w:p>
      <w:pPr>
        <w:spacing w:line="360" w:lineRule="auto"/>
        <w:jc w:val="center"/>
        <w:rPr>
          <w:rFonts w:hint="eastAsia" w:ascii="仿宋_GB2312" w:hAnsi="仿宋_GB2312" w:eastAsia="仿宋_GB2312" w:cs="仿宋_GB2312"/>
          <w:b/>
          <w:sz w:val="32"/>
          <w:szCs w:val="32"/>
          <w:lang w:eastAsia="zh-CN"/>
        </w:rPr>
      </w:pPr>
    </w:p>
    <w:p>
      <w:pPr>
        <w:spacing w:line="360" w:lineRule="auto"/>
        <w:jc w:val="center"/>
        <w:rPr>
          <w:rFonts w:hint="eastAsia" w:ascii="仿宋_GB2312" w:hAnsi="仿宋_GB2312" w:eastAsia="仿宋_GB2312" w:cs="仿宋_GB2312"/>
          <w:b/>
          <w:sz w:val="32"/>
          <w:szCs w:val="32"/>
          <w:lang w:eastAsia="zh-CN"/>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79"/>
        <w:rPr>
          <w:rFonts w:hint="eastAsia"/>
          <w:lang w:eastAsia="zh-CN"/>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79"/>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79"/>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79"/>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hint="eastAsia" w:ascii="仿宋_GB2312" w:hAnsi="仿宋_GB2312" w:eastAsia="仿宋_GB2312" w:cs="仿宋_GB2312"/>
          <w:b/>
          <w:bCs/>
          <w:sz w:val="32"/>
          <w:szCs w:val="32"/>
          <w:lang w:eastAsia="zh-CN"/>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0"/>
        <w:rPr>
          <w:rFonts w:hint="eastAsia"/>
        </w:rPr>
        <w:sectPr>
          <w:headerReference r:id="rId8" w:type="first"/>
          <w:footerReference r:id="rId10" w:type="first"/>
          <w:headerReference r:id="rId7" w:type="default"/>
          <w:footerReference r:id="rId9" w:type="default"/>
          <w:pgSz w:w="11906" w:h="16838"/>
          <w:pgMar w:top="1474" w:right="1587" w:bottom="1474" w:left="1587" w:header="851" w:footer="850"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474" w:right="1587" w:bottom="1474" w:left="1587"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_GB2312" w:hAnsi="仿宋" w:eastAsia="仿宋_GB2312" w:cs="仿宋"/>
          <w:color w:val="auto"/>
          <w:kern w:val="0"/>
          <w:sz w:val="24"/>
          <w:lang w:val="zh-CN"/>
        </w:rPr>
      </w:pPr>
    </w:p>
    <w:p>
      <w:pPr>
        <w:snapToGrid w:val="0"/>
        <w:spacing w:line="360" w:lineRule="auto"/>
        <w:rPr>
          <w:rFonts w:ascii="仿宋_GB2312" w:hAnsi="仿宋" w:eastAsia="仿宋_GB2312" w:cs="仿宋"/>
          <w:color w:val="auto"/>
          <w:kern w:val="0"/>
          <w:sz w:val="24"/>
        </w:rPr>
      </w:pPr>
      <w:r>
        <w:rPr>
          <w:rFonts w:hint="eastAsia" w:ascii="仿宋_GB2312" w:hAnsi="仿宋" w:eastAsia="仿宋_GB2312" w:cs="仿宋"/>
          <w:color w:val="auto"/>
          <w:kern w:val="0"/>
          <w:sz w:val="24"/>
          <w:lang w:val="zh-CN"/>
        </w:rPr>
        <w:t>绍兴市委政法委员会、浙江翔实建设项目管理有限公司：</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b w:val="0"/>
          <w:bCs/>
          <w:color w:val="auto"/>
          <w:sz w:val="24"/>
          <w:u w:val="none"/>
          <w:lang w:val="en-US" w:eastAsia="zh-CN"/>
        </w:rPr>
        <w:t>绍兴市社会矛盾风险预防化解“数智枫桥”综合集成应用项目</w:t>
      </w:r>
      <w:r>
        <w:rPr>
          <w:rFonts w:hint="eastAsia" w:ascii="仿宋" w:hAnsi="仿宋" w:eastAsia="仿宋" w:cs="仿宋"/>
          <w:color w:val="auto"/>
          <w:kern w:val="0"/>
          <w:sz w:val="24"/>
          <w:lang w:val="zh-CN"/>
        </w:rPr>
        <w:t>【招标编号：ZJXSC-2024-120</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spacing w:line="336" w:lineRule="auto"/>
        <w:ind w:firstLine="8640" w:firstLineChars="36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ascii="仿宋" w:hAnsi="仿宋" w:eastAsia="仿宋" w:cs="仿宋"/>
          <w:b/>
          <w:color w:val="auto"/>
          <w:sz w:val="24"/>
        </w:rPr>
      </w:pPr>
    </w:p>
    <w:p>
      <w:pPr>
        <w:pStyle w:val="79"/>
        <w:rPr>
          <w:rFonts w:hint="eastAsia" w:ascii="仿宋" w:hAnsi="仿宋" w:eastAsia="仿宋" w:cs="仿宋"/>
          <w:b/>
          <w:color w:val="auto"/>
          <w:sz w:val="24"/>
        </w:rPr>
      </w:pPr>
    </w:p>
    <w:p>
      <w:pPr>
        <w:pStyle w:val="80"/>
        <w:rPr>
          <w:rFonts w:hint="eastAsia" w:ascii="仿宋" w:hAnsi="仿宋" w:eastAsia="仿宋" w:cs="仿宋"/>
          <w:b/>
          <w:color w:val="auto"/>
          <w:sz w:val="24"/>
        </w:rPr>
      </w:pPr>
    </w:p>
    <w:p>
      <w:pPr>
        <w:rPr>
          <w:rFonts w:hint="eastAsia"/>
          <w:lang w:eastAsia="zh-CN"/>
        </w:rPr>
      </w:pP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1" w:name="_Hlk101131882"/>
      <w:r>
        <w:rPr>
          <w:rFonts w:hint="eastAsia" w:ascii="仿宋" w:hAnsi="仿宋" w:eastAsia="仿宋" w:cs="仿宋"/>
          <w:kern w:val="0"/>
          <w:sz w:val="24"/>
          <w:u w:val="single"/>
        </w:rPr>
        <w:t>联合体成员X,……</w:t>
      </w:r>
      <w:bookmarkEnd w:id="16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2"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2"/>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3"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3"/>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ascii="仿宋" w:hAnsi="仿宋" w:eastAsia="仿宋" w:cs="仿宋"/>
          <w:b/>
          <w:spacing w:val="6"/>
          <w:sz w:val="32"/>
          <w:szCs w:val="32"/>
        </w:rPr>
      </w:pPr>
    </w:p>
    <w:p>
      <w:pPr>
        <w:pStyle w:val="80"/>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79"/>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4" w:name="OLE_LINK14"/>
      <w:bookmarkStart w:id="165" w:name="OLE_LINK13"/>
      <w:r>
        <w:rPr>
          <w:rFonts w:hint="eastAsia" w:ascii="仿宋" w:hAnsi="仿宋" w:eastAsia="仿宋" w:cs="仿宋"/>
          <w:b/>
          <w:spacing w:val="6"/>
          <w:sz w:val="32"/>
          <w:szCs w:val="32"/>
        </w:rPr>
        <w:t>残疾人福利性单位声明函</w:t>
      </w:r>
    </w:p>
    <w:bookmarkEnd w:id="164"/>
    <w:bookmarkEnd w:id="165"/>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474" w:right="1587" w:bottom="1474" w:left="158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6" w:name="_Toc91899912"/>
    <w:bookmarkStart w:id="167" w:name="_Toc36110187"/>
    <w:bookmarkStart w:id="168" w:name="_Toc164085800"/>
    <w:bookmarkStart w:id="169" w:name="_Toc131845147"/>
    <w:r>
      <w:rPr>
        <w:rFonts w:hint="eastAsia" w:ascii="仿宋_GB2312" w:eastAsia="仿宋_GB2312"/>
        <w:kern w:val="0"/>
        <w:szCs w:val="21"/>
      </w:rPr>
      <w:t xml:space="preserve"> 页</w:t>
    </w:r>
    <w:bookmarkEnd w:id="166"/>
    <w:bookmarkEnd w:id="167"/>
    <w:bookmarkEnd w:id="168"/>
    <w:bookmarkEnd w:id="169"/>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编号: ZJXSC-2024-120</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jc w:val="both"/>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jc w:val="both"/>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b/>
        <w:i/>
        <w:u w:val="single"/>
      </w:rPr>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r>
      <w:rPr>
        <w:rFonts w:hint="eastAsia"/>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jc w:val="both"/>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jc w:val="both"/>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p>
  <w:p>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jc w:val="both"/>
    </w:pPr>
    <w:r>
      <w:rPr>
        <w:rFonts w:hint="eastAsia" w:ascii="仿宋" w:hAnsi="仿宋" w:eastAsia="仿宋" w:cs="仿宋"/>
        <w:lang w:val="en-US" w:eastAsia="zh-CN"/>
      </w:rPr>
      <w:t>浙江翔实建设项目管理有限公司                                             项目编号：</w:t>
    </w:r>
    <w:r>
      <w:rPr>
        <w:rFonts w:hint="eastAsia" w:ascii="仿宋" w:hAnsi="仿宋" w:eastAsia="仿宋" w:cs="仿宋"/>
      </w:rPr>
      <w:t>ZJXSC-2024-120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5BC189"/>
    <w:multiLevelType w:val="singleLevel"/>
    <w:tmpl w:val="9D5BC189"/>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0002304"/>
    <w:multiLevelType w:val="singleLevel"/>
    <w:tmpl w:val="30002304"/>
    <w:lvl w:ilvl="0" w:tentative="0">
      <w:start w:val="1"/>
      <w:numFmt w:val="decimal"/>
      <w:suff w:val="nothing"/>
      <w:lvlText w:val="（%1）"/>
      <w:lvlJc w:val="left"/>
    </w:lvl>
  </w:abstractNum>
  <w:abstractNum w:abstractNumId="4">
    <w:nsid w:val="794F261D"/>
    <w:multiLevelType w:val="singleLevel"/>
    <w:tmpl w:val="794F261D"/>
    <w:lvl w:ilvl="0" w:tentative="0">
      <w:start w:val="1"/>
      <w:numFmt w:val="decimal"/>
      <w:suff w:val="nothing"/>
      <w:lvlText w:val="（%1）"/>
      <w:lvlJc w:val="left"/>
    </w:lvl>
  </w:abstractNum>
  <w:abstractNum w:abstractNumId="5">
    <w:nsid w:val="7EF973A8"/>
    <w:multiLevelType w:val="singleLevel"/>
    <w:tmpl w:val="7EF973A8"/>
    <w:lvl w:ilvl="0" w:tentative="0">
      <w:start w:val="1"/>
      <w:numFmt w:val="decimal"/>
      <w:suff w:val="nothing"/>
      <w:lvlText w:val="（%1）"/>
      <w:lvlJc w:val="left"/>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172A27"/>
    <w:rsid w:val="00B34AC1"/>
    <w:rsid w:val="019C1C8D"/>
    <w:rsid w:val="02A15075"/>
    <w:rsid w:val="02E903CF"/>
    <w:rsid w:val="048E7480"/>
    <w:rsid w:val="067C3400"/>
    <w:rsid w:val="06FD1421"/>
    <w:rsid w:val="09C82DE9"/>
    <w:rsid w:val="0D7774D3"/>
    <w:rsid w:val="0F096B8F"/>
    <w:rsid w:val="0F63063F"/>
    <w:rsid w:val="10081B39"/>
    <w:rsid w:val="14B94BCE"/>
    <w:rsid w:val="1864453D"/>
    <w:rsid w:val="18E60774"/>
    <w:rsid w:val="19480FB1"/>
    <w:rsid w:val="1C4B5294"/>
    <w:rsid w:val="1CD145B6"/>
    <w:rsid w:val="1D2F1C3B"/>
    <w:rsid w:val="26A6577E"/>
    <w:rsid w:val="295C3C6A"/>
    <w:rsid w:val="2F804010"/>
    <w:rsid w:val="2FEC1E6B"/>
    <w:rsid w:val="30CD01D9"/>
    <w:rsid w:val="30D339B1"/>
    <w:rsid w:val="313E0EC8"/>
    <w:rsid w:val="34BE410B"/>
    <w:rsid w:val="35763E83"/>
    <w:rsid w:val="36315D3A"/>
    <w:rsid w:val="36C841D0"/>
    <w:rsid w:val="39700927"/>
    <w:rsid w:val="3C5D7AF9"/>
    <w:rsid w:val="3D153E5D"/>
    <w:rsid w:val="3E5A1BA6"/>
    <w:rsid w:val="3FD357C2"/>
    <w:rsid w:val="40E57E4D"/>
    <w:rsid w:val="41A245DA"/>
    <w:rsid w:val="427E60E8"/>
    <w:rsid w:val="42D513B3"/>
    <w:rsid w:val="44213273"/>
    <w:rsid w:val="46D75EBB"/>
    <w:rsid w:val="47DB327B"/>
    <w:rsid w:val="4D072EF9"/>
    <w:rsid w:val="4F4B3D85"/>
    <w:rsid w:val="5047736B"/>
    <w:rsid w:val="512322CB"/>
    <w:rsid w:val="512C1180"/>
    <w:rsid w:val="52DF030A"/>
    <w:rsid w:val="53875B1B"/>
    <w:rsid w:val="5399021B"/>
    <w:rsid w:val="53F17175"/>
    <w:rsid w:val="589F66DB"/>
    <w:rsid w:val="5980259E"/>
    <w:rsid w:val="5EB822A5"/>
    <w:rsid w:val="5EE5015A"/>
    <w:rsid w:val="5F1F40D2"/>
    <w:rsid w:val="5F561B6F"/>
    <w:rsid w:val="5F57E5CA"/>
    <w:rsid w:val="6051475F"/>
    <w:rsid w:val="616B3D8D"/>
    <w:rsid w:val="653D3504"/>
    <w:rsid w:val="669C35D3"/>
    <w:rsid w:val="677B19F6"/>
    <w:rsid w:val="67AB1905"/>
    <w:rsid w:val="6817628E"/>
    <w:rsid w:val="69F10D61"/>
    <w:rsid w:val="6FC37AD4"/>
    <w:rsid w:val="71015D2D"/>
    <w:rsid w:val="73751E5F"/>
    <w:rsid w:val="76941B1A"/>
    <w:rsid w:val="78AD1F79"/>
    <w:rsid w:val="7ADB139D"/>
    <w:rsid w:val="7DAA5057"/>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125</Pages>
  <Words>69212</Words>
  <Characters>72910</Characters>
  <Paragraphs>1943</Paragraphs>
  <TotalTime>6</TotalTime>
  <ScaleCrop>false</ScaleCrop>
  <LinksUpToDate>false</LinksUpToDate>
  <CharactersWithSpaces>80589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金胖胖</cp:lastModifiedBy>
  <cp:lastPrinted>2021-12-28T19:06:00Z</cp:lastPrinted>
  <dcterms:modified xsi:type="dcterms:W3CDTF">2024-06-21T02:02:54Z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29B861D0E3FA457682AC533D1F0383B6_13</vt:lpwstr>
  </property>
</Properties>
</file>