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绍兴市人民医院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镜湖总院基础计算机购置项目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2024-07-0083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年七月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绍兴市人民医院镜湖总院基础计算机购置项目</w:t>
                  </w:r>
                  <w:r>
                    <w:rPr>
                      <w:rFonts w:hint="eastAsia" w:ascii="仿宋_GB2312" w:hAnsi="新宋体" w:eastAsia="仿宋_GB2312"/>
                      <w:color w:val="auto"/>
                      <w:szCs w:val="24"/>
                      <w:highlight w:val="none"/>
                    </w:rPr>
                    <w:t>招标项目的潜在投标人应在政采云平台（https://www.zcygov.cn/）获取（下载）招标文件，并于2023年 月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2024-07-0083</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绍兴市人民医院镜湖总院基础计算机购置项目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9165000</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916500</w:t>
            </w:r>
            <w:r>
              <w:rPr>
                <w:rFonts w:hint="eastAsia" w:ascii="仿宋_GB2312" w:hAnsi="新宋体" w:eastAsia="仿宋_GB2312"/>
                <w:color w:val="auto"/>
                <w:szCs w:val="24"/>
                <w:highlight w:val="none"/>
              </w:rPr>
              <w:t>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镜湖总院基础计算机购置项目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9165000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w:t>
            </w:r>
            <w:r>
              <w:rPr>
                <w:rFonts w:hint="eastAsia" w:ascii="仿宋_GB2312" w:hAnsi="仿宋" w:eastAsia="仿宋_GB2312" w:cs="仿宋"/>
                <w:color w:val="auto"/>
                <w:sz w:val="24"/>
                <w:highlight w:val="none"/>
                <w:u w:val="single"/>
                <w:lang w:val="en-US" w:eastAsia="zh-CN"/>
              </w:rPr>
              <w:t>24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绍兴市人民医院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地址：绍兴市越城区中兴北路568号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传真：0575-88558842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项目联系人（询问）：钱国良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质疑联系人：马雪峰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内网基础计算机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953"/>
      <w:bookmarkStart w:id="3" w:name="_Toc81372776"/>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w:t>
      </w:r>
      <w:r>
        <w:rPr>
          <w:rFonts w:hint="eastAsia" w:ascii="仿宋_GB2312" w:hAnsi="仿宋" w:eastAsia="仿宋_GB2312" w:cs="仿宋"/>
          <w:color w:val="auto"/>
          <w:sz w:val="24"/>
          <w:highlight w:val="none"/>
        </w:rPr>
        <w:t>提供主要投标产品的技术参数证明材料（如原厂技术说明、官网截图、产品彩页等），</w:t>
      </w:r>
      <w:r>
        <w:rPr>
          <w:rFonts w:hint="eastAsia" w:ascii="仿宋_GB2312" w:hAnsi="仿宋" w:eastAsia="仿宋_GB2312" w:cs="仿宋"/>
          <w:color w:val="auto"/>
          <w:sz w:val="24"/>
          <w:highlight w:val="none"/>
        </w:rPr>
        <w:t>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4325981"/>
      <w:bookmarkStart w:id="6" w:name="_Toc81372787"/>
      <w:bookmarkStart w:id="7" w:name="_Toc80157775"/>
      <w:bookmarkStart w:id="8" w:name="_Toc81372964"/>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镜湖总院基础计算机购置项目</w:t>
      </w:r>
      <w:bookmarkStart w:id="9" w:name="_Toc7206"/>
      <w:bookmarkStart w:id="10" w:name="_Toc32678"/>
    </w:p>
    <w:bookmarkEnd w:id="9"/>
    <w:bookmarkEnd w:id="10"/>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项目概述</w:t>
      </w:r>
    </w:p>
    <w:p>
      <w:pPr>
        <w:spacing w:line="440" w:lineRule="exact"/>
        <w:ind w:right="420" w:firstLine="480"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szCs w:val="24"/>
          <w:highlight w:val="none"/>
        </w:rPr>
        <w:t>镜湖总院由门诊区、急诊区、住院区、医技区、国际健康管理中心、科研和教学用房、行政用房、后勤保障八大设施构成，住院有31个病区、门诊有19诊区等其他科室组成，单病区配备15套计算机总计465套，门诊合计300套计算机，科教242套计算机，检验配备120套计算机，其他科室合计706套计算机。</w:t>
      </w:r>
    </w:p>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设备清单</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3588"/>
        <w:gridCol w:w="2293"/>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43" w:type="pct"/>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序号</w:t>
            </w:r>
          </w:p>
        </w:tc>
        <w:tc>
          <w:tcPr>
            <w:tcW w:w="1956" w:type="pct"/>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项目名称</w:t>
            </w:r>
          </w:p>
        </w:tc>
        <w:tc>
          <w:tcPr>
            <w:tcW w:w="1250" w:type="pct"/>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简要技术要求</w:t>
            </w:r>
          </w:p>
        </w:tc>
        <w:tc>
          <w:tcPr>
            <w:tcW w:w="1250" w:type="pc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43" w:type="pct"/>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956" w:type="pc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内网基础计算机</w:t>
            </w:r>
          </w:p>
        </w:tc>
        <w:tc>
          <w:tcPr>
            <w:tcW w:w="1250" w:type="pct"/>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详见技术需求</w:t>
            </w:r>
          </w:p>
        </w:tc>
        <w:tc>
          <w:tcPr>
            <w:tcW w:w="1250" w:type="pc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1833套</w:t>
            </w:r>
          </w:p>
        </w:tc>
      </w:tr>
    </w:tbl>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详细技术参数</w:t>
      </w:r>
    </w:p>
    <w:p>
      <w:pPr>
        <w:pStyle w:val="6"/>
        <w:numPr>
          <w:ilvl w:val="-1"/>
          <w:numId w:val="0"/>
        </w:numPr>
        <w:tabs>
          <w:tab w:val="clear" w:pos="1984"/>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内网基础计算机技术指标要求：</w:t>
      </w:r>
    </w:p>
    <w:tbl>
      <w:tblPr>
        <w:tblStyle w:val="6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362"/>
        <w:gridCol w:w="1836"/>
        <w:gridCol w:w="5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38" w:type="pct"/>
            <w:tcBorders>
              <w:tl2br w:val="nil"/>
              <w:tr2bl w:val="nil"/>
            </w:tcBorders>
            <w:vAlign w:val="center"/>
          </w:tcPr>
          <w:p>
            <w:pPr>
              <w:jc w:val="center"/>
              <w:rPr>
                <w:rFonts w:hint="eastAsia" w:ascii="仿宋_GB2312" w:hAnsi="仿宋_GB2312" w:eastAsia="仿宋_GB2312" w:cs="仿宋_GB2312"/>
                <w:b/>
                <w:bCs/>
                <w:color w:val="auto"/>
                <w:sz w:val="24"/>
                <w:szCs w:val="24"/>
                <w:highlight w:val="none"/>
              </w:rPr>
            </w:pPr>
            <w:bookmarkStart w:id="11" w:name="_Hlk170287521"/>
            <w:r>
              <w:rPr>
                <w:rFonts w:hint="eastAsia" w:ascii="仿宋_GB2312" w:hAnsi="仿宋_GB2312" w:eastAsia="仿宋_GB2312" w:cs="仿宋_GB2312"/>
                <w:b/>
                <w:bCs/>
                <w:color w:val="auto"/>
                <w:sz w:val="24"/>
                <w:szCs w:val="24"/>
                <w:highlight w:val="none"/>
              </w:rPr>
              <w:t>序号</w:t>
            </w:r>
          </w:p>
        </w:tc>
        <w:tc>
          <w:tcPr>
            <w:tcW w:w="743" w:type="pct"/>
            <w:tcBorders>
              <w:tl2br w:val="nil"/>
              <w:tr2bl w:val="nil"/>
            </w:tcBorders>
            <w:shd w:val="clear" w:color="auto" w:fill="auto"/>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一级指标</w:t>
            </w:r>
          </w:p>
        </w:tc>
        <w:tc>
          <w:tcPr>
            <w:tcW w:w="1002" w:type="pct"/>
            <w:tcBorders>
              <w:tl2br w:val="nil"/>
              <w:tr2bl w:val="nil"/>
            </w:tcBorders>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二级指标</w:t>
            </w:r>
          </w:p>
        </w:tc>
        <w:tc>
          <w:tcPr>
            <w:tcW w:w="2816" w:type="pct"/>
            <w:tcBorders>
              <w:tl2br w:val="nil"/>
              <w:tr2bl w:val="nil"/>
            </w:tcBorders>
            <w:shd w:val="clear" w:color="auto" w:fill="auto"/>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43" w:type="pct"/>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★CPU信息</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CPU性能不低于Intel i5-13500，</w:t>
            </w:r>
            <w:r>
              <w:rPr>
                <w:rFonts w:hint="eastAsia" w:ascii="仿宋_GB2312" w:hAnsi="仿宋_GB2312" w:eastAsia="仿宋_GB2312" w:cs="仿宋_GB2312"/>
                <w:i w:val="0"/>
                <w:iCs w:val="0"/>
                <w:caps w:val="0"/>
                <w:color w:val="auto"/>
                <w:spacing w:val="0"/>
                <w:sz w:val="24"/>
                <w:szCs w:val="24"/>
                <w:highlight w:val="none"/>
                <w:shd w:val="clear" w:fill="FFFFFF"/>
              </w:rPr>
              <w:t>物理核心数≥14核，主频≥2.5GHz，末级缓存容量≥24M，线程线≥20线程，热设计功耗≥65W及内存的最高速率≥3200 MT/s，通道数≥2和位宽≥128bit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43" w:type="pct"/>
            <w:vMerge w:val="restart"/>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★内存配置容量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43" w:type="pct"/>
            <w:vMerge w:val="continue"/>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★内存类型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支持DDR4 3200 MT/s及以上内存类型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743" w:type="pct"/>
            <w:vMerge w:val="continue"/>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★内存条配置数量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板载内存不涉及</w:t>
            </w:r>
            <w:r>
              <w:rPr>
                <w:rFonts w:hint="eastAsia" w:ascii="仿宋_GB2312" w:hAnsi="仿宋_GB2312" w:eastAsia="仿宋_GB2312" w:cs="仿宋_GB2312"/>
                <w:color w:val="auto"/>
                <w:sz w:val="24"/>
                <w:szCs w:val="24"/>
                <w:highlight w:val="none"/>
                <w:lang w:eastAsia="zh-CN"/>
              </w:rPr>
              <w:t>）</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743" w:type="pct"/>
            <w:vMerge w:val="restart"/>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★主板集成模块</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集成资源扩展模块、计算处理模块、音频扩展模块等，主板的互联拓扑可通过处理器或交换电路实现。</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主板集成模块内芯片组性能不低于Intel Q670芯片组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743" w:type="pct"/>
            <w:vMerge w:val="continue"/>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主板支持所投CPU型号，内存支持≥32G DDR4 3200MT/s, 系统最大支持128G及以上。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43" w:type="pct"/>
            <w:vMerge w:val="continue"/>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★主</w:t>
            </w:r>
            <w:r>
              <w:rPr>
                <w:rFonts w:hint="eastAsia" w:ascii="仿宋_GB2312" w:hAnsi="仿宋_GB2312" w:eastAsia="仿宋_GB2312" w:cs="仿宋_GB2312"/>
                <w:color w:val="auto"/>
                <w:sz w:val="24"/>
                <w:szCs w:val="24"/>
                <w:highlight w:val="none"/>
              </w:rPr>
              <w:t>板内置PCle插槽数量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支持PCle插槽数量不少于3个，≥1*PCIe 16x，≥2*PCIe 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743" w:type="pct"/>
            <w:vMerge w:val="continue"/>
            <w:tcBorders>
              <w:tl2br w:val="nil"/>
              <w:tr2bl w:val="nil"/>
            </w:tcBorders>
            <w:shd w:val="clear" w:color="auto" w:fill="auto"/>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★主板其他内置接口</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SATA接口≥3、M.2接口≥1、USB 接口≥9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★单内存插槽最大可支持容量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板载内存不涉及</w:t>
            </w:r>
            <w:r>
              <w:rPr>
                <w:rFonts w:hint="eastAsia" w:ascii="仿宋_GB2312" w:hAnsi="仿宋_GB2312" w:eastAsia="仿宋_GB2312" w:cs="仿宋_GB2312"/>
                <w:color w:val="auto"/>
                <w:sz w:val="24"/>
                <w:szCs w:val="24"/>
                <w:highlight w:val="none"/>
                <w:lang w:eastAsia="zh-CN"/>
              </w:rPr>
              <w:t>）</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≥32G</w:t>
            </w:r>
            <w:r>
              <w:rPr>
                <w:rFonts w:hint="eastAsia" w:ascii="仿宋_GB2312" w:hAnsi="仿宋_GB2312" w:eastAsia="仿宋_GB2312" w:cs="仿宋_GB2312"/>
                <w:color w:val="auto"/>
                <w:sz w:val="24"/>
                <w:szCs w:val="24"/>
                <w:highlight w:val="no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★内存插槽满配置时提供的最高内存总容量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≥128G</w:t>
            </w:r>
            <w:r>
              <w:rPr>
                <w:rFonts w:hint="eastAsia" w:ascii="仿宋_GB2312" w:hAnsi="仿宋_GB2312" w:eastAsia="仿宋_GB2312" w:cs="仿宋_GB2312"/>
                <w:color w:val="auto"/>
                <w:sz w:val="24"/>
                <w:szCs w:val="24"/>
                <w:highlight w:val="no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存储设备规格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★固态盘数量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★固态存储容量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★固态存储接口协议</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SATA/NVMe接口协议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★固态存储形态</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采用插卡形态，选用符合M.2 NVMe标准的插卡形态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★存储设备其他参数要求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固态盘应符合 SJ/T 11654 相关规定，更换硬盘后，原硬盘不返还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★显卡类型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显示设备规格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★显示屏屏占比</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★显示屏分辨率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★显示屏可视角度</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水平≥170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★显示屏尺寸</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≥23.8英寸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★显示屏屏幕比例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★显示器外观颜色</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黑色/白色/银色等商务色系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★显示屏防蓝光</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★显示屏低频闪</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★显示屏防炫目</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★鼠标数量</w:t>
            </w:r>
          </w:p>
        </w:tc>
        <w:tc>
          <w:tcPr>
            <w:tcW w:w="2816" w:type="pct"/>
            <w:tcBorders>
              <w:tl2br w:val="nil"/>
              <w:tr2bl w:val="nil"/>
            </w:tcBorders>
            <w:shd w:val="clear" w:color="auto" w:fill="auto"/>
            <w:vAlign w:val="center"/>
          </w:tcPr>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★键盘数量</w:t>
            </w:r>
          </w:p>
        </w:tc>
        <w:tc>
          <w:tcPr>
            <w:tcW w:w="2816" w:type="pct"/>
            <w:tcBorders>
              <w:tl2br w:val="nil"/>
              <w:tr2bl w:val="nil"/>
            </w:tcBorders>
            <w:shd w:val="clear" w:color="auto" w:fill="auto"/>
            <w:vAlign w:val="center"/>
          </w:tcPr>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★键盘按键数目</w:t>
            </w:r>
          </w:p>
        </w:tc>
        <w:tc>
          <w:tcPr>
            <w:tcW w:w="2816" w:type="pct"/>
            <w:tcBorders>
              <w:tl2br w:val="nil"/>
              <w:tr2bl w:val="nil"/>
            </w:tcBorders>
            <w:shd w:val="clear" w:color="auto" w:fill="auto"/>
            <w:vAlign w:val="center"/>
          </w:tcPr>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★键盘连接方式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★键盘键程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★键盘按键压力</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★有线键盘连接线</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≥1.5米(额外提供2米USB延长线)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★键盘颜色</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黑色/白色/银色等商务色系，与鼠标为同一色系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★键盘其他</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键盘与主机同一品牌，键盘外观结构、连接方式、主要功能、安全、电磁兼容性、可靠性应符合GB/T 14081的相关规定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★鼠标连接方式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★有线鼠标连接线</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≥1.5米(额外提供2米USB延长线)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★鼠标DPI分辨率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★鼠标颜色</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黑色/白色/银色等商务色系，与键盘为同一色系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★鼠标其他要求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鼠标与主机同一品牌，其它参数应符合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40</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网络设备规格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★有线网卡数量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★USB接口数量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机箱前面板应提供不少于4个USB 接 口（含2 个 USB3.0及以上接口），主板直连USB接口≥9个USB口。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★USB母座接口要求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★视频接口数量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≥1个VGA，1个HDMI 1.4和1个DP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★音频接口数量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≥2个3.5mm 孔径 3 段式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整机基础规格</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★整机外观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 产品表面不应有凹痕、划伤、裂缝、变形和污染等。表面涂层均匀，不应起泡、龟裂、脱落和磨损，金属零部件无锈蚀及其它机械损伤；</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★状态指示灯</w:t>
            </w:r>
          </w:p>
        </w:tc>
        <w:tc>
          <w:tcPr>
            <w:tcW w:w="2816" w:type="pct"/>
            <w:tcBorders>
              <w:tl2br w:val="nil"/>
              <w:tr2bl w:val="nil"/>
            </w:tcBorders>
            <w:shd w:val="clear" w:color="auto" w:fill="auto"/>
            <w:vAlign w:val="center"/>
          </w:tcPr>
          <w:p>
            <w:pPr>
              <w:rPr>
                <w:rFonts w:hint="default"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在产品显著位置提供状态指示功能，如运行状态等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并由供应商提供详细参数。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★整机结构</w:t>
            </w:r>
          </w:p>
        </w:tc>
        <w:tc>
          <w:tcPr>
            <w:tcW w:w="2816" w:type="pct"/>
            <w:tcBorders>
              <w:tl2br w:val="nil"/>
              <w:tr2bl w:val="nil"/>
            </w:tcBorders>
            <w:shd w:val="clear" w:color="auto" w:fill="auto"/>
            <w:vAlign w:val="center"/>
          </w:tcPr>
          <w:p>
            <w:pPr>
              <w:numPr>
                <w:ilvl w:val="0"/>
                <w:numId w:val="7"/>
              </w:num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机箱应符合 GB/T 4208、GB/T 26246的相关规定；</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b)产品内部结构应符合通用部件的安装需求；</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c)所有输入输出接口应符合相关国家或行业标准；</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d)产品零部件应紧固无松动，可插拔部件应可靠连接，开关、按钮和其它控制部件应灵活可靠，布局应方便使用；</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 所有I/O连接器及需插接线缆的部位应预留采购人操作空间，方便插拔解锁与插拔线缆；</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f)可插拔板卡插槽部位应预留安装、拆卸或更换板卡空间；</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g)拆装可能接触到的金属剪口或金属尖角部位应做防划伤处理，以保证安全；</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h) 整机内部走线应规整，固线结构和位置要合理可靠并做防割线处理，需便于理线和插拔操作，走线应不影响系统各主要部件组装和拆卸；</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i)如需通过孔走线，过线孔应做</w:t>
            </w:r>
            <w:r>
              <w:rPr>
                <w:rFonts w:hint="eastAsia" w:ascii="仿宋_GB2312" w:hAnsi="仿宋_GB2312" w:eastAsia="仿宋_GB2312" w:cs="仿宋_GB2312"/>
                <w:color w:val="auto"/>
                <w:sz w:val="24"/>
                <w:szCs w:val="24"/>
                <w:highlight w:val="none"/>
                <w:lang w:val="en-US" w:eastAsia="zh-CN"/>
              </w:rPr>
              <w:t>防</w:t>
            </w:r>
            <w:r>
              <w:rPr>
                <w:rFonts w:hint="eastAsia" w:ascii="仿宋_GB2312" w:hAnsi="仿宋_GB2312" w:eastAsia="仿宋_GB2312" w:cs="仿宋_GB2312"/>
                <w:color w:val="auto"/>
                <w:sz w:val="24"/>
                <w:szCs w:val="24"/>
                <w:highlight w:val="none"/>
              </w:rPr>
              <w:t>割线处理；</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j）各插头位置和插拔方向应合理，应做到插拔无障碍设计，具备防呆设计，有效避免误操作；</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k）各主要部件拆装无障碍，使用常规工具拆装，无特殊拆装工具需求；</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l）各主要部件拆装步骤要少，各自拆装需避免相互干扰；</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m)对于整机或零部件外表面为高亮面的，应粘贴保护膜，保护膜需粘贴牢固，运输、组装等过程不易脱落，撕下无残留；</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n)其它要求应符合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★机箱防护要求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★整机噪音</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产品工作在空闲状态下，产品的声功率级</w:t>
            </w:r>
            <w:r>
              <w:rPr>
                <w:rFonts w:hint="eastAsia" w:ascii="仿宋_GB2312" w:hAnsi="仿宋_GB2312" w:eastAsia="仿宋_GB2312" w:cs="仿宋_GB2312"/>
                <w:color w:val="auto"/>
                <w:sz w:val="24"/>
                <w:szCs w:val="24"/>
                <w:highlight w:val="none"/>
                <w:lang w:val="en-US" w:eastAsia="zh-CN"/>
              </w:rPr>
              <w:t>应不超过</w:t>
            </w:r>
            <w:r>
              <w:rPr>
                <w:rFonts w:hint="eastAsia" w:ascii="仿宋_GB2312" w:hAnsi="仿宋_GB2312" w:eastAsia="仿宋_GB2312" w:cs="仿宋_GB2312"/>
                <w:color w:val="auto"/>
                <w:sz w:val="24"/>
                <w:szCs w:val="24"/>
                <w:highlight w:val="none"/>
              </w:rPr>
              <w:t>4.50Bel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★整机散热</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在环境温度 25℃及处理器满载情况下，产品表面温度应符合如下要求：</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a)出风口在机箱后面板情况下，出风口温度不高于55°C;</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b)可触及面温度不高于 45℃;</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C)显示器表面温度：显示屏不高于38℃, 显示屏上下灯带位置温度（如涉及）不高于 40°C, 出风口温度不高</w:t>
            </w:r>
            <w:r>
              <w:rPr>
                <w:rFonts w:hint="eastAsia" w:ascii="仿宋_GB2312" w:hAnsi="仿宋_GB2312" w:eastAsia="仿宋_GB2312" w:cs="仿宋_GB2312"/>
                <w:color w:val="auto"/>
                <w:sz w:val="24"/>
                <w:szCs w:val="24"/>
                <w:highlight w:val="none"/>
                <w:lang w:val="en-US" w:eastAsia="zh-CN"/>
              </w:rPr>
              <w:t>于</w:t>
            </w:r>
            <w:r>
              <w:rPr>
                <w:rFonts w:hint="eastAsia" w:ascii="仿宋_GB2312" w:hAnsi="仿宋_GB2312" w:eastAsia="仿宋_GB2312" w:cs="仿宋_GB2312"/>
                <w:color w:val="auto"/>
                <w:sz w:val="24"/>
                <w:szCs w:val="24"/>
                <w:highlight w:val="none"/>
              </w:rPr>
              <w:t>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★整机能效限定值</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产品能效限定值应达到GB 28380-2012标准中能效等级 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★机身材质</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塑料/金属等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★机身颜色</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灰色/黑色等商务色系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★机箱尺寸容量</w:t>
            </w:r>
          </w:p>
        </w:tc>
        <w:tc>
          <w:tcPr>
            <w:tcW w:w="2816" w:type="pct"/>
            <w:tcBorders>
              <w:tl2br w:val="nil"/>
              <w:tr2bl w:val="nil"/>
            </w:tcBorders>
            <w:shd w:val="clear" w:color="auto" w:fill="auto"/>
            <w:vAlign w:val="center"/>
          </w:tcPr>
          <w:p>
            <w:pPr>
              <w:wordWrap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机箱体积应≥13.5L，尺寸≤310mmx160mmx380mm(长x宽x高）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性能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物理核数</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主频</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★CPU末级缓存容量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★CPU支持的内存最高速率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59</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内存性能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★内存读写速率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显卡性能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★显示分辨率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★显卡显示芯片核心频率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★显存等效频率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★显卡可支持多屏同时显示数量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显示设备性能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★显示屏刷新率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★显示屏位深</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★显示屏色域</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★显示屏色准</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★显示屏响应时间</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★显示屏亮度</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★显示屏亮度一致性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★显示屏对比度</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★显示屏其他参数</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显示器与主机同一品牌，同一色系，其它参数应符合SJ/T11292的相关规定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网络设备性能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★有线网卡速率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最高速率应不低于2500Mbps,应支持100Mbps、1000Mbps、2500Mbps速率自适应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★内存扩展接口(板载内存不涉及)</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★主板USB 瞬间过流保护</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★主板防静电保护</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★I/O接口功能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基于标准USB接口外设连接功能、基于音频输入输出接口的音频扩展功能、基于PCle接口板卡扩展功能、基于HDMI或VGA或Type-C或DVI或DP等接口外接显示器扩展功能、基于存储接口对产品进行增容功能等。产品I/O接口，应具备外接标准USB设备、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★显卡外接显示接口</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显卡至少支持VGA、HDMI、DP3种显示接口，并与显示器接口相匹配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显示设备功能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★显示器接口</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★显示器支架</w:t>
            </w:r>
          </w:p>
        </w:tc>
        <w:tc>
          <w:tcPr>
            <w:tcW w:w="2816" w:type="pct"/>
            <w:tcBorders>
              <w:tl2br w:val="nil"/>
              <w:tr2bl w:val="nil"/>
            </w:tcBorders>
            <w:shd w:val="clear" w:color="auto" w:fill="auto"/>
            <w:vAlign w:val="center"/>
          </w:tcPr>
          <w:p>
            <w:pPr>
              <w:rPr>
                <w:rFonts w:hint="default"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显示器应提供显示器支架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根据采购人需求支持屏幕旋转、升降等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★显示器参数调节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a)提供OSD选单按钮用于调节色彩、模式等 ；</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★存储功能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网络设备功能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★数据传输</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★有线网卡接口类型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★网络设备拆装</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网络设备支持物理拆装，包括无线网卡和蓝牙模块等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87</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接口功能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★音频接口类型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★视频接口类型</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至少支持 VGA、HDMI、DP、Type-C中 3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★HDMI、DP、Type-C 显示接口要求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若提供 HDMI 或 DP 或 Type-C 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★其他接口</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提供1个串行接口，可实现GB/T 6107的功能；提供1个并行接口，可实现GB/T 18235.1的功能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★电源线适配能力</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电源适配器电线组件应符合GB/T 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≥260W内置电源，至少90%转换率节能电源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93</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操作系统及软件功能</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94</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★操作系统备份及还原功能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支持操作系统备份及还原功能。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95</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★固件备份还原能力</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★操作系统及驱动升级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97</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★固件升级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98</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★BI0S支持关闭通讯接口</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99</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★固件查看信息</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★固件设置启动顺序</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101</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★固件设置口令</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102</w:t>
            </w:r>
          </w:p>
        </w:tc>
        <w:tc>
          <w:tcPr>
            <w:tcW w:w="743" w:type="pct"/>
            <w:vMerge w:val="continue"/>
            <w:tcBorders>
              <w:tl2br w:val="nil"/>
              <w:tr2bl w:val="nil"/>
            </w:tcBorders>
            <w:vAlign w:val="center"/>
          </w:tcPr>
          <w:p>
            <w:pPr>
              <w:jc w:val="center"/>
              <w:rPr>
                <w:rFonts w:hint="eastAsia" w:ascii="仿宋_GB2312" w:hAnsi="仿宋_GB2312" w:eastAsia="仿宋_GB2312" w:cs="仿宋_GB2312"/>
                <w:strike/>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★固件设置网络引导</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存储设备可靠性</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固态存储寿命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TBW≥150TB(条件：512GB硬盘容量)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104</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显示设备</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★显示屏屏幕失效点</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105</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外设可靠性</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★键盘按键寿命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★鼠标按键寿命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★键盘鼠标线材寿命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109</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★电磁兼容性要求的抗扰度</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★环境条件要求的气候环境适应性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★环境条件要求的振动适应性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★环境条件要求的冲击适应性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★环境条件要求的碰撞适应性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★环境条件要求的运输包装件跌落适应性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★MTBF测试</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MTBF(m1)≥100万小时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常用软件兼容</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120</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★配置检查工具</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816" w:type="pct"/>
            <w:tcBorders>
              <w:tl2br w:val="nil"/>
              <w:tr2bl w:val="nil"/>
            </w:tcBorders>
            <w:shd w:val="clear" w:color="auto" w:fill="auto"/>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a）提供产品原厂商至少五年维保及上门服务</w:t>
            </w:r>
            <w:r>
              <w:rPr>
                <w:rFonts w:hint="eastAsia" w:ascii="仿宋_GB2312" w:hAnsi="仿宋_GB2312" w:eastAsia="仿宋_GB2312" w:cs="仿宋_GB2312"/>
                <w:color w:val="auto"/>
                <w:sz w:val="24"/>
                <w:szCs w:val="24"/>
                <w:highlight w:val="none"/>
                <w:lang w:eastAsia="zh-CN"/>
              </w:rPr>
              <w:t>，供应商</w:t>
            </w:r>
            <w:r>
              <w:rPr>
                <w:rFonts w:hint="eastAsia" w:ascii="仿宋_GB2312" w:hAnsi="仿宋_GB2312" w:eastAsia="仿宋_GB2312" w:cs="仿宋_GB2312"/>
                <w:color w:val="auto"/>
                <w:sz w:val="24"/>
                <w:highlight w:val="none"/>
                <w:lang w:val="en-US" w:eastAsia="zh-CN"/>
              </w:rPr>
              <w:t>提供电话、电子邮件、远程链接等多种形式服务</w:t>
            </w:r>
            <w:r>
              <w:rPr>
                <w:rFonts w:hint="eastAsia" w:ascii="仿宋_GB2312" w:hAnsi="仿宋_GB2312" w:eastAsia="仿宋_GB2312" w:cs="仿宋_GB2312"/>
                <w:color w:val="auto"/>
                <w:sz w:val="24"/>
                <w:szCs w:val="24"/>
                <w:highlight w:val="none"/>
              </w:rPr>
              <w:t>；</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b)供应商提供同城10分钟技术响应服务，1个工作日解决问题，对于未能解决的问题和故障应提供可行的升级方案，并提供周转设备或更换设备；</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c)建立全国技术服务体系和服务团体，符合专业服务体系标准要求，提供原厂中文服务；</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d)服务周期内提供产品的维修、换件和升级服务；</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e)设备厂商需提供闪修保修服务：报修后两天内没有完成修复，则为客户免费提供备机。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 设备停产后应继续提供质量保障服务（含备品备件），服务终止时间与最后一批设备交付时间间隔不低于8年；</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 产品停止服务时间应提前1年告知；</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124</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★预装操作系统</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126</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★典型问题解决手册</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★厂家升级软件与扩容服务</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128</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★整机质量服务要求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免费服务周期（含换件和维修）</w:t>
            </w:r>
            <w:r>
              <w:rPr>
                <w:rFonts w:hint="eastAsia" w:ascii="仿宋_GB2312" w:hAnsi="仿宋_GB2312" w:eastAsia="仿宋_GB2312" w:cs="仿宋_GB2312"/>
                <w:color w:val="auto"/>
                <w:sz w:val="24"/>
                <w:szCs w:val="24"/>
                <w:highlight w:val="none"/>
                <w:lang w:val="en-US" w:eastAsia="zh-CN"/>
              </w:rPr>
              <w:t>应</w:t>
            </w:r>
            <w:r>
              <w:rPr>
                <w:rFonts w:hint="eastAsia" w:ascii="仿宋_GB2312" w:hAnsi="仿宋_GB2312" w:eastAsia="仿宋_GB2312" w:cs="仿宋_GB2312"/>
                <w:color w:val="auto"/>
                <w:sz w:val="24"/>
                <w:szCs w:val="24"/>
                <w:highlight w:val="none"/>
              </w:rPr>
              <w:t>不小于五年。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129</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★合格证书要求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130</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★开箱组装/使用指导要求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★驱动下载服务要求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★兼容适配软件下载服务要求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133</w:t>
            </w:r>
          </w:p>
        </w:tc>
        <w:tc>
          <w:tcPr>
            <w:tcW w:w="743"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供应链合 规性</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产品部件保障</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供应商保障产品主要部件，提供8年的备件服务能力(自购买之日起),或提供可兼容原设备的升级换代产品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134</w:t>
            </w:r>
          </w:p>
        </w:tc>
        <w:tc>
          <w:tcPr>
            <w:tcW w:w="743" w:type="pct"/>
            <w:vMerge w:val="restar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★抗干扰性</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135</w:t>
            </w:r>
          </w:p>
        </w:tc>
        <w:tc>
          <w:tcPr>
            <w:tcW w:w="743" w:type="pct"/>
            <w:vMerge w:val="continue"/>
            <w:tcBorders>
              <w:tl2br w:val="nil"/>
              <w:tr2bl w:val="nil"/>
            </w:tcBorders>
            <w:vAlign w:val="center"/>
          </w:tcPr>
          <w:p>
            <w:pPr>
              <w:jc w:val="center"/>
              <w:rPr>
                <w:rFonts w:hint="eastAsia" w:ascii="仿宋_GB2312" w:hAnsi="仿宋_GB2312" w:eastAsia="仿宋_GB2312" w:cs="仿宋_GB2312"/>
                <w:color w:val="auto"/>
                <w:sz w:val="24"/>
                <w:szCs w:val="24"/>
                <w:highlight w:val="none"/>
              </w:rPr>
            </w:pP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提供供应链稳定承诺书，确保产品的部件在产品服务周期内稳定供货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136</w:t>
            </w:r>
          </w:p>
        </w:tc>
        <w:tc>
          <w:tcPr>
            <w:tcW w:w="743" w:type="pct"/>
            <w:tcBorders>
              <w:tl2br w:val="nil"/>
              <w:tr2bl w:val="nil"/>
            </w:tcBorders>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整机安全性要求</w:t>
            </w:r>
          </w:p>
        </w:tc>
        <w:tc>
          <w:tcPr>
            <w:tcW w:w="1002" w:type="pct"/>
            <w:tcBorders>
              <w:tl2br w:val="nil"/>
              <w:tr2bl w:val="nil"/>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816" w:type="pct"/>
            <w:tcBorders>
              <w:tl2br w:val="nil"/>
              <w:tr2bl w:val="nil"/>
            </w:tcBorders>
            <w:shd w:val="clear" w:color="auto" w:fill="auto"/>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pPr>
              <w:jc w:val="center"/>
              <w:rPr>
                <w:rFonts w:hint="default" w:ascii="仿宋_GB2312" w:hAnsi="仿宋_GB2312" w:eastAsia="仿宋_GB2312" w:cs="仿宋_GB2312"/>
                <w:strike/>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137</w:t>
            </w:r>
          </w:p>
        </w:tc>
        <w:tc>
          <w:tcPr>
            <w:tcW w:w="4561" w:type="pct"/>
            <w:gridSpan w:val="3"/>
            <w:tcBorders>
              <w:tl2br w:val="nil"/>
              <w:tr2bl w:val="nil"/>
            </w:tcBorders>
            <w:vAlign w:val="center"/>
          </w:tcPr>
          <w:p>
            <w:pPr>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每台计算机在5年原厂质保期内，由原厂提供1次免费数据恢复服务（尝试性故障硬盘（单盘）数据拯救服务，若未恢复则不计次数）。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8" w:type="pct"/>
            <w:vAlign w:val="center"/>
          </w:tcPr>
          <w:p>
            <w:pPr>
              <w:jc w:val="center"/>
              <w:rPr>
                <w:rFonts w:hint="default" w:ascii="仿宋_GB2312" w:hAnsi="仿宋_GB2312" w:eastAsia="仿宋_GB2312" w:cs="仿宋_GB2312"/>
                <w:strike/>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138</w:t>
            </w:r>
          </w:p>
        </w:tc>
        <w:tc>
          <w:tcPr>
            <w:tcW w:w="4561" w:type="pct"/>
            <w:gridSpan w:val="3"/>
            <w:tcBorders>
              <w:tl2br w:val="nil"/>
              <w:tr2bl w:val="nil"/>
            </w:tcBorders>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本项目</w:t>
            </w:r>
            <w:r>
              <w:rPr>
                <w:rFonts w:hint="eastAsia" w:ascii="仿宋_GB2312" w:hAnsi="仿宋_GB2312" w:eastAsia="仿宋_GB2312" w:cs="仿宋_GB2312"/>
                <w:color w:val="auto"/>
                <w:sz w:val="24"/>
                <w:szCs w:val="24"/>
                <w:highlight w:val="none"/>
              </w:rPr>
              <w:t>提供用于系统安装128G U盘设备</w:t>
            </w:r>
            <w:r>
              <w:rPr>
                <w:rFonts w:hint="eastAsia" w:ascii="仿宋_GB2312" w:hAnsi="仿宋_GB2312" w:eastAsia="仿宋_GB2312" w:cs="仿宋_GB2312"/>
                <w:color w:val="auto"/>
                <w:sz w:val="24"/>
                <w:szCs w:val="24"/>
                <w:highlight w:val="none"/>
                <w:lang w:eastAsia="zh-CN"/>
              </w:rPr>
              <w:t>总计</w:t>
            </w:r>
            <w:r>
              <w:rPr>
                <w:rFonts w:hint="eastAsia" w:ascii="仿宋_GB2312" w:hAnsi="仿宋_GB2312" w:eastAsia="仿宋_GB2312" w:cs="仿宋_GB2312"/>
                <w:color w:val="auto"/>
                <w:sz w:val="24"/>
                <w:szCs w:val="24"/>
                <w:highlight w:val="none"/>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139</w:t>
            </w:r>
          </w:p>
        </w:tc>
        <w:tc>
          <w:tcPr>
            <w:tcW w:w="4561" w:type="pct"/>
            <w:gridSpan w:val="3"/>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★提供节能产品认证证书。</w:t>
            </w:r>
          </w:p>
        </w:tc>
      </w:tr>
      <w:bookmarkEnd w:id="11"/>
    </w:tbl>
    <w:p>
      <w:pPr>
        <w:pStyle w:val="6"/>
        <w:numPr>
          <w:ilvl w:val="0"/>
          <w:numId w:val="0"/>
        </w:numPr>
        <w:tabs>
          <w:tab w:val="clear" w:pos="1984"/>
        </w:tabs>
        <w:spacing w:before="0" w:after="0" w:line="5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其他相关要求：</w:t>
      </w:r>
    </w:p>
    <w:p>
      <w:pPr>
        <w:numPr>
          <w:ilvl w:val="-1"/>
          <w:numId w:val="0"/>
        </w:numPr>
        <w:spacing w:line="440" w:lineRule="exact"/>
        <w:ind w:firstLine="480" w:firstLineChars="200"/>
        <w:rPr>
          <w:rFonts w:hint="eastAsia" w:ascii="仿宋_GB2312" w:hAnsi="仿宋_GB2312" w:eastAsia="仿宋_GB2312" w:cs="仿宋_GB2312"/>
          <w:color w:val="auto"/>
          <w:sz w:val="24"/>
          <w:highlight w:val="none"/>
        </w:rPr>
      </w:pPr>
      <w:bookmarkStart w:id="12" w:name="_Hlk162099983"/>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投标人必须保证所有设备为原装正规渠道行货,有原厂服务，如有需要供货时提供正规渠道证明，所有产品均原包装到用户，当场开箱验货.同时提供该设备相关技术参数说明，如与所投产品技术要求不符,采购人有权退货并且一切后果由投标人承担。</w:t>
      </w:r>
    </w:p>
    <w:bookmarkEnd w:id="12"/>
    <w:p>
      <w:pPr>
        <w:numPr>
          <w:ilvl w:val="-1"/>
          <w:numId w:val="0"/>
        </w:num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安装要求:项目实施时投标人须指定工程师（满足医院实际需求）到现场负责新设备安装到指定科室，拆除原有设备进行替换及原有数据备份转移等相关事宜，直至项目实施完成。</w:t>
      </w:r>
    </w:p>
    <w:p>
      <w:pPr>
        <w:numPr>
          <w:ilvl w:val="-1"/>
          <w:numId w:val="0"/>
        </w:num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本</w:t>
      </w:r>
      <w:bookmarkStart w:id="13" w:name="_Hlk162100306"/>
      <w:r>
        <w:rPr>
          <w:rFonts w:hint="eastAsia" w:ascii="仿宋_GB2312" w:hAnsi="仿宋_GB2312" w:eastAsia="仿宋_GB2312" w:cs="仿宋_GB2312"/>
          <w:color w:val="auto"/>
          <w:sz w:val="24"/>
          <w:highlight w:val="none"/>
        </w:rPr>
        <w:t>项目实施过程中所产生的费用及项目</w:t>
      </w:r>
      <w:r>
        <w:rPr>
          <w:rFonts w:hint="eastAsia" w:ascii="仿宋_GB2312" w:hAnsi="仿宋_GB2312" w:eastAsia="仿宋_GB2312" w:cs="仿宋_GB2312"/>
          <w:color w:val="auto"/>
          <w:sz w:val="24"/>
          <w:highlight w:val="none"/>
          <w:lang w:val="en-US" w:eastAsia="zh-CN"/>
        </w:rPr>
        <w:t>包括</w:t>
      </w:r>
      <w:r>
        <w:rPr>
          <w:rFonts w:hint="eastAsia" w:ascii="仿宋_GB2312" w:hAnsi="仿宋_GB2312" w:eastAsia="仿宋_GB2312" w:cs="仿宋_GB2312"/>
          <w:color w:val="auto"/>
          <w:sz w:val="24"/>
          <w:highlight w:val="none"/>
        </w:rPr>
        <w:t>一切所需配套线材辅料均包含在投标报价内。</w:t>
      </w:r>
    </w:p>
    <w:p>
      <w:pPr>
        <w:numPr>
          <w:ilvl w:val="-1"/>
          <w:numId w:val="0"/>
        </w:num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在供货时提供原厂五年上门报修服务承诺函原件（以上服务承诺函须明确服务年限）</w:t>
      </w:r>
    </w:p>
    <w:bookmarkEnd w:id="13"/>
    <w:p>
      <w:pPr>
        <w:numPr>
          <w:ilvl w:val="0"/>
          <w:numId w:val="6"/>
        </w:numPr>
        <w:spacing w:line="560" w:lineRule="exact"/>
        <w:ind w:right="420"/>
        <w:rPr>
          <w:rFonts w:hint="eastAsia" w:ascii="仿宋_GB2312" w:hAnsi="仿宋_GB2312" w:eastAsia="仿宋_GB2312" w:cs="仿宋_GB2312"/>
          <w:b/>
          <w:bCs/>
          <w:color w:val="auto"/>
          <w:sz w:val="24"/>
          <w:highlight w:val="none"/>
        </w:rPr>
      </w:pPr>
      <w:bookmarkStart w:id="14" w:name="_Hlk127734532"/>
      <w:r>
        <w:rPr>
          <w:rFonts w:hint="eastAsia" w:ascii="仿宋_GB2312" w:hAnsi="仿宋_GB2312" w:eastAsia="仿宋_GB2312" w:cs="仿宋_GB2312"/>
          <w:b/>
          <w:bCs/>
          <w:color w:val="auto"/>
          <w:sz w:val="24"/>
          <w:highlight w:val="none"/>
        </w:rPr>
        <w:t>项目实施进度要求:</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（1）签订合同后60个工作日内，</w:t>
      </w:r>
      <w:r>
        <w:rPr>
          <w:rFonts w:hint="eastAsia" w:ascii="仿宋_GB2312" w:hAnsi="仿宋_GB2312" w:eastAsia="仿宋_GB2312" w:cs="仿宋_GB2312"/>
          <w:color w:val="auto"/>
          <w:sz w:val="24"/>
          <w:highlight w:val="none"/>
          <w:lang w:val="en-US" w:eastAsia="zh-CN"/>
        </w:rPr>
        <w:t>投标人</w:t>
      </w:r>
      <w:r>
        <w:rPr>
          <w:rFonts w:hint="eastAsia" w:ascii="仿宋_GB2312" w:hAnsi="仿宋_GB2312" w:eastAsia="仿宋_GB2312" w:cs="仿宋_GB2312"/>
          <w:color w:val="auto"/>
          <w:sz w:val="24"/>
          <w:highlight w:val="none"/>
        </w:rPr>
        <w:t>需将全部货物送到采购人指定场所，并完成安装调试。</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（2）安装地址：按采购人指定地点进行安装调试。</w:t>
      </w:r>
    </w:p>
    <w:bookmarkEnd w:id="14"/>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项目培训要求:</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系统操作培训：主要面向使用人员，提供操作培训及文档；</w:t>
      </w:r>
    </w:p>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项目售后服务要求:</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（1）投标人必须根据本次招标文件所制定的目标和范围，提出相应的售后服务方案。</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（3）在本合同项目实施及维保期间内，投标人对合同范围内的产品免费提供更新、升级服务。</w:t>
      </w:r>
    </w:p>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项目验收要求:</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项目的工作内容及成果文档的提交应覆盖以下内容，电子文档是成果不可分割的部分。</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(1)、实施确认书；</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(2)、培训资料；</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(3)、安装维护手册；</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(4)、使用操作手册；</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(5)、硬件设备需提供原厂质保函。</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(6)、项目验收报告。</w:t>
      </w:r>
    </w:p>
    <w:p>
      <w:pPr>
        <w:numPr>
          <w:ilvl w:val="0"/>
          <w:numId w:val="6"/>
        </w:numPr>
        <w:spacing w:line="56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付款方式：</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spacing w:line="440" w:lineRule="exact"/>
        <w:ind w:firstLine="480" w:firstLineChars="200"/>
        <w:rPr>
          <w:rFonts w:ascii="仿宋_GB2312"/>
          <w:color w:val="auto"/>
          <w:sz w:val="24"/>
          <w:highlight w:val="none"/>
        </w:rPr>
      </w:pP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5" w:name="_Toc2232"/>
      <w:bookmarkStart w:id="16" w:name="_Toc24059"/>
      <w:bookmarkStart w:id="17" w:name="_Toc3029"/>
      <w:r>
        <w:rPr>
          <w:rFonts w:hint="eastAsia" w:ascii="仿宋_GB2312" w:hAnsi="仿宋" w:eastAsia="仿宋_GB2312" w:cs="仿宋"/>
          <w:b/>
          <w:color w:val="auto"/>
          <w:sz w:val="24"/>
          <w:highlight w:val="none"/>
        </w:rPr>
        <w:t>1.1 合同组成部分</w:t>
      </w:r>
      <w:bookmarkEnd w:id="15"/>
      <w:bookmarkEnd w:id="16"/>
      <w:bookmarkEnd w:id="1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8" w:name="_Toc27126"/>
      <w:bookmarkStart w:id="19" w:name="_Toc21295"/>
      <w:bookmarkStart w:id="20" w:name="_Toc24300"/>
      <w:r>
        <w:rPr>
          <w:rFonts w:hint="eastAsia" w:ascii="仿宋_GB2312" w:hAnsi="仿宋" w:eastAsia="仿宋_GB2312" w:cs="仿宋"/>
          <w:b/>
          <w:color w:val="auto"/>
          <w:sz w:val="24"/>
          <w:highlight w:val="none"/>
        </w:rPr>
        <w:t>1.2 货物</w:t>
      </w:r>
      <w:bookmarkEnd w:id="18"/>
      <w:bookmarkEnd w:id="19"/>
      <w:bookmarkEnd w:id="20"/>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21" w:name="_Toc21631"/>
      <w:bookmarkStart w:id="22" w:name="_Toc21551"/>
      <w:bookmarkStart w:id="23" w:name="_Toc23292"/>
      <w:r>
        <w:rPr>
          <w:rFonts w:hint="eastAsia" w:ascii="仿宋_GB2312" w:hAnsi="仿宋" w:eastAsia="仿宋_GB2312" w:cs="仿宋"/>
          <w:b/>
          <w:color w:val="auto"/>
          <w:sz w:val="24"/>
          <w:highlight w:val="none"/>
        </w:rPr>
        <w:t>1.3 价款</w:t>
      </w:r>
      <w:bookmarkEnd w:id="21"/>
      <w:bookmarkEnd w:id="22"/>
      <w:bookmarkEnd w:id="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4" w:name="_Toc10340"/>
      <w:bookmarkStart w:id="25" w:name="_Toc22618"/>
      <w:bookmarkStart w:id="26" w:name="_Toc1814"/>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4"/>
      <w:bookmarkEnd w:id="25"/>
      <w:bookmarkEnd w:id="26"/>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7" w:name="_Toc32071"/>
      <w:bookmarkStart w:id="28" w:name="_Toc2846"/>
      <w:bookmarkStart w:id="29" w:name="_Toc19304"/>
      <w:r>
        <w:rPr>
          <w:rFonts w:hint="eastAsia" w:ascii="仿宋_GB2312" w:hAnsi="仿宋" w:eastAsia="仿宋_GB2312" w:cs="仿宋"/>
          <w:b/>
          <w:color w:val="auto"/>
          <w:sz w:val="24"/>
          <w:highlight w:val="none"/>
        </w:rPr>
        <w:t>1.7货物交付期限、地点和方式</w:t>
      </w:r>
      <w:bookmarkEnd w:id="27"/>
      <w:bookmarkEnd w:id="28"/>
      <w:bookmarkEnd w:id="29"/>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30" w:name="_Toc27250"/>
      <w:bookmarkStart w:id="31" w:name="_Toc21423"/>
      <w:bookmarkStart w:id="32" w:name="_Toc19554"/>
      <w:r>
        <w:rPr>
          <w:rFonts w:hint="eastAsia" w:ascii="仿宋_GB2312" w:hAnsi="仿宋" w:eastAsia="仿宋_GB2312" w:cs="仿宋"/>
          <w:b/>
          <w:color w:val="auto"/>
          <w:sz w:val="24"/>
          <w:highlight w:val="none"/>
        </w:rPr>
        <w:t>1.8违约责任</w:t>
      </w:r>
      <w:bookmarkEnd w:id="30"/>
      <w:bookmarkEnd w:id="31"/>
      <w:bookmarkEnd w:id="3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33" w:name="_Toc28375"/>
      <w:bookmarkStart w:id="34" w:name="_Toc16021"/>
      <w:bookmarkStart w:id="35" w:name="_Toc15583"/>
      <w:r>
        <w:rPr>
          <w:rFonts w:hint="eastAsia" w:ascii="仿宋_GB2312" w:hAnsi="仿宋" w:eastAsia="仿宋_GB2312" w:cs="仿宋"/>
          <w:b/>
          <w:color w:val="auto"/>
          <w:sz w:val="24"/>
          <w:highlight w:val="none"/>
        </w:rPr>
        <w:t>1.9合同争议的解决</w:t>
      </w:r>
      <w:bookmarkEnd w:id="33"/>
      <w:bookmarkEnd w:id="34"/>
      <w:bookmarkEnd w:id="35"/>
    </w:p>
    <w:p>
      <w:pPr>
        <w:spacing w:line="560" w:lineRule="exact"/>
        <w:ind w:firstLine="480" w:firstLineChars="200"/>
        <w:outlineLvl w:val="0"/>
        <w:rPr>
          <w:rFonts w:hint="eastAsia" w:ascii="仿宋_GB2312" w:hAnsi="仿宋" w:eastAsia="仿宋_GB2312" w:cs="仿宋"/>
          <w:b w:val="0"/>
          <w:bCs/>
          <w:color w:val="auto"/>
          <w:sz w:val="24"/>
          <w:highlight w:val="none"/>
        </w:rPr>
      </w:pPr>
      <w:bookmarkStart w:id="36" w:name="_Toc15322"/>
      <w:bookmarkStart w:id="37" w:name="_Toc11173"/>
      <w:bookmarkStart w:id="38" w:name="_Toc7245"/>
      <w:r>
        <w:rPr>
          <w:rFonts w:hint="eastAsia" w:ascii="仿宋_GB2312" w:hAnsi="仿宋" w:eastAsia="仿宋_GB2312" w:cs="仿宋"/>
          <w:b w:val="0"/>
          <w:bCs/>
          <w:color w:val="auto"/>
          <w:sz w:val="24"/>
          <w:highlight w:val="none"/>
        </w:rPr>
        <w:t>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2.0 合同生效</w:t>
      </w:r>
      <w:bookmarkEnd w:id="36"/>
      <w:bookmarkEnd w:id="37"/>
      <w:bookmarkEnd w:id="3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9" w:name="_Ref467378404"/>
      <w:bookmarkStart w:id="40" w:name="_Toc279701240"/>
      <w:bookmarkStart w:id="41" w:name="_Toc259093669"/>
      <w:bookmarkStart w:id="42" w:name="_Ref467379101"/>
      <w:bookmarkStart w:id="43" w:name="_Toc487900349"/>
      <w:bookmarkStart w:id="44" w:name="_Ref467378463"/>
      <w:bookmarkStart w:id="45" w:name="_Toc28763"/>
      <w:bookmarkStart w:id="46" w:name="_Toc16917"/>
      <w:bookmarkStart w:id="47" w:name="_Ref467378499"/>
      <w:bookmarkStart w:id="48" w:name="_Ref467379109"/>
      <w:bookmarkStart w:id="49" w:name="_Ref467379195"/>
      <w:bookmarkStart w:id="50" w:name="_Toc19614"/>
      <w:bookmarkStart w:id="51" w:name="_Ref467379214"/>
      <w:bookmarkStart w:id="52" w:name="_Ref467379225"/>
      <w:bookmarkStart w:id="53" w:name="_Ref467379094"/>
      <w:bookmarkStart w:id="54" w:name="_Ref467379205"/>
      <w:r>
        <w:rPr>
          <w:rFonts w:hint="eastAsia" w:ascii="仿宋_GB2312" w:hAnsi="仿宋" w:eastAsia="仿宋_GB2312" w:cs="仿宋"/>
          <w:b/>
          <w:color w:val="auto"/>
          <w:sz w:val="24"/>
          <w:highlight w:val="none"/>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5" w:name="_Ref467378840"/>
      <w:r>
        <w:rPr>
          <w:rFonts w:hint="eastAsia" w:ascii="仿宋_GB2312" w:hAnsi="仿宋" w:eastAsia="仿宋_GB2312" w:cs="仿宋"/>
          <w:color w:val="auto"/>
          <w:sz w:val="24"/>
          <w:highlight w:val="none"/>
        </w:rPr>
        <w:t>2.1.4 “甲方”系指与中标或成交供应商签署合同的采购人</w:t>
      </w:r>
      <w:bookmarkEnd w:id="55"/>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6" w:name="_Ref467379400"/>
      <w:r>
        <w:rPr>
          <w:rFonts w:hint="eastAsia" w:ascii="仿宋_GB2312" w:hAnsi="仿宋" w:eastAsia="仿宋_GB2312" w:cs="仿宋"/>
          <w:color w:val="auto"/>
          <w:sz w:val="24"/>
          <w:highlight w:val="none"/>
        </w:rPr>
        <w:t>2.1.5 “乙方”系指根据合同约定交付货物的中标或成交供应商</w:t>
      </w:r>
      <w:bookmarkEnd w:id="56"/>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7" w:name="_Ref467379436"/>
      <w:r>
        <w:rPr>
          <w:rFonts w:hint="eastAsia" w:ascii="仿宋_GB2312" w:hAnsi="仿宋" w:eastAsia="仿宋_GB2312" w:cs="仿宋"/>
          <w:color w:val="auto"/>
          <w:sz w:val="24"/>
          <w:highlight w:val="none"/>
        </w:rPr>
        <w:t>2.1.6 “现场”系指合同约定货物将要运至或者安装的地点。</w:t>
      </w:r>
      <w:bookmarkEnd w:id="57"/>
    </w:p>
    <w:p>
      <w:pPr>
        <w:spacing w:line="560" w:lineRule="exact"/>
        <w:ind w:firstLine="482" w:firstLineChars="200"/>
        <w:outlineLvl w:val="0"/>
        <w:rPr>
          <w:rFonts w:ascii="仿宋_GB2312" w:hAnsi="仿宋" w:eastAsia="仿宋_GB2312" w:cs="仿宋"/>
          <w:b/>
          <w:color w:val="auto"/>
          <w:sz w:val="24"/>
          <w:highlight w:val="none"/>
        </w:rPr>
      </w:pPr>
      <w:bookmarkStart w:id="58" w:name="_Toc259093670"/>
      <w:bookmarkStart w:id="59" w:name="_Toc13336"/>
      <w:bookmarkStart w:id="60" w:name="_Toc487900350"/>
      <w:bookmarkStart w:id="61" w:name="_Toc279701241"/>
      <w:bookmarkStart w:id="62" w:name="_Toc32504"/>
      <w:bookmarkStart w:id="63" w:name="_Toc27635"/>
      <w:r>
        <w:rPr>
          <w:rFonts w:hint="eastAsia" w:ascii="仿宋_GB2312" w:hAnsi="仿宋" w:eastAsia="仿宋_GB2312" w:cs="仿宋"/>
          <w:b/>
          <w:color w:val="auto"/>
          <w:sz w:val="24"/>
          <w:highlight w:val="none"/>
        </w:rPr>
        <w:t>2.2 技术规范</w:t>
      </w:r>
      <w:bookmarkEnd w:id="58"/>
      <w:bookmarkEnd w:id="59"/>
      <w:bookmarkEnd w:id="60"/>
      <w:bookmarkEnd w:id="61"/>
      <w:bookmarkEnd w:id="62"/>
      <w:bookmarkEnd w:id="6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4" w:name="_Toc487900351"/>
      <w:bookmarkStart w:id="65" w:name="_Toc279701242"/>
      <w:bookmarkStart w:id="66" w:name="_Toc9829"/>
      <w:bookmarkStart w:id="67" w:name="_Toc31634"/>
      <w:bookmarkStart w:id="68" w:name="_Toc259093671"/>
      <w:bookmarkStart w:id="69" w:name="_Toc27853"/>
      <w:r>
        <w:rPr>
          <w:rFonts w:hint="eastAsia" w:ascii="仿宋_GB2312" w:hAnsi="仿宋" w:eastAsia="仿宋_GB2312" w:cs="仿宋"/>
          <w:b/>
          <w:color w:val="auto"/>
          <w:sz w:val="24"/>
          <w:highlight w:val="none"/>
        </w:rPr>
        <w:t>2.3 知识产权</w:t>
      </w:r>
      <w:bookmarkEnd w:id="64"/>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0" w:name="_Toc4194"/>
      <w:bookmarkStart w:id="71" w:name="_Toc11932"/>
      <w:bookmarkStart w:id="72" w:name="_Toc29149"/>
      <w:r>
        <w:rPr>
          <w:rFonts w:hint="eastAsia" w:ascii="仿宋_GB2312" w:hAnsi="仿宋" w:eastAsia="仿宋_GB2312" w:cs="仿宋"/>
          <w:b/>
          <w:color w:val="auto"/>
          <w:sz w:val="24"/>
          <w:highlight w:val="none"/>
        </w:rPr>
        <w:t>2.4 包装和装运</w:t>
      </w:r>
      <w:bookmarkEnd w:id="70"/>
      <w:bookmarkEnd w:id="71"/>
      <w:bookmarkEnd w:id="7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3" w:name="_Toc487900354"/>
      <w:bookmarkStart w:id="74" w:name="_Ref467378591"/>
      <w:bookmarkStart w:id="75" w:name="_Ref467378541"/>
      <w:bookmarkStart w:id="76" w:name="_Toc279701245"/>
      <w:bookmarkStart w:id="77" w:name="_Ref467379527"/>
      <w:bookmarkStart w:id="78" w:name="_Ref467379536"/>
      <w:bookmarkStart w:id="79" w:name="_Toc259093674"/>
      <w:bookmarkStart w:id="80" w:name="_Ref467379542"/>
      <w:bookmarkStart w:id="81" w:name="_Toc19074"/>
      <w:bookmarkStart w:id="82" w:name="_Toc30272"/>
      <w:bookmarkStart w:id="83" w:name="_Toc26182"/>
      <w:r>
        <w:rPr>
          <w:rFonts w:hint="eastAsia" w:ascii="仿宋_GB2312" w:hAnsi="仿宋" w:eastAsia="仿宋_GB2312" w:cs="仿宋"/>
          <w:b/>
          <w:color w:val="auto"/>
          <w:sz w:val="24"/>
          <w:highlight w:val="none"/>
        </w:rPr>
        <w:t>2.</w:t>
      </w:r>
      <w:bookmarkEnd w:id="73"/>
      <w:bookmarkEnd w:id="74"/>
      <w:bookmarkEnd w:id="75"/>
      <w:bookmarkEnd w:id="76"/>
      <w:bookmarkEnd w:id="77"/>
      <w:bookmarkEnd w:id="78"/>
      <w:bookmarkEnd w:id="79"/>
      <w:bookmarkEnd w:id="80"/>
      <w:r>
        <w:rPr>
          <w:rFonts w:hint="eastAsia" w:ascii="仿宋_GB2312" w:hAnsi="仿宋" w:eastAsia="仿宋_GB2312" w:cs="仿宋"/>
          <w:b/>
          <w:color w:val="auto"/>
          <w:sz w:val="24"/>
          <w:highlight w:val="none"/>
        </w:rPr>
        <w:t>5 履约检查和问题反馈</w:t>
      </w:r>
      <w:bookmarkEnd w:id="81"/>
      <w:bookmarkEnd w:id="82"/>
      <w:bookmarkEnd w:id="83"/>
    </w:p>
    <w:p>
      <w:pPr>
        <w:spacing w:line="560" w:lineRule="exact"/>
        <w:ind w:firstLine="480" w:firstLineChars="200"/>
        <w:rPr>
          <w:rFonts w:ascii="仿宋_GB2312" w:hAnsi="仿宋" w:eastAsia="仿宋_GB2312" w:cs="仿宋"/>
          <w:color w:val="auto"/>
          <w:sz w:val="24"/>
          <w:highlight w:val="none"/>
        </w:rPr>
      </w:pPr>
      <w:bookmarkStart w:id="84" w:name="_Ref467379657"/>
      <w:r>
        <w:rPr>
          <w:rFonts w:hint="eastAsia" w:ascii="仿宋_GB2312" w:hAnsi="仿宋" w:eastAsia="仿宋_GB2312" w:cs="仿宋"/>
          <w:color w:val="auto"/>
          <w:sz w:val="24"/>
          <w:highlight w:val="none"/>
        </w:rPr>
        <w:t>2.5.1</w:t>
      </w:r>
      <w:bookmarkEnd w:id="84"/>
      <w:bookmarkStart w:id="85" w:name="_Toc186431854"/>
      <w:bookmarkStart w:id="86" w:name="_Toc259093676"/>
      <w:bookmarkStart w:id="87" w:name="_Ref467379807"/>
      <w:bookmarkStart w:id="88" w:name="_Ref467379793"/>
      <w:bookmarkStart w:id="89" w:name="_Toc487900357"/>
      <w:bookmarkStart w:id="90"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5"/>
      <w:bookmarkStart w:id="91" w:name="_Toc186431855"/>
      <w:r>
        <w:rPr>
          <w:rFonts w:hint="eastAsia" w:ascii="仿宋_GB2312" w:hAnsi="仿宋" w:eastAsia="仿宋_GB2312" w:cs="仿宋"/>
          <w:color w:val="auto"/>
          <w:sz w:val="24"/>
          <w:highlight w:val="none"/>
        </w:rPr>
        <w:t>。</w:t>
      </w:r>
    </w:p>
    <w:bookmarkEnd w:id="86"/>
    <w:bookmarkEnd w:id="87"/>
    <w:bookmarkEnd w:id="88"/>
    <w:bookmarkEnd w:id="89"/>
    <w:bookmarkEnd w:id="90"/>
    <w:bookmarkEnd w:id="91"/>
    <w:p>
      <w:pPr>
        <w:spacing w:line="560" w:lineRule="exact"/>
        <w:ind w:firstLine="482" w:firstLineChars="200"/>
        <w:outlineLvl w:val="0"/>
        <w:rPr>
          <w:rFonts w:ascii="仿宋_GB2312" w:hAnsi="仿宋" w:eastAsia="仿宋_GB2312" w:cs="仿宋"/>
          <w:b/>
          <w:color w:val="auto"/>
          <w:sz w:val="24"/>
          <w:highlight w:val="none"/>
        </w:rPr>
      </w:pPr>
      <w:bookmarkStart w:id="92" w:name="_Toc279701248"/>
      <w:bookmarkStart w:id="93" w:name="_Ref467379863"/>
      <w:bookmarkStart w:id="94" w:name="_Toc259093677"/>
      <w:bookmarkStart w:id="95" w:name="_Toc487900358"/>
      <w:bookmarkStart w:id="96" w:name="_Ref467379923"/>
      <w:bookmarkStart w:id="97" w:name="_Ref467379852"/>
      <w:bookmarkStart w:id="98" w:name="_Toc774"/>
      <w:bookmarkStart w:id="99" w:name="_Toc16110"/>
      <w:bookmarkStart w:id="100" w:name="_Toc3225"/>
      <w:r>
        <w:rPr>
          <w:rFonts w:hint="eastAsia" w:ascii="仿宋_GB2312" w:hAnsi="仿宋" w:eastAsia="仿宋_GB2312" w:cs="仿宋"/>
          <w:b/>
          <w:color w:val="auto"/>
          <w:sz w:val="24"/>
          <w:highlight w:val="none"/>
        </w:rPr>
        <w:t>2.6 技术资料</w:t>
      </w:r>
      <w:bookmarkEnd w:id="92"/>
      <w:bookmarkEnd w:id="93"/>
      <w:bookmarkEnd w:id="94"/>
      <w:bookmarkEnd w:id="95"/>
      <w:bookmarkEnd w:id="96"/>
      <w:bookmarkEnd w:id="97"/>
      <w:r>
        <w:rPr>
          <w:rFonts w:hint="eastAsia" w:ascii="仿宋_GB2312" w:hAnsi="仿宋" w:eastAsia="仿宋_GB2312" w:cs="仿宋"/>
          <w:b/>
          <w:color w:val="auto"/>
          <w:sz w:val="24"/>
          <w:highlight w:val="none"/>
        </w:rPr>
        <w:t>和保密义务</w:t>
      </w:r>
      <w:bookmarkEnd w:id="98"/>
      <w:bookmarkEnd w:id="99"/>
      <w:bookmarkEnd w:id="10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101" w:name="_Toc7860"/>
      <w:r>
        <w:rPr>
          <w:rFonts w:hint="eastAsia" w:ascii="仿宋_GB2312" w:hAnsi="仿宋" w:eastAsia="仿宋_GB2312" w:cs="仿宋"/>
          <w:b/>
          <w:color w:val="auto"/>
          <w:sz w:val="24"/>
          <w:highlight w:val="none"/>
        </w:rPr>
        <w:t>2.7 质量保证</w:t>
      </w:r>
      <w:bookmarkEnd w:id="10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102" w:name="_Toc17244"/>
      <w:bookmarkStart w:id="103" w:name="_Toc487900362"/>
      <w:bookmarkStart w:id="104" w:name="_Toc259093681"/>
      <w:bookmarkStart w:id="105" w:name="_Toc279701252"/>
      <w:r>
        <w:rPr>
          <w:rFonts w:hint="eastAsia" w:ascii="仿宋_GB2312" w:hAnsi="仿宋" w:eastAsia="仿宋_GB2312" w:cs="仿宋"/>
          <w:b/>
          <w:color w:val="auto"/>
          <w:sz w:val="24"/>
          <w:highlight w:val="none"/>
        </w:rPr>
        <w:t>2.8 货物的风险负担</w:t>
      </w:r>
      <w:bookmarkEnd w:id="102"/>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6" w:name="_Toc14055"/>
      <w:r>
        <w:rPr>
          <w:rFonts w:hint="eastAsia" w:ascii="仿宋_GB2312" w:hAnsi="仿宋" w:eastAsia="仿宋_GB2312" w:cs="仿宋"/>
          <w:b/>
          <w:color w:val="auto"/>
          <w:sz w:val="24"/>
          <w:highlight w:val="none"/>
        </w:rPr>
        <w:t>2.9 延迟交货</w:t>
      </w:r>
      <w:bookmarkEnd w:id="103"/>
      <w:bookmarkEnd w:id="104"/>
      <w:bookmarkEnd w:id="105"/>
      <w:bookmarkEnd w:id="10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7" w:name="_Toc7502"/>
      <w:bookmarkStart w:id="108" w:name="_Ref467378121"/>
      <w:bookmarkStart w:id="109" w:name="_Toc279701254"/>
      <w:bookmarkStart w:id="110" w:name="_Toc259093683"/>
      <w:bookmarkStart w:id="111" w:name="_Toc487900364"/>
      <w:r>
        <w:rPr>
          <w:rFonts w:hint="eastAsia" w:ascii="仿宋_GB2312" w:hAnsi="仿宋" w:eastAsia="仿宋_GB2312" w:cs="仿宋"/>
          <w:b/>
          <w:color w:val="auto"/>
          <w:sz w:val="24"/>
          <w:highlight w:val="none"/>
        </w:rPr>
        <w:t>2.10 合同变更</w:t>
      </w:r>
      <w:bookmarkEnd w:id="10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2" w:name="_Toc487900369"/>
      <w:bookmarkStart w:id="113" w:name="_Toc259093688"/>
      <w:bookmarkStart w:id="114" w:name="_Toc279701259"/>
    </w:p>
    <w:p>
      <w:pPr>
        <w:spacing w:line="560" w:lineRule="exact"/>
        <w:ind w:firstLine="482" w:firstLineChars="200"/>
        <w:outlineLvl w:val="0"/>
        <w:rPr>
          <w:rFonts w:ascii="仿宋_GB2312" w:hAnsi="仿宋" w:eastAsia="仿宋_GB2312" w:cs="仿宋"/>
          <w:b/>
          <w:color w:val="auto"/>
          <w:sz w:val="24"/>
          <w:highlight w:val="none"/>
        </w:rPr>
      </w:pPr>
      <w:bookmarkStart w:id="115" w:name="_Toc10366"/>
      <w:bookmarkStart w:id="116" w:name="_Toc15237"/>
      <w:bookmarkStart w:id="117" w:name="_Toc22955"/>
      <w:r>
        <w:rPr>
          <w:rFonts w:hint="eastAsia" w:ascii="仿宋_GB2312" w:hAnsi="仿宋" w:eastAsia="仿宋_GB2312" w:cs="仿宋"/>
          <w:b/>
          <w:color w:val="auto"/>
          <w:sz w:val="24"/>
          <w:highlight w:val="none"/>
        </w:rPr>
        <w:t>2.11 合同转让</w:t>
      </w:r>
      <w:bookmarkEnd w:id="112"/>
      <w:bookmarkEnd w:id="113"/>
      <w:bookmarkEnd w:id="114"/>
      <w:r>
        <w:rPr>
          <w:rFonts w:hint="eastAsia" w:ascii="仿宋_GB2312" w:hAnsi="仿宋" w:eastAsia="仿宋_GB2312" w:cs="仿宋"/>
          <w:b/>
          <w:color w:val="auto"/>
          <w:sz w:val="24"/>
          <w:highlight w:val="none"/>
        </w:rPr>
        <w:t>和分包</w:t>
      </w:r>
      <w:bookmarkEnd w:id="115"/>
      <w:bookmarkEnd w:id="116"/>
      <w:bookmarkEnd w:id="11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8" w:name="_Toc16508"/>
      <w:bookmarkStart w:id="119" w:name="_Toc13566"/>
      <w:bookmarkStart w:id="120" w:name="_Toc14066"/>
      <w:r>
        <w:rPr>
          <w:rFonts w:hint="eastAsia" w:ascii="仿宋_GB2312" w:hAnsi="仿宋" w:eastAsia="仿宋_GB2312" w:cs="仿宋"/>
          <w:b/>
          <w:color w:val="auto"/>
          <w:sz w:val="24"/>
          <w:highlight w:val="none"/>
        </w:rPr>
        <w:t>2.12 不可抗力</w:t>
      </w:r>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21" w:name="_Toc689"/>
      <w:bookmarkStart w:id="122" w:name="_Toc487900365"/>
      <w:bookmarkStart w:id="123" w:name="_Toc279701255"/>
      <w:bookmarkStart w:id="124" w:name="_Toc30676"/>
      <w:bookmarkStart w:id="125" w:name="_Toc6969"/>
      <w:bookmarkStart w:id="126" w:name="_Toc259093684"/>
      <w:r>
        <w:rPr>
          <w:rFonts w:hint="eastAsia" w:ascii="仿宋_GB2312" w:hAnsi="仿宋" w:eastAsia="仿宋_GB2312" w:cs="仿宋"/>
          <w:b/>
          <w:color w:val="auto"/>
          <w:sz w:val="24"/>
          <w:highlight w:val="none"/>
        </w:rPr>
        <w:t>2.13 税费</w:t>
      </w:r>
      <w:bookmarkEnd w:id="121"/>
      <w:bookmarkEnd w:id="122"/>
      <w:bookmarkEnd w:id="123"/>
      <w:bookmarkEnd w:id="124"/>
      <w:bookmarkEnd w:id="125"/>
      <w:bookmarkEnd w:id="12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7" w:name="_Toc8298"/>
      <w:bookmarkStart w:id="128" w:name="_Toc487900368"/>
      <w:bookmarkStart w:id="129" w:name="_Toc259093687"/>
      <w:bookmarkStart w:id="130" w:name="_Toc16959"/>
      <w:bookmarkStart w:id="131" w:name="_Toc7102"/>
      <w:bookmarkStart w:id="132" w:name="_Toc279701258"/>
      <w:r>
        <w:rPr>
          <w:rFonts w:hint="eastAsia" w:ascii="仿宋_GB2312" w:hAnsi="仿宋" w:eastAsia="仿宋_GB2312" w:cs="仿宋"/>
          <w:b/>
          <w:color w:val="auto"/>
          <w:sz w:val="24"/>
          <w:highlight w:val="none"/>
        </w:rPr>
        <w:t>2.14乙方破产</w:t>
      </w:r>
      <w:bookmarkEnd w:id="127"/>
      <w:bookmarkEnd w:id="128"/>
      <w:bookmarkEnd w:id="129"/>
      <w:bookmarkEnd w:id="130"/>
      <w:bookmarkEnd w:id="131"/>
      <w:bookmarkEnd w:id="13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33" w:name="_Toc15387"/>
      <w:bookmarkStart w:id="134" w:name="_Toc29333"/>
      <w:bookmarkStart w:id="135" w:name="_Toc6134"/>
      <w:r>
        <w:rPr>
          <w:rFonts w:hint="eastAsia" w:ascii="仿宋_GB2312" w:hAnsi="仿宋" w:eastAsia="仿宋_GB2312" w:cs="仿宋"/>
          <w:b/>
          <w:color w:val="auto"/>
          <w:sz w:val="24"/>
          <w:highlight w:val="none"/>
        </w:rPr>
        <w:t>2.15 合同中止、终止</w:t>
      </w:r>
      <w:bookmarkEnd w:id="133"/>
      <w:bookmarkEnd w:id="134"/>
      <w:bookmarkEnd w:id="13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6" w:name="_Toc6596"/>
      <w:bookmarkStart w:id="137" w:name="_Toc14563"/>
      <w:bookmarkStart w:id="138" w:name="_Toc1125"/>
      <w:r>
        <w:rPr>
          <w:rFonts w:hint="eastAsia" w:ascii="仿宋_GB2312" w:hAnsi="仿宋" w:eastAsia="仿宋_GB2312" w:cs="仿宋"/>
          <w:b/>
          <w:color w:val="auto"/>
          <w:sz w:val="24"/>
          <w:highlight w:val="none"/>
        </w:rPr>
        <w:t>2.16检验和验收</w:t>
      </w:r>
      <w:bookmarkEnd w:id="136"/>
      <w:bookmarkEnd w:id="137"/>
      <w:bookmarkEnd w:id="13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8"/>
    <w:bookmarkEnd w:id="109"/>
    <w:bookmarkEnd w:id="110"/>
    <w:bookmarkEnd w:id="111"/>
    <w:p>
      <w:pPr>
        <w:spacing w:line="560" w:lineRule="exact"/>
        <w:ind w:firstLine="482" w:firstLineChars="200"/>
        <w:outlineLvl w:val="0"/>
        <w:rPr>
          <w:rFonts w:ascii="仿宋_GB2312" w:hAnsi="仿宋" w:eastAsia="仿宋_GB2312" w:cs="仿宋"/>
          <w:b/>
          <w:color w:val="auto"/>
          <w:sz w:val="24"/>
          <w:highlight w:val="none"/>
        </w:rPr>
      </w:pPr>
      <w:bookmarkStart w:id="139" w:name="_Toc279701261"/>
      <w:bookmarkStart w:id="140" w:name="_Toc259093690"/>
      <w:bookmarkStart w:id="141" w:name="_Toc487900371"/>
      <w:bookmarkStart w:id="142" w:name="_Toc11284"/>
      <w:bookmarkStart w:id="143" w:name="_Toc19604"/>
      <w:bookmarkStart w:id="144" w:name="_Toc25182"/>
      <w:r>
        <w:rPr>
          <w:rFonts w:hint="eastAsia" w:ascii="仿宋_GB2312" w:hAnsi="仿宋" w:eastAsia="仿宋_GB2312" w:cs="仿宋"/>
          <w:b/>
          <w:color w:val="auto"/>
          <w:sz w:val="24"/>
          <w:highlight w:val="none"/>
        </w:rPr>
        <w:t>2.17 通知</w:t>
      </w:r>
      <w:bookmarkEnd w:id="139"/>
      <w:bookmarkEnd w:id="140"/>
      <w:bookmarkEnd w:id="141"/>
      <w:r>
        <w:rPr>
          <w:rFonts w:hint="eastAsia" w:ascii="仿宋_GB2312" w:hAnsi="仿宋" w:eastAsia="仿宋_GB2312" w:cs="仿宋"/>
          <w:b/>
          <w:color w:val="auto"/>
          <w:sz w:val="24"/>
          <w:highlight w:val="none"/>
        </w:rPr>
        <w:t>和送达</w:t>
      </w:r>
      <w:bookmarkEnd w:id="142"/>
      <w:bookmarkEnd w:id="143"/>
      <w:bookmarkEnd w:id="144"/>
    </w:p>
    <w:p>
      <w:pPr>
        <w:spacing w:line="560" w:lineRule="exact"/>
        <w:ind w:firstLine="480" w:firstLineChars="200"/>
        <w:rPr>
          <w:rFonts w:ascii="仿宋_GB2312" w:hAnsi="仿宋" w:eastAsia="仿宋_GB2312" w:cs="仿宋"/>
          <w:color w:val="auto"/>
          <w:sz w:val="24"/>
          <w:highlight w:val="none"/>
        </w:rPr>
      </w:pPr>
      <w:bookmarkStart w:id="145" w:name="_Toc3135"/>
      <w:bookmarkStart w:id="146" w:name="_Toc6698"/>
      <w:bookmarkStart w:id="147" w:name="_Toc279701262"/>
      <w:bookmarkStart w:id="148" w:name="_Toc487900372"/>
      <w:bookmarkStart w:id="149" w:name="_Toc25909369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_GB2312" w:hAnsi="仿宋" w:eastAsia="仿宋_GB2312" w:cs="仿宋"/>
          <w:color w:val="auto"/>
          <w:sz w:val="24"/>
          <w:highlight w:val="none"/>
        </w:rPr>
      </w:pPr>
      <w:bookmarkStart w:id="150" w:name="_Toc23128"/>
      <w:bookmarkStart w:id="151"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ascii="仿宋_GB2312" w:hAnsi="仿宋" w:eastAsia="仿宋_GB2312" w:cs="仿宋"/>
          <w:b/>
          <w:color w:val="auto"/>
          <w:sz w:val="24"/>
          <w:highlight w:val="none"/>
        </w:rPr>
      </w:pPr>
      <w:bookmarkStart w:id="152" w:name="_Toc30599"/>
      <w:bookmarkStart w:id="153" w:name="_Toc18540"/>
      <w:bookmarkStart w:id="154" w:name="_Toc4355"/>
      <w:r>
        <w:rPr>
          <w:rFonts w:hint="eastAsia" w:ascii="仿宋_GB2312" w:hAnsi="仿宋" w:eastAsia="仿宋_GB2312" w:cs="仿宋"/>
          <w:b/>
          <w:color w:val="auto"/>
          <w:sz w:val="24"/>
          <w:highlight w:val="none"/>
        </w:rPr>
        <w:t>2.18 计量单位</w:t>
      </w:r>
      <w:bookmarkEnd w:id="147"/>
      <w:bookmarkEnd w:id="148"/>
      <w:bookmarkEnd w:id="149"/>
      <w:bookmarkEnd w:id="152"/>
      <w:bookmarkEnd w:id="153"/>
      <w:bookmarkEnd w:id="15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5" w:name="_Toc279701263"/>
      <w:bookmarkStart w:id="156" w:name="_Toc10330"/>
      <w:bookmarkStart w:id="157" w:name="_Toc12773"/>
      <w:bookmarkStart w:id="158" w:name="_Toc18567"/>
      <w:bookmarkStart w:id="159" w:name="_Toc487900373"/>
      <w:bookmarkStart w:id="160" w:name="_Toc259093692"/>
      <w:r>
        <w:rPr>
          <w:rFonts w:hint="eastAsia" w:ascii="仿宋_GB2312" w:hAnsi="仿宋" w:eastAsia="仿宋_GB2312" w:cs="仿宋"/>
          <w:b/>
          <w:color w:val="auto"/>
          <w:sz w:val="24"/>
          <w:highlight w:val="none"/>
        </w:rPr>
        <w:t>2.19 合同使用的文字和适用的法律</w:t>
      </w:r>
      <w:bookmarkEnd w:id="155"/>
      <w:bookmarkEnd w:id="156"/>
      <w:bookmarkEnd w:id="157"/>
      <w:bookmarkEnd w:id="158"/>
      <w:bookmarkEnd w:id="159"/>
      <w:bookmarkEnd w:id="16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61" w:name="_Toc19890"/>
      <w:bookmarkStart w:id="162" w:name="_Toc14001"/>
      <w:bookmarkStart w:id="163" w:name="_Toc6885"/>
      <w:r>
        <w:rPr>
          <w:rFonts w:hint="eastAsia" w:ascii="仿宋_GB2312" w:hAnsi="仿宋" w:eastAsia="仿宋_GB2312" w:cs="仿宋"/>
          <w:b/>
          <w:color w:val="auto"/>
          <w:sz w:val="24"/>
          <w:highlight w:val="none"/>
        </w:rPr>
        <w:t>2.20 合同份数</w:t>
      </w:r>
      <w:bookmarkEnd w:id="161"/>
      <w:bookmarkEnd w:id="162"/>
      <w:bookmarkEnd w:id="16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color w:val="auto"/>
          <w:sz w:val="20"/>
          <w:szCs w:val="20"/>
          <w:highlight w:val="none"/>
          <w:shd w:val="clear" w:color="auto" w:fill="FFFFFF"/>
        </w:rPr>
        <w:t> </w:t>
      </w:r>
    </w:p>
    <w:tbl>
      <w:tblPr>
        <w:tblStyle w:val="63"/>
        <w:tblW w:w="48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215"/>
        <w:gridCol w:w="6177"/>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90" w:type="pct"/>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687" w:type="pct"/>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3494" w:type="pct"/>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评审依据及标准</w:t>
            </w:r>
          </w:p>
        </w:tc>
        <w:tc>
          <w:tcPr>
            <w:tcW w:w="426" w:type="pct"/>
            <w:vAlign w:val="center"/>
          </w:tcPr>
          <w:p>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687"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设备技术</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参数</w:t>
            </w:r>
          </w:p>
        </w:tc>
        <w:tc>
          <w:tcPr>
            <w:tcW w:w="3494" w:type="pct"/>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对应于招标文件第三部分招标项目范围及要求——8.招标项目设</w:t>
            </w:r>
            <w:bookmarkStart w:id="171" w:name="_GoBack"/>
            <w:bookmarkEnd w:id="171"/>
            <w:r>
              <w:rPr>
                <w:rFonts w:hint="eastAsia" w:ascii="仿宋_GB2312" w:hAnsi="仿宋_GB2312" w:eastAsia="仿宋_GB2312" w:cs="仿宋_GB2312"/>
                <w:color w:val="auto"/>
                <w:sz w:val="24"/>
                <w:szCs w:val="24"/>
                <w:highlight w:val="none"/>
              </w:rPr>
              <w:t>备名称及数量——“三、详细技术参数”，完全满足指标参数得30分。打“★”号的性能指标为实质性指标，若出现负偏离作无效标处理；打“▲”为主要性能指标，每有一项负偏离扣3分；其他指标，每有一项负偏离扣1分，扣完为止。</w:t>
            </w:r>
          </w:p>
        </w:tc>
        <w:tc>
          <w:tcPr>
            <w:tcW w:w="426" w:type="pct"/>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687" w:type="pct"/>
            <w:tcBorders>
              <w:bottom w:val="single" w:color="auto" w:sz="4" w:space="0"/>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企业</w:t>
            </w:r>
            <w:r>
              <w:rPr>
                <w:rFonts w:hint="eastAsia" w:ascii="仿宋_GB2312" w:hAnsi="仿宋_GB2312" w:eastAsia="仿宋_GB2312" w:cs="仿宋_GB2312"/>
                <w:color w:val="auto"/>
                <w:sz w:val="24"/>
                <w:szCs w:val="24"/>
                <w:highlight w:val="none"/>
                <w:lang w:val="en-US" w:eastAsia="zh-CN"/>
              </w:rPr>
              <w:t>及</w:t>
            </w:r>
            <w:r>
              <w:rPr>
                <w:rFonts w:hint="eastAsia" w:ascii="仿宋_GB2312" w:hAnsi="仿宋_GB2312" w:eastAsia="仿宋_GB2312" w:cs="仿宋_GB2312"/>
                <w:color w:val="auto"/>
                <w:sz w:val="24"/>
                <w:szCs w:val="24"/>
                <w:highlight w:val="none"/>
              </w:rPr>
              <w:t>人员资质</w:t>
            </w:r>
          </w:p>
        </w:tc>
        <w:tc>
          <w:tcPr>
            <w:tcW w:w="3494" w:type="pct"/>
            <w:tcBorders>
              <w:bottom w:val="single" w:color="auto" w:sz="4" w:space="0"/>
            </w:tcBorders>
            <w:vAlign w:val="center"/>
          </w:tcPr>
          <w:p>
            <w:pPr>
              <w:rPr>
                <w:rFonts w:hint="eastAsia" w:ascii="仿宋_GB2312" w:hAnsi="仿宋_GB2312" w:eastAsia="仿宋_GB2312" w:cs="仿宋_GB2312"/>
                <w:color w:val="auto"/>
                <w:sz w:val="24"/>
                <w:szCs w:val="24"/>
                <w:highlight w:val="none"/>
              </w:rPr>
            </w:pPr>
            <w:bookmarkStart w:id="164" w:name="_Hlk170287531"/>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投标人具有</w:t>
            </w:r>
            <w:r>
              <w:rPr>
                <w:rFonts w:hint="eastAsia" w:ascii="仿宋_GB2312" w:hAnsi="仿宋_GB2312" w:eastAsia="仿宋_GB2312" w:cs="仿宋_GB2312"/>
                <w:color w:val="auto"/>
                <w:sz w:val="24"/>
                <w:szCs w:val="24"/>
                <w:highlight w:val="none"/>
              </w:rPr>
              <w:t>质量管理体系认证证书得1分，不提供不得分。</w:t>
            </w:r>
          </w:p>
          <w:bookmarkEnd w:id="164"/>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w:t>
            </w:r>
            <w:r>
              <w:rPr>
                <w:rFonts w:hint="eastAsia" w:ascii="仿宋_GB2312" w:hAnsi="仿宋_GB2312" w:eastAsia="仿宋_GB2312" w:cs="仿宋_GB2312"/>
                <w:color w:val="auto"/>
                <w:sz w:val="24"/>
                <w:szCs w:val="24"/>
                <w:highlight w:val="none"/>
                <w:lang w:val="en-US" w:eastAsia="zh-CN"/>
              </w:rPr>
              <w:t>拟派本</w:t>
            </w:r>
            <w:r>
              <w:rPr>
                <w:rFonts w:hint="eastAsia" w:ascii="仿宋_GB2312" w:hAnsi="仿宋_GB2312" w:eastAsia="仿宋_GB2312" w:cs="仿宋_GB2312"/>
                <w:color w:val="auto"/>
                <w:sz w:val="24"/>
                <w:szCs w:val="24"/>
                <w:highlight w:val="none"/>
              </w:rPr>
              <w:t>项目实施</w:t>
            </w:r>
            <w:r>
              <w:rPr>
                <w:rFonts w:hint="eastAsia" w:ascii="仿宋_GB2312" w:hAnsi="仿宋_GB2312" w:eastAsia="仿宋_GB2312" w:cs="仿宋_GB2312"/>
                <w:color w:val="auto"/>
                <w:sz w:val="24"/>
                <w:szCs w:val="24"/>
                <w:highlight w:val="none"/>
                <w:lang w:eastAsia="zh-CN"/>
              </w:rPr>
              <w:t>团队</w:t>
            </w:r>
            <w:r>
              <w:rPr>
                <w:rFonts w:hint="eastAsia" w:ascii="仿宋_GB2312" w:hAnsi="仿宋_GB2312" w:eastAsia="仿宋_GB2312" w:cs="仿宋_GB2312"/>
                <w:color w:val="auto"/>
                <w:sz w:val="24"/>
                <w:szCs w:val="24"/>
                <w:highlight w:val="none"/>
              </w:rPr>
              <w:t>人员资质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相关证书、配置情况</w:t>
            </w:r>
            <w:r>
              <w:rPr>
                <w:rFonts w:hint="eastAsia" w:ascii="仿宋_GB2312" w:hAnsi="仿宋_GB2312" w:eastAsia="仿宋_GB2312" w:cs="仿宋_GB2312"/>
                <w:color w:val="auto"/>
                <w:sz w:val="24"/>
                <w:szCs w:val="24"/>
                <w:highlight w:val="none"/>
              </w:rPr>
              <w:t>等进行打分，得0-2分。</w:t>
            </w:r>
          </w:p>
          <w:p>
            <w:pPr>
              <w:rPr>
                <w:rFonts w:hint="default"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w:t>
            </w:r>
            <w:r>
              <w:rPr>
                <w:rFonts w:hint="eastAsia" w:ascii="仿宋_GB2312" w:hAnsi="仿宋_GB2312" w:eastAsia="仿宋_GB2312" w:cs="仿宋_GB2312"/>
                <w:b/>
                <w:bCs/>
                <w:color w:val="auto"/>
                <w:sz w:val="24"/>
                <w:szCs w:val="24"/>
                <w:highlight w:val="none"/>
                <w:lang w:val="en-US" w:eastAsia="zh-CN"/>
              </w:rPr>
              <w:t>提供上述有效期内相关证书原件扫描件及人员本单位社保缴纳证明均加盖投标人公章。</w:t>
            </w:r>
          </w:p>
        </w:tc>
        <w:tc>
          <w:tcPr>
            <w:tcW w:w="426" w:type="pct"/>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687" w:type="pct"/>
            <w:tcBorders>
              <w:bottom w:val="single" w:color="auto" w:sz="4" w:space="0"/>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业绩案例</w:t>
            </w:r>
          </w:p>
        </w:tc>
        <w:tc>
          <w:tcPr>
            <w:tcW w:w="3494" w:type="pct"/>
            <w:tcBorders>
              <w:bottom w:val="single" w:color="auto" w:sz="4" w:space="0"/>
            </w:tcBorders>
            <w:vAlign w:val="center"/>
          </w:tcPr>
          <w:p>
            <w:pPr>
              <w:pStyle w:val="19"/>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投标人自2021年1月1日以来（以合同签订时间为准）完成的同类案例，每有1个得1分，满分4分。</w:t>
            </w:r>
          </w:p>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shd w:val="clear" w:color="auto" w:fill="FFFFFF"/>
              </w:rPr>
              <w:t>注：每个案例提供合同复印件加盖投标人公章。</w:t>
            </w:r>
          </w:p>
        </w:tc>
        <w:tc>
          <w:tcPr>
            <w:tcW w:w="426"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687" w:type="pct"/>
            <w:tcBorders>
              <w:bottom w:val="single" w:color="auto" w:sz="4" w:space="0"/>
            </w:tcBorders>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产品质量控制</w:t>
            </w:r>
          </w:p>
        </w:tc>
        <w:tc>
          <w:tcPr>
            <w:tcW w:w="3494" w:type="pct"/>
            <w:tcBorders>
              <w:bottom w:val="single" w:color="auto" w:sz="4" w:space="0"/>
            </w:tcBorders>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投标人按采购人要求提供的有明确的质量保证目标，具备完整的质量管控和保证措施，具备完整的项目风险控制手段和机制，得0-3分。</w:t>
            </w:r>
          </w:p>
        </w:tc>
        <w:tc>
          <w:tcPr>
            <w:tcW w:w="426"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687"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实施方案</w:t>
            </w:r>
          </w:p>
        </w:tc>
        <w:tc>
          <w:tcPr>
            <w:tcW w:w="3494" w:type="pct"/>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根据配送实施安装方案满足采购需求情况</w:t>
            </w:r>
            <w:r>
              <w:rPr>
                <w:rFonts w:hint="eastAsia" w:ascii="仿宋_GB2312" w:hAnsi="仿宋_GB2312" w:eastAsia="仿宋_GB2312" w:cs="仿宋_GB2312"/>
                <w:color w:val="auto"/>
                <w:sz w:val="24"/>
                <w:szCs w:val="24"/>
                <w:highlight w:val="none"/>
                <w:lang w:eastAsia="zh-CN"/>
              </w:rPr>
              <w:t>，包括设备配送、设备安装、设备调试等方面</w:t>
            </w:r>
            <w:r>
              <w:rPr>
                <w:rFonts w:hint="eastAsia" w:ascii="仿宋_GB2312" w:hAnsi="仿宋_GB2312" w:eastAsia="仿宋_GB2312" w:cs="仿宋_GB2312"/>
                <w:color w:val="auto"/>
                <w:sz w:val="24"/>
                <w:szCs w:val="24"/>
                <w:highlight w:val="none"/>
              </w:rPr>
              <w:t>进行打分，得0-5分。</w:t>
            </w:r>
          </w:p>
        </w:tc>
        <w:tc>
          <w:tcPr>
            <w:tcW w:w="426"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687"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搬迁方案</w:t>
            </w:r>
          </w:p>
        </w:tc>
        <w:tc>
          <w:tcPr>
            <w:tcW w:w="3494" w:type="pct"/>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根据投标人提供的一院两区搬迁方案</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lang w:eastAsia="zh-CN"/>
              </w:rPr>
              <w:t>包括昌安院区电脑清洁、设备运输、设备保障等方面</w:t>
            </w:r>
            <w:r>
              <w:rPr>
                <w:rFonts w:hint="eastAsia" w:ascii="仿宋_GB2312" w:hAnsi="仿宋_GB2312" w:eastAsia="仿宋_GB2312" w:cs="仿宋_GB2312"/>
                <w:color w:val="auto"/>
                <w:sz w:val="24"/>
                <w:szCs w:val="24"/>
                <w:highlight w:val="none"/>
              </w:rPr>
              <w:t>进行打分，得0-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426" w:type="pct"/>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Merge w:val="restar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p>
            <w:pPr>
              <w:jc w:val="center"/>
              <w:rPr>
                <w:rFonts w:hint="eastAsia" w:ascii="仿宋_GB2312" w:hAnsi="仿宋_GB2312" w:eastAsia="仿宋_GB2312" w:cs="仿宋_GB2312"/>
                <w:color w:val="auto"/>
                <w:sz w:val="24"/>
                <w:szCs w:val="24"/>
                <w:highlight w:val="none"/>
              </w:rPr>
            </w:pPr>
          </w:p>
        </w:tc>
        <w:tc>
          <w:tcPr>
            <w:tcW w:w="687" w:type="pct"/>
            <w:vMerge w:val="restar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w:t>
            </w:r>
          </w:p>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方案</w:t>
            </w:r>
          </w:p>
        </w:tc>
        <w:tc>
          <w:tcPr>
            <w:tcW w:w="3494" w:type="pct"/>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1、根据投标人提供的售后服务方案，包括售后响应能力、售后服务机构情况、响应时效情况进行打分，得0-5分。</w:t>
            </w:r>
          </w:p>
        </w:tc>
        <w:tc>
          <w:tcPr>
            <w:tcW w:w="426"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Merge w:val="continue"/>
            <w:vAlign w:val="center"/>
          </w:tcPr>
          <w:p>
            <w:pPr>
              <w:jc w:val="center"/>
              <w:rPr>
                <w:rFonts w:hint="eastAsia" w:ascii="仿宋_GB2312" w:hAnsi="仿宋_GB2312" w:eastAsia="仿宋_GB2312" w:cs="仿宋_GB2312"/>
                <w:color w:val="auto"/>
                <w:sz w:val="24"/>
                <w:szCs w:val="24"/>
                <w:highlight w:val="none"/>
              </w:rPr>
            </w:pPr>
          </w:p>
        </w:tc>
        <w:tc>
          <w:tcPr>
            <w:tcW w:w="687" w:type="pct"/>
            <w:vMerge w:val="continue"/>
            <w:vAlign w:val="center"/>
          </w:tcPr>
          <w:p>
            <w:pPr>
              <w:jc w:val="center"/>
              <w:rPr>
                <w:rFonts w:hint="eastAsia" w:ascii="仿宋_GB2312" w:hAnsi="仿宋_GB2312" w:eastAsia="仿宋_GB2312" w:cs="仿宋_GB2312"/>
                <w:color w:val="auto"/>
                <w:sz w:val="24"/>
                <w:szCs w:val="24"/>
                <w:highlight w:val="none"/>
              </w:rPr>
            </w:pPr>
          </w:p>
        </w:tc>
        <w:tc>
          <w:tcPr>
            <w:tcW w:w="3494" w:type="pct"/>
            <w:vAlign w:val="center"/>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2、投标人须承诺每台计算机在5年原厂质保期</w:t>
            </w:r>
            <w:r>
              <w:rPr>
                <w:rFonts w:hint="eastAsia" w:ascii="仿宋_GB2312" w:hAnsi="仿宋_GB2312" w:eastAsia="仿宋_GB2312" w:cs="仿宋_GB2312"/>
                <w:color w:val="auto"/>
                <w:sz w:val="24"/>
                <w:szCs w:val="24"/>
                <w:highlight w:val="none"/>
                <w:lang w:val="en-US" w:eastAsia="zh-CN"/>
              </w:rPr>
              <w:t>基础上</w:t>
            </w:r>
            <w:r>
              <w:rPr>
                <w:rFonts w:hint="eastAsia" w:ascii="仿宋_GB2312" w:hAnsi="仿宋_GB2312" w:eastAsia="仿宋_GB2312" w:cs="仿宋_GB2312"/>
                <w:color w:val="auto"/>
                <w:sz w:val="24"/>
                <w:szCs w:val="24"/>
                <w:highlight w:val="none"/>
              </w:rPr>
              <w:t>，再提供1次原厂免费数据恢复服务，</w:t>
            </w:r>
            <w:r>
              <w:rPr>
                <w:rFonts w:hint="eastAsia" w:ascii="仿宋_GB2312" w:hAnsi="仿宋_GB2312" w:eastAsia="仿宋_GB2312" w:cs="仿宋_GB2312"/>
                <w:color w:val="auto"/>
                <w:sz w:val="24"/>
                <w:szCs w:val="24"/>
                <w:highlight w:val="none"/>
                <w:lang w:val="en-US" w:eastAsia="zh-CN"/>
              </w:rPr>
              <w:t>提供承诺函的</w:t>
            </w:r>
            <w:r>
              <w:rPr>
                <w:rFonts w:hint="eastAsia" w:ascii="仿宋_GB2312" w:hAnsi="仿宋_GB2312" w:eastAsia="仿宋_GB2312" w:cs="仿宋_GB2312"/>
                <w:color w:val="auto"/>
                <w:sz w:val="24"/>
                <w:szCs w:val="24"/>
                <w:highlight w:val="none"/>
              </w:rPr>
              <w:t>得2分，</w:t>
            </w:r>
            <w:r>
              <w:rPr>
                <w:rFonts w:hint="eastAsia" w:ascii="仿宋_GB2312" w:hAnsi="仿宋_GB2312" w:eastAsia="仿宋_GB2312" w:cs="仿宋_GB2312"/>
                <w:color w:val="auto"/>
                <w:sz w:val="24"/>
                <w:szCs w:val="24"/>
                <w:highlight w:val="none"/>
                <w:lang w:val="en-US" w:eastAsia="zh-CN"/>
              </w:rPr>
              <w:t>不提供不得分</w:t>
            </w:r>
            <w:r>
              <w:rPr>
                <w:rFonts w:hint="eastAsia" w:ascii="仿宋_GB2312" w:hAnsi="仿宋_GB2312" w:eastAsia="仿宋_GB2312" w:cs="仿宋_GB2312"/>
                <w:color w:val="auto"/>
                <w:sz w:val="24"/>
                <w:szCs w:val="24"/>
                <w:highlight w:val="none"/>
              </w:rPr>
              <w:t>。</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注：投标文件中提供书面承诺（格式自拟），不提供不得分。</w:t>
            </w:r>
          </w:p>
        </w:tc>
        <w:tc>
          <w:tcPr>
            <w:tcW w:w="426"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687"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实质性优惠</w:t>
            </w:r>
          </w:p>
        </w:tc>
        <w:tc>
          <w:tcPr>
            <w:tcW w:w="3494" w:type="pct"/>
            <w:vAlign w:val="center"/>
          </w:tcPr>
          <w:p>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根据投标人提供的实质性优惠措施（不包括价格优惠）进行打分，得0-3分。</w:t>
            </w:r>
          </w:p>
        </w:tc>
        <w:tc>
          <w:tcPr>
            <w:tcW w:w="426" w:type="pct"/>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即：投标报价得分=(评标基准价／投标报价)×40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绍兴市人民医院镜湖总院基础计算机购置项目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2024-07-0083</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绍兴市人民医院镜湖总院基础计算机购置项目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2024-07-0083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绍兴市人民医院镜湖总院基础计算机购置项目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2024-07-0083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绍兴市人民医院镜湖总院基础计算机购置项目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2024-07-0083</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5" w:name="_Hlk101259491"/>
      <w:r>
        <w:rPr>
          <w:rFonts w:hint="eastAsia" w:ascii="仿宋_GB2312" w:hAnsi="仿宋" w:eastAsia="仿宋_GB2312" w:cs="仿宋"/>
          <w:color w:val="auto"/>
          <w:sz w:val="32"/>
          <w:szCs w:val="32"/>
          <w:highlight w:val="none"/>
        </w:rPr>
        <w:t>（如果有）</w:t>
      </w:r>
      <w:bookmarkEnd w:id="165"/>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6" w:name="_Toc465665161"/>
      <w:r>
        <w:rPr>
          <w:rFonts w:hint="eastAsia" w:ascii="仿宋_GB2312" w:hAnsi="仿宋" w:cs="仿宋"/>
          <w:color w:val="auto"/>
          <w:highlight w:val="none"/>
        </w:rPr>
        <w:t>附件</w:t>
      </w:r>
      <w:bookmarkEnd w:id="166"/>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7"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7"/>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8"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8"/>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9" w:name="OLE_LINK14"/>
      <w:bookmarkStart w:id="170"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9"/>
    <w:bookmarkEnd w:id="170"/>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2024-07-0083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9664C"/>
    <w:multiLevelType w:val="singleLevel"/>
    <w:tmpl w:val="B149664C"/>
    <w:lvl w:ilvl="0" w:tentative="0">
      <w:start w:val="1"/>
      <w:numFmt w:val="chineseCounting"/>
      <w:suff w:val="nothing"/>
      <w:lvlText w:val="%1、"/>
      <w:lvlJc w:val="left"/>
      <w:pPr>
        <w:ind w:left="0" w:firstLine="0"/>
      </w:pPr>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7B8B4B7"/>
    <w:multiLevelType w:val="singleLevel"/>
    <w:tmpl w:val="67B8B4B7"/>
    <w:lvl w:ilvl="0" w:tentative="0">
      <w:start w:val="1"/>
      <w:numFmt w:val="lowerLetter"/>
      <w:suff w:val="space"/>
      <w:lvlText w:val="%1)"/>
      <w:lvlJc w:val="left"/>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7"/>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19CF064A"/>
    <w:rsid w:val="2989420F"/>
    <w:rsid w:val="2FA54326"/>
    <w:rsid w:val="3CFB6EDC"/>
    <w:rsid w:val="55C000CF"/>
    <w:rsid w:val="6A261A93"/>
    <w:rsid w:val="6EDB63E4"/>
    <w:rsid w:val="6F1F1DA0"/>
    <w:rsid w:val="72E87C49"/>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1</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amin</cp:lastModifiedBy>
  <cp:lastPrinted>2023-07-24T23:14:00Z</cp:lastPrinted>
  <dcterms:modified xsi:type="dcterms:W3CDTF">2024-07-26T08:09:00Z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