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绍兴市人民医院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服务器及网络安全设备购置项目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2024-06-0064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六</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bookmarkStart w:id="166" w:name="_GoBack"/>
      <w:bookmarkEnd w:id="166"/>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绍兴市人民医院服务器及网络安全设备购置项目</w:t>
                  </w:r>
                  <w:r>
                    <w:rPr>
                      <w:rFonts w:hint="eastAsia" w:ascii="仿宋_GB2312" w:hAnsi="新宋体" w:eastAsia="仿宋_GB2312"/>
                      <w:color w:val="auto"/>
                      <w:szCs w:val="24"/>
                      <w:highlight w:val="none"/>
                    </w:rPr>
                    <w:t>招标项目的潜在投标人应在政采云平台（https://www.zcygov.cn/）获取（下载）招标文件，并于</w:t>
                  </w:r>
                  <w:r>
                    <w:rPr>
                      <w:rFonts w:hint="eastAsia" w:ascii="仿宋_GB2312" w:hAnsi="新宋体" w:eastAsia="仿宋_GB2312"/>
                      <w:color w:val="auto"/>
                      <w:szCs w:val="24"/>
                      <w:highlight w:val="none"/>
                      <w:lang w:val="en-US" w:eastAsia="zh-CN"/>
                    </w:rPr>
                    <w:t>2024</w:t>
                  </w:r>
                  <w:r>
                    <w:rPr>
                      <w:rFonts w:hint="eastAsia" w:ascii="仿宋_GB2312" w:hAnsi="新宋体" w:eastAsia="仿宋_GB2312"/>
                      <w:color w:val="auto"/>
                      <w:szCs w:val="24"/>
                      <w:highlight w:val="none"/>
                    </w:rPr>
                    <w:t>年 月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2024-06-0064</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绍兴市人民医院服务器及网络安全设备购置项目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3100000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3100000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服务器及网络安全设备购置项目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3100000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绍兴市人民医院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地址：绍兴市中兴北路568号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传真：0575-88558842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项目联系人（询问）：钱国良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质疑联系人：马雪峰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质疑联系方式：0575-88558842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四路服务器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w:t>
      </w:r>
      <w:r>
        <w:rPr>
          <w:rFonts w:hint="eastAsia" w:ascii="仿宋_GB2312" w:hAnsi="仿宋" w:eastAsia="仿宋_GB2312" w:cs="仿宋"/>
          <w:color w:val="auto"/>
          <w:sz w:val="24"/>
          <w:highlight w:val="none"/>
        </w:rPr>
        <w:t>提供主要投标产品的技术参数证明材料（如原厂技术说明、官网截图、产品彩页等），</w:t>
      </w:r>
      <w:r>
        <w:rPr>
          <w:rFonts w:hint="eastAsia" w:ascii="仿宋_GB2312" w:hAnsi="仿宋" w:eastAsia="仿宋_GB2312" w:cs="仿宋"/>
          <w:color w:val="auto"/>
          <w:sz w:val="24"/>
          <w:highlight w:val="none"/>
        </w:rPr>
        <w:t>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787"/>
      <w:bookmarkStart w:id="6" w:name="_Toc81372964"/>
      <w:bookmarkStart w:id="7" w:name="_Toc80157775"/>
      <w:bookmarkStart w:id="8" w:name="_Toc84325981"/>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服务器及网络安全设备购置项目</w:t>
      </w:r>
      <w:bookmarkStart w:id="9" w:name="_Toc32678"/>
      <w:bookmarkStart w:id="10" w:name="_Toc7206"/>
    </w:p>
    <w:bookmarkEnd w:id="9"/>
    <w:bookmarkEnd w:id="10"/>
    <w:p>
      <w:pPr>
        <w:spacing w:line="440" w:lineRule="exact"/>
        <w:ind w:right="42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（一）设备清单</w:t>
      </w:r>
    </w:p>
    <w:tbl>
      <w:tblPr>
        <w:tblStyle w:val="63"/>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89"/>
        <w:gridCol w:w="120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数量</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四路服务器</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二路服务器</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CA签章专用服务器</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灾备一体机（CDP）扩容</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1套</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70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3189"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负载均衡</w:t>
            </w:r>
          </w:p>
        </w:tc>
        <w:tc>
          <w:tcPr>
            <w:tcW w:w="1205"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2台</w:t>
            </w:r>
          </w:p>
        </w:tc>
        <w:tc>
          <w:tcPr>
            <w:tcW w:w="3374"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color w:val="auto"/>
                <w:sz w:val="24"/>
                <w:szCs w:val="24"/>
                <w:highlight w:val="none"/>
              </w:rPr>
            </w:pPr>
          </w:p>
        </w:tc>
      </w:tr>
    </w:tbl>
    <w:p>
      <w:pPr>
        <w:spacing w:before="156" w:beforeLines="50"/>
        <w:ind w:left="181" w:hanging="181" w:hangingChars="75"/>
        <w:rPr>
          <w:rFonts w:hint="default"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rPr>
        <w:t>（二）详细技术参数</w:t>
      </w:r>
      <w:r>
        <w:rPr>
          <w:rFonts w:hint="eastAsia" w:ascii="仿宋_GB2312" w:hAnsi="仿宋_GB2312" w:eastAsia="仿宋_GB2312" w:cs="仿宋_GB2312"/>
          <w:b/>
          <w:color w:val="auto"/>
          <w:sz w:val="24"/>
          <w:szCs w:val="24"/>
          <w:highlight w:val="none"/>
          <w:lang w:val="en-US" w:eastAsia="zh-CN"/>
        </w:rPr>
        <w:t xml:space="preserve">                                                                                                                                                                                                                                                                                                                                                                                                                                                                                                                                                                                                                                                                                                                                                                                                                                                                                                                                                                                                                                                                                                                                                                                                                                                                                                                                                                                                                                                                                                                                                                                                                                                                                                                                                                                                                                                                                                                                                                                                                                                                                                                                                                                                                                                                                                                                                                                                                                                                                                                                                                                                                                                                                                                                                                                                                                                                                                                                                                                                                                                                                                                                                                                </w:t>
      </w:r>
    </w:p>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四路服务器技术指标要求（6台）：</w:t>
      </w:r>
    </w:p>
    <w:tbl>
      <w:tblPr>
        <w:tblStyle w:val="63"/>
        <w:tblW w:w="8855"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7"/>
        <w:gridCol w:w="788"/>
        <w:gridCol w:w="1110"/>
        <w:gridCol w:w="2378"/>
        <w:gridCol w:w="4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指标分类</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一级</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二级指标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信息</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1.X86架构，配置</w:t>
            </w:r>
            <w:r>
              <w:rPr>
                <w:rFonts w:hint="eastAsia" w:ascii="仿宋_GB2312" w:hAnsi="仿宋_GB2312" w:eastAsia="仿宋_GB2312" w:cs="仿宋_GB2312"/>
                <w:color w:val="auto"/>
                <w:sz w:val="24"/>
                <w:szCs w:val="24"/>
                <w:highlight w:val="none"/>
                <w:lang w:val="en-US" w:eastAsia="zh-CN"/>
              </w:rPr>
              <w:t>4颗</w:t>
            </w:r>
            <w:r>
              <w:rPr>
                <w:rFonts w:hint="eastAsia" w:ascii="仿宋_GB2312" w:hAnsi="仿宋_GB2312" w:eastAsia="仿宋_GB2312" w:cs="仿宋_GB2312"/>
                <w:color w:val="auto"/>
                <w:sz w:val="24"/>
                <w:szCs w:val="24"/>
                <w:highlight w:val="none"/>
              </w:rPr>
              <w:t>至强可扩展系列处理器;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2.单颗CPU物理核心数≥16核、主频≥2.80 GHz、末级缓存容量≥37.5M、线程数≥32、热设计功耗≥195W、支持内存的最高速率≥4800 MT/s 、通道数≥8、位宽≥64位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主板支持CPU≥4颗、内存数量支持≥48个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主板内存槽位数量≥48个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主板存储接口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SATA、SAS、M.2、U.2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 插槽接口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PCIe3.0 插槽，可支持向下兼容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▲主板PCIe 插槽数量及规格</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PCIe 3.0 扩展插槽≥16个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★板载网络接口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若支持板载网络接口应不少于 1 个1GE 网口；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★主板OCP 插槽数量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OCP2.0 及以上插槽的数量不少于1个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64G DDR4 2933MHz DDR4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内存通道</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支持多个内存接口通道，每个通道可支持 1DPC 或 2DPC，当支持 2DPC 时，印制电路板上应具备插槽的序号标识，具体通道数应在随机文件中明确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≥8个2.5寸硬盘槽位，可扩展至≥48块2.5寸热插拔硬盘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硬磁盘实配容量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实配固态盘单盘可用容量不小于960GB。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★硬盘接口类型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提供SATA 3.0及以上接口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★硬盘实配数量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 块企业级 SSD 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★硬盘插槽数量及规格</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≥8个2.5寸硬盘槽位，可扩展至≥48块2.5寸热插拔硬盘；支持SAS/SATA/NVMe SSD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★网口速率和数量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配置≥2个千兆RJ45网口、≥1块10G独立双口光纤网卡；≥16Gb双口HBA卡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★独立网卡网口数量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≥1块独立双口光纤网卡，速率≥10Gb（含光模块); ≥2个千兆RJ45网口; ≥16Gb双口HBA卡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★独立网卡接口类型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★板载网卡接口类型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显示接口类型应不少于 1 种，如： VGA、DP、HDMI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 接口</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配备不少于2个USB3.0接口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★电源冗余模式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整机电源模块按 1+1 冗余或N+1 冗余配置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★电源模块数量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≥4个交流电源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提供220VAC/240HVDC交直流兼容电源 ，根据机房环境提供电源线；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★电源指示灯</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配备电源指示灯，指示待机、工作异常等状态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★外观和结构</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rPr>
              <w:t>服务器的零部件应紧固无松动，可插拔部件应可靠连接，开关、按钮和其它控制部件应灵活可靠，布局应方便使用；</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rPr>
              <w:t xml:space="preserve">产品表面不应有明显的凹痕、划伤、裂缝、变形和污染等。表面涂层均匀，不应起泡、龟裂、脱落和磨损，金属零部件无锈蚀及其它机械损伤；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产品表面说明功能的文字、符号和标志应清晰、端正且牢固；</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应在服务器的显著位置提供运行状态的指示功能，并在随机文件中明确具体含义；</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机架、机箱的尺寸应符合通用机柜的安装要求，插入总线插座的电路板接口外形尺寸应符合有关总线标准的规定，将机箱固定在机柜上，机箱底面最大下垂变形不得干涉相邻机体；</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U机架式服务器;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rPr>
              <w:t>服务器尺寸具体要求在随机文件中明确。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★尺寸（高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供应商给出产品尺寸；</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设计应遵循标准化、系列化的要求；</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机箱的内部结构符合通用部件的安装需要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★环境适应性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气候环境适应性应符合GB/T 9813.3 的有关规定，工作温度 10～35℃，贮存运输温度-40～55℃；工作相对湿度 35</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9"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wps1"/>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～80 </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6"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wps2"/>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，贮存运输相对湿度 20％～93</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4"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wps3"/>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（40℃）；大气压86～106kPa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机械环境适应性应符合GB/T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的有关规定，在产品说明中给出具体测试值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★机柜尺寸</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4U机架式服务器，能安装于19英寸标准服务器机柜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★主板外部接口种类</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支持USB、显示、管理等接口，如：VGA、DP、HDMI、USB3.0、PS/2 接口、BMC 管理端口等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★主板防烧板设计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支持主板防烧板设计，保证电源故障后不扩散；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支持网络连接、网络访问、数据交换和网络管控功能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★计算处理</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支持通用计算及虚拟化功能。处理器需集成整型计算单元、浮点计算单元、内存控制器、I/O 模块等，处理器与存储部件、网络部件、I/O 部件等组成计算系统，提供数据处理、网络接入等计算相关功能。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★密码算法实现</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芯片应符合GM/T 0008 的相关规定，或芯片密码模块应符合GB/T 37092 或 GM/T 0028 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 功 能（若支持RAID</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卡）</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RAID卡RAID 级别支持</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RAID模式支持raid0/1/5/10等，提供2G以上缓存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★电源热插拔</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整机电源模块应具备热插拔功能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★电源过流保护</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支持过流及短路保护的功能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★散热方式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支持风冷或液冷等散热方式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pStyle w:val="19"/>
              <w:numPr>
                <w:ilvl w:val="0"/>
                <w:numId w:val="0"/>
              </w:num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支持关键部件冗余（包括电源、风扇等）；</w:t>
            </w:r>
          </w:p>
          <w:p>
            <w:pPr>
              <w:pStyle w:val="19"/>
              <w:numPr>
                <w:ilvl w:val="0"/>
                <w:numId w:val="0"/>
              </w:num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b）支持熔断保护与恢复功能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管理系统功能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 固件基础功能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 xml:space="preserve">支持DHCP 设置网络功能；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支持静态IP 设置网络功能；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支持设备日志记录，包括但不限于登录日志、操作日志和报警日志等功能；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支持日志信息导出和记录删除功能；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支持通过管理接口向外输出准确的报警信息功能；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设备的BMC 管理软件应能够按报警的严重程度进行区分；</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支持IPMI2.0、SNMP 或Redfish 等接口功能；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支持键盘、鼠标和视频的重定向、文本控制台的重定向、远程虚拟媒体、高可靠的硬件监控和管理功能；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9)支持基于网络开启、关闭和重启设备的功能，并查询当前设备开机运行状态；</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支持故障提示功能，并可通过接口读取服务器故障信息；</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支持基于网络的固件更新功能， 包括BMC 和BIOS 等；</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支持基于网络安装操作系统的功能，并可通过网络控制台访问设备；</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支持通过本地的硬盘或光驱等存储设备，基于网络完成设备的操作系统安装功能；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支持通过浏览器打开管理界面并登录功能；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支持设置口令策略功能；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支持访问权限设置功能，并通过日志记录访问事件；</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支持对出厂默认的用户名及口令进行安全保护功能，并提供默认口令修改提示；</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18）</w:t>
            </w:r>
            <w:r>
              <w:rPr>
                <w:rFonts w:hint="eastAsia" w:ascii="仿宋_GB2312" w:hAnsi="仿宋_GB2312" w:eastAsia="仿宋_GB2312" w:cs="仿宋_GB2312"/>
                <w:color w:val="auto"/>
                <w:sz w:val="24"/>
                <w:szCs w:val="24"/>
                <w:highlight w:val="none"/>
              </w:rPr>
              <w:t>支持读取设备主板的工作环境温度功能；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支持读取服务器CPU 等核心器件的温度功能；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支持通过外部管理工具进行 BMC参数设置的功能，并可基于网络通过外部管理工具对BMC 进行管理；</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21)应支持固件版本查询、固件升级</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支持基于网络实现开关机和复位控制的功能；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BMC 启动时间应不超过 180s，实现功能包括网络、IPMI、散热、传感器服务可用；</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支持BMC 固件设置的恢复出厂功能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 固件基础功能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支持查看固件版本、内存信息、主板信息、处理器信息和系统时间信息功能；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支持上电初始化界面显示 CPU 信息、内存信息、固件版本和部分快捷键信息功能；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支持设置界面中英文显示切换功能；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 PCIe 设备信息，SATA 设备信息功能；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支持操作系统安装和引导功能， 应并向操作系统提供计算机主板信息和服务接口；</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支持设置启动顺序，并按照设置的启动顺序启动功能；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支持安全启动功能；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h</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支持设置口令、修改口令、验证口令功能；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i</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支持板载显示控制或独立显卡的显示控制功能；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j</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支持 RAID 识别和启动功能； </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k）支持串口重定向功能；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l</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支持固件更新功能；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m</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 BIOS 固件设置的恢复出厂功能；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n</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支持网络引导启用和关闭功能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★远程控制</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支持远程关机和重新启动功能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★操作系统及驱动的升级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支持通过网络、闪存盘对操作系统、驱动进行升级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★操作系统功能</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color w:val="auto"/>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支持访问控制、安全审计、网络接入鉴别等功能；</w:t>
            </w:r>
          </w:p>
          <w:p>
            <w:pPr>
              <w:ind w:right="100"/>
              <w:rPr>
                <w:rFonts w:hint="eastAsia"/>
                <w:color w:val="auto"/>
                <w:highlight w:val="none"/>
              </w:rPr>
            </w:pPr>
            <w:r>
              <w:rPr>
                <w:rFonts w:hint="eastAsia" w:ascii="仿宋_GB2312" w:hAnsi="仿宋_GB2312" w:eastAsia="仿宋_GB2312" w:cs="仿宋_GB2312"/>
                <w:color w:val="auto"/>
                <w:sz w:val="24"/>
                <w:szCs w:val="24"/>
                <w:highlight w:val="none"/>
              </w:rPr>
              <w:t>b)操作系统其他功能应满足操作系统政府采购需求标准相关要求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中文信息处理功能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关键部件安全要求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关键部件安全要求</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CPU和操作系统等关键部件应当符合安全可靠测评要求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★故障检测</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支持故障检测功能，可以检测到具体的FRU（内存、硬盘等）的故障并发出告警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★弱口令字典检查</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支持弱口令字典检查功能，出现在弱口令字典中的字符串不能被设置为用户口令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★白名单访问控制</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支持基于时间、IP 或  MAC 白名单访问控制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★二次鉴别</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支持二次鉴别功能。对于用户配置、权限配置、公钥导入等重要的管理操作，已登录用户应通过二次鉴别后，才能执行操作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★密码证书安全加密存储</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支持对带外管理系统中的用户口令和证书等敏感信息进行加密存储，禁止使用私有的和业界已知不安全的密码算法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★敏感信息安全加密传输</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支持使用安全的传输加密协议（如SSH或HTTPS等）传输用户的敏感信息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信息安全要求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★研发过程安全</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安全要求应符合GB 4943.1 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限用物质的限量应符合GB/T 26572 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★CPU主频</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核数</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末级缓存容量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≥37.5MB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块容量</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单内存模块容量≥64GB，总内存≥1024GB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≥2933MT/s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≥10GE; HBA卡速率≥16Gb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★板载网卡速率</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 能耗</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部件兼容性要求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种及以上厂商的内存产品， 且均不低于产品支持的内存规格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种或以上厂商的固态存储产品，且均不低于产品支持的固态存储设备规格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★功能卡兼容性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内置或适配符合PCIe的功能卡，如：网络功能卡、存储功能卡及图形显示功能卡。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软件兼容性</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个及以上厂商的数据库产品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个及以上厂商的中间件产品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个及以上厂商的大数据平台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虚拟化软件兼容</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2 款及以上虚拟化软件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m1 值（MTBF 的不可接受值）不得低于 30000h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风扇可靠性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风扇寿命应不低于 40000h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★部件可靠性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支持硬盘、电源、风扇热插拔(内置风扇除外)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和商品包装政府采购需求标准的相关规定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提供电话、电子邮件、远程连接等多种形式服务；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提供同城 4h、异地 12h 技术响应服务，2 个工作日解决问题，对于未能解决的问题和故障应提供可行的升级方案，并提供周转设备；</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建立全国技术服务体系和服务团体，符合专业服务体系标准要求，提供原厂中文服务；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服务周期内提供产品的维修、换件和升级服务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a）产品整机免费服务周期5年（含换件和维修）；</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设备停产后继续提供质量保障服务（含备品备件），服务终止时间与最后一批设备交付时间间隔不低于6年；</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c)产品停止服务时间应提前1年告知客户；</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d)产品发布日期需在随机文件中明确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服务工具要求</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★工具要求</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供应商提供设置服务器硬件、辅助操作系统安装等功能的辅助工具和管理软件。且随附软件应具有合法授权或版权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86</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★辅助工具</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支持如下功能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本地的数据备份和还原功能；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网络的数据备份和还原功能；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服务器操作系统的自动安装功能；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服务器所配硬件需要的驱动程序和系统补丁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87</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★驱动安装升级指引</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供应商提供出厂安装的配件所需的驱动程序，形式包括但不限于驱动光盘、驱动下载链接等。其他配件应提供指引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★随机附开盖工具</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随服务器打包提供开机箱工具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89</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★管理软件</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具备资源管理、系统管理、性能监控、健康监控、基于网络控制、报警设置功能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90</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增值服务</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厂家升级产品软件与扩容服务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供应商提供原厂级的部件/软件产品升级和扩容能力5年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★服务保障升级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供应商提供远程技术支持、软件授权服务、备件更换服务、现场支持服务5年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提供上门服务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提供5年上门保修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93</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★业务场景性能优化服务及整体架构升级服务</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供应商提供针对特定业务场景性能优化服务及整体架构升级服务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94</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111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供应链质量</w:t>
            </w: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★抗干扰性</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当产品部件出现供应风险时，应通知客户并提供风险应对方案确保产品的服务保障，必要时应停止相关受影响产品的销售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111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378"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4102"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供应商提供供应链稳定承诺书，确保产品的部件在产品服务周期内稳定供货</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2．二路服务器技术指标要求（6台）：</w:t>
      </w:r>
    </w:p>
    <w:tbl>
      <w:tblPr>
        <w:tblStyle w:val="63"/>
        <w:tblW w:w="8855"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0"/>
        <w:gridCol w:w="795"/>
        <w:gridCol w:w="990"/>
        <w:gridCol w:w="2186"/>
        <w:gridCol w:w="4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指标分类</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一级</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二级指标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信息</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1.X86架构，配置2颗至强可扩展系列处理器;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2.单颗CPU物理核心数≥16核、主频≥2.00 GHz、末级缓存容量≥30M、线程数≥32、热设计功耗≥150W、支持内存的最高速率≥3200 MT/s 、通道数≥8、位宽≥64位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★主板支持的CPU和内存情况</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主板支持CPU≥2颗、内存数量支持≥32个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主板内存槽位数量≥32个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主板存储接口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SATA、SAS、M.2、U.2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★PCIe 插槽接口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PCIe3.0 插槽，可支持向下兼容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▲主板PCIe 插槽数量及规格</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PCIe 3.0 扩展插槽≥15个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★板载网络接口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若支持板载网络接口应不少于 1 个1GE 网口；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★主板OCP 插槽数量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 OCP2.0 及以上插槽的数量不少于1个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★内存规格</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64G DDR4 2933MHz DDR4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内存通道</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支持多个内存接口通道，每个通道可支持 1DPC 或 2DPC，当支持 2DPC 时，印制电路板上应具备插槽的序号标识，具体通道数应在随机文件中明确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存储</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可选SATA/NVMe M.2选件, DSD模块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硬磁盘实配容量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实配固态盘单盘可用容量不小于960GB。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★硬盘接口类型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提供SATA 3.0及以上接口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★硬盘实配数量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配置≥2 块企业级 SSD 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★硬盘插槽数量及规格</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支持多达45块SAS/SATA硬盘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支持多达20块3.5英寸硬盘（12块前置，4块内部扩展，4块后部扩展）1</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支持多达45块2.5英寸硬盘（25块前置，10块内部扩展，10块后部扩展）1</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支持SAS/SATA HDD/SSD硬盘；支持多达32个NVMe U.2硬盘槽位，支持多达8个E1.S槽位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★网口速率和数量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配置≥4个千兆RJ45网口、≥1块10G独立双口光纤网卡；≥16Gb双口HBA卡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★独立网卡网口数量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≥1块独立双口光纤网卡，速率≥10Gb（含光模块); ≥16Gb双口HBA卡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★独立网卡接口类型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★板载网卡接口类型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支持RJ45/QSFP/SFP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外部接口规格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显示接口类型应不少于 1 种，如： VGA、DP、HDMI 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★USB 接口</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配备不少于2个USB3.0接口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★电源冗余模式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整机电源模块按 1+1 冗余或N+1 冗余配置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★电源模块数量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≥2个交流电源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提供220VAC/240HVDC交直流兼容电源 ，根据机房环境提供电源线；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★电源指示灯</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配备电源指示灯，指示待机、工作异常等状态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★外观和结构</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服务器的零部件应紧固无松动，可插拔部件应可靠连接，开关、按钮和其它控制部件应灵活可靠，布局应方便使用； </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产品表面不应有明显的凹痕、划伤、裂缝、变形和污染等。表面涂层均匀，不应起泡、龟裂、脱落和磨损，金属零部件无锈蚀及其它机械损伤； </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产品表面说明功能的文字、符号和标志应清晰、端正且牢固； </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应在服务器的显著位置提供运行状态的指示功能，并在随机文件中明确具体含义；</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机架、机箱的尺寸应符合通用机柜的安装要求，插入总线插座的电路板接口外形尺寸应符合有关总线标准的规定，将机箱固定在机柜上，机箱底面最大下垂变形不得干涉相邻机体；</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2U机架式服务器;</w:t>
            </w:r>
          </w:p>
          <w:p>
            <w:pPr>
              <w:numPr>
                <w:ilvl w:val="0"/>
                <w:numId w:val="0"/>
              </w:num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服务器尺寸具体要求在随机文件中明确。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★尺寸（高</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×宽×深）</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供应商给出产品尺寸；</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设计应遵循标准化、系列化的要求； 机箱的内部结构符合通用部件的安装需要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★环境适应性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气候环境适应性应符合GB/T 9813.3 的有关规定，工作温度 10～35℃，贮存运输温度-40～55℃；工作相对湿度 35</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2145364702"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64702" name="图片 1" descr="wps1"/>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～80 </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60085725"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725" name="图片 2" descr="wps2"/>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，贮存运输相对湿度 20％～93</w:t>
            </w:r>
            <w:r>
              <w:rPr>
                <w:rFonts w:hint="eastAsia" w:ascii="仿宋_GB2312" w:hAnsi="仿宋_GB2312" w:eastAsia="仿宋_GB2312" w:cs="仿宋_GB2312"/>
                <w:color w:val="auto"/>
                <w:sz w:val="24"/>
                <w:szCs w:val="24"/>
                <w:highlight w:val="none"/>
              </w:rPr>
              <w:drawing>
                <wp:inline distT="0" distB="0" distL="114300" distR="114300">
                  <wp:extent cx="57150" cy="85725"/>
                  <wp:effectExtent l="0" t="0" r="0" b="9525"/>
                  <wp:docPr id="1778867283"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7283" name="图片 3" descr="wps3"/>
                          <pic:cNvPicPr>
                            <a:picLocks noChangeAspect="1"/>
                          </pic:cNvPicPr>
                        </pic:nvPicPr>
                        <pic:blipFill>
                          <a:blip r:embed="rId12"/>
                          <a:stretch>
                            <a:fillRect/>
                          </a:stretch>
                        </pic:blipFill>
                        <pic:spPr>
                          <a:xfrm>
                            <a:off x="0" y="0"/>
                            <a:ext cx="57150" cy="85725"/>
                          </a:xfrm>
                          <a:prstGeom prst="rect">
                            <a:avLst/>
                          </a:prstGeom>
                          <a:noFill/>
                          <a:ln>
                            <a:noFill/>
                          </a:ln>
                        </pic:spPr>
                      </pic:pic>
                    </a:graphicData>
                  </a:graphic>
                </wp:inline>
              </w:drawing>
            </w:r>
            <w:r>
              <w:rPr>
                <w:rFonts w:hint="eastAsia" w:ascii="仿宋_GB2312" w:hAnsi="仿宋_GB2312" w:eastAsia="仿宋_GB2312" w:cs="仿宋_GB2312"/>
                <w:color w:val="auto"/>
                <w:sz w:val="24"/>
                <w:szCs w:val="24"/>
                <w:highlight w:val="none"/>
              </w:rPr>
              <w:t>（40℃）；大气压86～106kPa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机械环境适应性应符合GB/T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★噪声</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的有关规定，在产品说明中给出具体测试值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产品规格</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机柜规格</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★机柜尺寸</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2U机架式服务器，能安装于19英寸标准服务器机柜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★主板外部接口种类</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支持USB、显示、管理等接口，如：VGA、DP、HDMI、USB3.0、PS/2 接口、BMC 管理端口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★主板防烧板设计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支持主板防烧板设计，需保证电源故障后不扩散；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支持网络连接、网络访问、数据交换和网络管控功能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★计算处理</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支持通用计算及虚拟化功能。处理器需集成整型计算单元、浮点计算单元、内存控制器、I/O 模块等，处理器与存储部件、网络部件、I/O 部件等组成计算系统，提供数据处理、网络接入等计算相关功能。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★密码算法实现</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 芯片应符合GM/T 0008 的相关规定，或芯片密码模块应符合GB/T 37092 或 GM/T 0028 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 功 能（若支持RAID</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卡）</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RAID卡RAID 级别支持</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w:t>
            </w:r>
            <w:r>
              <w:rPr>
                <w:rFonts w:hint="eastAsia" w:ascii="仿宋_GB2312" w:hAnsi="仿宋_GB2312" w:eastAsia="仿宋_GB2312" w:cs="仿宋_GB2312"/>
                <w:color w:val="auto"/>
                <w:kern w:val="0"/>
                <w:sz w:val="24"/>
                <w:szCs w:val="24"/>
                <w:highlight w:val="none"/>
              </w:rPr>
              <w:t>RAID0/1/10/5/6/50/60/1E/Simple Volume</w:t>
            </w:r>
            <w:r>
              <w:rPr>
                <w:rFonts w:hint="eastAsia" w:ascii="仿宋_GB2312" w:hAnsi="仿宋_GB2312" w:eastAsia="仿宋_GB2312" w:cs="仿宋_GB2312"/>
                <w:color w:val="auto"/>
                <w:sz w:val="24"/>
                <w:szCs w:val="24"/>
                <w:highlight w:val="none"/>
              </w:rPr>
              <w:t>等，提供2G以上缓存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★电源热插拔</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整机电源模块应具备热插拔功能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★电源过流保护</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支持过流及短路保护的功能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★散热方式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支持风冷或液冷等散热方式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支持关键部件冗余（包括电源、风扇等）；</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支持熔断保护与恢复功能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管理系统功能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★BMC 固件基础功能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 xml:space="preserve">支持DHCP 设置网络功能； </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支持静态IP 设置网络功能；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支持设备日志记录，包括但不限于登录日志、操作日志和报警日志等功能；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支持日志信息导出和记录删除功能；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支持通过管理接口向外输出准确的报警信息功能；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设备的BMC 管理软件应能够按报警的严重程度进行区分；</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支持IPMI2.0、SNMP 或Redfish 等接口功能；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 xml:space="preserve">支持键盘、鼠标和视频的重定向、文本控制台的重定向、远程虚拟媒体、高可靠的硬件监控和管理功能； </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支持基于网络开启、关闭和重启设备的功能，并查询当前设备开机运行状态；</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支持故障提示功能，并可通过接口读取服务器故障信息；</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支持基于网络的固件更新功能，包括BMC 和BIOS 等；</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支持基于网络安装操作系统的功能，并可通过网络控制台访问设备；</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支持通过本地的硬盘或光驱等存储设备，基于网络完成设备的操作系统安装功能；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支持通过浏览器打开管理界面并登录功能；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支持设置口令策略功能；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16）</w:t>
            </w:r>
            <w:r>
              <w:rPr>
                <w:rFonts w:hint="eastAsia" w:ascii="仿宋_GB2312" w:hAnsi="仿宋_GB2312" w:eastAsia="仿宋_GB2312" w:cs="仿宋_GB2312"/>
                <w:color w:val="auto"/>
                <w:sz w:val="24"/>
                <w:szCs w:val="24"/>
                <w:highlight w:val="none"/>
              </w:rPr>
              <w:t>支持访问权限设置功能，并通过日志记录访问事件；</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17）</w:t>
            </w:r>
            <w:r>
              <w:rPr>
                <w:rFonts w:hint="eastAsia" w:ascii="仿宋_GB2312" w:hAnsi="仿宋_GB2312" w:eastAsia="仿宋_GB2312" w:cs="仿宋_GB2312"/>
                <w:color w:val="auto"/>
                <w:sz w:val="24"/>
                <w:szCs w:val="24"/>
                <w:highlight w:val="none"/>
              </w:rPr>
              <w:t>支持对出厂默认的用户名及口令进行安全保护功能，并提供默认口令修改提示；</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18）</w:t>
            </w:r>
            <w:r>
              <w:rPr>
                <w:rFonts w:hint="eastAsia" w:ascii="仿宋_GB2312" w:hAnsi="仿宋_GB2312" w:eastAsia="仿宋_GB2312" w:cs="仿宋_GB2312"/>
                <w:color w:val="auto"/>
                <w:sz w:val="24"/>
                <w:szCs w:val="24"/>
                <w:highlight w:val="none"/>
              </w:rPr>
              <w:t>支持读取设备主板的工作环境温度功能；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19）</w:t>
            </w:r>
            <w:r>
              <w:rPr>
                <w:rFonts w:hint="eastAsia" w:ascii="仿宋_GB2312" w:hAnsi="仿宋_GB2312" w:eastAsia="仿宋_GB2312" w:cs="仿宋_GB2312"/>
                <w:color w:val="auto"/>
                <w:sz w:val="24"/>
                <w:szCs w:val="24"/>
                <w:highlight w:val="none"/>
              </w:rPr>
              <w:t>支持读取服务器CPU 等核心器件的温度功能；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 xml:space="preserve">支持通过外部管理工具进行 BMC参数设置的功能，并可基于网络通过外部管理工具对BMC 进行管理； </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应支持固件版本查询、固件升级</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支持基于网络实现开关机和复位控制的功能；</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BMC 启动时间应不超过 180s，实现功能包括网络、IPMI、散热、传感器服务可用；</w:t>
            </w:r>
          </w:p>
          <w:p>
            <w:pPr>
              <w:ind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支持BMC 固件设置的恢复出厂功能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★BIOS 固件基础功能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支持查看固件版本、内存信息、主板信息、处理器信息和系统时间信息功能；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支持上电初始化界面显示 CPU 信息、内存信息、固件版本和部分快捷键信息功能；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支持设置界面中英文显示切换功能；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支持查看 PCIe 设备信息，SATA 设备信息功能；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e</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支持操作系统安装和引导功能， 应并向操作系统提供计算机主板信息和服务接口；</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f</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支持设置启动顺序，并按照设置的启动顺序启动功能；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g</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支持安全启动功能；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h</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支持设置口令、修改口令、验证口令功能；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i</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支持板载显示控制或独立显卡的显示控制功能；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j</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支持 RAID 识别和启动功能； </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k）支持串口重定向功能；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l</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支持固件更新功能；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m</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 BIOS 固件设置的恢复出厂功能；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n</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支持网络引导启用和关闭功能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★远程控制</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支持远程关机和重新启动功能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★操作系统及驱动的升级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支持通过网络、闪存盘对操作系统、驱动进行升级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★操作系统功能</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支持访问控制、安全审计、网络接入鉴别等功能；</w:t>
            </w:r>
          </w:p>
          <w:p>
            <w:pPr>
              <w:numPr>
                <w:ilvl w:val="0"/>
                <w:numId w:val="0"/>
              </w:numPr>
              <w:ind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b)操作系统其他功能应满足操作系统政府采购需求标准相关要求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中文信息处理功能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★中文信息处理</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 18030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关键部件安全要求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关键部件安全要求</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leftChars="0" w:right="100" w:right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CPU和操作系统等关键部件应当符合安全可靠测评要求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固件安全要求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★故障检测</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支持故障检测功能，可以检测到具体的FRU（内存、硬盘等）的故障并发出告警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系统安全要求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★弱口令字典检查</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支持弱口令字典检查功能，出现在弱口令字典中的字符串不能被设置为用户口令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★白名单访问控制</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支持基于时间、IP 或  MAC 白名单访问控制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★二次鉴别</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支持二次鉴别功能。对于用户配置、权限配置、公钥导入等重要的管理操作，已登录用户应通过二次鉴别后，才能执行操作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★密码证书安全加密存储</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支持对带外管理系统中的用户口令和证书等敏感信息进行加密存储，禁止使用私有的和业界已知不安全的密码算法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★敏感信息安全加密传输</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支持使用安全的传输加密协议（如SSH或HTTPS等）传输用户的敏感信息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信息安全要求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★研发过程安全</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★物理安全</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安全要求应符合GB 4943.1 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★限用物质的限量要求</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限用物质的限量应符合GB/T 26572 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CPU性能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★CPU主频</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≥2.00GHz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核数</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单CPU 末级缓存容量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内存性能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块容量</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单内存模块容量≥64GB，总内存≥1024GB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≥2933MT/s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网络性能</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★独立网卡速率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≥10GE; HBA卡速率≥16Gb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★板载网卡速率</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电源能耗</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★电源能耗</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 GB/T 9813.3 的有关规定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部件兼容性要求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内存兼容性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种及以上厂商的内存产品， 且均不低于产品支持的内存规格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固态存储兼容性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适配 3 种或以上厂商的固态存储产品，且均不低于产品支持的固态存储设备规格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FC HBA 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RAID 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网卡应适配2种或以上厂商产品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★功能卡兼容性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内置或适配符合PCIe的功能卡，如：网络功能卡、存储功能卡及图形显示功能卡。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外设兼容性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软件兼容性</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数据库兼容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个及以上厂商的数据库产品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中间件兼容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个及以上厂商的中间件产品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平台软件兼容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3 个及以上厂商的大数据平台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虚拟化软件兼容</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兼容 2 款及以上虚拟化软件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整机可靠性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m1 值（MTBF 的不可接受值）不得低于 30000h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风扇可靠性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风扇寿命应不低于 40000h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可靠性要求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★部件可靠性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支持硬盘、电源、风扇热插拔(内置风扇除外)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包装及运输要</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★标志、包装、运输和贮存</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符合GB/T 9813.3 和商品包装政府采购需求标准的相关规定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服务响应</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提供电话、电子邮件、远程连接等多种形式服务；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提供同城 4h、异地 12h 技术响应服务，2 个工作日解决问题，对于未能解决的问题和故障应提供可行的升级方案，并提供周转设备；</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建立全国技术服务体系和服务团体，符合专业服务体系标准要求，提供原厂中文服务；</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服务周期内提供产品的维修、换件和升级服务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供应商提供培训材料、产品手册、培训视频等培训相关内容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服务周期</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a）产品整机免费服务周期5年（含换件和维修）；</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b）设备停产后继续提供质量保障服务（含备品备件），服务终止时间与最后一批设备交付时间间隔不低于6年；</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 产品停止服务时间应提前1年告知客户；</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 产品发布日期需在随机文件中明确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服务工具要求</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★工具要求</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供应商提供设置服务器硬件、辅助操作系统安装等功能的辅助工具和管理软件。且随附软件应具有合法授权或版权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86</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★辅助工具</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支持如下功能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a</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本地的数据备份和还原功能；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b</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网络的数据备份和还原功能；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c</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服务器操作系统的自动安装功能；</w:t>
            </w:r>
          </w:p>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d</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服务器所配硬件需要的驱动程序和系统补丁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87</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★驱动安装升级指引</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供应商提供出厂安装的配件所需的驱动程序，形式包括但不限于驱动光盘、驱动下载链接等。其他配件应提供指引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★随机附开盖工具</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随服务器打包提供开机箱工具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leftChars="0" w:right="100" w:right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89</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★管理软件</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具备资源管理、系统管理、性能监控、健康监控、基于网络控制、报警设置功能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90</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增值服务</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厂家升级产品软件与扩容服务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供应商提供原厂级的部件/软件产品升级和扩容能力5年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91</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★服务保障升级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供应商提供远程技术支持、软件授权服务、备件更换服务、现场支持服务5年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92</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提供上门服务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提供5年上门保修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93</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★业务场景性能优化服务及整体架构升级服务</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供应商提供针对特定业务场景性能优化服务及整体架构升级服务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94</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990" w:type="dxa"/>
            <w:vMerge w:val="restart"/>
            <w:tcBorders>
              <w:top w:val="single" w:color="000000" w:sz="4" w:space="0"/>
              <w:left w:val="nil"/>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供应链质量</w:t>
            </w: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★抗干扰性</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当产品部件出现供应风险时，应通知客户并提供风险应对方案确保产品的服务保障，必要时应停止相关受影响产品的销售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ind w:left="100" w:right="10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795"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供保要求</w:t>
            </w:r>
          </w:p>
        </w:tc>
        <w:tc>
          <w:tcPr>
            <w:tcW w:w="990" w:type="dxa"/>
            <w:vMerge w:val="continue"/>
            <w:tcBorders>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p>
        </w:tc>
        <w:tc>
          <w:tcPr>
            <w:tcW w:w="2186"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★供应能力证明</w:t>
            </w:r>
          </w:p>
        </w:tc>
        <w:tc>
          <w:tcPr>
            <w:tcW w:w="4434" w:type="dxa"/>
            <w:tcBorders>
              <w:top w:val="single" w:color="000000" w:sz="4" w:space="0"/>
              <w:left w:val="nil"/>
              <w:bottom w:val="single" w:color="000000" w:sz="4" w:space="0"/>
              <w:right w:val="single" w:color="000000" w:sz="4" w:space="0"/>
            </w:tcBorders>
            <w:shd w:val="clear" w:color="auto" w:fill="auto"/>
            <w:vAlign w:val="center"/>
          </w:tcPr>
          <w:p>
            <w:pPr>
              <w:ind w:left="100" w:right="1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供应商提供供应链稳定承诺书，确保产品的部件在产品服务周期内稳定供货</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CA签章专用服务器技术指标要求（2台）：</w:t>
      </w:r>
    </w:p>
    <w:tbl>
      <w:tblPr>
        <w:tblStyle w:val="63"/>
        <w:tblW w:w="0" w:type="auto"/>
        <w:tblInd w:w="0" w:type="dxa"/>
        <w:tblLayout w:type="autofit"/>
        <w:tblCellMar>
          <w:top w:w="0" w:type="dxa"/>
          <w:left w:w="108" w:type="dxa"/>
          <w:bottom w:w="0" w:type="dxa"/>
          <w:right w:w="108" w:type="dxa"/>
        </w:tblCellMar>
      </w:tblPr>
      <w:tblGrid>
        <w:gridCol w:w="1458"/>
        <w:gridCol w:w="7042"/>
      </w:tblGrid>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bCs/>
                <w:color w:val="auto"/>
                <w:sz w:val="24"/>
                <w:szCs w:val="24"/>
                <w:highlight w:val="none"/>
              </w:rPr>
              <w:t>指标项</w:t>
            </w:r>
          </w:p>
        </w:tc>
        <w:tc>
          <w:tcPr>
            <w:tcW w:w="7042" w:type="dxa"/>
            <w:tcBorders>
              <w:top w:val="single" w:color="auto" w:sz="4" w:space="0"/>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kern w:val="0"/>
                <w:sz w:val="24"/>
                <w:szCs w:val="24"/>
                <w:highlight w:val="none"/>
              </w:rPr>
              <w:t>指标要求</w:t>
            </w:r>
          </w:p>
        </w:tc>
      </w:tr>
      <w:tr>
        <w:tblPrEx>
          <w:tblCellMar>
            <w:top w:w="0" w:type="dxa"/>
            <w:left w:w="108" w:type="dxa"/>
            <w:bottom w:w="0" w:type="dxa"/>
            <w:right w:w="108" w:type="dxa"/>
          </w:tblCellMar>
        </w:tblPrEx>
        <w:trPr>
          <w:trHeight w:val="46"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CPU</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支持Intel志强系列的处理器，标准配置≥1颗 ≥3.5G、L3缓存≥8M 、核心数量≥4C、线程数量≥8T</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内存</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≥4个DIMM插槽，支持2666/2400/2133MHz ECC DDR4内存，≥128GB ECC内存；默认标配 ≥16GB容量大小</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硬盘</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≥2个非热插拔3.5”或2.5”SATA/SAS（可选）数据盘；标配≥1*4T HDD 容量大小</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电源</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交流电源输入100-240V，50-60Hz；直接支持HVDC 240V电源输入</w:t>
            </w:r>
          </w:p>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（1）冗余电源（2）直流电源（3）BBP后备电池模块，市电断电续航3分钟后自动关机</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默认标配≥ 500W 1+1冗余电源</w:t>
            </w:r>
          </w:p>
        </w:tc>
      </w:tr>
      <w:tr>
        <w:tblPrEx>
          <w:tblCellMar>
            <w:top w:w="0" w:type="dxa"/>
            <w:left w:w="108" w:type="dxa"/>
            <w:bottom w:w="0" w:type="dxa"/>
            <w:right w:w="108" w:type="dxa"/>
          </w:tblCellMar>
        </w:tblPrEx>
        <w:trPr>
          <w:trHeight w:val="46" w:hRule="atLeast"/>
        </w:trPr>
        <w:tc>
          <w:tcPr>
            <w:tcW w:w="1458" w:type="dxa"/>
            <w:tcBorders>
              <w:top w:val="nil"/>
              <w:left w:val="single" w:color="auto" w:sz="4" w:space="0"/>
              <w:bottom w:val="nil"/>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网口</w:t>
            </w:r>
          </w:p>
        </w:tc>
        <w:tc>
          <w:tcPr>
            <w:tcW w:w="7042" w:type="dxa"/>
            <w:tcBorders>
              <w:top w:val="nil"/>
              <w:left w:val="nil"/>
              <w:bottom w:val="nil"/>
              <w:right w:val="single" w:color="auto" w:sz="4" w:space="0"/>
            </w:tcBorders>
            <w:shd w:val="clear" w:color="auto" w:fill="auto"/>
            <w:vAlign w:val="center"/>
          </w:tcPr>
          <w:p>
            <w:pPr>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集成≥2个千兆网口，支持10/100/1000M自适应网口; 具有负载均衡、故障恢复和边带支持特性，可有效减少网络延迟.</w:t>
            </w:r>
          </w:p>
        </w:tc>
      </w:tr>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PCI-E扩展</w:t>
            </w:r>
          </w:p>
        </w:tc>
        <w:tc>
          <w:tcPr>
            <w:tcW w:w="7042" w:type="dxa"/>
            <w:tcBorders>
              <w:top w:val="single" w:color="auto" w:sz="4" w:space="0"/>
              <w:left w:val="nil"/>
              <w:bottom w:val="single" w:color="auto" w:sz="4" w:space="0"/>
              <w:right w:val="single" w:color="auto" w:sz="4" w:space="0"/>
            </w:tcBorders>
            <w:shd w:val="clear" w:color="auto" w:fill="auto"/>
            <w:vAlign w:val="center"/>
          </w:tcPr>
          <w:p>
            <w:pPr>
              <w:widowControl/>
              <w:spacing w:line="300" w:lineRule="atLeas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扩展槽位≥1*PCIe 3.0 x8 (in x16)、≥2*PCIe 3.0 x4 (in x8)</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光驱</w:t>
            </w:r>
          </w:p>
        </w:tc>
        <w:tc>
          <w:tcPr>
            <w:tcW w:w="7042" w:type="dxa"/>
            <w:tcBorders>
              <w:top w:val="nil"/>
              <w:left w:val="nil"/>
              <w:bottom w:val="single" w:color="auto" w:sz="4" w:space="0"/>
              <w:right w:val="single" w:color="auto" w:sz="4" w:space="0"/>
            </w:tcBorders>
            <w:shd w:val="clear" w:color="auto" w:fill="auto"/>
            <w:vAlign w:val="center"/>
          </w:tcPr>
          <w:p>
            <w:pPr>
              <w:widowControl/>
              <w:spacing w:line="300" w:lineRule="atLeast"/>
              <w:ind w:left="-36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支</w:t>
            </w:r>
            <w:r>
              <w:rPr>
                <w:rFonts w:hint="eastAsia" w:ascii="仿宋_GB2312" w:hAnsi="仿宋_GB2312" w:eastAsia="仿宋_GB2312" w:cs="仿宋_GB2312"/>
                <w:color w:val="auto"/>
                <w:kern w:val="0"/>
                <w:sz w:val="24"/>
                <w:szCs w:val="24"/>
                <w:highlight w:val="none"/>
                <w:lang w:val="en-US" w:eastAsia="zh-CN"/>
              </w:rPr>
              <w:t>支持</w:t>
            </w:r>
            <w:r>
              <w:rPr>
                <w:rFonts w:hint="eastAsia" w:ascii="仿宋_GB2312" w:hAnsi="仿宋_GB2312" w:eastAsia="仿宋_GB2312" w:cs="仿宋_GB2312"/>
                <w:color w:val="auto"/>
                <w:kern w:val="0"/>
                <w:sz w:val="24"/>
                <w:szCs w:val="24"/>
                <w:highlight w:val="none"/>
              </w:rPr>
              <w:t>USB 接口 DVD-ROM/DVD-RW光驱</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设备高度</w:t>
            </w:r>
          </w:p>
        </w:tc>
        <w:tc>
          <w:tcPr>
            <w:tcW w:w="7042" w:type="dxa"/>
            <w:tcBorders>
              <w:top w:val="nil"/>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≥2U机架式工控机，标配原厂导轨</w:t>
            </w:r>
          </w:p>
        </w:tc>
      </w:tr>
      <w:tr>
        <w:tblPrEx>
          <w:tblCellMar>
            <w:top w:w="0" w:type="dxa"/>
            <w:left w:w="108" w:type="dxa"/>
            <w:bottom w:w="0" w:type="dxa"/>
            <w:right w:w="108" w:type="dxa"/>
          </w:tblCellMar>
        </w:tblPrEx>
        <w:trPr>
          <w:trHeight w:val="330" w:hRule="atLeast"/>
        </w:trPr>
        <w:tc>
          <w:tcPr>
            <w:tcW w:w="1458" w:type="dxa"/>
            <w:vMerge w:val="restart"/>
            <w:tcBorders>
              <w:top w:val="nil"/>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其他要求</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▲标识单位用户网络身份</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证书格式标准遵循x．509v3标准</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支持存放介质：智能USBKey，PDF签章服务器</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支持自定义证书扩展域管理</w:t>
            </w:r>
          </w:p>
        </w:tc>
      </w:tr>
      <w:tr>
        <w:tblPrEx>
          <w:tblCellMar>
            <w:top w:w="0" w:type="dxa"/>
            <w:left w:w="108" w:type="dxa"/>
            <w:bottom w:w="0" w:type="dxa"/>
            <w:right w:w="108" w:type="dxa"/>
          </w:tblCellMar>
        </w:tblPrEx>
        <w:trPr>
          <w:trHeight w:val="330" w:hRule="atLeast"/>
        </w:trPr>
        <w:tc>
          <w:tcPr>
            <w:tcW w:w="1458" w:type="dxa"/>
            <w:vMerge w:val="continue"/>
            <w:tcBorders>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auto"/>
                <w:kern w:val="0"/>
                <w:sz w:val="24"/>
                <w:szCs w:val="24"/>
                <w:highlight w:val="none"/>
              </w:rPr>
            </w:pP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▲支持算法： RSA1024、RSA2048、SM2</w:t>
            </w:r>
          </w:p>
        </w:tc>
      </w:tr>
      <w:tr>
        <w:tblPrEx>
          <w:tblCellMar>
            <w:top w:w="0" w:type="dxa"/>
            <w:left w:w="108" w:type="dxa"/>
            <w:bottom w:w="0" w:type="dxa"/>
            <w:right w:w="108" w:type="dxa"/>
          </w:tblCellMar>
        </w:tblPrEx>
        <w:trPr>
          <w:trHeight w:val="330" w:hRule="atLeast"/>
        </w:trPr>
        <w:tc>
          <w:tcPr>
            <w:tcW w:w="850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软件功能</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对PDF格式的文档进行电子签章，并且在电子文档上显示签章图片；</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管理签章应用的服务器证书、签章图片、签章展现属性、签章定位、透明度等；</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对签章业务进行统计与分析，并对系统管理和维护进行日志记录和审计；</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▲打开签章后的PDF文档时，自动对文档签章进行验证；</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对签章后的PDF文档中的指定签章进行验证。</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支持对医院业务系统提供多种数据接口，对LIS、HIS、PACS等业务系统提供集成工作，以便实现数字签名和文档签章等功能的实现。</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服务期内至少提供2张单位数字证书</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支持的应用环境Windows；Linux；AIX；Solaris；Unix；</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提供主流开发语言开发的API，并提供详细的接口文档；</w:t>
            </w:r>
          </w:p>
        </w:tc>
      </w:tr>
      <w:tr>
        <w:tblPrEx>
          <w:tblCellMar>
            <w:top w:w="0" w:type="dxa"/>
            <w:left w:w="108" w:type="dxa"/>
            <w:bottom w:w="0" w:type="dxa"/>
            <w:right w:w="108" w:type="dxa"/>
          </w:tblCellMar>
        </w:tblPrEx>
        <w:trPr>
          <w:trHeight w:val="330" w:hRule="atLeast"/>
        </w:trPr>
        <w:tc>
          <w:tcPr>
            <w:tcW w:w="145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7042" w:type="dxa"/>
            <w:tcBorders>
              <w:top w:val="nil"/>
              <w:left w:val="nil"/>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▲业务处理能力不小于100个/秒；</w:t>
            </w:r>
          </w:p>
        </w:tc>
      </w:tr>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7042" w:type="dxa"/>
            <w:tcBorders>
              <w:top w:val="single" w:color="auto" w:sz="4" w:space="0"/>
              <w:left w:val="single" w:color="auto" w:sz="4" w:space="0"/>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适用环境：千兆环境，并发用户多。</w:t>
            </w:r>
          </w:p>
        </w:tc>
      </w:tr>
      <w:tr>
        <w:tblPrEx>
          <w:tblCellMar>
            <w:top w:w="0" w:type="dxa"/>
            <w:left w:w="108" w:type="dxa"/>
            <w:bottom w:w="0" w:type="dxa"/>
            <w:right w:w="108" w:type="dxa"/>
          </w:tblCellMar>
        </w:tblPrEx>
        <w:trPr>
          <w:trHeight w:val="330" w:hRule="atLeast"/>
        </w:trPr>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w:t>
            </w:r>
          </w:p>
        </w:tc>
        <w:tc>
          <w:tcPr>
            <w:tcW w:w="7042" w:type="dxa"/>
            <w:tcBorders>
              <w:top w:val="single" w:color="auto" w:sz="4" w:space="0"/>
              <w:left w:val="single" w:color="auto" w:sz="4" w:space="0"/>
              <w:bottom w:val="single" w:color="auto" w:sz="4" w:space="0"/>
              <w:right w:val="single" w:color="auto" w:sz="4" w:space="0"/>
            </w:tcBorders>
            <w:shd w:val="clear" w:color="auto" w:fill="auto"/>
          </w:tcPr>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1.提供基于关键字检索、坐标定位检索签章位置。</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2.对签章后的PDF文档中的指定签章进行验证。</w:t>
            </w: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3、投标时提供上述第2点功能截图</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 灾备一体机（CDP）扩容技术指标要求（1套）：</w:t>
      </w:r>
    </w:p>
    <w:tbl>
      <w:tblPr>
        <w:tblStyle w:val="64"/>
        <w:tblW w:w="850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8"/>
        <w:gridCol w:w="68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指标项</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kern w:val="0"/>
                <w:sz w:val="24"/>
                <w:szCs w:val="24"/>
                <w:highlight w:val="none"/>
              </w:rPr>
              <w:t>指标要求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部署方式</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支持单机或集群部署模式；</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▲支持客户端在线安装、一键批量下发部署，可同时添加多个保护对象；内置服务器硬件驱动库，部署时自动匹配对应驱动；支持驱动在线自动更新或手动上传更新；</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上述第2点</w:t>
            </w:r>
            <w:r>
              <w:rPr>
                <w:rFonts w:hint="eastAsia" w:ascii="仿宋_GB2312" w:hAnsi="仿宋_GB2312" w:eastAsia="仿宋_GB2312" w:cs="仿宋_GB2312"/>
                <w:color w:val="auto"/>
                <w:sz w:val="24"/>
                <w:szCs w:val="24"/>
                <w:highlight w:val="none"/>
              </w:rPr>
              <w:t>功能截图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硬件指标</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2U机架式，</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550（1+1）冗余电源，</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两颗64位十六核三十二线程处理器，内存</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512GB，</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2块240G SSD，</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6*12T 企业级硬盘，</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2个千兆以太网接口，多模光纤双端口万兆以太网卡(SFP),配置相应万兆模块和光纤跳线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授权数量</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扩容</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szCs w:val="24"/>
                <w:highlight w:val="none"/>
              </w:rPr>
              <w:t>56T容量无限制主机数据实时保护功能授权；</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含无限节点容灾接管授权。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产品维保</w:t>
            </w:r>
          </w:p>
        </w:tc>
        <w:tc>
          <w:tcPr>
            <w:tcW w:w="6804" w:type="dxa"/>
            <w:tcBorders>
              <w:bottom w:val="single" w:color="auto" w:sz="2" w:space="0"/>
            </w:tcBorders>
            <w:tcMar>
              <w:top w:w="28" w:type="dxa"/>
              <w:bottom w:w="28" w:type="dxa"/>
            </w:tcMa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提供原厂五年技术支持和版本升级服务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资源管理</w:t>
            </w:r>
          </w:p>
        </w:tc>
        <w:tc>
          <w:tcPr>
            <w:tcW w:w="6804" w:type="dxa"/>
            <w:tcBorders>
              <w:bottom w:val="single" w:color="auto" w:sz="2" w:space="0"/>
            </w:tcBorders>
            <w:tcMar>
              <w:top w:w="28" w:type="dxa"/>
              <w:bottom w:w="28" w:type="dxa"/>
            </w:tcMar>
            <w:vAlign w:val="center"/>
          </w:tcPr>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▲支持计算资源、存储资源横向扩展，在资源不足时可以通过增加独立的计算或者存储节点扩展资源，而不是依赖原有一体机的硬件配置能力；扩展过程对业务无影响；</w:t>
            </w:r>
          </w:p>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上述第1点</w:t>
            </w:r>
            <w:r>
              <w:rPr>
                <w:rFonts w:hint="eastAsia" w:ascii="仿宋_GB2312" w:hAnsi="仿宋_GB2312" w:eastAsia="仿宋_GB2312" w:cs="仿宋_GB2312"/>
                <w:color w:val="auto"/>
                <w:sz w:val="24"/>
                <w:szCs w:val="24"/>
                <w:highlight w:val="none"/>
              </w:rPr>
              <w:t>功能截图）</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支持存储容量自动精简配置能力，可根据实际使用量分配空间；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对象适配</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支持对物理机、虚拟机、超融合主机、私有云主机和公有云主机资产进行整机保护；</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支持对Windows、CentOS、Redhat、Ubuntu、Suse、OracleLinux、麒麟、华为openEuler、统信V20、红旗Linux客户端进行整机保护；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整机备份</w:t>
            </w:r>
          </w:p>
        </w:tc>
        <w:tc>
          <w:tcPr>
            <w:tcW w:w="6804" w:type="dxa"/>
            <w:tcBorders>
              <w:bottom w:val="single" w:color="auto" w:sz="2" w:space="0"/>
            </w:tcBorders>
            <w:tcMar>
              <w:top w:w="28" w:type="dxa"/>
              <w:bottom w:w="28" w:type="dxa"/>
            </w:tcMar>
            <w:vAlign w:val="center"/>
          </w:tcPr>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▲支持基于磁盘块级别的持续数据保护，可精确到秒级，同时能够产生连续的秒级恢复点，可恢复到选定的任意时间点；</w:t>
            </w:r>
          </w:p>
          <w:p>
            <w:pPr>
              <w:numPr>
                <w:ilvl w:val="0"/>
                <w:numId w:val="0"/>
              </w:num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上述第1点</w:t>
            </w:r>
            <w:r>
              <w:rPr>
                <w:rFonts w:hint="eastAsia" w:ascii="仿宋_GB2312" w:hAnsi="仿宋_GB2312" w:eastAsia="仿宋_GB2312" w:cs="仿宋_GB2312"/>
                <w:color w:val="auto"/>
                <w:sz w:val="24"/>
                <w:szCs w:val="24"/>
                <w:highlight w:val="none"/>
              </w:rPr>
              <w:t>功能截图</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支持不需区分业务系统类型、部署方法、业务系统间的数据交互机制、数据结构、逻辑关系和数据库的品牌、版本等实现数据保护；</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支持整机、磁盘、分区/卷级别的细粒度备份，且支持磁盘排除备份</w:t>
            </w:r>
            <w:r>
              <w:rPr>
                <w:rFonts w:hint="eastAsia" w:ascii="仿宋_GB2312" w:hAnsi="仿宋_GB2312" w:eastAsia="仿宋_GB2312" w:cs="仿宋_GB2312"/>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备份策略</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▲支持系统内置多个备份策略，无需配置即可开箱即用；策略之间相互独立，可灵活定义数据保护模式、备份间隔、数据保留时间、策略执行时间、数据校验时间、备份性能模式、带宽速度等</w:t>
            </w:r>
            <w:r>
              <w:rPr>
                <w:rFonts w:hint="eastAsia" w:ascii="仿宋_GB2312" w:hAnsi="仿宋_GB2312" w:eastAsia="仿宋_GB2312" w:cs="仿宋_GB2312"/>
                <w:color w:val="auto"/>
                <w:sz w:val="24"/>
                <w:szCs w:val="24"/>
                <w:highlight w:val="none"/>
                <w:lang w:eastAsia="zh-CN"/>
              </w:rPr>
              <w:t>。</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投标时提供</w:t>
            </w:r>
            <w:r>
              <w:rPr>
                <w:rFonts w:hint="eastAsia" w:ascii="仿宋_GB2312" w:hAnsi="仿宋_GB2312" w:eastAsia="仿宋_GB2312" w:cs="仿宋_GB2312"/>
                <w:color w:val="auto"/>
                <w:sz w:val="24"/>
                <w:szCs w:val="24"/>
                <w:highlight w:val="none"/>
                <w:lang w:val="en-US" w:eastAsia="zh-CN"/>
              </w:rPr>
              <w:t>上述第1点</w:t>
            </w:r>
            <w:r>
              <w:rPr>
                <w:rFonts w:hint="eastAsia" w:ascii="仿宋_GB2312" w:hAnsi="仿宋_GB2312" w:eastAsia="仿宋_GB2312" w:cs="仿宋_GB2312"/>
                <w:color w:val="auto"/>
                <w:sz w:val="24"/>
                <w:szCs w:val="24"/>
                <w:highlight w:val="none"/>
              </w:rPr>
              <w:t>功能截图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数据传输</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数据传输支持客户端级加密，支持任务级数据重删和断点续传；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资源控制</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支持选择业务优先、备份优先等多种备份模式；支持通过百分比方式限制源端存储资源占用；支持网络带宽限制；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数据验证</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支持同时对单台或多台客户端进行一致性验证，验证时间点支持实时或者自定义时间点；验证过程与生产环境隔离，不影响生产业务系统；</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内嵌逻辑隔离网络环境，可根据实际网络情况，自定义配置验证网络，用于容灾演练、数据验证等场景。所有验证主机均运行在该独立的隔离网络中，无需配置复杂的网络信息，不会与现有业务发生冲突；</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支持对单个客户端创建多个版本验证任务；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数据恢复</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★支持生产系统操作系统、应用、数据一体化在线恢复，无需对恢复目标安装操作系统、配置软件、拷贝数据等操作支持接管恢复、备份恢复、实时恢复等多种恢复类型</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支持整机恢复、磁盘恢复、分区/卷恢复等多种细粒度恢复；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接管恢复</w:t>
            </w:r>
          </w:p>
        </w:tc>
        <w:tc>
          <w:tcPr>
            <w:tcW w:w="6804" w:type="dxa"/>
            <w:tcBorders>
              <w:bottom w:val="single" w:color="auto" w:sz="2" w:space="0"/>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★支持基于接管机的恢复，恢复过程接管机无需停机，不影响业务运行；恢复基于接管机，无需再次创建备份任务；恢复过程包含接管机运行后新增业务数据</w:t>
            </w:r>
            <w:r>
              <w:rPr>
                <w:rFonts w:hint="eastAsia" w:ascii="仿宋_GB2312" w:hAnsi="仿宋_GB2312" w:eastAsia="仿宋_GB2312" w:cs="仿宋_GB2312"/>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应急接管</w:t>
            </w:r>
          </w:p>
        </w:tc>
        <w:tc>
          <w:tcPr>
            <w:tcW w:w="6804"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快速应急接管，可根据保护过程中收集源系统负载信息,自动匹配、自动构建接管虚拟网络、智能化自动分配接管资源，无需改变任何IP地址、MAC地址、机器名、服务启动状态等。接管主机环境保持与源主机完全相同，如磁盘分区结构、系统环境、程序配置信息等</w:t>
            </w:r>
            <w:r>
              <w:rPr>
                <w:rFonts w:hint="eastAsia" w:ascii="仿宋_GB2312" w:hAnsi="仿宋_GB2312" w:eastAsia="仿宋_GB2312" w:cs="仿宋_GB2312"/>
                <w:color w:val="auto"/>
                <w:sz w:val="24"/>
                <w:szCs w:val="24"/>
                <w:highlight w:val="none"/>
                <w:lang w:eastAsia="zh-CN"/>
              </w:rPr>
              <w:t>。</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配置切换计划，参数配置支持与源设备一致或者自定义配置；接管时间点提供实时、故障前五分钟、十分钟、半小时、一小时等多种细粒度选择；切换方式支持系统切换、手动切换，系统切换支持配置网络链路检测、网络端口检测等不同切换条件，切换条件支持多次确认机制</w:t>
            </w:r>
            <w:r>
              <w:rPr>
                <w:rFonts w:hint="eastAsia" w:ascii="仿宋_GB2312" w:hAnsi="仿宋_GB2312" w:eastAsia="仿宋_GB2312" w:cs="仿宋_GB2312"/>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8" w:type="dxa"/>
            <w:vMerge w:val="restart"/>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管理页面展示</w:t>
            </w:r>
          </w:p>
        </w:tc>
        <w:tc>
          <w:tcPr>
            <w:tcW w:w="6804" w:type="dxa"/>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概览：容灾总览、备份概括、容灾网络、计算资源、存储资源、实时动态。其中容灾总览包括：总设备、演练中、接管中和恢复中等；容灾网络包括：接管网络、EIP、验证网络、PXE网络服务和DHCP等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实时动态包括：客户端名称、客户端IP、备份策略、实时信息和操作等。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8" w:hRule="atLeast"/>
        </w:trPr>
        <w:tc>
          <w:tcPr>
            <w:tcW w:w="1698" w:type="dxa"/>
            <w:vMerge w:val="continue"/>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p>
        </w:tc>
        <w:tc>
          <w:tcPr>
            <w:tcW w:w="6804" w:type="dxa"/>
            <w:tcBorders/>
            <w:tcMar>
              <w:top w:w="28" w:type="dxa"/>
              <w:bottom w:w="28" w:type="dxa"/>
            </w:tcMar>
            <w:vAlign w:val="center"/>
          </w:tcPr>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容灾客户端：客户端名称、IP、引导方式、操作系统、所属租户、状态、上次离线时间、版本和备注等。打开客户端详细信息有基本信息、验证主机、接管主机、引导支持和审计日志等。其中基本信息包括：客户端版本、IP地址、设备描述（CPU、内存、操作系统、BIOS模式、显示器模式、创建者、客户端安装时间和上次离线时间）、设备信息（设备保障类型、设备保障周期、数据保留期限和数据同步策略等）、设备磁盘信息（磁盘结构、容量大小和文件系统类型）和主机网络信息（网络名称、IP地址、网卡类型、网络驱动、MAC和网络速率等）。</w:t>
            </w:r>
          </w:p>
          <w:p>
            <w:pPr>
              <w:tabs>
                <w:tab w:val="left" w:pos="1106"/>
                <w:tab w:val="left" w:pos="2211"/>
                <w:tab w:val="left" w:pos="3317"/>
                <w:tab w:val="left" w:pos="4423"/>
                <w:tab w:val="left" w:pos="5528"/>
                <w:tab w:val="left" w:pos="6634"/>
                <w:tab w:val="left" w:pos="7740"/>
              </w:tabs>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计算资源：节点名称、节点IP、运行中主机数、状态和版本等。计算资源节点展开后有基本信息和审计日志。其中节点基础信息包括：节点设备IP、基础网络、操作系统、BIOS模式、显示器模式、描述、创建者、创建时间、最后操作时间、节点资源情况（已用磁盘容量、已用内存、已用CPU核数、节点保留核数、CPU超分比、验证主机数和接管主机数）、主机网络信息（网络名称、IP地址、网卡类型、网络驱动、MAC和网络速率等）。</w:t>
            </w:r>
          </w:p>
        </w:tc>
      </w:tr>
    </w:tbl>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 负载均衡设备技术指标要求（2台）：</w:t>
      </w:r>
    </w:p>
    <w:tbl>
      <w:tblPr>
        <w:tblStyle w:val="63"/>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62" w:type="pct"/>
            <w:shd w:val="clear" w:color="auto" w:fill="auto"/>
            <w:vAlign w:val="center"/>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指标项</w:t>
            </w:r>
          </w:p>
        </w:tc>
        <w:tc>
          <w:tcPr>
            <w:tcW w:w="4037" w:type="pct"/>
            <w:shd w:val="clear" w:color="auto" w:fill="auto"/>
            <w:vAlign w:val="center"/>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w:t>
            </w:r>
            <w:r>
              <w:rPr>
                <w:rFonts w:hint="eastAsia" w:ascii="仿宋_GB2312" w:hAnsi="仿宋_GB2312" w:eastAsia="仿宋_GB2312" w:cs="仿宋_GB2312"/>
                <w:color w:val="auto"/>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性能要求</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4层吞吐量≥27.5Gbps，四层并发连接数≥38000000，4层新建连接数 CPS≥10000000，7层新建请求数 RPS≥1500000，2U，内存≥32G，硬盘≥480G SSD，冗余电源，≥4千兆电口+8千兆光口SFP+4万兆光口SFP+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设备部署</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支持串接部署方式和旁路部署方式，支持三角传输模式；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多合一功能集成</w:t>
            </w:r>
          </w:p>
        </w:tc>
        <w:tc>
          <w:tcPr>
            <w:tcW w:w="4037" w:type="pct"/>
            <w:tcBorders/>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提供针对多条出口线路的链路负载均衡功能，实现inbound和outbound流量的均衡调度，以及链路之间的冗余互备</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单一设备可同时支持包括链路负载均衡、全局负载均衡和服务器负载均衡的功能。三种功能同时处于激活可使用状态，无需额外购买相应授权</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可编程流量控制</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▲通过某种编程语言（如lua）实现自定义的流量编排，对IP、TCP、UDP、SSL、HTTP和HTTPS等类型的流量进行分发、修改和统计等操作；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962" w:type="pct"/>
            <w:vMerge w:val="restar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链路负载均衡</w:t>
            </w:r>
          </w:p>
        </w:tc>
        <w:tc>
          <w:tcPr>
            <w:tcW w:w="4037" w:type="pct"/>
            <w:tcBorders/>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支持静态IP和PPPOE两种线路接入方式。</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内置完备的IP地址库，无需手动导入并支持自动全网更新，可查看并编辑国内各省份的IP地址段、国内各大运营商IP地址段和国外各个国家IP地址段，并可灵活匹配IP地址库进行流量调度分发，实现链路负载功能；</w:t>
            </w:r>
          </w:p>
          <w:p>
            <w:pPr>
              <w:numPr>
                <w:ilvl w:val="0"/>
                <w:numId w:val="0"/>
              </w:num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▲支持基于URL的链路调度功能，内置不少于10万条的国外URL网址库，无需手动导入并支持自动更新，管理员可查看。可根据URL将访问国外网站的请求调度到指定线路</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上述第3点</w:t>
            </w:r>
            <w:r>
              <w:rPr>
                <w:rFonts w:hint="eastAsia" w:ascii="仿宋_GB2312" w:hAnsi="仿宋_GB2312" w:eastAsia="仿宋_GB2312" w:cs="仿宋_GB2312"/>
                <w:color w:val="auto"/>
                <w:sz w:val="24"/>
                <w:szCs w:val="24"/>
                <w:highlight w:val="none"/>
              </w:rPr>
              <w:t>功能截图。</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支持基于应用协议的智能选路，能对网银、游戏、视频等流量进行调度。</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链路健康检查与服务器健康检查联动，入站负载跟服务器负载结合的时候，如果后端服务器全挂，则入站负载时也认为该虚拟IP（此时要求入站负载的虚拟IP与虚拟服务发布的IP组相同）也离线，从而达到联动效果</w:t>
            </w:r>
            <w:r>
              <w:rPr>
                <w:rFonts w:hint="eastAsia" w:ascii="仿宋_GB2312" w:hAnsi="仿宋_GB2312" w:eastAsia="仿宋_GB2312" w:cs="仿宋_GB2312"/>
                <w:color w:val="auto"/>
                <w:sz w:val="24"/>
                <w:szCs w:val="24"/>
                <w:highlight w:val="none"/>
                <w:lang w:val="en-US"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支持基于链路负荷情况的繁忙保护机制，能根据链路的上行/下行带宽占用率情况执行对出站/入站流量的高级调度策略</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支持链路负载投屏展示，能够分别基于链路监测、应用选路和ISP流量进行投屏展示分析。链路监测展示链路的健康状态、上下行带宽、总带宽、新建连接数、并发连接数和吞吐量；应用选路展示基于应用分类选择相应链路的示意图；ISP展示基于运营商分类选择链路的示意图</w:t>
            </w:r>
            <w:r>
              <w:rPr>
                <w:rFonts w:hint="eastAsia" w:ascii="仿宋_GB2312" w:hAnsi="仿宋_GB2312" w:eastAsia="仿宋_GB2312" w:cs="仿宋_GB2312"/>
                <w:color w:val="auto"/>
                <w:sz w:val="24"/>
                <w:szCs w:val="24"/>
                <w:highlight w:val="none"/>
                <w:lang w:eastAsia="zh-CN"/>
              </w:rPr>
              <w:t>。</w:t>
            </w:r>
          </w:p>
          <w:p>
            <w:pPr>
              <w:numPr>
                <w:ilvl w:val="0"/>
                <w:numId w:val="0"/>
              </w:num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上述第8点</w:t>
            </w:r>
            <w:r>
              <w:rPr>
                <w:rFonts w:hint="eastAsia" w:ascii="仿宋_GB2312" w:hAnsi="仿宋_GB2312" w:eastAsia="仿宋_GB2312" w:cs="仿宋_GB2312"/>
                <w:color w:val="auto"/>
                <w:sz w:val="24"/>
                <w:szCs w:val="24"/>
                <w:highlight w:val="none"/>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6" w:hRule="atLeast"/>
        </w:trPr>
        <w:tc>
          <w:tcPr>
            <w:tcW w:w="962" w:type="pct"/>
            <w:vMerge w:val="restar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服务器负载均衡</w:t>
            </w:r>
          </w:p>
        </w:tc>
        <w:tc>
          <w:tcPr>
            <w:tcW w:w="4037" w:type="pct"/>
            <w:tcBorders/>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支持轮询、加权轮询、按主机加权轮询、加权最小连接、按主机加权最小连接、动态反馈、最快响应时间、加权最小流量、按主机加权最小流量、源IP源端口哈希、源IP哈希、URI哈希和HOST哈希等</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支持常见的主动式健康检查功能，提供基于SNMP、ICMP、SIP、ICMPv6、TCP/UDP、FTP、HTTP、DNS、RADIUS，HTTPS、LDAP、ORACLE/MSSQL/MYSQL数据库等多种类型的探测判断机制</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支持HTTP被动健康检查，可配置指定检查URL、响应状态码、响应超时时间、统计时间以及可设置异常URL上限，并且能开启/关闭调试日志功能</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支持TCP被动健康检查，可配置统计时间、监视类型、保护时间等，并且能开启/关闭调试日志功能。</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支持在同一个虚拟服务下同时配置多个IPv4和IPv6地址。</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▲支持配置每台的业务主机的并发连接数、新建连接数和每秒请求数限制，同时可配置每个虚拟服务的单个IP或所有IP的最大新建和最大并发限制</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上市第6点</w:t>
            </w:r>
            <w:r>
              <w:rPr>
                <w:rFonts w:hint="eastAsia" w:ascii="仿宋_GB2312" w:hAnsi="仿宋_GB2312" w:eastAsia="仿宋_GB2312" w:cs="仿宋_GB2312"/>
                <w:color w:val="auto"/>
                <w:sz w:val="24"/>
                <w:szCs w:val="24"/>
                <w:highlight w:val="none"/>
              </w:rPr>
              <w:t>功能截图。</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服务器负载状态支持投屏展示，能够显示设备的电源状态、风扇转速、磁盘温度、CPU温度、CPU和内存占用率、新建连接数、并发连接数、吞吐情况、SSL新建和SSL吞吐数据、压缩优化和缓存优化数据；业务的健康状态、新建连接数、并发连接数、上下行流量、每秒请求数；节点池的调度算法、健康状态、新建连接数、并发连接数、上下行流量</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全局负载均衡</w:t>
            </w:r>
          </w:p>
        </w:tc>
        <w:tc>
          <w:tcPr>
            <w:tcW w:w="4037" w:type="pct"/>
            <w:tcBorders/>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支持标准的DNS服务，支持正向解析和反向解析功能，支持常用的记录类型，包括A、AAAA、CNAME、DNAME、MX、NS、TXT、PTR、SRV、DS、CAA、HINFO和NAPTR等。</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支持DNS服务部署为主服务器和辅服务器；支持TCP和UDP DNS解析能力，支持设置EDNS缓冲区大小；支持启用/禁用edns-ecs方式提取/插入客户端请求真实源地址</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需要内置互联网公开的根服务器(包括Ipv4和ipv6)，并且可自定义根服务器，支持一键恢复默认值</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支持DNS缓存，可配置全局缓存最小时间和最大时间，并可设置MSG缓存大小、RR缓存大小、密钥缓存大小、否定记录缓存大小和否定记录最大缓存时间。</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支持DNSSEC，支持对区域进行dnssec进行签名，可以指定对区域进行签名的zsk和ksk的列表；支持指定DS记录的签名算法、指定NSEC3哈希算法及迭代次数</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支持DNS RPZ防火墙功能，支持定义RPZ规则来阻止访问受感染的站点，保护用户的网络环境，提高网络安全性，支持NXDOMAIN、NODATA、DROP和CNAME四种动作</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SSL卸载</w:t>
            </w:r>
          </w:p>
        </w:tc>
        <w:tc>
          <w:tcPr>
            <w:tcW w:w="4037" w:type="pct"/>
            <w:shd w:val="clear" w:color="auto" w:fill="auto"/>
            <w:vAlign w:val="center"/>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支持将客户端证书或证书指定的项（Subject、Issuer、Validity、SN、NotBefore、NotAfter、CommonName、PublicKey）插入至HTTP Header或URL或Cookie当中，并且能按照以上三种方式同时插入。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IPv6改造</w:t>
            </w:r>
          </w:p>
        </w:tc>
        <w:tc>
          <w:tcPr>
            <w:tcW w:w="4037" w:type="pct"/>
            <w:tcBorders/>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IPv6支持双栈模式，支持NAT46、NAT64、NAT66、FTP ALG、DNS64等协议转换</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IPv6改造方案能够解决天窗问题，支持一条策略匹配多个外链网站，同时外链和网站子链发生修改时支持自动识别并做主动修改，不允许通过人工解析配置的方式解决天窗问题</w:t>
            </w:r>
            <w:r>
              <w:rPr>
                <w:rFonts w:hint="eastAsia" w:ascii="仿宋_GB2312" w:hAnsi="仿宋_GB2312" w:eastAsia="仿宋_GB2312" w:cs="仿宋_GB2312"/>
                <w:color w:val="auto"/>
                <w:sz w:val="24"/>
                <w:szCs w:val="24"/>
                <w:highlight w:val="none"/>
                <w:lang w:eastAsia="zh-CN"/>
              </w:rPr>
              <w:t>。</w:t>
            </w:r>
          </w:p>
          <w:p>
            <w:pPr>
              <w:numPr>
                <w:numId w:val="0"/>
              </w:num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支持网站页面IP形式和域名形式外部链接的正常访问；支持静态和动态网站页面静态和动态引用站外内容的正常显示</w:t>
            </w:r>
            <w:r>
              <w:rPr>
                <w:rFonts w:hint="eastAsia" w:ascii="仿宋_GB2312" w:hAnsi="仿宋_GB2312" w:eastAsia="仿宋_GB2312" w:cs="仿宋_GB2312"/>
                <w:color w:val="auto"/>
                <w:sz w:val="24"/>
                <w:szCs w:val="24"/>
                <w:highlight w:val="none"/>
                <w:lang w:eastAsia="zh-CN"/>
              </w:rPr>
              <w:t>。</w:t>
            </w:r>
          </w:p>
          <w:p>
            <w:pPr>
              <w:numPr>
                <w:numId w:val="0"/>
              </w:num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支持静态和动态网站页面静态和动态外部链接的无限级正常跳转。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高可用性</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支持双机热备部署方式，可自动同步配置并提供连接会话的镜像功能，实现无缝故障切换</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支持基于链路流量进行有效性判断，能够在预设时间内进行主动探测</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支持高可用集群N+M部署方式，单集群支持16台设备，可自动同步配置并提供连接会话的镜像功能，实现无缝故障切换</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设备虚拟化</w:t>
            </w:r>
          </w:p>
        </w:tc>
        <w:tc>
          <w:tcPr>
            <w:tcW w:w="4037"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支持将一台物理设备从逻辑上划分为多台虚拟设备，各虚拟设备拥有独立的计算资源和网络资源，各虚拟设备可运行不同软件版本，虚拟设备重启或升级时不影响其他虚拟设备的正常运行，虚拟设备宕机可自动重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962" w:type="pct"/>
            <w:shd w:val="clear" w:color="auto" w:fill="auto"/>
          </w:tcPr>
          <w:p>
            <w:pPr>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运维管理</w:t>
            </w:r>
          </w:p>
        </w:tc>
        <w:tc>
          <w:tcPr>
            <w:tcW w:w="4037" w:type="pct"/>
            <w:tcBorders/>
            <w:shd w:val="clear" w:color="auto" w:fill="auto"/>
          </w:tcPr>
          <w:p>
            <w:pPr>
              <w:jc w:val="left"/>
              <w:textAlignment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支持全中文管理界面和HTTPS方式登录、用户角色管理、多级授权管理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 </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支持大数据输出功能，输出必须包括客户端IP、x-forwarded-For IP、访问时间、访问IP、访问URL、响应时间和资源大小</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支持命令行配置，支持Tab键补全操作，支持界面全部模块通过命令行的模式配置，支持命令批量操作，支持配置导入导出命令行操作</w:t>
            </w:r>
            <w:r>
              <w:rPr>
                <w:rFonts w:hint="eastAsia" w:ascii="仿宋_GB2312" w:hAnsi="仿宋_GB2312" w:eastAsia="仿宋_GB2312" w:cs="仿宋_GB2312"/>
                <w:color w:val="auto"/>
                <w:sz w:val="24"/>
                <w:szCs w:val="24"/>
                <w:highlight w:val="none"/>
                <w:lang w:eastAsia="zh-CN"/>
              </w:rPr>
              <w:t>。</w:t>
            </w:r>
          </w:p>
          <w:p>
            <w:pPr>
              <w:jc w:val="left"/>
              <w:textAlignment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内置智能告警系统, 支持E-mail、SNMP Trap两种告警方式，管理员可基于业务安全所关注方面来选择告警触发事件与对应的告警方式，当业务网络环境中发生问题时（如服务器宕机、网络攻击、链路中断等故障场景），即会自动向管理员发送告警信息</w:t>
            </w:r>
            <w:r>
              <w:rPr>
                <w:rFonts w:hint="eastAsia" w:ascii="仿宋_GB2312" w:hAnsi="仿宋_GB2312" w:eastAsia="仿宋_GB2312" w:cs="仿宋_GB2312"/>
                <w:color w:val="auto"/>
                <w:sz w:val="24"/>
                <w:szCs w:val="24"/>
                <w:highlight w:val="none"/>
                <w:lang w:eastAsia="zh-CN"/>
              </w:rPr>
              <w:t>。</w:t>
            </w:r>
          </w:p>
        </w:tc>
      </w:tr>
    </w:tbl>
    <w:p>
      <w:pPr>
        <w:spacing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相关要求：</w:t>
      </w:r>
    </w:p>
    <w:p>
      <w:pPr>
        <w:spacing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必须保证所有设备为原装正规渠道行货,有原厂服务，如有需要供货时提供正规渠道证明，所有产品均原包装到用户，当场开箱验货.同时提供该设备相关技术参数说明，如与所投产品技术要求不符,</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有权退货并且一切后果由中标人承担。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w:t>
      </w:r>
      <w:r>
        <w:rPr>
          <w:rFonts w:hint="eastAsia" w:ascii="仿宋_GB2312" w:hAnsi="仿宋_GB2312" w:eastAsia="仿宋_GB2312" w:cs="仿宋_GB2312"/>
          <w:color w:val="auto"/>
          <w:sz w:val="24"/>
          <w:szCs w:val="24"/>
          <w:highlight w:val="none"/>
          <w:lang w:val="en-US" w:eastAsia="zh-CN"/>
        </w:rPr>
        <w:t>文件</w:t>
      </w:r>
      <w:r>
        <w:rPr>
          <w:rFonts w:hint="eastAsia" w:ascii="仿宋_GB2312" w:hAnsi="仿宋_GB2312" w:eastAsia="仿宋_GB2312" w:cs="仿宋_GB2312"/>
          <w:color w:val="auto"/>
          <w:sz w:val="24"/>
          <w:szCs w:val="24"/>
          <w:highlight w:val="none"/>
        </w:rPr>
        <w:t>中项目团队工程师，承诺中标后项目团队人员在项目实施过程中须到采购人现场进行项目实施，</w:t>
      </w:r>
      <w:r>
        <w:rPr>
          <w:rFonts w:hint="eastAsia" w:ascii="仿宋_GB2312" w:hAnsi="仿宋_GB2312" w:eastAsia="仿宋_GB2312" w:cs="仿宋_GB2312"/>
          <w:color w:val="auto"/>
          <w:sz w:val="24"/>
          <w:szCs w:val="24"/>
          <w:highlight w:val="none"/>
          <w:lang w:val="en-US" w:eastAsia="zh-CN"/>
        </w:rPr>
        <w:t>提</w:t>
      </w:r>
      <w:r>
        <w:rPr>
          <w:rFonts w:hint="eastAsia" w:ascii="仿宋_GB2312" w:hAnsi="仿宋_GB2312" w:eastAsia="仿宋_GB2312" w:cs="仿宋_GB2312"/>
          <w:color w:val="auto"/>
          <w:sz w:val="24"/>
          <w:szCs w:val="24"/>
          <w:highlight w:val="none"/>
        </w:rPr>
        <w:t>供承诺书（格式自拟）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提供项目组成员资质证明及本单位社保缴纳证明，否则采购人将终止合同。如发现项目存在转包情况，取消其中标资格由此产生的一切后果中标人自行承担。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3.中标人在供货时提供服务器、灾备一体机（CDP）、负载均衡设备的原厂五年保修承诺函原件及 (复印件无效，服务承诺书要求有明确服务年限)。由原厂授权工程师和原厂认证工程师到本地完成招标设备安装及虚拟平台安装、数据迁移、内外网络安全等配置调整工作,不得影响原有业务系统，要求做好原有系统相关的原有服务器存储网络安全系统配置及版本升级等工作，本项目涉及</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内部业务系统及原有设备调整，中标人必须保证原有系统正常营业，如需现有系统厂商协助请自行协商，由此产生的相关费用由中标人自行承担。</w:t>
      </w:r>
    </w:p>
    <w:p>
      <w:pPr>
        <w:spacing w:line="4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4.到货期：中标人在合同签订之日起20个工作日内全部设备配送到位（</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根据工程进度需要延迟的除外），开箱验收后根椐</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要求完成安装调试，安装过程中</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不负责保管，直至系统正式上线的所有费用均包含在产品费用内，不另行支付。</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三、项目实施安装地址:</w:t>
      </w:r>
    </w:p>
    <w:p>
      <w:pPr>
        <w:pStyle w:val="26"/>
        <w:ind w:left="0" w:leftChars="0"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安装地址：绍兴市人民医院，实际安装地址根据采购人要求安装。</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四、项目培训要求:</w:t>
      </w:r>
    </w:p>
    <w:p>
      <w:pPr>
        <w:spacing w:line="360" w:lineRule="auto"/>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系统操作培训：主要面向使用人员，提供操作培训及文档；</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五、项目售后服务要求: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(1)投标人必须根据本次招标文件所制定的目标和范围，提出相应的售后服务方案。</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(2)提供7*24小时日常服务，通过提供邮件、电话、QQ、VPN远程连接等技术支持方式，以解决日常系统出现的问题咨询和故障处理。当</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出现紧急故障情况时，立即向投标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电话报修，要求投标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10分钟内响应，积极配合诊断并进行处理。</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(3)免费质保期：自项目验收之日起，为期五年。</w:t>
      </w:r>
    </w:p>
    <w:p>
      <w:pP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六、项目验收要求:</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项目的工作内容及成果文档的提交应覆盖以下内容，电子文档是成果不可分割的部分。</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(1)实施确认书；</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(2)培训资料；</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(3)安装维护手册；</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(4)使用操作手册；</w:t>
      </w:r>
    </w:p>
    <w:p>
      <w:p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(5)硬件设备需提供原厂质保函。</w:t>
      </w:r>
    </w:p>
    <w:p>
      <w:pPr>
        <w:spacing w:line="360" w:lineRule="auto"/>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(6)项目验收报告。</w:t>
      </w:r>
    </w:p>
    <w:p>
      <w:p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七、付款方式：</w:t>
      </w:r>
    </w:p>
    <w:p>
      <w:pPr>
        <w:snapToGrid w:val="0"/>
        <w:spacing w:line="440" w:lineRule="exact"/>
        <w:ind w:firstLine="480"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zh-CN"/>
        </w:rPr>
        <w:t>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ascii="仿宋_GB2312"/>
          <w:color w:val="auto"/>
          <w:sz w:val="24"/>
          <w:highlight w:val="none"/>
        </w:rPr>
      </w:pP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2232"/>
      <w:bookmarkStart w:id="12" w:name="_Toc24059"/>
      <w:bookmarkStart w:id="13" w:name="_Toc3029"/>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1295"/>
      <w:bookmarkStart w:id="15" w:name="_Toc27126"/>
      <w:bookmarkStart w:id="16" w:name="_Toc24300"/>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1551"/>
      <w:bookmarkStart w:id="18" w:name="_Toc23292"/>
      <w:bookmarkStart w:id="19" w:name="_Toc21631"/>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10340"/>
      <w:bookmarkStart w:id="21" w:name="_Toc1814"/>
      <w:bookmarkStart w:id="22" w:name="_Toc22618"/>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2846"/>
      <w:bookmarkStart w:id="24" w:name="_Toc19304"/>
      <w:bookmarkStart w:id="25" w:name="_Toc32071"/>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1423"/>
      <w:bookmarkStart w:id="27" w:name="_Toc27250"/>
      <w:bookmarkStart w:id="28" w:name="_Toc19554"/>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28375"/>
      <w:bookmarkStart w:id="30" w:name="_Toc16021"/>
      <w:bookmarkStart w:id="31" w:name="_Toc15583"/>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2" w:name="_Toc7245"/>
      <w:bookmarkStart w:id="33" w:name="_Toc11173"/>
      <w:bookmarkStart w:id="34" w:name="_Toc15322"/>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Ref467379101"/>
      <w:bookmarkStart w:id="36" w:name="_Toc28763"/>
      <w:bookmarkStart w:id="37" w:name="_Ref467379205"/>
      <w:bookmarkStart w:id="38" w:name="_Toc16917"/>
      <w:bookmarkStart w:id="39" w:name="_Ref467379195"/>
      <w:bookmarkStart w:id="40" w:name="_Toc487900349"/>
      <w:bookmarkStart w:id="41" w:name="_Ref467379225"/>
      <w:bookmarkStart w:id="42" w:name="_Toc279701240"/>
      <w:bookmarkStart w:id="43" w:name="_Ref467379094"/>
      <w:bookmarkStart w:id="44" w:name="_Toc259093669"/>
      <w:bookmarkStart w:id="45" w:name="_Ref467379109"/>
      <w:bookmarkStart w:id="46" w:name="_Ref467378404"/>
      <w:bookmarkStart w:id="47" w:name="_Ref467378499"/>
      <w:bookmarkStart w:id="48" w:name="_Toc19614"/>
      <w:bookmarkStart w:id="49" w:name="_Ref467379214"/>
      <w:bookmarkStart w:id="50" w:name="_Ref467378463"/>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32504"/>
      <w:bookmarkStart w:id="55" w:name="_Toc13336"/>
      <w:bookmarkStart w:id="56" w:name="_Toc279701241"/>
      <w:bookmarkStart w:id="57" w:name="_Toc487900350"/>
      <w:bookmarkStart w:id="58" w:name="_Toc27635"/>
      <w:bookmarkStart w:id="59" w:name="_Toc259093670"/>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259093671"/>
      <w:bookmarkStart w:id="61" w:name="_Toc487900351"/>
      <w:bookmarkStart w:id="62" w:name="_Toc27853"/>
      <w:bookmarkStart w:id="63" w:name="_Toc9829"/>
      <w:bookmarkStart w:id="64" w:name="_Toc31634"/>
      <w:bookmarkStart w:id="65" w:name="_Toc279701242"/>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11932"/>
      <w:bookmarkStart w:id="67" w:name="_Toc4194"/>
      <w:bookmarkStart w:id="68" w:name="_Toc29149"/>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Toc279701245"/>
      <w:bookmarkStart w:id="70" w:name="_Ref467379536"/>
      <w:bookmarkStart w:id="71" w:name="_Ref467379542"/>
      <w:bookmarkStart w:id="72" w:name="_Ref467379527"/>
      <w:bookmarkStart w:id="73" w:name="_Toc487900354"/>
      <w:bookmarkStart w:id="74" w:name="_Toc259093674"/>
      <w:bookmarkStart w:id="75" w:name="_Ref467378541"/>
      <w:bookmarkStart w:id="76" w:name="_Ref467378591"/>
      <w:bookmarkStart w:id="77" w:name="_Toc19074"/>
      <w:bookmarkStart w:id="78" w:name="_Toc30272"/>
      <w:bookmarkStart w:id="79" w:name="_Toc26182"/>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259093676"/>
      <w:bookmarkStart w:id="83" w:name="_Toc279701247"/>
      <w:bookmarkStart w:id="84" w:name="_Ref467379807"/>
      <w:bookmarkStart w:id="85" w:name="_Toc487900357"/>
      <w:bookmarkStart w:id="86" w:name="_Ref467379793"/>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Ref467379923"/>
      <w:bookmarkStart w:id="89" w:name="_Toc259093677"/>
      <w:bookmarkStart w:id="90" w:name="_Ref467379852"/>
      <w:bookmarkStart w:id="91" w:name="_Toc279701248"/>
      <w:bookmarkStart w:id="92" w:name="_Ref467379863"/>
      <w:bookmarkStart w:id="93" w:name="_Toc487900358"/>
      <w:bookmarkStart w:id="94" w:name="_Toc774"/>
      <w:bookmarkStart w:id="95" w:name="_Toc16110"/>
      <w:bookmarkStart w:id="96" w:name="_Toc3225"/>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487900362"/>
      <w:bookmarkStart w:id="100" w:name="_Toc279701252"/>
      <w:bookmarkStart w:id="101" w:name="_Toc259093681"/>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Toc259093683"/>
      <w:bookmarkStart w:id="105" w:name="_Ref467378121"/>
      <w:bookmarkStart w:id="106" w:name="_Toc279701254"/>
      <w:bookmarkStart w:id="107" w:name="_Toc487900364"/>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10366"/>
      <w:bookmarkStart w:id="112" w:name="_Toc15237"/>
      <w:bookmarkStart w:id="113" w:name="_Toc22955"/>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3566"/>
      <w:bookmarkStart w:id="115" w:name="_Toc14066"/>
      <w:bookmarkStart w:id="116" w:name="_Toc16508"/>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689"/>
      <w:bookmarkStart w:id="118" w:name="_Toc259093684"/>
      <w:bookmarkStart w:id="119" w:name="_Toc487900365"/>
      <w:bookmarkStart w:id="120" w:name="_Toc30676"/>
      <w:bookmarkStart w:id="121" w:name="_Toc6969"/>
      <w:bookmarkStart w:id="122" w:name="_Toc279701255"/>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8298"/>
      <w:bookmarkStart w:id="124" w:name="_Toc259093687"/>
      <w:bookmarkStart w:id="125" w:name="_Toc279701258"/>
      <w:bookmarkStart w:id="126" w:name="_Toc487900368"/>
      <w:bookmarkStart w:id="127" w:name="_Toc7102"/>
      <w:bookmarkStart w:id="128" w:name="_Toc16959"/>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6134"/>
      <w:bookmarkStart w:id="130" w:name="_Toc15387"/>
      <w:bookmarkStart w:id="131" w:name="_Toc29333"/>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14563"/>
      <w:bookmarkStart w:id="133" w:name="_Toc1125"/>
      <w:bookmarkStart w:id="134" w:name="_Toc6596"/>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279701261"/>
      <w:bookmarkStart w:id="136" w:name="_Toc259093690"/>
      <w:bookmarkStart w:id="137" w:name="_Toc487900371"/>
      <w:bookmarkStart w:id="138" w:name="_Toc25182"/>
      <w:bookmarkStart w:id="139" w:name="_Toc11284"/>
      <w:bookmarkStart w:id="140" w:name="_Toc1960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259093691"/>
      <w:bookmarkStart w:id="144" w:name="_Toc487900372"/>
      <w:bookmarkStart w:id="145"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128"/>
      <w:bookmarkStart w:id="147"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30599"/>
      <w:bookmarkStart w:id="149" w:name="_Toc4355"/>
      <w:bookmarkStart w:id="150" w:name="_Toc18540"/>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18567"/>
      <w:bookmarkStart w:id="152" w:name="_Toc487900373"/>
      <w:bookmarkStart w:id="153" w:name="_Toc12773"/>
      <w:bookmarkStart w:id="154" w:name="_Toc259093692"/>
      <w:bookmarkStart w:id="155" w:name="_Toc10330"/>
      <w:bookmarkStart w:id="156" w:name="_Toc27970126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6885"/>
      <w:bookmarkStart w:id="158" w:name="_Toc19890"/>
      <w:bookmarkStart w:id="159" w:name="_Toc14001"/>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5311" w:type="pct"/>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391"/>
        <w:gridCol w:w="6749"/>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44"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val="en-US" w:eastAsia="zh-CN"/>
              </w:rPr>
            </w:pPr>
            <w:r>
              <w:rPr>
                <w:rFonts w:hint="eastAsia" w:ascii="仿宋_GB2312" w:hAnsi="仿宋" w:eastAsia="仿宋_GB2312" w:cs="仿宋"/>
                <w:b/>
                <w:bCs/>
                <w:color w:val="auto"/>
                <w:kern w:val="0"/>
                <w:sz w:val="24"/>
                <w:highlight w:val="none"/>
              </w:rPr>
              <w:t>序号</w:t>
            </w:r>
          </w:p>
        </w:tc>
        <w:tc>
          <w:tcPr>
            <w:tcW w:w="1391"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评分项</w:t>
            </w:r>
          </w:p>
        </w:tc>
        <w:tc>
          <w:tcPr>
            <w:tcW w:w="6749"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评审依据及标准</w:t>
            </w:r>
          </w:p>
        </w:tc>
        <w:tc>
          <w:tcPr>
            <w:tcW w:w="762" w:type="dxa"/>
            <w:noWrap/>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 w:eastAsia="仿宋_GB2312" w:cs="仿宋"/>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技术指标</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技术参数响应情况：对应于招标文件第三部分招标项目范围及要求——8.招标项目设备名称及数量——“二、详细技术参数”，完全满足指标参数得</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分。打“★”号的性能指标为实质性指标，若出现负偏离作无效标处理；打“▲”为主要性能指标，每有一项负偏离扣3分；其他指标，每有一项负偏离扣1分，扣完为止。</w:t>
            </w:r>
          </w:p>
        </w:tc>
        <w:tc>
          <w:tcPr>
            <w:tcW w:w="762"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w:t>
            </w:r>
          </w:p>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资质</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投标人具有信息技术服务管理体系认证证书的得1分</w:t>
            </w:r>
            <w:r>
              <w:rPr>
                <w:rFonts w:hint="eastAsia" w:ascii="仿宋_GB2312" w:hAnsi="仿宋_GB2312" w:eastAsia="仿宋_GB2312" w:cs="仿宋_GB2312"/>
                <w:color w:val="auto"/>
                <w:sz w:val="24"/>
                <w:szCs w:val="24"/>
                <w:highlight w:val="none"/>
                <w:lang w:eastAsia="zh-CN"/>
              </w:rPr>
              <w:t>；</w:t>
            </w:r>
          </w:p>
          <w:p>
            <w:pPr>
              <w:spacing w:line="276" w:lineRule="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投标人具有信息安全管理体系认证证书的得1分</w:t>
            </w:r>
            <w:r>
              <w:rPr>
                <w:rFonts w:hint="eastAsia" w:ascii="仿宋_GB2312" w:hAnsi="仿宋_GB2312" w:eastAsia="仿宋_GB2312" w:cs="仿宋_GB2312"/>
                <w:color w:val="auto"/>
                <w:sz w:val="24"/>
                <w:szCs w:val="24"/>
                <w:highlight w:val="none"/>
                <w:lang w:eastAsia="zh-CN"/>
              </w:rPr>
              <w:t>；</w:t>
            </w:r>
          </w:p>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投标人具有质量管理体系认证证书的得 1分。</w:t>
            </w:r>
          </w:p>
          <w:p>
            <w:pPr>
              <w:spacing w:line="276" w:lineRule="auto"/>
              <w:rPr>
                <w:rFonts w:hint="default" w:eastAsia="仿宋_GB2312"/>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注：以上证书提供电子扫描件。</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6" w:hRule="atLeast"/>
        </w:trPr>
        <w:tc>
          <w:tcPr>
            <w:tcW w:w="844" w:type="dxa"/>
            <w:noWrap/>
            <w:vAlign w:val="center"/>
          </w:tcPr>
          <w:p>
            <w:pPr>
              <w:spacing w:line="276"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项目团队工程师</w:t>
            </w:r>
          </w:p>
        </w:tc>
        <w:tc>
          <w:tcPr>
            <w:tcW w:w="6749"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、投标人项目团队工程师具有所投服务器设备原厂认证工程师，每有一名得0.5分，最高得1分，不提供不得分。</w:t>
            </w:r>
          </w:p>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、投标人项目团队工程师具有中国网络安全审查技术与认证中心颁发的信息安全保障人员认证证书（CISAW），每有一名得0.5分，最高得1分，不提供不得分。</w:t>
            </w:r>
          </w:p>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、投标人项目团队工程师具有工信部ITSS IT服务人员，每一名得0.5分，最高得1分，不提供不得分。</w:t>
            </w:r>
          </w:p>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注：以上所涉及的项目团队工程师需提供相关工程师证书扫描件及本单位社保缴纳证明，同一工程师持有多个证书不能重复得分，按单项的最高分得分。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391"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产品质量控制</w:t>
            </w:r>
          </w:p>
        </w:tc>
        <w:tc>
          <w:tcPr>
            <w:tcW w:w="6749" w:type="dxa"/>
            <w:noWrap/>
            <w:vAlign w:val="center"/>
          </w:tcPr>
          <w:p>
            <w:pPr>
              <w:spacing w:line="276"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投标人按采购人要求提供的有明确的质量保证目标，具备完整的质量管控和保证措施，具备完整的项目风险控制手段和机制，具有详细的应急方案等进行打分，0-5分。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数据迁移方案</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根据投标人提供的针对本项目不停机数据库、虚拟机的迁移和切换方案进行打分，方案需考虑到不影响采购人正常业务前提下进行数据迁移，0-5分。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案例</w:t>
            </w:r>
          </w:p>
        </w:tc>
        <w:tc>
          <w:tcPr>
            <w:tcW w:w="6749" w:type="dxa"/>
            <w:noWrap/>
            <w:vAlign w:val="center"/>
          </w:tcPr>
          <w:p>
            <w:pPr>
              <w:pStyle w:val="26"/>
              <w:keepNext w:val="0"/>
              <w:keepLines w:val="0"/>
              <w:pageBreakBefore w:val="0"/>
              <w:widowControl w:val="0"/>
              <w:kinsoku/>
              <w:wordWrap/>
              <w:overflowPunct/>
              <w:topLinePunct w:val="0"/>
              <w:autoSpaceDE/>
              <w:autoSpaceDN/>
              <w:bidi w:val="0"/>
              <w:adjustRightInd/>
              <w:snapToGrid/>
              <w:spacing w:line="276" w:lineRule="auto"/>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投标人自2021年1月1日以来（以合同签订时间为准）完成的同类案例，每有1个得1分，满分4分。</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2"/>
                <w:sz w:val="24"/>
                <w:szCs w:val="24"/>
                <w:highlight w:val="none"/>
                <w:lang w:val="en-US" w:eastAsia="zh-CN" w:bidi="ar-SA"/>
              </w:rPr>
              <w:t>注：每个案例提供合同复印件加盖投标人公章。</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vMerge w:val="restart"/>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391" w:type="dxa"/>
            <w:vMerge w:val="restart"/>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售后服务情况</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根据投标人提供的本地化服务能力方案，包括售后响应能力、响应时效等情况进行打分，0-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vMerge w:val="continue"/>
            <w:noWrap/>
            <w:vAlign w:val="center"/>
          </w:tcPr>
          <w:p>
            <w:pPr>
              <w:spacing w:line="276" w:lineRule="auto"/>
              <w:jc w:val="center"/>
              <w:rPr>
                <w:rFonts w:hint="eastAsia" w:ascii="仿宋_GB2312" w:hAnsi="仿宋_GB2312" w:eastAsia="仿宋_GB2312" w:cs="仿宋_GB2312"/>
                <w:color w:val="auto"/>
                <w:sz w:val="24"/>
                <w:szCs w:val="24"/>
                <w:highlight w:val="none"/>
              </w:rPr>
            </w:pPr>
          </w:p>
        </w:tc>
        <w:tc>
          <w:tcPr>
            <w:tcW w:w="1391" w:type="dxa"/>
            <w:vMerge w:val="continue"/>
            <w:noWrap/>
            <w:vAlign w:val="center"/>
          </w:tcPr>
          <w:p>
            <w:pPr>
              <w:spacing w:line="276" w:lineRule="auto"/>
              <w:jc w:val="center"/>
              <w:rPr>
                <w:rFonts w:hint="eastAsia" w:ascii="仿宋_GB2312" w:hAnsi="仿宋_GB2312" w:eastAsia="仿宋_GB2312" w:cs="仿宋_GB2312"/>
                <w:color w:val="auto"/>
                <w:sz w:val="24"/>
                <w:szCs w:val="24"/>
                <w:highlight w:val="none"/>
              </w:rPr>
            </w:pP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根据投标人质保期内、质保期外的免费延保、培训计划及所承诺提供服务对故障的响应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解决问题的方案等进行打分，0-4分。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4" w:type="dxa"/>
            <w:noWrap/>
            <w:vAlign w:val="center"/>
          </w:tcPr>
          <w:p>
            <w:pPr>
              <w:spacing w:line="276"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391" w:type="dxa"/>
            <w:noWrap/>
            <w:vAlign w:val="center"/>
          </w:tcPr>
          <w:p>
            <w:pPr>
              <w:spacing w:line="276"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实质性优惠</w:t>
            </w:r>
          </w:p>
        </w:tc>
        <w:tc>
          <w:tcPr>
            <w:tcW w:w="6749" w:type="dxa"/>
            <w:noWrap/>
            <w:vAlign w:val="center"/>
          </w:tcPr>
          <w:p>
            <w:pPr>
              <w:spacing w:line="276" w:lineRule="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根据投标人提供的对项目具有实质性优惠措施（不包括价格优惠）进行打分，0-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c>
          <w:tcPr>
            <w:tcW w:w="762" w:type="dxa"/>
            <w:noWrap/>
            <w:vAlign w:val="center"/>
          </w:tcPr>
          <w:p>
            <w:pPr>
              <w:spacing w:line="276" w:lineRule="auto"/>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highlight w:val="none"/>
        </w:rPr>
      </w:pPr>
      <w:r>
        <w:rPr>
          <w:rFonts w:hint="eastAsia" w:ascii="仿宋_GB2312" w:hAnsi="宋体" w:eastAsia="仿宋_GB2312"/>
          <w:bCs/>
          <w:iCs/>
          <w:color w:val="auto"/>
          <w:sz w:val="24"/>
          <w:highlight w:val="none"/>
        </w:rPr>
        <w:t>即：投标报价得分=(评标基准价／投标报价)×40</w:t>
      </w:r>
      <w:bookmarkEnd w:id="5"/>
      <w:bookmarkEnd w:id="6"/>
      <w:bookmarkEnd w:id="7"/>
      <w:bookmarkEnd w:id="8"/>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绍兴市人民医院服务器及网络安全设备购置项目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2024-06-0064</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绍兴市人民医院服务器及网络安全设备购置项目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2024-06-0064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绍兴市人民医院服务器及网络安全设备购置项目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2024-06-0064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绍兴市人民医院服务器及网络安全设备购置项目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2024-06-0064</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4" w:name="OLE_LINK14"/>
      <w:bookmarkStart w:id="165"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2024-06-0064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6DD10B4"/>
    <w:rsid w:val="19CF064A"/>
    <w:rsid w:val="20D55CB9"/>
    <w:rsid w:val="22BE521A"/>
    <w:rsid w:val="23583EB2"/>
    <w:rsid w:val="2989420F"/>
    <w:rsid w:val="2FA54326"/>
    <w:rsid w:val="34C2088E"/>
    <w:rsid w:val="3772612D"/>
    <w:rsid w:val="44A3398C"/>
    <w:rsid w:val="5CBB66D7"/>
    <w:rsid w:val="60B56BB2"/>
    <w:rsid w:val="6354267E"/>
    <w:rsid w:val="6A1C0CA6"/>
    <w:rsid w:val="6A261A93"/>
    <w:rsid w:val="6EDB63E4"/>
    <w:rsid w:val="711918CC"/>
    <w:rsid w:val="72E87C49"/>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25</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amin</cp:lastModifiedBy>
  <cp:lastPrinted>2023-07-24T23:14:00Z</cp:lastPrinted>
  <dcterms:modified xsi:type="dcterms:W3CDTF">2024-06-07T07:57:30Z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