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绍兴市中医院保安服务项目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2024-12-0152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eastAsia="zh-CN"/>
              </w:rPr>
              <w:t>十二</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绍兴市中医院保安服务项目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2024-12-0152</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绍兴市中医院保安服务项目</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304</w:t>
            </w:r>
            <w:r>
              <w:rPr>
                <w:rFonts w:hint="eastAsia" w:ascii="仿宋_GB2312" w:hAnsi="新宋体" w:eastAsia="仿宋_GB2312"/>
                <w:color w:val="auto"/>
                <w:szCs w:val="24"/>
                <w:highlight w:val="none"/>
              </w:rPr>
              <w:t>0000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304</w:t>
            </w:r>
            <w:r>
              <w:rPr>
                <w:rFonts w:hint="eastAsia" w:ascii="仿宋_GB2312" w:hAnsi="新宋体" w:eastAsia="仿宋_GB2312"/>
                <w:color w:val="auto"/>
                <w:szCs w:val="24"/>
                <w:highlight w:val="none"/>
              </w:rPr>
              <w:t>0000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保安服务项目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304</w:t>
            </w:r>
            <w:r>
              <w:rPr>
                <w:rFonts w:hint="eastAsia" w:ascii="仿宋_GB2312" w:hAnsi="新宋体" w:eastAsia="仿宋_GB2312"/>
                <w:color w:val="auto"/>
                <w:szCs w:val="24"/>
                <w:highlight w:val="none"/>
              </w:rPr>
              <w:t>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11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422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4.本项目的特定资格要求：具有有效的</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保安服务许可证</w:t>
            </w:r>
            <w:r>
              <w:rPr>
                <w:rFonts w:hint="eastAsia" w:ascii="仿宋_GB2312" w:hAnsi="新宋体" w:eastAsia="仿宋_GB2312"/>
                <w:color w:val="auto"/>
                <w:szCs w:val="24"/>
                <w:highlight w:val="none"/>
                <w:lang w:eastAsia="zh-CN"/>
              </w:rPr>
              <w:t>》</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5</w:t>
            </w:r>
            <w:r>
              <w:rPr>
                <w:rFonts w:hint="eastAsia" w:ascii="仿宋_GB2312" w:hAnsi="新宋体" w:eastAsia="仿宋_GB2312"/>
                <w:color w:val="auto"/>
                <w:szCs w:val="24"/>
                <w:highlight w:val="none"/>
                <w:u w:val="single"/>
              </w:rPr>
              <w:t>年 月 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绍兴市中医院</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地址：绍兴市人民中路641号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项目联系人（询问）：徐华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项目联系方式（询问）：0575-89107223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质疑联系人：周琴华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0575-89107189</w:t>
            </w:r>
            <w:r>
              <w:rPr>
                <w:rFonts w:hint="eastAsia" w:ascii="仿宋_GB2312" w:hAnsi="新宋体" w:eastAsia="仿宋_GB2312"/>
                <w:color w:val="auto"/>
                <w:szCs w:val="24"/>
                <w:highlight w:val="none"/>
              </w:rPr>
              <w:t xml:space="preserve">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928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4748135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655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5518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74748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4746342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4748122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47475354"/>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ind w:left="0" w:leftChars="0" w:firstLine="0" w:firstLine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3"/>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2"/>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2"/>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3"/>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5.</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0157775"/>
      <w:bookmarkStart w:id="6" w:name="_Toc81372964"/>
      <w:bookmarkStart w:id="7" w:name="_Toc81372787"/>
      <w:bookmarkStart w:id="8" w:name="_Toc84325981"/>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保安服务项目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304</w:t>
      </w:r>
      <w:r>
        <w:rPr>
          <w:rFonts w:hint="eastAsia" w:ascii="仿宋_GB2312" w:hAnsi="新宋体" w:eastAsia="仿宋_GB2312" w:cs="Arial"/>
          <w:b/>
          <w:bCs/>
          <w:color w:val="auto"/>
          <w:sz w:val="24"/>
          <w:highlight w:val="none"/>
        </w:rPr>
        <w:t>万元）</w:t>
      </w:r>
      <w:bookmarkStart w:id="9" w:name="_Toc32678"/>
      <w:bookmarkStart w:id="10" w:name="_Toc7206"/>
    </w:p>
    <w:bookmarkEnd w:id="9"/>
    <w:bookmarkEnd w:id="10"/>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 xml:space="preserve">（一）基本情况 </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绍兴市中医院是一所融中西医医疗、急救、教学、科研、预防、保健、康复为一体的综合性三级甲等中医医院，是浙江中医药大学附属医院、浙江省首批中医名院建设单位、绍兴市惠民医院。医院占地65亩，总建筑面积104880平方米，其中1号楼5036㎡,2号楼6679㎡,3号楼18045㎡,4号楼17905㎡,5号楼9643㎡,6、7、8、9号楼63160㎡；医院出入口为2进3出；集体宿舍位于解放北路186号和府山西路99号，约有80间宿舍。</w:t>
      </w:r>
    </w:p>
    <w:p>
      <w:pPr>
        <w:spacing w:line="440" w:lineRule="exact"/>
        <w:ind w:firstLine="472" w:firstLineChars="196"/>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（二）楼层布置</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1号楼，共5层：地下室为机动车停放区，三层为病案室；四层为科教办公区域；五层为工会活动室；六层为大会议室及办公区域。</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2.2行政后勤楼（2号楼），共7层：地下室为非机动车停放区；一层-六层为行政后勤办公区域。</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2.3门诊住院楼（3号楼），共7层：地下室为机动车停放区；一层为血透室；二层-六层为病区。</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2.4急诊住院楼（4号楼），共7层：地下室为机动车停放区、一层为急诊区域；二层为留观病房及输液大厅等；三层-六层为病区。</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2.5住院楼（5号楼），共6层：一层为静配中心、住院药房、住院综合办理处等；二层-五层为病区；六层为病理科。</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门诊、医技、中医、住院楼（6号楼、8号楼），共6层：地下室为机动车停放区、一层为门诊服务中心、骨伤科诊区、儿科、放射科、中药房、西药房、颗粒剂药房、挂号收费、中医传统疗法中心等；二层为筋伤中心、外科诊区、内科诊区、治未病中心、推拿科、医学检验中心、功能科、超声科、供应室、体检中心等；三层为妇科、皮肤科、中医美容科、手术室、重症医学科、内镜中心、挂号收费；四层为创伤骨科（一）病区、创伤骨科（二）病区；五层为脊柱、骨肿瘤科病区、关节、运动医学科病区。</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2.7越医博物馆（7号楼）：中医内科、名医馆、中医（越医）展示。</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2.8后勤楼（9号楼），共4层：一层为食堂操作间、药膳餐厅，二层为职工餐厅；三-四层为高知宿舍；屋顶为篮球场。</w:t>
      </w:r>
    </w:p>
    <w:p>
      <w:pPr>
        <w:spacing w:line="440" w:lineRule="exact"/>
        <w:ind w:firstLine="470" w:firstLineChars="196"/>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2.9职工集体宿舍楼2处。（地址为绍兴市越城区解放北路186号和府山西路99号）</w:t>
      </w: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（三）保安服务内容</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负责投标人安全和维护，包括治安、保卫、防火、防盗、防诈骗、防破坏、车辆进出和停放管理等工作，协助采购人处理发生在投标人内的突发性事件，防范和制止损害投标人安全的行为和事件发生，维护投标人的安全和公共秩序，并负责投标人大型活动的安全保卫工作，以及配合好投标人消防管理、培训、演练等工作。确保治安、刑事、消防案件发生率为零。具体如下：</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3.1投标人各出入口管理。（车辆、人员等）。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3.2按规定线路、时间巡逻检查。(门窗关闭、劝烟、公共区域空调、照明开关及公共区域设施设备运行异常上报等）。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3.3维护地面、地下车辆行驶、停泊秩序。</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3.4每日消防、治安防范巡查及火警的初期处理。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3.5医疗纠纷现场维护，院内区域秩序维护，确保医务人员安全。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3.6其它属于保安服务范围内的工作以及采购人临时交办的任务等。</w:t>
      </w: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（四）保安服务标准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4.1总体要求：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4.1.1严格按照相关岗位职责及操作规范执行。</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4.1.2各岗位人员均应经过专业培训，熟练掌握消防、治安专业知识，树立防盗、防火、防破坏、防灾害事故意识，热爱本职工作。</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4.1.3按标准着装、佩证上岗，配备相应保安器材，做到言行有礼，文明执勤。</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4.1.4坚守工作岗位，保持值勤岗位整洁，维护好投标人正常治安秩序。根据疫情防控要求，协助做好疫情防控的各项工作。</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4.1.5严格执行24小时值班巡逻制度，对巡逻中发现的不安全因素和隐患，应及时向保卫科汇报。若遇突发性案件、事故，应立即报告相关部门，并协助处理。每季度组织一次应对突发事件处置的预演和消防演练。</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4.1.6严格保密制度，严禁向外人泄露投标人内部机密，不得将无关人员带到值勤点留宿。</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4.1.7不得擅自挪动和私自使用存放在保安责任范围内的车辆、设备、产品、原材料、生活用品和报刊信件等。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4.1.8认真做好交接班工作，写好值勤记录和台帐，严格请假销假制度。</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4.1.9自觉遵守投标人规章制度，维护保养好仪器设备，爱护公共财务，维护保安人员的良好形象。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4.2门卫值班人员工作要求：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 24小时值勤，负责对院建筑物外区域、停车场进行定时巡查，及时处理各类消防、治安事件。</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4.2.2随时查看出入口交通情况，管理好停车场内车辆停放，保证急救通道及主干通道畅通。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4.2.3加强巡查，对在院内违规停放的车辆进行劝说、整理，保证院内道路畅通无阻。完成保卫科赋予的临时任务。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4.2.4积极完成采购人交办的其它日常工作任务。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4.2.5积极服从保卫科长临时安排的工作任务和其它应急突发事件的处置。</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4.3门诊、医技、中医、住院楼（6号楼、8号楼）巡逻保安工作要求：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全天24小时值勤，负责对门诊楼的安全巡查，特别是在诊室、治疗区、挂号收费处、抽血化验、中西药房、放射候诊处等重点区域要加强巡查、维护秩序，提醒就诊患者保管好随身物品，保证门诊楼消防、治安安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4.3.2对医托、号贩子、散发广告者、推销产品者及其他闲散人员要加强管理，予以警告、拦截、驱逐，维护好就诊区域良好的治安环境。</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4.3.3医务人员下班后，负责检查各诊室门窗关闭情况，发现问题及时纠正。负责门诊楼公共路灯、空调开关，注意节约用电用水。</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4.3.4按照采购人的规定，负责对住院部进行有效管理、安全巡查，维护好各病房秩序。</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4.3.5发现可疑人员，及时予以盘问。对推销产品、发放广告等人员要进行拦截，并予以警告。</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4.3.6加强对病房勤务人员、陪护人员的安全管理，严格执行凭证出入制度，定时进行安全检查。</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4.3.7对携带出住院楼的物品，进行严格查验，凭出门证放行。</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4.3.8做好防控工作，管理好中门秩序。</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4.3.9协助病房处理好突发事件，完成上级赋予的临时任务。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4.3.10负责各楼层公共区域路灯、空调开关，注意节约用电用水。</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4.3.11服从采购人安排，完成科长临时指令性任务。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4.4急诊楼巡逻保安工作要求：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4.4.1</w:t>
      </w:r>
      <w:bookmarkStart w:id="11" w:name="_Hlk185863137"/>
      <w:r>
        <w:rPr>
          <w:rFonts w:hint="eastAsia" w:ascii="仿宋_GB2312" w:hAnsi="仿宋_GB2312" w:eastAsia="仿宋_GB2312" w:cs="仿宋_GB2312"/>
          <w:color w:val="auto"/>
          <w:sz w:val="24"/>
          <w:highlight w:val="none"/>
        </w:rPr>
        <w:t>全天24小时值勤，负责对急诊区域的安全巡查，特别是在输液处、候诊处、抢救室、观察室等重点区域要加强巡查、维护秩序，提醒就诊患者保管好随身物品，保证急诊楼消防、治安安全。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4.4.2加强通道管理，保证通道畅通。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4.4.3对散发广告者、推销产品者及其他闲散人员要加强管理，予以警告、拦截、驱逐，维护好就诊区域良好的治安环境。</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4.4.4负责急诊区域内路灯、空调开关，注意节约用电用水。</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4.4.5服从采购人安排，完成科长临时指令性任务。</w:t>
      </w:r>
    </w:p>
    <w:bookmarkEnd w:id="11"/>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4.5住院楼保安巡逻工作要求：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4.5.1全天24小时值勤，负责对住院楼区域的安全巡查，特别是病房、护士站、医生办公室、值班室等重点区域要加强巡查、维护秩序，提醒住院患者保管好随身物品，保证住院楼消防、治安安全。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4.5.2加强通道管理，保证通道畅通。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4.5.3对散发广告者、推销产品者及其他闲散人员要加强管理，予以警告、拦截、驱逐，维护好住院区域良好的治安环境。</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4.5.4负责住院区域内公共区域路灯、空调开关，注意节约用电用水。</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4.5.5服从采购人安排，完成科长临时指令性任务。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4.6院区、停车场保安巡逻工作要求：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4.6.1 24小时值勤，负责对院建筑物外区域、停车场进行定时巡查，及时处理各类治安消防事件。</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4.6.2随时查看出入口交通情况，管理好120处的车辆停放，保证急救通道及主干通道畅通。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4.6.3加强巡查，对在院内违规停放的车辆进行劝说、整理，保证院内道路畅通无阻。服从采购人安排，完成科长临时指令性任务。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4.7越医博物馆（7号楼）、后勤楼（9号楼）保安工作要求：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4.7.1严禁无关人员进入，消防安全日常巡逻。</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4.7.2进入区域需提供相关进出证明，并做好登记工作。</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4.7.3进入区域需提醒人员注意相关要求。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4.7.4服从采购人安排，完成科长临时指令性任务。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4.8停车管理保安工作要求：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4.8.1负责进入采购人停车场车辆有序停放，确保院内道路畅通。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4.8.2消防安全日常巡逻。</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4.8.3负责对车辆收费工作，做到账账相符。</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4.8.4服从采购人安排，完成科长临时指令性任务。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4.9东区保安工作要求：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4.9.1按照采购人的规定，负责对行政楼进行有效管理、安全巡查，维护好各办公区域秩序。</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4.9.2负责进入东区停车场机动车和非机动车有序停放，确保东区地面和地下的道路畅通。</w:t>
      </w:r>
    </w:p>
    <w:p>
      <w:pPr>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4.9.3消防安全日常巡逻。</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4.9.4认真完成报刊杂志信（邮）件收发任务。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4.9.5服从采购人安排，完成科长临时指令性任务。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述提供的要求为基本要求，投标人根据采购人保安服务工作目标要求，对各部门工作量、人员分项核定，并在方案配置中详细描述，本项目提供现场踏勘，踏勘联系人：徐科长，13018808887，截止时间：开标前一个工作日17:00前。</w:t>
      </w: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（五）人员配置基本要求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保安队员必须经过严格的培训、考核、筛选，并经采购人面试同意后上岗。保证身心健康、爱岗敬业、能胜任本职工作。政治面貌清白，退伍军人优先，经政审无劣迹，无犯罪前科，必须经培训并取得公安部门颁发的保安员证并持证上岗, 统一着装，佩带胸牌；执行力强，反应灵敏；年龄：男性25-60周岁,女性25-50周岁,五官端正;身高：男性1.65米以上,女性1.58米以上;暂定人数60人，其中配保安队长1人。保安队队长任职基本条件：保安队长男性46-60周岁；具有具有医院安保管理能力,专业业务能力强。根据安保配置标准要求其中人员年龄50岁以下占比需达到20%），同时除安检岗、门诊岗、收费岗外，其他人员均为男性。</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保安人员配置表详见附表1</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注：根椐投标人需要增加（减少）保安人员，保安费用根据合同中规定相应调整。各岗位工作时间根据投标人实际需要进行安排，并要求满足工作需求，最终结算价格不超过中标价。</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报价包括但不限于员工工资福利、加班费、器械损耗、税收、管理费、保安用品费、服装费、住宿、员工养老保险等社保费福利费、体检费用、人身意外伤害保险费等一切费用。重大突发事件引起的人员增加，双方协商按《浙江省人民政府关于调整全省最低工资标准的通知》（浙政发[2024]3号）文件精神执行。</w:t>
      </w:r>
    </w:p>
    <w:p>
      <w:pPr>
        <w:spacing w:line="440" w:lineRule="exact"/>
        <w:rPr>
          <w:rFonts w:hint="eastAsia" w:ascii="仿宋_GB2312" w:hAnsi="仿宋_GB2312" w:eastAsia="仿宋_GB2312" w:cs="仿宋_GB2312"/>
          <w:b/>
          <w:color w:val="auto"/>
          <w:sz w:val="24"/>
          <w:highlight w:val="none"/>
        </w:rPr>
      </w:pPr>
    </w:p>
    <w:p>
      <w:pPr>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附表1：               保安人员岗位配置表</w:t>
      </w:r>
    </w:p>
    <w:p>
      <w:pPr>
        <w:spacing w:line="440" w:lineRule="exact"/>
        <w:ind w:firstLine="482" w:firstLineChars="200"/>
        <w:rPr>
          <w:rFonts w:hint="eastAsia" w:ascii="仿宋_GB2312" w:hAnsi="仿宋_GB2312" w:eastAsia="仿宋_GB2312" w:cs="仿宋_GB2312"/>
          <w:b/>
          <w:color w:val="auto"/>
          <w:sz w:val="24"/>
          <w:highlight w:val="none"/>
        </w:rPr>
      </w:pPr>
    </w:p>
    <w:tbl>
      <w:tblPr>
        <w:tblStyle w:val="6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6"/>
        <w:gridCol w:w="883"/>
        <w:gridCol w:w="2098"/>
        <w:gridCol w:w="704"/>
        <w:gridCol w:w="1017"/>
        <w:gridCol w:w="683"/>
        <w:gridCol w:w="2392"/>
        <w:gridCol w:w="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区域</w:t>
            </w:r>
          </w:p>
        </w:tc>
        <w:tc>
          <w:tcPr>
            <w:tcW w:w="2098" w:type="dxa"/>
            <w:tcBorders>
              <w:top w:val="single" w:color="000000" w:sz="4" w:space="0"/>
              <w:left w:val="nil"/>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岗位</w:t>
            </w:r>
          </w:p>
        </w:tc>
        <w:tc>
          <w:tcPr>
            <w:tcW w:w="704" w:type="dxa"/>
            <w:tcBorders>
              <w:top w:val="single" w:color="000000" w:sz="4" w:space="0"/>
              <w:left w:val="nil"/>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rPr>
                <w:rFonts w:hint="eastAsia" w:ascii="仿宋_GB2312" w:hAnsi="仿宋_GB2312" w:eastAsia="仿宋_GB2312" w:cs="仿宋_GB2312"/>
                <w:b/>
                <w:bCs/>
                <w:color w:val="auto"/>
                <w:sz w:val="24"/>
                <w:highlight w:val="none"/>
              </w:rPr>
            </w:pPr>
          </w:p>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应配人数</w:t>
            </w:r>
          </w:p>
          <w:p>
            <w:pPr>
              <w:jc w:val="center"/>
              <w:rPr>
                <w:rFonts w:hint="eastAsia" w:ascii="仿宋_GB2312" w:hAnsi="仿宋_GB2312" w:eastAsia="仿宋_GB2312" w:cs="仿宋_GB2312"/>
                <w:b/>
                <w:bCs/>
                <w:color w:val="auto"/>
                <w:sz w:val="24"/>
                <w:highlight w:val="none"/>
              </w:rPr>
            </w:pPr>
          </w:p>
        </w:tc>
        <w:tc>
          <w:tcPr>
            <w:tcW w:w="0" w:type="auto"/>
            <w:tcBorders>
              <w:top w:val="single" w:color="000000" w:sz="4" w:space="0"/>
              <w:left w:val="nil"/>
              <w:bottom w:val="single" w:color="000000" w:sz="4" w:space="0"/>
              <w:right w:val="single" w:color="000000" w:sz="4" w:space="0"/>
            </w:tcBorders>
            <w:shd w:val="clear" w:color="auto" w:fill="FFFFFF"/>
            <w:tcMar>
              <w:top w:w="15" w:type="dxa"/>
              <w:left w:w="15" w:type="dxa"/>
              <w:bottom w:w="0" w:type="dxa"/>
              <w:right w:w="15" w:type="dxa"/>
            </w:tcMar>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实际人数</w:t>
            </w:r>
          </w:p>
        </w:tc>
        <w:tc>
          <w:tcPr>
            <w:tcW w:w="0" w:type="auto"/>
            <w:tcBorders>
              <w:top w:val="single" w:color="000000" w:sz="4" w:space="0"/>
              <w:left w:val="nil"/>
              <w:bottom w:val="single" w:color="000000" w:sz="4" w:space="0"/>
              <w:right w:val="single" w:color="auto" w:sz="4" w:space="0"/>
            </w:tcBorders>
            <w:shd w:val="clear" w:color="auto" w:fill="FFFFFF"/>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岗位等级</w:t>
            </w:r>
          </w:p>
        </w:tc>
        <w:tc>
          <w:tcPr>
            <w:tcW w:w="2392" w:type="dxa"/>
            <w:tcBorders>
              <w:top w:val="single" w:color="000000" w:sz="4" w:space="0"/>
              <w:left w:val="nil"/>
              <w:bottom w:val="single" w:color="000000" w:sz="4" w:space="0"/>
              <w:right w:val="single" w:color="auto" w:sz="4" w:space="0"/>
            </w:tcBorders>
            <w:shd w:val="clear" w:color="auto" w:fill="FFFFFF"/>
            <w:vAlign w:val="center"/>
          </w:tcPr>
          <w:p>
            <w:pPr>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工作时间</w:t>
            </w:r>
          </w:p>
        </w:tc>
        <w:tc>
          <w:tcPr>
            <w:tcW w:w="806" w:type="dxa"/>
            <w:tcBorders>
              <w:top w:val="single" w:color="000000" w:sz="4" w:space="0"/>
              <w:left w:val="nil"/>
              <w:bottom w:val="single" w:color="000000" w:sz="4" w:space="0"/>
              <w:right w:val="single" w:color="auto" w:sz="4" w:space="0"/>
            </w:tcBorders>
            <w:shd w:val="clear" w:color="auto" w:fill="FFFFFF"/>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0" w:type="auto"/>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东区</w:t>
            </w: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门卫执勤、汽车引导秩序维护</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jc w:val="center"/>
        </w:trPr>
        <w:tc>
          <w:tcPr>
            <w:tcW w:w="0" w:type="auto"/>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行政楼大厅执勤兼报刊收发员</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7：30-12：00，13：30-17：00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jc w:val="center"/>
        </w:trPr>
        <w:tc>
          <w:tcPr>
            <w:tcW w:w="0" w:type="auto"/>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中区</w:t>
            </w: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3#楼大门口执勤、维护秩序及5号楼巡逻</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0" w:type="auto"/>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4#楼大门口执勤、维护秩序及医院主通道车辆管理</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0" w:type="auto"/>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5#楼病区执勤、维护秩序</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按情况增加</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按情况增加</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0" w:type="auto"/>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4#楼内急诊区域执勤</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晚21：00-次日7：00在院制。</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0" w:type="auto"/>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0" w:type="auto"/>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西区</w:t>
            </w:r>
          </w:p>
          <w:p>
            <w:pPr>
              <w:spacing w:after="1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（扩建区）</w:t>
            </w: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6#、8#号楼内门诊区域执勤</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7：30-11：30，13：30-16：30，中医楼到21点结束</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0" w:type="auto"/>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0" w:type="auto"/>
            <w:vMerge w:val="continue"/>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越医博物馆、中医内科、名医馆</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7：30-12：00，13：30-17：00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地面车辆管理、进入地下室车辆引导及电瓶车秩序维护</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①7：00-15：30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②7：00-11：30，13：30-16：30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8小时*2班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spacing w:after="1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安检机、安检门操作员</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7：30-12：00，13：30-17：00</w:t>
            </w:r>
          </w:p>
        </w:tc>
        <w:tc>
          <w:tcPr>
            <w:tcW w:w="806" w:type="dxa"/>
            <w:tcBorders>
              <w:top w:val="single" w:color="000000" w:sz="4" w:space="0"/>
              <w:left w:val="nil"/>
              <w:bottom w:val="single" w:color="000000" w:sz="4" w:space="0"/>
              <w:right w:val="single" w:color="auto" w:sz="4" w:space="0"/>
            </w:tcBorders>
            <w:vAlign w:val="center"/>
          </w:tcPr>
          <w:p>
            <w:pPr>
              <w:spacing w:after="120"/>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医院北面执勤、维护秩序</w:t>
            </w:r>
          </w:p>
          <w:p>
            <w:pPr>
              <w:spacing w:after="12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（包括后勤9号楼）</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0" w:type="auto"/>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院外</w:t>
            </w: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集体宿舍</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17点-次日7点，周六、周日24小时制。</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0" w:type="auto"/>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0" w:type="auto"/>
            <w:vMerge w:val="restart"/>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停车</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w:t>
            </w: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中区停车引导、秩序维护员</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7：00-11：30，13：30-16：30（8小时*2班）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0" w:type="auto"/>
            <w:vMerge w:val="continue"/>
            <w:tcBorders>
              <w:left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西区停车引导、秩序维护员及机动岗</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按实际情况增减</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C、D</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7：00-11：30，13：30-16：30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突发应急小分队及巡逻机动岗</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按情况增减</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按情况增减</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sz w:val="24"/>
                <w:highlight w:val="none"/>
              </w:rPr>
            </w:pPr>
            <w:bookmarkStart w:id="12" w:name="OLE_LINK1"/>
            <w:r>
              <w:rPr>
                <w:rFonts w:hint="eastAsia" w:ascii="仿宋_GB2312" w:hAnsi="仿宋_GB2312" w:eastAsia="仿宋_GB2312" w:cs="仿宋_GB2312"/>
                <w:color w:val="auto"/>
                <w:sz w:val="24"/>
                <w:highlight w:val="none"/>
              </w:rPr>
              <w:t>（8小时*2班）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bookmarkEnd w:id="12"/>
          <w:p>
            <w:pPr>
              <w:rPr>
                <w:rFonts w:hint="eastAsia" w:ascii="仿宋_GB2312" w:hAnsi="仿宋_GB2312" w:eastAsia="仿宋_GB2312" w:cs="仿宋_GB2312"/>
                <w:color w:val="auto"/>
                <w:sz w:val="24"/>
                <w:highlight w:val="none"/>
              </w:rPr>
            </w:pPr>
          </w:p>
        </w:tc>
        <w:tc>
          <w:tcPr>
            <w:tcW w:w="806" w:type="dxa"/>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兼义务消防、治安防范队员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队长</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7：00-12：00，13：30-17：30</w:t>
            </w:r>
          </w:p>
          <w:p>
            <w:pPr>
              <w:rPr>
                <w:rFonts w:hint="eastAsia" w:ascii="仿宋_GB2312" w:hAnsi="仿宋_GB2312" w:eastAsia="仿宋_GB2312" w:cs="仿宋_GB2312"/>
                <w:color w:val="auto"/>
                <w:sz w:val="24"/>
                <w:highlight w:val="none"/>
              </w:rPr>
            </w:pP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kern w:val="0"/>
                <w:sz w:val="24"/>
                <w:highlight w:val="none"/>
              </w:rPr>
              <w:t>兼安保突击队、志愿消防队副队长，停车场管理等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0" w:type="auto"/>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p>
        </w:tc>
        <w:tc>
          <w:tcPr>
            <w:tcW w:w="2098"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带班班长</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w:t>
            </w: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四班三运转（8小时*3班）</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①7：00-15：00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②15：00-23：00</w:t>
            </w: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③23：00-次日7：00</w:t>
            </w: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bCs/>
                <w:color w:val="auto"/>
                <w:kern w:val="0"/>
                <w:sz w:val="24"/>
                <w:highlight w:val="none"/>
              </w:rPr>
              <w:t>兼夜间安保突击队、志愿消防队副队长，停车场管理等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rPr>
                <w:rFonts w:hint="eastAsia" w:ascii="仿宋_GB2312" w:hAnsi="仿宋_GB2312" w:eastAsia="仿宋_GB2312" w:cs="仿宋_GB2312"/>
                <w:color w:val="auto"/>
                <w:sz w:val="24"/>
                <w:highlight w:val="none"/>
              </w:rPr>
            </w:pPr>
          </w:p>
        </w:tc>
        <w:tc>
          <w:tcPr>
            <w:tcW w:w="2825"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  计：</w:t>
            </w:r>
          </w:p>
        </w:tc>
        <w:tc>
          <w:tcPr>
            <w:tcW w:w="704" w:type="dxa"/>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60</w:t>
            </w:r>
          </w:p>
        </w:tc>
        <w:tc>
          <w:tcPr>
            <w:tcW w:w="0" w:type="auto"/>
            <w:tcBorders>
              <w:top w:val="single" w:color="000000" w:sz="4" w:space="0"/>
              <w:left w:val="nil"/>
              <w:bottom w:val="single" w:color="000000" w:sz="4" w:space="0"/>
              <w:right w:val="single" w:color="000000" w:sz="4" w:space="0"/>
            </w:tcBorders>
            <w:tcMar>
              <w:top w:w="15" w:type="dxa"/>
              <w:left w:w="15" w:type="dxa"/>
              <w:bottom w:w="0" w:type="dxa"/>
              <w:right w:w="15" w:type="dxa"/>
            </w:tcMar>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60</w:t>
            </w:r>
          </w:p>
        </w:tc>
        <w:tc>
          <w:tcPr>
            <w:tcW w:w="0" w:type="auto"/>
            <w:tcBorders>
              <w:top w:val="single" w:color="000000" w:sz="4" w:space="0"/>
              <w:left w:val="nil"/>
              <w:bottom w:val="single" w:color="000000" w:sz="4" w:space="0"/>
              <w:right w:val="single" w:color="auto" w:sz="4" w:space="0"/>
            </w:tcBorders>
            <w:vAlign w:val="center"/>
          </w:tcPr>
          <w:p>
            <w:pPr>
              <w:jc w:val="center"/>
              <w:rPr>
                <w:rFonts w:hint="eastAsia" w:ascii="仿宋_GB2312" w:hAnsi="仿宋_GB2312" w:eastAsia="仿宋_GB2312" w:cs="仿宋_GB2312"/>
                <w:color w:val="auto"/>
                <w:sz w:val="24"/>
                <w:highlight w:val="none"/>
              </w:rPr>
            </w:pPr>
          </w:p>
        </w:tc>
        <w:tc>
          <w:tcPr>
            <w:tcW w:w="2392"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c>
          <w:tcPr>
            <w:tcW w:w="806" w:type="dxa"/>
            <w:tcBorders>
              <w:top w:val="single" w:color="000000" w:sz="4" w:space="0"/>
              <w:left w:val="nil"/>
              <w:bottom w:val="single" w:color="000000" w:sz="4" w:space="0"/>
              <w:right w:val="single" w:color="auto" w:sz="4" w:space="0"/>
            </w:tcBorders>
            <w:vAlign w:val="center"/>
          </w:tcPr>
          <w:p>
            <w:pPr>
              <w:rPr>
                <w:rFonts w:hint="eastAsia" w:ascii="仿宋_GB2312" w:hAnsi="仿宋_GB2312" w:eastAsia="仿宋_GB2312" w:cs="仿宋_GB2312"/>
                <w:color w:val="auto"/>
                <w:sz w:val="24"/>
                <w:highlight w:val="none"/>
              </w:rPr>
            </w:pPr>
          </w:p>
        </w:tc>
      </w:tr>
    </w:tbl>
    <w:p>
      <w:pPr>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备注：（1）岗位等级要求：A:队长、班长</w:t>
      </w:r>
    </w:p>
    <w:p>
      <w:pPr>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B:队员（初中及以上学历、年龄35-55岁）</w:t>
      </w:r>
    </w:p>
    <w:p>
      <w:pPr>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C:队员（初中及以上学历、年龄55-60岁）</w:t>
      </w:r>
    </w:p>
    <w:p>
      <w:pPr>
        <w:spacing w:line="440" w:lineRule="exact"/>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D:收费岗人员（会简单操作电脑、简单记账，初中及以上学历）</w:t>
      </w:r>
    </w:p>
    <w:p>
      <w:pPr>
        <w:widowControl/>
        <w:jc w:val="left"/>
        <w:rPr>
          <w:rFonts w:hint="eastAsia" w:ascii="仿宋_GB2312" w:hAnsi="仿宋_GB2312" w:eastAsia="仿宋_GB2312" w:cs="仿宋_GB2312"/>
          <w:b/>
          <w:bCs/>
          <w:color w:val="auto"/>
          <w:kern w:val="0"/>
          <w:sz w:val="24"/>
          <w:highlight w:val="none"/>
        </w:rPr>
      </w:pPr>
    </w:p>
    <w:p>
      <w:pPr>
        <w:widowControl/>
        <w:jc w:val="left"/>
        <w:rPr>
          <w:rFonts w:hint="eastAsia" w:ascii="仿宋_GB2312" w:hAnsi="仿宋_GB2312" w:eastAsia="仿宋_GB2312" w:cs="仿宋_GB2312"/>
          <w:b/>
          <w:bCs/>
          <w:color w:val="auto"/>
          <w:kern w:val="0"/>
          <w:sz w:val="24"/>
          <w:highlight w:val="none"/>
        </w:rPr>
      </w:pPr>
    </w:p>
    <w:p>
      <w:pPr>
        <w:widowControl/>
        <w:jc w:val="left"/>
        <w:rPr>
          <w:rFonts w:hint="eastAsia" w:ascii="仿宋_GB2312" w:hAnsi="仿宋_GB2312" w:eastAsia="仿宋_GB2312" w:cs="仿宋_GB2312"/>
          <w:b/>
          <w:bCs/>
          <w:color w:val="auto"/>
          <w:kern w:val="0"/>
          <w:sz w:val="24"/>
          <w:highlight w:val="none"/>
          <w:lang w:bidi="ar"/>
        </w:rPr>
      </w:pPr>
      <w:r>
        <w:rPr>
          <w:rFonts w:hint="eastAsia" w:ascii="仿宋_GB2312" w:hAnsi="仿宋_GB2312" w:eastAsia="仿宋_GB2312" w:cs="仿宋_GB2312"/>
          <w:b/>
          <w:bCs/>
          <w:color w:val="auto"/>
          <w:kern w:val="0"/>
          <w:sz w:val="24"/>
          <w:highlight w:val="none"/>
        </w:rPr>
        <w:t xml:space="preserve">附件2                   </w:t>
      </w:r>
      <w:r>
        <w:rPr>
          <w:rFonts w:hint="eastAsia" w:ascii="仿宋_GB2312" w:hAnsi="仿宋_GB2312" w:eastAsia="仿宋_GB2312" w:cs="仿宋_GB2312"/>
          <w:b/>
          <w:bCs/>
          <w:color w:val="auto"/>
          <w:kern w:val="0"/>
          <w:sz w:val="24"/>
          <w:highlight w:val="none"/>
          <w:lang w:bidi="ar"/>
        </w:rPr>
        <w:t>保安人员考核细则</w:t>
      </w:r>
    </w:p>
    <w:p>
      <w:pPr>
        <w:widowControl/>
        <w:jc w:val="left"/>
        <w:rPr>
          <w:rFonts w:hint="eastAsia" w:ascii="仿宋_GB2312" w:hAnsi="仿宋_GB2312" w:eastAsia="仿宋_GB2312" w:cs="仿宋_GB2312"/>
          <w:color w:val="auto"/>
          <w:kern w:val="0"/>
          <w:sz w:val="24"/>
          <w:highlight w:val="none"/>
          <w:lang w:bidi="ar"/>
        </w:rPr>
      </w:pPr>
    </w:p>
    <w:tbl>
      <w:tblPr>
        <w:tblStyle w:val="63"/>
        <w:tblW w:w="9762" w:type="dxa"/>
        <w:tblInd w:w="-5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4597"/>
        <w:gridCol w:w="1707"/>
        <w:gridCol w:w="738"/>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考核项目</w:t>
            </w:r>
          </w:p>
        </w:tc>
        <w:tc>
          <w:tcPr>
            <w:tcW w:w="4597" w:type="dxa"/>
            <w:vAlign w:val="center"/>
          </w:tcPr>
          <w:p>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考核内容</w:t>
            </w:r>
          </w:p>
        </w:tc>
        <w:tc>
          <w:tcPr>
            <w:tcW w:w="1707" w:type="dxa"/>
            <w:vAlign w:val="center"/>
          </w:tcPr>
          <w:p>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扣分分值（按月为周期）</w:t>
            </w:r>
          </w:p>
        </w:tc>
        <w:tc>
          <w:tcPr>
            <w:tcW w:w="738" w:type="dxa"/>
            <w:vAlign w:val="center"/>
          </w:tcPr>
          <w:p>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扣分</w:t>
            </w:r>
          </w:p>
        </w:tc>
        <w:tc>
          <w:tcPr>
            <w:tcW w:w="1235" w:type="dxa"/>
            <w:vAlign w:val="center"/>
          </w:tcPr>
          <w:p>
            <w:pPr>
              <w:spacing w:line="44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扣分事由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基本素质及要求（10分）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遵守劳动纪律，持证上岗，按要求统一服装，佩戴保安设备执勤，能规范使用保安设备设施，并注意维护和保养；仪表端庄(着装整齐、干净，帽、帽徽、肩章、领章、臂章、领带、编号、武装带、工作证等规范佩带，制服便裤不混穿；不留长发、长胡须、长指甲，蓄发不露于帽外2厘米以上)；上岗执勤精神饱满、严肃认真、态度严谨；不插手于裤包内、背后反手、不勾肩搭背，不吃零食、吸烟、喝酒、嬉笑打闹等。</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服务接待（10分）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举止端庄、有礼有节、文明用语、礼貌待人、热情服务、主动为需要帮助的患者及家属提供帮助；严禁粗暴执勤、与患者或家属发生争吵或其他失敬、失礼的行为；不损害医院形象，文明执勤。</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48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工作纪律（10分）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严禁上班期间喝酒，不得擅自离岗、脱岗、串岗、睡岗；不聚众闲聊，不做与本职工作无关的事情；严禁上班期间打架斗殴、聚众赌博等。</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48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保安队伍管理（50分）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遵守医院各项规定，服从管理部门工作分配并积极配合医院各项工作，无不执行、执行不到位或蓄意违抗等懈怠现象；诚实正直公正廉洁；熟知与岗位、工作相关的各项规章制度、操作规范、工作职责，并严格遵守与执行，加强日常巡逻、巡查工作，履行好岗位职责，对于未经医院同意的发放传单等行为应及时制止；按要求做好交接班及各类巡查记录工作，发现问题或特殊情况及时处理、汇报，并做好记录；做好岗位和值班室的清洁工作，并保持；及时到位妥善处理和协助处理各类纠纷；能正确使用防暴器材、设备设施，正确处理各类防暴突发事件（含演练及抽检），每月至少组织一次及以上常规防暴应急演练；因工作失误或失职导致医院资产损失的，乙方照价赔偿；认真完成各项临时性工作。保安管理工作中若出现情节较重行为事件的，一次性扣20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熟悉消防常识，牢记消防安全“四懂四会”；加强消防巡查、火灾排查、防火检查，按规定认真填报《每日消防安全巡查记录表》、《值班长交接记录表》等各类工作记录表；熟悉消防救援工作，遇到火灾警情（含演练及抽检）能正确进行扑救工作，每月至少组织二次及以上常规消防应急演练；能正确使用消防器材、设备设施，正确处理各类消防突发事件；因工作未做到位等原因导致医院在各级消防检查被通报、批评、处罚等情况，乙方负全部责任，并视情况对医院进行赔偿，同时此项一次性扣20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3、认真执行医院停车收费规定；按规定指挥车辆出入、停放，严禁车辆乱停乱放；严禁利用职务之便，私自收费、不收费或挪用公款，故意刁难车主等。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4、根据医院需求提供足额保安人员及持有消控证消控人员，同时符合招标文件及合同规定的各项要求。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5、服从保卫科工作安排及要求。</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指令性任务（10分）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接受并完成临时指派的各项工作任务，做好各类创建检查中秩序维护、车辆管理、禁烟和消防、防暴检查等相关工作。</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restart"/>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其他（10分）</w:t>
            </w: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12345政务热线投诉。</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5.0分/次</w:t>
            </w:r>
          </w:p>
        </w:tc>
        <w:tc>
          <w:tcPr>
            <w:tcW w:w="738"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5" w:type="dxa"/>
            <w:vMerge w:val="continue"/>
            <w:vAlign w:val="center"/>
          </w:tcPr>
          <w:p>
            <w:pPr>
              <w:spacing w:line="440" w:lineRule="exact"/>
              <w:rPr>
                <w:rFonts w:hint="eastAsia" w:ascii="仿宋_GB2312" w:hAnsi="仿宋_GB2312" w:eastAsia="仿宋_GB2312" w:cs="仿宋_GB2312"/>
                <w:color w:val="auto"/>
                <w:sz w:val="24"/>
                <w:highlight w:val="none"/>
              </w:rPr>
            </w:pPr>
          </w:p>
        </w:tc>
        <w:tc>
          <w:tcPr>
            <w:tcW w:w="4597" w:type="dxa"/>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病人出院回访服务满意度。</w:t>
            </w:r>
          </w:p>
        </w:tc>
        <w:tc>
          <w:tcPr>
            <w:tcW w:w="1707"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2.0分/次</w:t>
            </w:r>
          </w:p>
        </w:tc>
        <w:tc>
          <w:tcPr>
            <w:tcW w:w="738" w:type="dxa"/>
            <w:vAlign w:val="center"/>
          </w:tcPr>
          <w:p>
            <w:pPr>
              <w:spacing w:line="440" w:lineRule="exact"/>
              <w:rPr>
                <w:rFonts w:hint="eastAsia" w:ascii="仿宋_GB2312" w:hAnsi="仿宋_GB2312" w:eastAsia="仿宋_GB2312" w:cs="仿宋_GB2312"/>
                <w:color w:val="auto"/>
                <w:sz w:val="24"/>
                <w:highlight w:val="none"/>
              </w:rPr>
            </w:pP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2"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本月累计扣分：     分。</w:t>
            </w:r>
          </w:p>
        </w:tc>
        <w:tc>
          <w:tcPr>
            <w:tcW w:w="3680" w:type="dxa"/>
            <w:gridSpan w:val="3"/>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本月累计扣罚金额：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9762" w:type="dxa"/>
            <w:gridSpan w:val="5"/>
            <w:vAlign w:val="center"/>
          </w:tcPr>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1、每月考核满分为100分，低于90分当月的月绩效考核为不合格。</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2、总分90分及以下，每扣1分罚款200元；总分80分以下，每扣1分罚款500元。在扣分说明中，违规就扣分；不违规不扣分，不加分。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3、以月为周期，累计每次扣分，次月月初5日前统计月考评得分。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4、上述扣分分值为单次分值，如严重情况或出现累犯，可视情节加倍扣分。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5、在合同期内如当月的考评不合格，需提交自查整改报告，如连续二个月考核不合格或累计满三个月考核不合格的，采购人有权单方面解除合同，由此引起的经济损失由投标人全部承担。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restart"/>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被考核单位意见</w:t>
            </w:r>
          </w:p>
        </w:tc>
        <w:tc>
          <w:tcPr>
            <w:tcW w:w="4597" w:type="dxa"/>
            <w:vMerge w:val="restart"/>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2445"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签字</w:t>
            </w: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continue"/>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4597" w:type="dxa"/>
            <w:vMerge w:val="continue"/>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2445"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w:t>
            </w:r>
          </w:p>
        </w:tc>
        <w:tc>
          <w:tcPr>
            <w:tcW w:w="123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restart"/>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医院管理部门意见</w:t>
            </w:r>
          </w:p>
        </w:tc>
        <w:tc>
          <w:tcPr>
            <w:tcW w:w="4597" w:type="dxa"/>
            <w:vMerge w:val="restart"/>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2445"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签字</w:t>
            </w:r>
          </w:p>
        </w:tc>
        <w:tc>
          <w:tcPr>
            <w:tcW w:w="1235" w:type="dxa"/>
            <w:vAlign w:val="center"/>
          </w:tcPr>
          <w:p>
            <w:pPr>
              <w:spacing w:line="440" w:lineRule="exact"/>
              <w:ind w:firstLine="480" w:firstLineChars="200"/>
              <w:rPr>
                <w:rFonts w:hint="eastAsia"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485" w:type="dxa"/>
            <w:vMerge w:val="continue"/>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4597" w:type="dxa"/>
            <w:vMerge w:val="continue"/>
            <w:vAlign w:val="center"/>
          </w:tcPr>
          <w:p>
            <w:pPr>
              <w:spacing w:line="440" w:lineRule="exact"/>
              <w:ind w:firstLine="480" w:firstLineChars="200"/>
              <w:rPr>
                <w:rFonts w:hint="eastAsia" w:ascii="仿宋_GB2312" w:hAnsi="仿宋_GB2312" w:eastAsia="仿宋_GB2312" w:cs="仿宋_GB2312"/>
                <w:color w:val="auto"/>
                <w:sz w:val="24"/>
                <w:highlight w:val="none"/>
              </w:rPr>
            </w:pPr>
          </w:p>
        </w:tc>
        <w:tc>
          <w:tcPr>
            <w:tcW w:w="2445" w:type="dxa"/>
            <w:gridSpan w:val="2"/>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日期</w:t>
            </w:r>
          </w:p>
        </w:tc>
        <w:tc>
          <w:tcPr>
            <w:tcW w:w="1235" w:type="dxa"/>
            <w:vAlign w:val="center"/>
          </w:tcPr>
          <w:p>
            <w:pPr>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年月 日</w:t>
            </w:r>
          </w:p>
        </w:tc>
      </w:tr>
    </w:tbl>
    <w:p>
      <w:pPr>
        <w:spacing w:line="440" w:lineRule="exact"/>
        <w:rPr>
          <w:rFonts w:hint="eastAsia" w:ascii="仿宋_GB2312" w:hAnsi="仿宋_GB2312" w:eastAsia="仿宋_GB2312" w:cs="仿宋_GB2312"/>
          <w:b/>
          <w:bCs/>
          <w:color w:val="auto"/>
          <w:sz w:val="24"/>
          <w:highlight w:val="none"/>
        </w:rPr>
      </w:pPr>
    </w:p>
    <w:p>
      <w:pPr>
        <w:spacing w:line="440" w:lineRule="exact"/>
        <w:rPr>
          <w:rFonts w:hint="eastAsia" w:ascii="仿宋_GB2312" w:hAnsi="仿宋_GB2312" w:eastAsia="仿宋_GB2312" w:cs="仿宋_GB2312"/>
          <w:b/>
          <w:bCs/>
          <w:color w:val="auto"/>
          <w:sz w:val="24"/>
          <w:highlight w:val="none"/>
        </w:rPr>
      </w:pPr>
    </w:p>
    <w:p>
      <w:pPr>
        <w:ind w:firstLine="482" w:firstLineChars="200"/>
        <w:rPr>
          <w:rFonts w:hint="eastAsia" w:ascii="仿宋_GB2312" w:hAnsi="仿宋_GB2312" w:eastAsia="仿宋_GB2312" w:cs="仿宋_GB2312"/>
          <w:b/>
          <w:bCs/>
          <w:color w:val="auto"/>
          <w:sz w:val="24"/>
          <w:highlight w:val="none"/>
        </w:rPr>
      </w:pPr>
    </w:p>
    <w:p>
      <w:pPr>
        <w:spacing w:line="440" w:lineRule="exact"/>
        <w:ind w:firstLine="482"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附件3             保安公司队员行为考核细则</w:t>
      </w:r>
    </w:p>
    <w:tbl>
      <w:tblPr>
        <w:tblStyle w:val="64"/>
        <w:tblW w:w="907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705"/>
        <w:gridCol w:w="624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考核指标</w:t>
            </w:r>
          </w:p>
        </w:tc>
        <w:tc>
          <w:tcPr>
            <w:tcW w:w="705"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条款</w:t>
            </w:r>
          </w:p>
        </w:tc>
        <w:tc>
          <w:tcPr>
            <w:tcW w:w="6244"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违规条款</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处罚金额（元）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3" w:type="dxa"/>
            <w:vMerge w:val="restar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劳动纪律及</w:t>
            </w:r>
          </w:p>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仪容仪表</w:t>
            </w: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上班期间有迟到、早退、串岗、睡岗等</w:t>
            </w:r>
            <w:r>
              <w:rPr>
                <w:rFonts w:hint="eastAsia" w:ascii="仿宋_GB2312" w:hAnsi="仿宋_GB2312" w:eastAsia="仿宋_GB2312" w:cs="仿宋_GB2312"/>
                <w:color w:val="auto"/>
                <w:spacing w:val="1"/>
                <w:sz w:val="24"/>
                <w:highlight w:val="none"/>
              </w:rPr>
              <w:t>行为的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不履行请假手续，擅自脱岗现象</w:t>
            </w:r>
            <w:r>
              <w:rPr>
                <w:rFonts w:hint="eastAsia" w:ascii="仿宋_GB2312" w:hAnsi="仿宋_GB2312" w:eastAsia="仿宋_GB2312" w:cs="仿宋_GB2312"/>
                <w:color w:val="auto"/>
                <w:sz w:val="24"/>
                <w:highlight w:val="none"/>
              </w:rPr>
              <w:t>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不履行请假手续，无故旷工或私自调班影响工作的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上班期间喝酒、打牌、下棋、赌博、玩手机（玩游戏、看电影、视频或小说等）的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工作场所（监控室、门卫室、更衣室）发现烟</w:t>
            </w:r>
            <w:r>
              <w:rPr>
                <w:rFonts w:hint="eastAsia" w:ascii="仿宋_GB2312" w:hAnsi="仿宋_GB2312" w:eastAsia="仿宋_GB2312" w:cs="仿宋_GB2312"/>
                <w:color w:val="auto"/>
                <w:spacing w:val="1"/>
                <w:sz w:val="24"/>
                <w:highlight w:val="none"/>
              </w:rPr>
              <w:t>蒂的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工作场所（监控室、门卫室、更衣室）发现烟灰缸、烟盒的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上班期间保安人员在医院范国内吸烟或吸游烟的</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4"/>
                <w:sz w:val="24"/>
                <w:highlight w:val="none"/>
              </w:rPr>
              <w:t>保安人员不穿工作服或穿戴不齐的（含肩章、胸章、臂章、腰带及相关装备等）</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仪容不整的（留长发、蓄胡须、男士染发）</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3" w:type="dxa"/>
            <w:vMerge w:val="restar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工作职责</w:t>
            </w: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4"/>
                <w:sz w:val="24"/>
                <w:highlight w:val="none"/>
              </w:rPr>
              <w:t>发现火情火警未及时处置的（视情节追究法律责任）</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不会使用灭火器、消防栓、火灾报警按钮的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不熟悉消防器材位置、安全出口位置，防火重</w:t>
            </w:r>
            <w:r>
              <w:rPr>
                <w:rFonts w:hint="eastAsia" w:ascii="仿宋_GB2312" w:hAnsi="仿宋_GB2312" w:eastAsia="仿宋_GB2312" w:cs="仿宋_GB2312"/>
                <w:color w:val="auto"/>
                <w:spacing w:val="1"/>
                <w:sz w:val="24"/>
                <w:highlight w:val="none"/>
              </w:rPr>
              <w:t>点部位的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消防巡查不到位，发现安全隐患未及时上报的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对管辖范围内（半径50米）的吸烟行为未阻止或劝导的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1"/>
                <w:sz w:val="24"/>
                <w:highlight w:val="none"/>
              </w:rPr>
              <w:t>医患纠纷闹事未及时上报或处置的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不按照规定点位、规定线路巡更，少巡检、漏</w:t>
            </w:r>
            <w:r>
              <w:rPr>
                <w:rFonts w:hint="eastAsia" w:ascii="仿宋_GB2312" w:hAnsi="仿宋_GB2312" w:eastAsia="仿宋_GB2312" w:cs="仿宋_GB2312"/>
                <w:color w:val="auto"/>
                <w:spacing w:val="1"/>
                <w:sz w:val="24"/>
                <w:highlight w:val="none"/>
              </w:rPr>
              <w:t>巡检的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在医院内部搞封建迷信活动未及时制止的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2.9</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未按照要求开（关）门、灯、电梯的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2.10</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接警后片区保安未在规定时间（3分钟内）</w:t>
            </w:r>
            <w:r>
              <w:rPr>
                <w:rFonts w:hint="eastAsia" w:ascii="仿宋_GB2312" w:hAnsi="仿宋_GB2312" w:eastAsia="仿宋_GB2312" w:cs="仿宋_GB2312"/>
                <w:color w:val="auto"/>
                <w:spacing w:val="1"/>
                <w:sz w:val="24"/>
                <w:highlight w:val="none"/>
              </w:rPr>
              <w:t>到达现场的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接警后增援保安未在规定时间（5分钟内）</w:t>
            </w:r>
            <w:r>
              <w:rPr>
                <w:rFonts w:hint="eastAsia" w:ascii="仿宋_GB2312" w:hAnsi="仿宋_GB2312" w:eastAsia="仿宋_GB2312" w:cs="仿宋_GB2312"/>
                <w:color w:val="auto"/>
                <w:spacing w:val="1"/>
                <w:sz w:val="24"/>
                <w:highlight w:val="none"/>
              </w:rPr>
              <w:t>到达现场的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3"/>
                <w:sz w:val="24"/>
                <w:highlight w:val="none"/>
              </w:rPr>
              <w:t>接警后报警按钮未及时复位的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接警后未及时阻止暴力行为的，或让肇事者逃逸的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未有效管理交通秩序和指挥引导的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3"/>
                <w:sz w:val="24"/>
                <w:highlight w:val="none"/>
              </w:rPr>
              <w:t>车辆乱停乱放导致交通堵塞的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2.16</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车辆碰坏医院公共设施（交通、消防等）未</w:t>
            </w:r>
            <w:r>
              <w:rPr>
                <w:rFonts w:hint="eastAsia" w:ascii="仿宋_GB2312" w:hAnsi="仿宋_GB2312" w:eastAsia="仿宋_GB2312" w:cs="仿宋_GB2312"/>
                <w:color w:val="auto"/>
                <w:spacing w:val="1"/>
                <w:sz w:val="24"/>
                <w:highlight w:val="none"/>
              </w:rPr>
              <w:t>及时汇报的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2.17</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住院病人发生走失情况的（如发生意外的视情况另行处理）</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2.18</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未对可疑人员进行有效跟踪、控制、驱离的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2.19</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未对出医院的货车进行开箱检查的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2.20</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工作场所私自搭建桌椅，高峰时段坐视不管</w:t>
            </w:r>
            <w:r>
              <w:rPr>
                <w:rFonts w:hint="eastAsia" w:ascii="仿宋_GB2312" w:hAnsi="仿宋_GB2312" w:eastAsia="仿宋_GB2312" w:cs="仿宋_GB2312"/>
                <w:color w:val="auto"/>
                <w:spacing w:val="1"/>
                <w:sz w:val="24"/>
                <w:highlight w:val="none"/>
              </w:rPr>
              <w:t>，聚众聊天的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2"/>
                <w:sz w:val="24"/>
                <w:highlight w:val="none"/>
              </w:rPr>
              <w:t>电瓶车乱停乱放或违章充电未及时处置的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restar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管理类</w:t>
            </w: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4"/>
                <w:sz w:val="24"/>
                <w:highlight w:val="none"/>
              </w:rPr>
              <w:t>未定期对保安进行培训的（每月一次，检查培训记录）</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4"/>
                <w:sz w:val="24"/>
                <w:highlight w:val="none"/>
              </w:rPr>
              <w:t>未定期举行消防演练、疏散演练的（每半年一次，检查培训记录）</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4"/>
                <w:sz w:val="24"/>
                <w:highlight w:val="none"/>
              </w:rPr>
              <w:t>未定期举行反恐演练的（每季度一次，检查培训记录）</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7"/>
                <w:sz w:val="24"/>
                <w:highlight w:val="none"/>
              </w:rPr>
              <w:t>未对新保安进行入职培训（岗位职责、劳动纪律等）的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8"/>
                <w:sz w:val="24"/>
                <w:highlight w:val="none"/>
              </w:rPr>
              <w:t>保安末按照要求填写工作记录</w:t>
            </w:r>
            <w:r>
              <w:rPr>
                <w:rFonts w:hint="eastAsia" w:ascii="仿宋_GB2312" w:hAnsi="仿宋_GB2312" w:eastAsia="仿宋_GB2312" w:cs="仿宋_GB2312"/>
                <w:color w:val="auto"/>
                <w:spacing w:val="7"/>
                <w:sz w:val="24"/>
                <w:highlight w:val="none"/>
              </w:rPr>
              <w:t>、值班记录的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w:t>
            </w:r>
          </w:p>
        </w:tc>
        <w:tc>
          <w:tcPr>
            <w:tcW w:w="6244" w:type="dxa"/>
            <w:vAlign w:val="center"/>
          </w:tcPr>
          <w:p>
            <w:pPr>
              <w:spacing w:line="280" w:lineRule="exact"/>
              <w:rPr>
                <w:rFonts w:hint="eastAsia" w:ascii="仿宋_GB2312" w:hAnsi="仿宋_GB2312" w:eastAsia="仿宋_GB2312" w:cs="仿宋_GB2312"/>
                <w:color w:val="auto"/>
                <w:spacing w:val="2"/>
                <w:sz w:val="24"/>
                <w:highlight w:val="none"/>
              </w:rPr>
            </w:pPr>
            <w:r>
              <w:rPr>
                <w:rFonts w:hint="eastAsia" w:ascii="仿宋_GB2312" w:hAnsi="仿宋_GB2312" w:eastAsia="仿宋_GB2312" w:cs="仿宋_GB2312"/>
                <w:color w:val="auto"/>
                <w:spacing w:val="9"/>
                <w:sz w:val="24"/>
                <w:highlight w:val="none"/>
              </w:rPr>
              <w:t>不服从岗位调动或工作安排的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3.7</w:t>
            </w:r>
          </w:p>
        </w:tc>
        <w:tc>
          <w:tcPr>
            <w:tcW w:w="6244" w:type="dxa"/>
            <w:vAlign w:val="center"/>
          </w:tcPr>
          <w:p>
            <w:pPr>
              <w:spacing w:line="280" w:lineRule="exact"/>
              <w:rPr>
                <w:rFonts w:hint="eastAsia" w:ascii="仿宋_GB2312" w:hAnsi="仿宋_GB2312" w:eastAsia="仿宋_GB2312" w:cs="仿宋_GB2312"/>
                <w:color w:val="auto"/>
                <w:spacing w:val="9"/>
                <w:sz w:val="24"/>
                <w:highlight w:val="none"/>
              </w:rPr>
            </w:pPr>
            <w:r>
              <w:rPr>
                <w:rFonts w:hint="eastAsia" w:ascii="仿宋_GB2312" w:hAnsi="仿宋_GB2312" w:eastAsia="仿宋_GB2312" w:cs="仿宋_GB2312"/>
                <w:color w:val="auto"/>
                <w:spacing w:val="9"/>
                <w:sz w:val="24"/>
                <w:highlight w:val="none"/>
              </w:rPr>
              <w:t>不服从领导临时布置任务的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restar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w:t>
            </w: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w:t>
            </w:r>
          </w:p>
        </w:tc>
        <w:tc>
          <w:tcPr>
            <w:tcW w:w="6244" w:type="dxa"/>
            <w:vAlign w:val="center"/>
          </w:tcPr>
          <w:p>
            <w:pPr>
              <w:spacing w:line="280" w:lineRule="exact"/>
              <w:rPr>
                <w:rFonts w:hint="eastAsia" w:ascii="仿宋_GB2312" w:hAnsi="仿宋_GB2312" w:eastAsia="仿宋_GB2312" w:cs="仿宋_GB2312"/>
                <w:color w:val="auto"/>
                <w:spacing w:val="9"/>
                <w:sz w:val="24"/>
                <w:highlight w:val="none"/>
              </w:rPr>
            </w:pPr>
            <w:r>
              <w:rPr>
                <w:rFonts w:hint="eastAsia" w:ascii="仿宋_GB2312" w:hAnsi="仿宋_GB2312" w:eastAsia="仿宋_GB2312" w:cs="仿宋_GB2312"/>
                <w:color w:val="auto"/>
                <w:spacing w:val="9"/>
                <w:sz w:val="24"/>
                <w:highlight w:val="none"/>
              </w:rPr>
              <w:t>泄露医院机密（如视频、文件、资料等）的（视情节追究法律责任）</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w:t>
            </w:r>
          </w:p>
        </w:tc>
        <w:tc>
          <w:tcPr>
            <w:tcW w:w="6244" w:type="dxa"/>
            <w:vAlign w:val="center"/>
          </w:tcPr>
          <w:p>
            <w:pPr>
              <w:spacing w:line="280" w:lineRule="exact"/>
              <w:rPr>
                <w:rFonts w:hint="eastAsia" w:ascii="仿宋_GB2312" w:hAnsi="仿宋_GB2312" w:eastAsia="仿宋_GB2312" w:cs="仿宋_GB2312"/>
                <w:color w:val="auto"/>
                <w:spacing w:val="9"/>
                <w:sz w:val="24"/>
                <w:highlight w:val="none"/>
              </w:rPr>
            </w:pPr>
            <w:r>
              <w:rPr>
                <w:rFonts w:hint="eastAsia" w:ascii="仿宋_GB2312" w:hAnsi="仿宋_GB2312" w:eastAsia="仿宋_GB2312" w:cs="仿宋_GB2312"/>
                <w:color w:val="auto"/>
                <w:spacing w:val="10"/>
                <w:sz w:val="24"/>
                <w:highlight w:val="none"/>
              </w:rPr>
              <w:t>利用职务便于谋取私利的（视情节追究法律责任）</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w:t>
            </w:r>
          </w:p>
        </w:tc>
        <w:tc>
          <w:tcPr>
            <w:tcW w:w="6244" w:type="dxa"/>
            <w:vAlign w:val="center"/>
          </w:tcPr>
          <w:p>
            <w:pPr>
              <w:spacing w:line="280" w:lineRule="exact"/>
              <w:rPr>
                <w:rFonts w:hint="eastAsia" w:ascii="仿宋_GB2312" w:hAnsi="仿宋_GB2312" w:eastAsia="仿宋_GB2312" w:cs="仿宋_GB2312"/>
                <w:color w:val="auto"/>
                <w:spacing w:val="9"/>
                <w:sz w:val="24"/>
                <w:highlight w:val="none"/>
              </w:rPr>
            </w:pPr>
            <w:r>
              <w:rPr>
                <w:rFonts w:hint="eastAsia" w:ascii="仿宋_GB2312" w:hAnsi="仿宋_GB2312" w:eastAsia="仿宋_GB2312" w:cs="仿宋_GB2312"/>
                <w:color w:val="auto"/>
                <w:spacing w:val="8"/>
                <w:sz w:val="24"/>
                <w:highlight w:val="none"/>
              </w:rPr>
              <w:t>与病人家属、医院工作人员发生争执，属于</w:t>
            </w:r>
            <w:r>
              <w:rPr>
                <w:rFonts w:hint="eastAsia" w:ascii="仿宋_GB2312" w:hAnsi="仿宋_GB2312" w:eastAsia="仿宋_GB2312" w:cs="仿宋_GB2312"/>
                <w:color w:val="auto"/>
                <w:spacing w:val="7"/>
                <w:sz w:val="24"/>
                <w:highlight w:val="none"/>
              </w:rPr>
              <w:t>有效投诉的</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w:t>
            </w:r>
          </w:p>
        </w:tc>
        <w:tc>
          <w:tcPr>
            <w:tcW w:w="6244" w:type="dxa"/>
            <w:vAlign w:val="center"/>
          </w:tcPr>
          <w:p>
            <w:pPr>
              <w:spacing w:line="280" w:lineRule="exact"/>
              <w:rPr>
                <w:rFonts w:hint="eastAsia" w:ascii="仿宋_GB2312" w:hAnsi="仿宋_GB2312" w:eastAsia="仿宋_GB2312" w:cs="仿宋_GB2312"/>
                <w:color w:val="auto"/>
                <w:spacing w:val="9"/>
                <w:sz w:val="24"/>
                <w:highlight w:val="none"/>
              </w:rPr>
            </w:pPr>
            <w:r>
              <w:rPr>
                <w:rFonts w:hint="eastAsia" w:ascii="仿宋_GB2312" w:hAnsi="仿宋_GB2312" w:eastAsia="仿宋_GB2312" w:cs="仿宋_GB2312"/>
                <w:color w:val="auto"/>
                <w:spacing w:val="9"/>
                <w:sz w:val="24"/>
                <w:highlight w:val="none"/>
              </w:rPr>
              <w:t>由于服务态度原因发生市级投诉的（如12345等）</w:t>
            </w:r>
          </w:p>
        </w:tc>
        <w:tc>
          <w:tcPr>
            <w:tcW w:w="1063"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bl>
    <w:p>
      <w:pPr>
        <w:spacing w:line="440" w:lineRule="exact"/>
        <w:ind w:firstLine="482" w:firstLineChars="200"/>
        <w:rPr>
          <w:rFonts w:hint="eastAsia" w:ascii="仿宋_GB2312" w:hAnsi="仿宋_GB2312" w:eastAsia="仿宋_GB2312" w:cs="仿宋_GB2312"/>
          <w:b/>
          <w:bCs/>
          <w:color w:val="auto"/>
          <w:kern w:val="0"/>
          <w:sz w:val="24"/>
          <w:highlight w:val="none"/>
        </w:rPr>
      </w:pPr>
    </w:p>
    <w:p>
      <w:pPr>
        <w:spacing w:line="440" w:lineRule="exact"/>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kern w:val="0"/>
          <w:sz w:val="24"/>
          <w:highlight w:val="none"/>
        </w:rPr>
        <w:t>附件4</w:t>
      </w:r>
      <w:r>
        <w:rPr>
          <w:rFonts w:hint="eastAsia" w:ascii="仿宋_GB2312" w:hAnsi="仿宋_GB2312" w:eastAsia="仿宋_GB2312" w:cs="仿宋_GB2312"/>
          <w:b/>
          <w:bCs/>
          <w:color w:val="auto"/>
          <w:sz w:val="24"/>
          <w:highlight w:val="none"/>
        </w:rPr>
        <w:t xml:space="preserve">                 保安公司队员行为奖励细则</w:t>
      </w:r>
    </w:p>
    <w:tbl>
      <w:tblPr>
        <w:tblStyle w:val="64"/>
        <w:tblW w:w="9075" w:type="dxa"/>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705"/>
        <w:gridCol w:w="6244"/>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奖励指标</w:t>
            </w:r>
          </w:p>
        </w:tc>
        <w:tc>
          <w:tcPr>
            <w:tcW w:w="705"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条款</w:t>
            </w:r>
          </w:p>
        </w:tc>
        <w:tc>
          <w:tcPr>
            <w:tcW w:w="6244"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奖励条款</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奖励金额（元）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63" w:type="dxa"/>
            <w:vMerge w:val="restart"/>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优秀行为、举动</w:t>
            </w: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在执勤中发现私拿公物外出，并追回原物；公物价值在100元以上</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在执勤中发现私拿公物外出，并追回原物；公物价值在500元以上</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在执勤中发现私拿公物外出，并追回原物；公物价值在1000元以上</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在执勤中发现私拿公物外出，并追回原物；公物价值在100000元以上</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凡现场抓获盗窃设备、电缆、汽车、电动车、自行车及其他医院公、私财物者。</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pacing w:val="2"/>
                <w:sz w:val="24"/>
                <w:highlight w:val="none"/>
              </w:rPr>
              <w:t>在执勤中做好“六防”安全检查，及时发现并果断排除安全事故隐患者。</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凡在执勤中抓获犯罪嫌疑人或各级公安机关通缉在逃等歹徒。</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1.8</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凡为侦破治安或刑事案件提供线索，对破案有贡献者。</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1.9</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对拾金不昧、多次做好事，受到医院领导、中层干部表扬者。</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063" w:type="dxa"/>
            <w:vMerge w:val="continue"/>
            <w:vAlign w:val="center"/>
          </w:tcPr>
          <w:p>
            <w:pPr>
              <w:jc w:val="center"/>
              <w:rPr>
                <w:rFonts w:hint="eastAsia" w:ascii="仿宋_GB2312" w:hAnsi="仿宋_GB2312" w:eastAsia="仿宋_GB2312" w:cs="仿宋_GB2312"/>
                <w:color w:val="auto"/>
                <w:sz w:val="24"/>
                <w:highlight w:val="none"/>
              </w:rPr>
            </w:pPr>
          </w:p>
        </w:tc>
        <w:tc>
          <w:tcPr>
            <w:tcW w:w="705" w:type="dxa"/>
            <w:vAlign w:val="center"/>
          </w:tcPr>
          <w:p>
            <w:pPr>
              <w:spacing w:line="280" w:lineRule="exact"/>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1.10</w:t>
            </w:r>
          </w:p>
        </w:tc>
        <w:tc>
          <w:tcPr>
            <w:tcW w:w="6244" w:type="dxa"/>
            <w:vAlign w:val="center"/>
          </w:tcPr>
          <w:p>
            <w:pPr>
              <w:spacing w:line="28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其他情况，依据医院有关文件给予奖励。</w:t>
            </w:r>
          </w:p>
        </w:tc>
        <w:tc>
          <w:tcPr>
            <w:tcW w:w="1063" w:type="dxa"/>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10-1000元/次</w:t>
            </w:r>
          </w:p>
        </w:tc>
      </w:tr>
    </w:tbl>
    <w:p>
      <w:pPr>
        <w:pStyle w:val="25"/>
        <w:ind w:firstLine="480"/>
        <w:rPr>
          <w:rFonts w:hint="eastAsia" w:ascii="仿宋_GB2312" w:hAnsi="仿宋_GB2312" w:eastAsia="仿宋_GB2312" w:cs="仿宋_GB2312"/>
          <w:color w:val="auto"/>
          <w:sz w:val="24"/>
          <w:highlight w:val="none"/>
        </w:rPr>
      </w:pPr>
    </w:p>
    <w:p>
      <w:pPr>
        <w:pStyle w:val="25"/>
        <w:ind w:firstLine="480"/>
        <w:rPr>
          <w:rFonts w:hint="eastAsia" w:ascii="仿宋_GB2312" w:hAnsi="仿宋_GB2312" w:eastAsia="仿宋_GB2312" w:cs="仿宋_GB2312"/>
          <w:color w:val="auto"/>
          <w:sz w:val="24"/>
          <w:highlight w:val="none"/>
        </w:rPr>
      </w:pPr>
    </w:p>
    <w:p>
      <w:pPr>
        <w:pStyle w:val="5"/>
        <w:numPr>
          <w:ilvl w:val="0"/>
          <w:numId w:val="0"/>
        </w:numPr>
        <w:tabs>
          <w:tab w:val="left" w:pos="1200"/>
          <w:tab w:val="clear" w:pos="2651"/>
        </w:tabs>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附件5                    装备常备清单要求</w:t>
      </w:r>
    </w:p>
    <w:tbl>
      <w:tblPr>
        <w:tblStyle w:val="63"/>
        <w:tblW w:w="8930" w:type="dxa"/>
        <w:tblInd w:w="108" w:type="dxa"/>
        <w:tblLayout w:type="autofit"/>
        <w:tblCellMar>
          <w:top w:w="0" w:type="dxa"/>
          <w:left w:w="108" w:type="dxa"/>
          <w:bottom w:w="0" w:type="dxa"/>
          <w:right w:w="108" w:type="dxa"/>
        </w:tblCellMar>
      </w:tblPr>
      <w:tblGrid>
        <w:gridCol w:w="1134"/>
        <w:gridCol w:w="2552"/>
        <w:gridCol w:w="1134"/>
        <w:gridCol w:w="1701"/>
        <w:gridCol w:w="2409"/>
      </w:tblGrid>
      <w:tr>
        <w:tblPrEx>
          <w:tblCellMar>
            <w:top w:w="0" w:type="dxa"/>
            <w:left w:w="108" w:type="dxa"/>
            <w:bottom w:w="0" w:type="dxa"/>
            <w:right w:w="108" w:type="dxa"/>
          </w:tblCellMar>
        </w:tblPrEx>
        <w:trPr>
          <w:trHeight w:val="562"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名  称</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单位</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参考数量</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CellMar>
            <w:top w:w="0" w:type="dxa"/>
            <w:left w:w="108" w:type="dxa"/>
            <w:bottom w:w="0" w:type="dxa"/>
            <w:right w:w="108" w:type="dxa"/>
          </w:tblCellMar>
        </w:tblPrEx>
        <w:trPr>
          <w:trHeight w:val="563"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防割手套</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双</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557"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橡胶棒</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565"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多功能腰带</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60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80" w:hRule="atLeast"/>
        </w:trPr>
        <w:tc>
          <w:tcPr>
            <w:tcW w:w="1134" w:type="dxa"/>
            <w:tcBorders>
              <w:top w:val="single" w:color="auto" w:sz="4" w:space="0"/>
              <w:left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w:t>
            </w:r>
          </w:p>
        </w:tc>
        <w:tc>
          <w:tcPr>
            <w:tcW w:w="2552" w:type="dxa"/>
            <w:tcBorders>
              <w:top w:val="single" w:color="auto" w:sz="4" w:space="0"/>
              <w:left w:val="nil"/>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反光背心</w:t>
            </w:r>
          </w:p>
        </w:tc>
        <w:tc>
          <w:tcPr>
            <w:tcW w:w="1134" w:type="dxa"/>
            <w:tcBorders>
              <w:top w:val="single" w:color="auto" w:sz="4" w:space="0"/>
              <w:left w:val="nil"/>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件</w:t>
            </w:r>
          </w:p>
        </w:tc>
        <w:tc>
          <w:tcPr>
            <w:tcW w:w="1701" w:type="dxa"/>
            <w:tcBorders>
              <w:top w:val="single" w:color="auto" w:sz="4" w:space="0"/>
              <w:left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6</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强光手电</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支</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7</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伸缩棍</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8</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辣椒水</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瓶</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9</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警绳</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根</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10</w:t>
            </w:r>
          </w:p>
        </w:tc>
        <w:tc>
          <w:tcPr>
            <w:tcW w:w="2552" w:type="dxa"/>
            <w:tcBorders>
              <w:top w:val="single" w:color="auto" w:sz="4" w:space="0"/>
              <w:left w:val="nil"/>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投标人认为需要的其他物品或设备</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hAnsi="仿宋_GB2312" w:eastAsia="仿宋_GB2312" w:cs="仿宋_GB2312"/>
                <w:color w:val="auto"/>
                <w:kern w:val="0"/>
                <w:sz w:val="24"/>
                <w:highlight w:val="none"/>
              </w:rPr>
            </w:pPr>
          </w:p>
        </w:tc>
        <w:tc>
          <w:tcPr>
            <w:tcW w:w="2409" w:type="dxa"/>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auto"/>
                <w:kern w:val="0"/>
                <w:sz w:val="24"/>
                <w:highlight w:val="none"/>
                <w:lang w:val="zh-CN"/>
              </w:rPr>
            </w:pPr>
          </w:p>
        </w:tc>
      </w:tr>
    </w:tbl>
    <w:p>
      <w:pPr>
        <w:spacing w:line="440" w:lineRule="exact"/>
        <w:rPr>
          <w:rFonts w:hint="eastAsia" w:ascii="仿宋_GB2312" w:hAnsi="仿宋_GB2312" w:eastAsia="仿宋_GB2312" w:cs="仿宋_GB2312"/>
          <w:b/>
          <w:bCs/>
          <w:color w:val="auto"/>
          <w:sz w:val="24"/>
          <w:highlight w:val="none"/>
        </w:rPr>
      </w:pP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（六）综合要求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6.1期限要求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服务期限为自合同签订之日起12个月。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6.2用工要求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6.2.1管理团队：</w:t>
      </w:r>
    </w:p>
    <w:p>
      <w:pPr>
        <w:numPr>
          <w:ilvl w:val="0"/>
          <w:numId w:val="6"/>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指定的项目负责人</w:t>
      </w:r>
      <w:r>
        <w:rPr>
          <w:rFonts w:hint="eastAsia" w:ascii="仿宋_GB2312" w:hAnsi="仿宋_GB2312" w:eastAsia="仿宋_GB2312" w:cs="仿宋_GB2312"/>
          <w:color w:val="auto"/>
          <w:sz w:val="24"/>
          <w:highlight w:val="none"/>
          <w:lang w:eastAsia="zh-CN"/>
        </w:rPr>
        <w:t>不包括在本次招标范围内，但要求</w:t>
      </w:r>
      <w:r>
        <w:rPr>
          <w:rFonts w:hint="eastAsia" w:ascii="仿宋_GB2312" w:hAnsi="仿宋_GB2312" w:eastAsia="仿宋_GB2312" w:cs="仿宋_GB2312"/>
          <w:color w:val="auto"/>
          <w:sz w:val="24"/>
          <w:highlight w:val="none"/>
        </w:rPr>
        <w:t>具备</w:t>
      </w:r>
      <w:r>
        <w:rPr>
          <w:rFonts w:hint="eastAsia" w:ascii="仿宋_GB2312" w:hAnsi="仿宋_GB2312" w:eastAsia="仿宋_GB2312" w:cs="仿宋_GB2312"/>
          <w:color w:val="auto"/>
          <w:sz w:val="24"/>
          <w:highlight w:val="none"/>
          <w:lang w:eastAsia="zh-CN"/>
        </w:rPr>
        <w:t>大专</w:t>
      </w:r>
      <w:r>
        <w:rPr>
          <w:rFonts w:hint="eastAsia" w:ascii="仿宋_GB2312" w:hAnsi="仿宋_GB2312" w:eastAsia="仿宋_GB2312" w:cs="仿宋_GB2312"/>
          <w:color w:val="auto"/>
          <w:sz w:val="24"/>
          <w:highlight w:val="none"/>
        </w:rPr>
        <w:t>及以上学历；</w:t>
      </w:r>
      <w:r>
        <w:rPr>
          <w:rFonts w:hint="eastAsia" w:ascii="仿宋_GB2312" w:hAnsi="仿宋_GB2312" w:eastAsia="仿宋_GB2312" w:cs="仿宋_GB2312"/>
          <w:color w:val="auto"/>
          <w:sz w:val="24"/>
          <w:highlight w:val="none"/>
          <w:lang w:eastAsia="zh-CN"/>
        </w:rPr>
        <w:t>持有</w:t>
      </w:r>
      <w:r>
        <w:rPr>
          <w:rFonts w:hint="eastAsia" w:ascii="仿宋_GB2312" w:hAnsi="仿宋_GB2312" w:eastAsia="仿宋_GB2312" w:cs="仿宋_GB2312"/>
          <w:color w:val="auto"/>
          <w:sz w:val="24"/>
          <w:highlight w:val="none"/>
        </w:rPr>
        <w:t>应急管理部门颁发或监制的特种作业操作证（高压电工作业）；</w:t>
      </w:r>
      <w:r>
        <w:rPr>
          <w:rFonts w:hint="eastAsia" w:ascii="仿宋_GB2312" w:eastAsia="仿宋_GB2312"/>
          <w:color w:val="auto"/>
          <w:sz w:val="24"/>
          <w:highlight w:val="none"/>
          <w:lang w:eastAsia="zh-CN"/>
        </w:rPr>
        <w:t>持有人社部门颁发的保安员二级及以上证书</w:t>
      </w:r>
      <w:bookmarkStart w:id="139" w:name="_GoBack"/>
      <w:bookmarkEnd w:id="139"/>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该</w:t>
      </w:r>
      <w:r>
        <w:rPr>
          <w:rFonts w:hint="eastAsia" w:ascii="仿宋_GB2312" w:hAnsi="仿宋_GB2312" w:eastAsia="仿宋_GB2312" w:cs="仿宋_GB2312"/>
          <w:color w:val="auto"/>
          <w:sz w:val="24"/>
          <w:highlight w:val="none"/>
        </w:rPr>
        <w:t>项目负责人负责采购人保安服务项目内的所有事务</w:t>
      </w:r>
      <w:r>
        <w:rPr>
          <w:rFonts w:hint="eastAsia" w:ascii="仿宋_GB2312" w:hAnsi="仿宋_GB2312" w:eastAsia="仿宋_GB2312" w:cs="仿宋_GB2312"/>
          <w:color w:val="auto"/>
          <w:sz w:val="24"/>
          <w:highlight w:val="none"/>
          <w:lang w:eastAsia="zh-CN"/>
        </w:rPr>
        <w:t>。</w:t>
      </w:r>
    </w:p>
    <w:p>
      <w:pPr>
        <w:numPr>
          <w:ilvl w:val="0"/>
          <w:numId w:val="6"/>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保安队长应具有医院保安管理能力，熟悉各岗位的操作流程</w:t>
      </w:r>
      <w:r>
        <w:rPr>
          <w:rFonts w:hint="eastAsia" w:ascii="仿宋_GB2312" w:hAnsi="仿宋_GB2312" w:eastAsia="仿宋_GB2312" w:cs="仿宋_GB2312"/>
          <w:color w:val="auto"/>
          <w:sz w:val="24"/>
          <w:highlight w:val="none"/>
          <w:lang w:eastAsia="zh-CN"/>
        </w:rPr>
        <w:t>。</w:t>
      </w:r>
    </w:p>
    <w:p>
      <w:pPr>
        <w:numPr>
          <w:ilvl w:val="0"/>
          <w:numId w:val="6"/>
        </w:num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未经采购人允许，投标人不得擅自更换项目负责人，否则按违约论并处罚金；由于医院夜间治安情况比较复杂，为加强夜间服务质量，需安排每班次至少1名管理人员。</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6.2.2薪金发放：投标人的用工必须按《中华人民共和国劳动法》和绍兴市人民政府有关各部门规定，与员工签订正式劳动合同（男性25-60周岁；女性25-50周岁；保安队长男性45-60周岁），投标人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投标总价中。</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6.2.3工作时间：保安服务工作全天24小时进行，其工作时间必须符合《中华人民共和国劳动法》规定，并满足采购人的工作要求，包括双休日及公众假期。体检要求：所有员工入职前均须体检，体检合格方能上岗，相关费用由投标人负责。</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6.2.4管理要求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（1）坚持“以病人为中心”的宗旨，结合医疗工作的特性，投标人按照采购人的具体要求并在相关职能科室的督导下开展保安工作。</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（2）投标人必须有健全的组织机构，完善的质量监督体系，良好的企业员工形象，所有人员由投标人统一管理，统一招聘、统一培训。</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（3）科学、合理地安排各区域的保安人员及工作时间，采用动态管理方式，确保采购人的安保工作正常开展。</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（4）制订切实可行的管理制度，包括员工招聘、培训制度；员工岗位责任制；员工劳动纪律和行为规范；员工奖惩制度；各类检查、考核制度；工作应急预案。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6.2.5培训要求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（1）投标人要求对保安进行岗前、岗中培训，保安人员100%经过岗前培训合格才能上岗。</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（2）对保安人员进行安保知识的培训，特别是新进人员，要求通过培训后才能上岗。</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（3）投标人参加采购人组织的各项消防安全、擒拿格斗术等培训。</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6.2.6监督要求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（1）保安服务工作由采购人相关职能科室进行考勤并参与考核；投标人的管理人员做好员工的工作操作流程、服务质量管理。</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（2）投标人有责任配合采购人接受上级领导部门的监督、检查，并提供必须的材料。</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人在项目运作中必须定期向采购人汇报工作情况，公司每月对保安服务进行一次抽查、暗访等自查工作，并将检查结果报采购人，主动接受采购人领导和相关部门的监督，根据采购人要求进行整改。对于采购人相关职能科室提出的不满意员工，经调查核实，投标人须在7日内调整完毕。</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严格控制保安人员数量，如采购人调整服务区域或服务内容，则保安人员作相应的增减，并按中标价人均工资进行相应的调整,但最终支付总价不超过合同总价。岗位人员设置要求固定，不得缺岗、拼岗、脱岗，采购人将不定期抽查投入的人员数量，如果抽查时发现投入的人员数量少于双方确认的数量并且不能满足工作需要，采购人可以按中标价人均工资金额累计扣除当月合同款。</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（5）投标人必须协助采购人调查、处理有关投诉，并根据采购人要求及时处理。     </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6.2.7着装要求：投标人工作人员统一着装，佩戴胸牌，仪表端庄，语言文明，服装样式由投标人和采购人协商确定，费用均由投标人负担。</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6.2.8应急要求：积极配合采购人完成突发性工作，配合采购人应对上级各项迎检工作、突发性公共卫生事件；服从采购人指挥与安排，在人员流动性大的路口、门口、大厅等位置加大保安巡逻力度和频率。</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6.2.9禁烟要求：严禁保安人员在院内吸烟，部分保安人员上班需佩戴“禁烟巡查员”标志，在看到有在公共场所吸烟的应予以劝止。</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6.2.10质量要求：优质服务且必须符合国家法律法规、行业标准及本表文所有条款要求。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经费结算：由投标人承担完成服务内容所需要的一切费用，包括但不限于安保器械、服装、胸卡、人工、保险、社保、加班费、利润、税金、政策性文件规定及合同包含的所有风险、责任。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（七）其他要求</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7.1责任界定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7.1.1人事关系：在服务期间，投标人所有保安人员仅与投标人建立劳动合同关系，且用工须符合《中华人民共和国劳动法》规定，保安人员与采购人无任何劳动人事关系，投标人应与其保安人员签订规范的用工合同。</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7.1.2因投标人的劳动用工、提供服务或其服务领域发生因人身财产损害等所引发的一切纠纷责任均由投标人承担，投标人应及时妥善处理，保证不对采购人造成任何负面影响。若导致采购人承担任何责任或支出任何费用的，投标人承诺全额承担责任和费用，采购人有权在应支付给投标人的任何款项中优先予以扣除或向投标人追偿。</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7.1.3投标人应切实保障其雇聘工作人员的全部劳动者权利，某些岗位可能存在劳务派遣的争议，投标人应向工作人员明确不属于劳务派遣，并承担该可能存在争议岗位工作人员的劳动者权利保障责任，相应责任与采购人无涉。一旦发生此类纠纷，投标人应积极妥善处理，若因此导致采购人承担责任的话，采购人有权在应支付给投标人的任何款项中优先予以扣除或向投标人追偿，投标人承诺没有异议且积极配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7.1.4除采购人对事故的发生或扩大存在过错外，投标人人员发生任何事故或与投标人发生人事、劳动争议的，均由投标人自行全权负责（如投标人应对其员工投保人身意外险），相关责任费用由投标人自行承担，保证采购人不因此承担责任或受到损失，否则投标人应向医采购人赔偿所有损失。</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7.1.5除采购人对事故的发生或扩大存在过错外，投标人应对本公司人员以及第三方的安全保障全权负责，在投标人的责任区内由于投标人原因导致自己员工或第三方的事故由投标人负责，采购人不承担任何责任。</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7.1.6在服务期内投标人应保证服务责任区域内的设施、设备良好的运营状况和环境状况，并接受采购人或其授权人员的检查，对由投标人操作失误等引起或造成设施、设备的损坏，由投标人全额赔偿。</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7.2禁止事项</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7.2.1未经采购人同意，投标人无权在承包区域中从事任何广告活动或类似宣传，不得以采购人的名义从事任何经济活动，且由此发生的一切债权、债务与采购人无关。</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7.2.2投标人员工不以任何形式转租、转让、抵押承包区域，在承包区域只从事采购人认可的服务工作，在承包期间，投标人方的任何股份变动应通知采购人，未经采购人书面批准，任何占有支配地位的股份转让都将视为投标人出租、转让的行为，采购人有权单方面终止合同。</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7.2.3投标人员工在工作时间内不得从事与本岗位无关的工作（如代挂号等），不得在医疗区域内烹饪食物。</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7.2.4投标人不得以任何理由向医院工作人员支付小费或馈赠实物，违者将终止合同；投标人人员也不得以任何形式向相关人员索取小费或钱物，违者按医院有关规定处罚。</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7.2.5投标人不得在承包区域住宿或从事非法活动，也不得从事违反采购人制度的活动。</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7.3提供方案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服从采购人管理，员工遵守安全规范和制度。针对采购人特点编写拟采取的保安、管理方案、组织计划、人员安排、时间安排、验收标准、考核方案等，如遇重大、紧急事项的应急措施等。管理方案具体要求如下（该方案必须在投标时提供）：</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7.3.1总体方案：结合医院实际，提供保安服务项目的总体设计方案，包括对服务理念，实现目标，经营模式，组织架构等方面。</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7.3.2项目实施方案：针对本项目制订详细的实施方案，包括管理制度、实施流程、机构设置、职责分工、质量控制、绩效分配、考核反馈等。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7.3.3人员配置方案：提供管理人员配备和其他员工的配置方案；按照采购人的要求须明确列出各区域工作人员数量及工作职责及时间安排。</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7.3.4各项保安服务具体方案设计及保安管理方案等。</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7.3.5设备配置方案：提供所需设备的品牌、年用量清单和设备配置方案。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7.3.6应急响应方案：提供针对各类检查和突发性公卫事件等临时性任务的应急响应方案。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7.3.7人员培训方案：提供各岗位详细的培训方案。</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7.3.8合理化建议：提供针对本项目的合理化建议及优惠承诺。</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7.3.9 质量管理及考核方案：提供切实可行的质量管理、考核计划及奖罚措施。</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7.3.10档案要求：采购人保安服务档案的建立与保存；合同期内可提供给采购人的文件资料清单；合同终止时，保留给采购人的资料清单；合同终止时，各项服务的财产分割方式。</w:t>
      </w:r>
    </w:p>
    <w:p>
      <w:pPr>
        <w:spacing w:line="440" w:lineRule="exact"/>
        <w:ind w:firstLine="482" w:firstLineChars="200"/>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（八）考核及评价办法</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为强化管理，确保托管业务规范化运作，确保后勤服务质量不断提升，塑造良好的整体后勤形象，由双方协商制定保安服务日常监管考核评价办法。</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8.1投标人须提供符合采购人要求的服务质量承诺书，并以此作为每月考核依据。 </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8.2采购人保安服务工作由保卫科负责监管，并指定专人负责日常监管工作，护理部、门诊办、急诊室、公共卫生科等科室配合监管。</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8.3采购人进行定期和不定期日常工作监管。每周不少于三次现场检查或到科室了解情况并将检查、了解结果及时反馈投标人进行整改，同时记录备案，作为校验整改和月度考核评价依据。每月一次由采购人考核小组组长组织相关人员（职能科室负责人、项目负责人）进行保安服务工作检查，并对检查结果进行点评、汇总作为月度考核评价依据。</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8.4实行每月一次的考核评价制。考核评价采用百分制。</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8.5每月的综合考核评价结果与费用支付挂钩，具体如下：</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8.5.1由监察室、人事科、护理部、门诊办、公共卫生科、保卫科等相关职能科室联合进行考核，月综合考核评价结果90分以上，当月全额支付，低于90分，扣保安费1000元/分；以此类推。如果月综合考核评价低于85分的，除按规定扣罚外，予以书面警告一次，全年出现三次警告，一律终止合同，并承担违约责任的索赔。</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8.5.2投标人须严格按照采购人制度和相关操作流程进行服务，如服务过程未按标准执行而发生意外，应视情节轻重对投标人处罚人民币1000～2000元/例。</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8.5.3在上级行政部门检查中投标人管理责任不到位，在消防、治安等重大突发事件中不作为、处置不当或不承担起管理职责造成医院不良影响及被上级行政部门书面通报批评或被媒体曝光批评的，视情节轻重对投标人予以2000-10000元的处罚，采购人并可单方面终止合同。</w:t>
      </w:r>
    </w:p>
    <w:p>
      <w:pPr>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8.5.4月考评实行与投标人员工日、次考核细则进行综合考评计入月考评制定，年度考核：年度每月平均考核在90分及以上为合格，年度每月平均考核在90分以下的，采购人将中止合同，重新组织采购。</w:t>
      </w:r>
    </w:p>
    <w:p>
      <w:pPr>
        <w:spacing w:line="360" w:lineRule="auto"/>
        <w:rPr>
          <w:rFonts w:ascii="仿宋_GB2312" w:eastAsia="仿宋_GB2312" w:hAnsiTheme="minorEastAsia" w:cstheme="minorEastAsia"/>
          <w:color w:val="auto"/>
          <w:sz w:val="24"/>
          <w:highlight w:val="none"/>
          <w:lang w:val="zh-CN"/>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3" w:name="_Toc28855"/>
      <w:bookmarkStart w:id="14" w:name="_Toc19273"/>
      <w:bookmarkStart w:id="15" w:name="_Toc20421"/>
      <w:bookmarkStart w:id="16" w:name="_Toc22967"/>
      <w:bookmarkStart w:id="17" w:name="_Toc15367"/>
      <w:r>
        <w:rPr>
          <w:rFonts w:hint="eastAsia" w:ascii="仿宋_GB2312" w:hAnsi="仿宋" w:eastAsia="仿宋_GB2312" w:cs="仿宋"/>
          <w:b/>
          <w:color w:val="auto"/>
          <w:sz w:val="24"/>
          <w:highlight w:val="none"/>
        </w:rPr>
        <w:t>1.1 合同组成部分</w:t>
      </w:r>
      <w:bookmarkEnd w:id="13"/>
      <w:bookmarkEnd w:id="14"/>
      <w:bookmarkEnd w:id="15"/>
      <w:bookmarkEnd w:id="16"/>
      <w:bookmarkEnd w:id="17"/>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8" w:name="_Toc6311"/>
      <w:bookmarkStart w:id="19" w:name="_Toc22185"/>
      <w:bookmarkStart w:id="20" w:name="_Toc6773"/>
      <w:bookmarkStart w:id="21" w:name="_Toc18585"/>
      <w:bookmarkStart w:id="22" w:name="_Toc2918"/>
      <w:r>
        <w:rPr>
          <w:rFonts w:hint="eastAsia" w:ascii="仿宋_GB2312" w:hAnsi="仿宋" w:eastAsia="仿宋_GB2312" w:cs="仿宋"/>
          <w:b/>
          <w:color w:val="auto"/>
          <w:sz w:val="24"/>
          <w:highlight w:val="none"/>
        </w:rPr>
        <w:t>1.2 标的</w:t>
      </w:r>
      <w:bookmarkEnd w:id="18"/>
      <w:bookmarkEnd w:id="19"/>
      <w:bookmarkEnd w:id="20"/>
      <w:bookmarkEnd w:id="21"/>
      <w:bookmarkEnd w:id="22"/>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3" w:name="_Toc21124"/>
      <w:bookmarkStart w:id="24" w:name="_Toc5635"/>
      <w:bookmarkStart w:id="25" w:name="_Toc1386"/>
      <w:bookmarkStart w:id="26" w:name="_Toc13918"/>
      <w:bookmarkStart w:id="27" w:name="_Toc4929"/>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3"/>
      <w:bookmarkEnd w:id="24"/>
      <w:bookmarkEnd w:id="25"/>
      <w:bookmarkEnd w:id="26"/>
      <w:bookmarkEnd w:id="27"/>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8" w:name="_Toc30158"/>
      <w:bookmarkStart w:id="29" w:name="_Toc26916"/>
      <w:bookmarkStart w:id="30" w:name="_Toc14993"/>
      <w:bookmarkStart w:id="31" w:name="_Toc3654"/>
      <w:bookmarkStart w:id="32"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8"/>
    <w:bookmarkEnd w:id="29"/>
    <w:bookmarkEnd w:id="30"/>
    <w:bookmarkEnd w:id="31"/>
    <w:bookmarkEnd w:id="32"/>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3" w:name="_Toc1814"/>
      <w:bookmarkStart w:id="34" w:name="_Toc22618"/>
      <w:bookmarkStart w:id="35" w:name="_Toc10340"/>
      <w:bookmarkStart w:id="36" w:name="_Toc3625"/>
      <w:bookmarkStart w:id="37" w:name="_Toc8772"/>
      <w:bookmarkStart w:id="38" w:name="_Toc11108"/>
      <w:bookmarkStart w:id="39" w:name="_Toc31421"/>
      <w:bookmarkStart w:id="40" w:name="_Toc4760"/>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3"/>
      <w:bookmarkEnd w:id="34"/>
      <w:bookmarkEnd w:id="35"/>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6"/>
      <w:bookmarkEnd w:id="37"/>
      <w:bookmarkEnd w:id="38"/>
      <w:bookmarkEnd w:id="39"/>
      <w:bookmarkEnd w:id="40"/>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1" w:name="_Toc24662"/>
      <w:bookmarkStart w:id="42" w:name="_Toc3079"/>
      <w:bookmarkStart w:id="43" w:name="_Toc8586"/>
      <w:bookmarkStart w:id="44" w:name="_Toc2375"/>
      <w:bookmarkStart w:id="45" w:name="_Toc5698"/>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1"/>
      <w:bookmarkEnd w:id="42"/>
      <w:bookmarkEnd w:id="43"/>
      <w:bookmarkEnd w:id="44"/>
      <w:bookmarkEnd w:id="45"/>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6" w:name="_Toc9497"/>
      <w:bookmarkStart w:id="47" w:name="_Toc26807"/>
      <w:bookmarkStart w:id="48" w:name="_Toc32454"/>
      <w:bookmarkStart w:id="49" w:name="_Toc30329"/>
      <w:bookmarkStart w:id="50" w:name="_Toc18683"/>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6"/>
    <w:bookmarkEnd w:id="47"/>
    <w:bookmarkEnd w:id="48"/>
    <w:bookmarkEnd w:id="49"/>
    <w:bookmarkEnd w:id="50"/>
    <w:p>
      <w:pPr>
        <w:spacing w:line="400" w:lineRule="exact"/>
        <w:ind w:firstLine="482" w:firstLineChars="200"/>
        <w:outlineLvl w:val="0"/>
        <w:rPr>
          <w:rFonts w:ascii="仿宋_GB2312" w:hAnsi="仿宋" w:eastAsia="仿宋_GB2312" w:cs="仿宋"/>
          <w:b/>
          <w:color w:val="auto"/>
          <w:sz w:val="24"/>
          <w:highlight w:val="none"/>
        </w:rPr>
      </w:pPr>
      <w:bookmarkStart w:id="51" w:name="_Toc16021"/>
      <w:bookmarkStart w:id="52" w:name="_Toc15583"/>
      <w:bookmarkStart w:id="53" w:name="_Toc28375"/>
      <w:r>
        <w:rPr>
          <w:rFonts w:hint="eastAsia" w:ascii="仿宋_GB2312" w:hAnsi="仿宋" w:eastAsia="仿宋_GB2312" w:cs="仿宋"/>
          <w:b/>
          <w:color w:val="auto"/>
          <w:sz w:val="24"/>
          <w:highlight w:val="none"/>
        </w:rPr>
        <w:t>1.9合同争议的解决</w:t>
      </w:r>
      <w:bookmarkEnd w:id="51"/>
      <w:bookmarkEnd w:id="52"/>
      <w:bookmarkEnd w:id="5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color w:val="auto"/>
          <w:sz w:val="24"/>
          <w:highlight w:val="none"/>
        </w:rPr>
      </w:pPr>
      <w:bookmarkStart w:id="54" w:name="_Toc15322"/>
      <w:bookmarkStart w:id="55" w:name="_Toc7245"/>
      <w:bookmarkStart w:id="56" w:name="_Toc11173"/>
      <w:r>
        <w:rPr>
          <w:rFonts w:hint="eastAsia" w:ascii="仿宋_GB2312" w:hAnsi="仿宋" w:eastAsia="仿宋_GB2312" w:cs="仿宋"/>
          <w:b/>
          <w:color w:val="auto"/>
          <w:sz w:val="24"/>
          <w:highlight w:val="none"/>
        </w:rPr>
        <w:t>2.0 合同生效</w:t>
      </w:r>
      <w:bookmarkEnd w:id="54"/>
      <w:bookmarkEnd w:id="55"/>
      <w:bookmarkEnd w:id="56"/>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7" w:name="_Toc19680"/>
      <w:bookmarkStart w:id="58" w:name="_Toc31297"/>
      <w:bookmarkStart w:id="59" w:name="_Toc25079"/>
      <w:bookmarkStart w:id="60" w:name="_Toc5228"/>
      <w:bookmarkStart w:id="61" w:name="_Toc14021"/>
      <w:r>
        <w:rPr>
          <w:rFonts w:hint="eastAsia" w:ascii="仿宋_GB2312" w:hAnsi="仿宋" w:eastAsia="仿宋_GB2312" w:cs="仿宋"/>
          <w:b/>
          <w:color w:val="auto"/>
          <w:sz w:val="24"/>
          <w:highlight w:val="none"/>
        </w:rPr>
        <w:t>2.1 定义</w:t>
      </w:r>
      <w:bookmarkEnd w:id="57"/>
      <w:bookmarkEnd w:id="58"/>
      <w:bookmarkEnd w:id="59"/>
      <w:bookmarkEnd w:id="60"/>
      <w:bookmarkEnd w:id="6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2" w:name="_Toc19539"/>
      <w:bookmarkStart w:id="63" w:name="_Toc31402"/>
      <w:bookmarkStart w:id="64" w:name="_Toc16752"/>
      <w:bookmarkStart w:id="65" w:name="_Toc23289"/>
      <w:bookmarkStart w:id="66" w:name="_Toc3769"/>
      <w:r>
        <w:rPr>
          <w:rFonts w:hint="eastAsia" w:ascii="仿宋_GB2312" w:hAnsi="仿宋" w:eastAsia="仿宋_GB2312" w:cs="仿宋"/>
          <w:b/>
          <w:color w:val="auto"/>
          <w:sz w:val="24"/>
          <w:highlight w:val="none"/>
        </w:rPr>
        <w:t>2.2 技术规范</w:t>
      </w:r>
      <w:bookmarkEnd w:id="62"/>
      <w:bookmarkEnd w:id="63"/>
      <w:bookmarkEnd w:id="64"/>
      <w:bookmarkEnd w:id="65"/>
      <w:bookmarkEnd w:id="6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7" w:name="_Toc12412"/>
      <w:bookmarkStart w:id="68" w:name="_Toc9161"/>
      <w:bookmarkStart w:id="69" w:name="_Toc4133"/>
      <w:bookmarkStart w:id="70" w:name="_Toc27945"/>
      <w:bookmarkStart w:id="71" w:name="_Toc13673"/>
      <w:r>
        <w:rPr>
          <w:rFonts w:hint="eastAsia" w:ascii="仿宋_GB2312" w:hAnsi="仿宋" w:eastAsia="仿宋_GB2312" w:cs="仿宋"/>
          <w:b/>
          <w:color w:val="auto"/>
          <w:sz w:val="24"/>
          <w:highlight w:val="none"/>
        </w:rPr>
        <w:t>2.3 知识产权</w:t>
      </w:r>
      <w:bookmarkEnd w:id="67"/>
      <w:bookmarkEnd w:id="68"/>
      <w:bookmarkEnd w:id="69"/>
      <w:bookmarkEnd w:id="70"/>
      <w:bookmarkEnd w:id="7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2" w:name="_Toc31233"/>
      <w:bookmarkStart w:id="73" w:name="_Toc26555"/>
      <w:bookmarkStart w:id="74" w:name="_Toc32670"/>
      <w:bookmarkStart w:id="75" w:name="_Toc22011"/>
      <w:bookmarkStart w:id="76" w:name="_Toc15447"/>
      <w:r>
        <w:rPr>
          <w:rFonts w:hint="eastAsia" w:ascii="仿宋_GB2312" w:hAnsi="仿宋" w:eastAsia="仿宋_GB2312" w:cs="仿宋"/>
          <w:b/>
          <w:color w:val="auto"/>
          <w:sz w:val="24"/>
          <w:highlight w:val="none"/>
        </w:rPr>
        <w:t>2.5 结算方式和付款条件</w:t>
      </w:r>
      <w:bookmarkEnd w:id="72"/>
      <w:bookmarkEnd w:id="73"/>
      <w:bookmarkEnd w:id="74"/>
      <w:bookmarkEnd w:id="75"/>
      <w:bookmarkEnd w:id="7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7" w:name="_Toc18990"/>
      <w:bookmarkStart w:id="78" w:name="_Toc13467"/>
      <w:bookmarkStart w:id="79" w:name="_Toc13154"/>
      <w:bookmarkStart w:id="80" w:name="_Toc16163"/>
      <w:bookmarkStart w:id="81" w:name="_Toc30507"/>
      <w:r>
        <w:rPr>
          <w:rFonts w:hint="eastAsia" w:ascii="仿宋_GB2312" w:hAnsi="仿宋" w:eastAsia="仿宋_GB2312" w:cs="仿宋"/>
          <w:b/>
          <w:color w:val="auto"/>
          <w:sz w:val="24"/>
          <w:highlight w:val="none"/>
        </w:rPr>
        <w:t>2.6 技术资料和保密义务</w:t>
      </w:r>
      <w:bookmarkEnd w:id="77"/>
      <w:bookmarkEnd w:id="78"/>
      <w:bookmarkEnd w:id="79"/>
      <w:bookmarkEnd w:id="80"/>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2" w:name="_Toc19069"/>
      <w:r>
        <w:rPr>
          <w:rFonts w:hint="eastAsia" w:ascii="仿宋_GB2312" w:hAnsi="仿宋" w:eastAsia="仿宋_GB2312" w:cs="仿宋"/>
          <w:b/>
          <w:color w:val="auto"/>
          <w:sz w:val="24"/>
          <w:highlight w:val="none"/>
        </w:rPr>
        <w:t>2.7 质量保证</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3" w:name="_Toc22267"/>
      <w:r>
        <w:rPr>
          <w:rFonts w:hint="eastAsia" w:ascii="仿宋_GB2312" w:hAnsi="仿宋" w:eastAsia="仿宋_GB2312" w:cs="仿宋"/>
          <w:b/>
          <w:color w:val="auto"/>
          <w:sz w:val="24"/>
          <w:highlight w:val="none"/>
        </w:rPr>
        <w:t>2.8 延迟履行</w:t>
      </w:r>
      <w:bookmarkEnd w:id="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4" w:name="_Toc10611"/>
      <w:r>
        <w:rPr>
          <w:rFonts w:hint="eastAsia" w:ascii="仿宋_GB2312" w:hAnsi="仿宋" w:eastAsia="仿宋_GB2312" w:cs="仿宋"/>
          <w:b/>
          <w:color w:val="auto"/>
          <w:sz w:val="24"/>
          <w:highlight w:val="none"/>
        </w:rPr>
        <w:t>2.9 合同变更</w:t>
      </w:r>
      <w:bookmarkEnd w:id="8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5" w:name="_Toc23368"/>
      <w:bookmarkStart w:id="86" w:name="_Toc26689"/>
      <w:bookmarkStart w:id="87" w:name="_Toc10663"/>
      <w:bookmarkStart w:id="88" w:name="_Toc42"/>
      <w:bookmarkStart w:id="89" w:name="_Toc21830"/>
      <w:r>
        <w:rPr>
          <w:rFonts w:hint="eastAsia" w:ascii="仿宋_GB2312" w:hAnsi="仿宋" w:eastAsia="仿宋_GB2312" w:cs="仿宋"/>
          <w:b/>
          <w:color w:val="auto"/>
          <w:sz w:val="24"/>
          <w:highlight w:val="none"/>
        </w:rPr>
        <w:t>2.10 合同转让和分包</w:t>
      </w:r>
      <w:bookmarkEnd w:id="85"/>
      <w:bookmarkEnd w:id="86"/>
      <w:bookmarkEnd w:id="87"/>
      <w:bookmarkEnd w:id="88"/>
      <w:bookmarkEnd w:id="8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90" w:name="_Toc14371"/>
      <w:bookmarkStart w:id="91" w:name="_Toc25571"/>
      <w:bookmarkStart w:id="92" w:name="_Toc32494"/>
      <w:bookmarkStart w:id="93" w:name="_Toc26633"/>
      <w:bookmarkStart w:id="94" w:name="_Toc4720"/>
      <w:r>
        <w:rPr>
          <w:rFonts w:hint="eastAsia" w:ascii="仿宋_GB2312" w:hAnsi="仿宋" w:eastAsia="仿宋_GB2312" w:cs="仿宋"/>
          <w:b/>
          <w:color w:val="auto"/>
          <w:sz w:val="24"/>
          <w:highlight w:val="none"/>
        </w:rPr>
        <w:t>2.11 不可抗力</w:t>
      </w:r>
      <w:bookmarkEnd w:id="90"/>
      <w:bookmarkEnd w:id="91"/>
      <w:bookmarkEnd w:id="92"/>
      <w:bookmarkEnd w:id="93"/>
      <w:bookmarkEnd w:id="9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5" w:name="_Toc24465"/>
      <w:bookmarkStart w:id="96" w:name="_Toc14115"/>
      <w:bookmarkStart w:id="97" w:name="_Toc3638"/>
      <w:bookmarkStart w:id="98" w:name="_Toc23854"/>
      <w:bookmarkStart w:id="99" w:name="_Toc25783"/>
      <w:r>
        <w:rPr>
          <w:rFonts w:hint="eastAsia" w:ascii="仿宋_GB2312" w:hAnsi="仿宋" w:eastAsia="仿宋_GB2312" w:cs="仿宋"/>
          <w:b/>
          <w:color w:val="auto"/>
          <w:sz w:val="24"/>
          <w:highlight w:val="none"/>
        </w:rPr>
        <w:t>2.12 税费</w:t>
      </w:r>
      <w:bookmarkEnd w:id="95"/>
      <w:bookmarkEnd w:id="96"/>
      <w:bookmarkEnd w:id="97"/>
      <w:bookmarkEnd w:id="98"/>
      <w:bookmarkEnd w:id="9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100" w:name="_Toc26883"/>
      <w:bookmarkStart w:id="101" w:name="_Toc14814"/>
      <w:bookmarkStart w:id="102" w:name="_Toc30105"/>
      <w:bookmarkStart w:id="103" w:name="_Toc7315"/>
      <w:bookmarkStart w:id="104" w:name="_Toc25525"/>
      <w:r>
        <w:rPr>
          <w:rFonts w:hint="eastAsia" w:ascii="仿宋_GB2312" w:hAnsi="仿宋" w:eastAsia="仿宋_GB2312" w:cs="仿宋"/>
          <w:b/>
          <w:color w:val="auto"/>
          <w:sz w:val="24"/>
          <w:highlight w:val="none"/>
        </w:rPr>
        <w:t>2.13 乙方破产</w:t>
      </w:r>
      <w:bookmarkEnd w:id="100"/>
      <w:bookmarkEnd w:id="101"/>
      <w:bookmarkEnd w:id="102"/>
      <w:bookmarkEnd w:id="103"/>
      <w:bookmarkEnd w:id="10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5" w:name="_Toc1123"/>
      <w:bookmarkStart w:id="106" w:name="_Toc23323"/>
      <w:bookmarkStart w:id="107" w:name="_Toc2016"/>
      <w:r>
        <w:rPr>
          <w:rFonts w:hint="eastAsia" w:ascii="仿宋_GB2312" w:hAnsi="仿宋" w:eastAsia="仿宋_GB2312" w:cs="仿宋"/>
          <w:b/>
          <w:color w:val="auto"/>
          <w:sz w:val="24"/>
          <w:highlight w:val="none"/>
        </w:rPr>
        <w:t>2.14 合同中止、终止</w:t>
      </w:r>
      <w:bookmarkEnd w:id="105"/>
      <w:bookmarkEnd w:id="106"/>
      <w:bookmarkEnd w:id="10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8" w:name="_Toc1969"/>
      <w:bookmarkStart w:id="109" w:name="_Toc14525"/>
      <w:bookmarkStart w:id="110" w:name="_Toc17363"/>
      <w:r>
        <w:rPr>
          <w:rFonts w:hint="eastAsia" w:ascii="仿宋_GB2312" w:hAnsi="仿宋" w:eastAsia="仿宋_GB2312" w:cs="仿宋"/>
          <w:b/>
          <w:color w:val="auto"/>
          <w:sz w:val="24"/>
          <w:highlight w:val="none"/>
        </w:rPr>
        <w:t>2.15 检验和验收</w:t>
      </w:r>
      <w:bookmarkEnd w:id="108"/>
      <w:bookmarkEnd w:id="109"/>
      <w:bookmarkEnd w:id="110"/>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1" w:name="_Toc9808"/>
      <w:bookmarkStart w:id="112" w:name="_Toc25198"/>
      <w:bookmarkStart w:id="113" w:name="_Toc2308"/>
      <w:bookmarkStart w:id="114" w:name="_Toc12666"/>
      <w:bookmarkStart w:id="115" w:name="_Toc31892"/>
      <w:r>
        <w:rPr>
          <w:rFonts w:hint="eastAsia" w:ascii="仿宋_GB2312" w:hAnsi="仿宋" w:eastAsia="仿宋_GB2312" w:cs="仿宋"/>
          <w:b/>
          <w:color w:val="auto"/>
          <w:sz w:val="24"/>
          <w:highlight w:val="none"/>
        </w:rPr>
        <w:t>2.16 通知和送达</w:t>
      </w:r>
      <w:bookmarkEnd w:id="111"/>
      <w:bookmarkEnd w:id="112"/>
      <w:bookmarkEnd w:id="113"/>
      <w:bookmarkEnd w:id="114"/>
      <w:bookmarkEnd w:id="115"/>
    </w:p>
    <w:p>
      <w:pPr>
        <w:spacing w:line="560" w:lineRule="exact"/>
        <w:ind w:firstLine="480" w:firstLineChars="200"/>
        <w:rPr>
          <w:rFonts w:ascii="仿宋_GB2312" w:hAnsi="仿宋" w:eastAsia="仿宋_GB2312" w:cs="仿宋"/>
          <w:color w:val="auto"/>
          <w:sz w:val="24"/>
          <w:highlight w:val="none"/>
        </w:rPr>
      </w:pPr>
      <w:bookmarkStart w:id="116" w:name="_Toc27674"/>
      <w:bookmarkStart w:id="117"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6"/>
      <w:bookmarkEnd w:id="117"/>
    </w:p>
    <w:p>
      <w:pPr>
        <w:spacing w:line="560" w:lineRule="exact"/>
        <w:ind w:firstLine="482" w:firstLineChars="200"/>
        <w:outlineLvl w:val="0"/>
        <w:rPr>
          <w:rFonts w:ascii="仿宋_GB2312" w:hAnsi="仿宋" w:eastAsia="仿宋_GB2312" w:cs="仿宋"/>
          <w:b/>
          <w:color w:val="auto"/>
          <w:sz w:val="24"/>
          <w:highlight w:val="none"/>
        </w:rPr>
      </w:pPr>
      <w:bookmarkStart w:id="118" w:name="_Toc5063"/>
      <w:bookmarkStart w:id="119" w:name="_Toc12254"/>
      <w:bookmarkStart w:id="120" w:name="_Toc28906"/>
      <w:bookmarkStart w:id="121" w:name="_Toc20808"/>
      <w:bookmarkStart w:id="122" w:name="_Toc27644"/>
      <w:r>
        <w:rPr>
          <w:rFonts w:hint="eastAsia" w:ascii="仿宋_GB2312" w:hAnsi="仿宋" w:eastAsia="仿宋_GB2312" w:cs="仿宋"/>
          <w:b/>
          <w:color w:val="auto"/>
          <w:sz w:val="24"/>
          <w:highlight w:val="none"/>
        </w:rPr>
        <w:t>2.17 合同使用的文字和适用的法律</w:t>
      </w:r>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3" w:name="_Toc4355"/>
      <w:bookmarkStart w:id="124" w:name="_Toc30599"/>
      <w:bookmarkStart w:id="125" w:name="_Toc18540"/>
      <w:r>
        <w:rPr>
          <w:rFonts w:hint="eastAsia" w:ascii="仿宋_GB2312" w:hAnsi="仿宋" w:eastAsia="仿宋_GB2312" w:cs="仿宋"/>
          <w:b/>
          <w:color w:val="auto"/>
          <w:sz w:val="24"/>
          <w:highlight w:val="none"/>
        </w:rPr>
        <w:t>2.18 计量单位</w:t>
      </w:r>
      <w:bookmarkEnd w:id="123"/>
      <w:bookmarkEnd w:id="124"/>
      <w:bookmarkEnd w:id="12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6" w:name="_Toc10330"/>
      <w:bookmarkStart w:id="127" w:name="_Toc487900373"/>
      <w:bookmarkStart w:id="128" w:name="_Toc18567"/>
      <w:bookmarkStart w:id="129" w:name="_Toc259093692"/>
      <w:bookmarkStart w:id="130" w:name="_Toc279701263"/>
      <w:bookmarkStart w:id="131" w:name="_Toc12773"/>
      <w:r>
        <w:rPr>
          <w:rFonts w:hint="eastAsia" w:ascii="仿宋_GB2312" w:hAnsi="仿宋" w:eastAsia="仿宋_GB2312" w:cs="仿宋"/>
          <w:b/>
          <w:color w:val="auto"/>
          <w:sz w:val="24"/>
          <w:highlight w:val="none"/>
        </w:rPr>
        <w:t>2.19 合同使用的文字和适用的法律</w:t>
      </w:r>
      <w:bookmarkEnd w:id="126"/>
      <w:bookmarkEnd w:id="127"/>
      <w:bookmarkEnd w:id="128"/>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2" w:name="_Toc331685784"/>
      <w:r>
        <w:rPr>
          <w:rFonts w:hint="eastAsia" w:ascii="仿宋_GB2312" w:hAnsi="仿宋" w:eastAsia="仿宋_GB2312" w:cs="仿宋"/>
          <w:b/>
          <w:color w:val="auto"/>
          <w:sz w:val="24"/>
          <w:highlight w:val="none"/>
        </w:rPr>
        <w:t xml:space="preserve"> </w:t>
      </w:r>
      <w:bookmarkEnd w:id="132"/>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tbl>
      <w:tblPr>
        <w:tblStyle w:val="63"/>
        <w:tblW w:w="9515" w:type="dxa"/>
        <w:jc w:val="center"/>
        <w:tblLayout w:type="fixed"/>
        <w:tblCellMar>
          <w:top w:w="0" w:type="dxa"/>
          <w:left w:w="108" w:type="dxa"/>
          <w:bottom w:w="0" w:type="dxa"/>
          <w:right w:w="108" w:type="dxa"/>
        </w:tblCellMar>
      </w:tblPr>
      <w:tblGrid>
        <w:gridCol w:w="1001"/>
        <w:gridCol w:w="1205"/>
        <w:gridCol w:w="6550"/>
        <w:gridCol w:w="759"/>
      </w:tblGrid>
      <w:tr>
        <w:tblPrEx>
          <w:tblCellMar>
            <w:top w:w="0" w:type="dxa"/>
            <w:left w:w="108" w:type="dxa"/>
            <w:bottom w:w="0" w:type="dxa"/>
            <w:right w:w="108" w:type="dxa"/>
          </w:tblCellMar>
        </w:tblPrEx>
        <w:trPr>
          <w:trHeight w:val="561"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评分项</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评审依据及标准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分值</w:t>
            </w:r>
          </w:p>
        </w:tc>
      </w:tr>
      <w:tr>
        <w:tblPrEx>
          <w:tblCellMar>
            <w:top w:w="0" w:type="dxa"/>
            <w:left w:w="108" w:type="dxa"/>
            <w:bottom w:w="0" w:type="dxa"/>
            <w:right w:w="108" w:type="dxa"/>
          </w:tblCellMar>
        </w:tblPrEx>
        <w:trPr>
          <w:trHeight w:val="538"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管理体系</w:t>
            </w:r>
          </w:p>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认证</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根据投标人企业认证证书情况进行打分，0-3分。（提供相关证明并加盖投标人公章）</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3分</w:t>
            </w:r>
          </w:p>
        </w:tc>
      </w:tr>
      <w:tr>
        <w:tblPrEx>
          <w:tblCellMar>
            <w:top w:w="0" w:type="dxa"/>
            <w:left w:w="108" w:type="dxa"/>
            <w:bottom w:w="0" w:type="dxa"/>
            <w:right w:w="108" w:type="dxa"/>
          </w:tblCellMar>
        </w:tblPrEx>
        <w:trPr>
          <w:trHeight w:val="1125"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业绩案例</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投标人自2021年7月1日以来（以合同签订时间为准）完成的</w:t>
            </w:r>
            <w:r>
              <w:rPr>
                <w:rFonts w:hint="eastAsia" w:ascii="仿宋_GB2312" w:hAnsi="仿宋_GB2312" w:eastAsia="仿宋_GB2312" w:cs="仿宋_GB2312"/>
                <w:color w:val="auto"/>
                <w:sz w:val="24"/>
                <w:highlight w:val="none"/>
                <w:lang w:eastAsia="zh-CN"/>
              </w:rPr>
              <w:t>同类</w:t>
            </w:r>
            <w:r>
              <w:rPr>
                <w:rFonts w:hint="eastAsia" w:ascii="仿宋_GB2312" w:hAnsi="仿宋_GB2312" w:eastAsia="仿宋_GB2312" w:cs="仿宋_GB2312"/>
                <w:color w:val="auto"/>
                <w:sz w:val="24"/>
                <w:highlight w:val="none"/>
              </w:rPr>
              <w:t>案例，每有一个得1分，满分2分。</w:t>
            </w:r>
          </w:p>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注：每个案例提供合同复印件，并加盖投标人公章。</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主要人员综合素质</w:t>
            </w:r>
          </w:p>
        </w:tc>
        <w:tc>
          <w:tcPr>
            <w:tcW w:w="6550" w:type="dxa"/>
            <w:tcBorders>
              <w:top w:val="single" w:color="auto" w:sz="4" w:space="0"/>
              <w:left w:val="single" w:color="auto" w:sz="4" w:space="0"/>
              <w:bottom w:val="single" w:color="auto" w:sz="4" w:space="0"/>
              <w:right w:val="single" w:color="auto" w:sz="4" w:space="0"/>
            </w:tcBorders>
            <w:vAlign w:val="center"/>
          </w:tcPr>
          <w:p>
            <w:pPr>
              <w:numPr>
                <w:ilvl w:val="0"/>
                <w:numId w:val="7"/>
              </w:numPr>
              <w:rPr>
                <w:rFonts w:hint="eastAsia" w:ascii="仿宋_GB2312" w:eastAsia="仿宋_GB2312"/>
                <w:color w:val="auto"/>
                <w:sz w:val="24"/>
                <w:highlight w:val="none"/>
                <w:lang w:eastAsia="zh-CN"/>
              </w:rPr>
            </w:pPr>
            <w:r>
              <w:rPr>
                <w:rFonts w:hint="eastAsia" w:ascii="仿宋_GB2312" w:eastAsia="仿宋_GB2312"/>
                <w:color w:val="auto"/>
                <w:sz w:val="24"/>
                <w:highlight w:val="none"/>
                <w:lang w:eastAsia="zh-CN"/>
              </w:rPr>
              <w:t>拟派项目负责人：</w:t>
            </w:r>
          </w:p>
          <w:p>
            <w:pPr>
              <w:numPr>
                <w:ilvl w:val="0"/>
                <w:numId w:val="8"/>
              </w:numP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具备大专及以上学历；</w:t>
            </w:r>
          </w:p>
          <w:p>
            <w:pPr>
              <w:numPr>
                <w:ilvl w:val="0"/>
                <w:numId w:val="8"/>
              </w:numPr>
              <w:rPr>
                <w:rFonts w:hint="default" w:ascii="仿宋_GB2312" w:eastAsia="仿宋_GB2312"/>
                <w:color w:val="auto"/>
                <w:sz w:val="24"/>
                <w:highlight w:val="none"/>
                <w:lang w:eastAsia="zh-CN"/>
              </w:rPr>
            </w:pPr>
            <w:r>
              <w:rPr>
                <w:rFonts w:hint="eastAsia" w:ascii="仿宋_GB2312" w:eastAsia="仿宋_GB2312"/>
                <w:color w:val="auto"/>
                <w:sz w:val="24"/>
                <w:highlight w:val="none"/>
                <w:lang w:eastAsia="zh-CN"/>
              </w:rPr>
              <w:t>持有应急管理部门颁发或监制的特种作业操作证（高压电工作业）</w:t>
            </w:r>
            <w:r>
              <w:rPr>
                <w:rFonts w:hint="eastAsia" w:ascii="仿宋_GB2312" w:hAnsi="仿宋_GB2312" w:eastAsia="仿宋_GB2312" w:cs="仿宋_GB2312"/>
                <w:color w:val="auto"/>
                <w:sz w:val="24"/>
                <w:szCs w:val="24"/>
                <w:highlight w:val="none"/>
                <w:lang w:eastAsia="zh-CN"/>
              </w:rPr>
              <w:t>；</w:t>
            </w:r>
          </w:p>
          <w:p>
            <w:pPr>
              <w:numPr>
                <w:ilvl w:val="0"/>
                <w:numId w:val="8"/>
              </w:numPr>
              <w:rPr>
                <w:rFonts w:hint="default" w:ascii="仿宋_GB2312" w:eastAsia="仿宋_GB2312"/>
                <w:color w:val="auto"/>
                <w:sz w:val="24"/>
                <w:highlight w:val="none"/>
                <w:lang w:eastAsia="zh-CN"/>
              </w:rPr>
            </w:pPr>
            <w:r>
              <w:rPr>
                <w:rFonts w:hint="eastAsia" w:ascii="仿宋_GB2312" w:eastAsia="仿宋_GB2312"/>
                <w:color w:val="auto"/>
                <w:sz w:val="24"/>
                <w:highlight w:val="none"/>
                <w:lang w:eastAsia="zh-CN"/>
              </w:rPr>
              <w:t>持有人社部门颁发的保安员二级及以上证书</w:t>
            </w:r>
            <w:r>
              <w:rPr>
                <w:rFonts w:hint="eastAsia" w:ascii="仿宋_GB2312" w:hAnsi="仿宋_GB2312" w:eastAsia="仿宋_GB2312" w:cs="仿宋_GB2312"/>
                <w:color w:val="auto"/>
                <w:sz w:val="24"/>
                <w:szCs w:val="24"/>
                <w:highlight w:val="none"/>
                <w:lang w:eastAsia="zh-CN"/>
              </w:rPr>
              <w:t>；</w:t>
            </w:r>
          </w:p>
          <w:p>
            <w:pPr>
              <w:numPr>
                <w:ilvl w:val="0"/>
                <w:numId w:val="0"/>
              </w:numPr>
              <w:spacing w:line="240"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szCs w:val="24"/>
                <w:highlight w:val="none"/>
                <w:lang w:eastAsia="zh-CN"/>
              </w:rPr>
              <w:t>以上条件每满足一项得</w:t>
            </w:r>
            <w:r>
              <w:rPr>
                <w:rFonts w:hint="eastAsia" w:ascii="仿宋_GB2312" w:hAnsi="仿宋_GB2312" w:eastAsia="仿宋_GB2312" w:cs="仿宋_GB2312"/>
                <w:color w:val="auto"/>
                <w:sz w:val="24"/>
                <w:szCs w:val="24"/>
                <w:highlight w:val="none"/>
                <w:lang w:val="en-US" w:eastAsia="zh-CN"/>
              </w:rPr>
              <w:t>1分，最高得3分。</w:t>
            </w:r>
          </w:p>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注：提供以上相关人员本单位的社保证明材料及相关证书材料复印件并加盖投标人公章,否则不得分。</w:t>
            </w:r>
          </w:p>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二、</w:t>
            </w:r>
            <w:r>
              <w:rPr>
                <w:rFonts w:hint="eastAsia" w:ascii="仿宋_GB2312" w:hAnsi="仿宋_GB2312" w:eastAsia="仿宋_GB2312" w:cs="仿宋_GB2312"/>
                <w:color w:val="auto"/>
                <w:sz w:val="24"/>
                <w:highlight w:val="none"/>
              </w:rPr>
              <w:t>保安员年龄50周岁以下的占总人数的20%为基准，每增加5%，得0.5分，最高得2分，提供相应的承诺书（格式自拟），不提供或不满足不得分。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人员专业素质及员工招聘标准</w:t>
            </w:r>
          </w:p>
        </w:tc>
        <w:tc>
          <w:tcPr>
            <w:tcW w:w="65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投标人提供针对本项目的人员专业素质及员工招聘标准，</w:t>
            </w:r>
            <w:r>
              <w:rPr>
                <w:rFonts w:hint="eastAsia" w:ascii="仿宋_GB2312" w:hAnsi="仿宋_GB2312" w:eastAsia="仿宋_GB2312" w:cs="仿宋_GB2312"/>
                <w:color w:val="auto"/>
                <w:sz w:val="24"/>
                <w:highlight w:val="none"/>
              </w:rPr>
              <w:t>包括但不限于</w:t>
            </w:r>
            <w:r>
              <w:rPr>
                <w:rFonts w:hint="eastAsia" w:ascii="仿宋_GB2312" w:hAnsi="仿宋_GB2312" w:eastAsia="仿宋_GB2312" w:cs="仿宋_GB2312"/>
                <w:color w:val="auto"/>
                <w:sz w:val="24"/>
                <w:highlight w:val="none"/>
                <w:lang w:val="zh-CN"/>
              </w:rPr>
              <w:t>人员（含项目负责人、</w:t>
            </w:r>
            <w:r>
              <w:rPr>
                <w:rFonts w:hint="eastAsia" w:ascii="仿宋_GB2312" w:hAnsi="仿宋_GB2312" w:eastAsia="仿宋_GB2312" w:cs="仿宋_GB2312"/>
                <w:color w:val="auto"/>
                <w:sz w:val="24"/>
                <w:highlight w:val="none"/>
              </w:rPr>
              <w:t>队长、带班班长</w:t>
            </w:r>
            <w:r>
              <w:rPr>
                <w:rFonts w:hint="eastAsia" w:ascii="仿宋_GB2312" w:hAnsi="仿宋_GB2312" w:eastAsia="仿宋_GB2312" w:cs="仿宋_GB2312"/>
                <w:color w:val="auto"/>
                <w:sz w:val="24"/>
                <w:highlight w:val="none"/>
                <w:lang w:val="zh-CN"/>
              </w:rPr>
              <w:t>）业务素质、工作能力、员工招聘标准等方面，</w:t>
            </w:r>
            <w:r>
              <w:rPr>
                <w:rFonts w:hint="eastAsia" w:ascii="仿宋_GB2312" w:hAnsi="仿宋_GB2312" w:eastAsia="仿宋_GB2312" w:cs="仿宋_GB2312"/>
                <w:color w:val="auto"/>
                <w:sz w:val="24"/>
                <w:highlight w:val="none"/>
              </w:rPr>
              <w:t>0-5分</w:t>
            </w:r>
            <w:r>
              <w:rPr>
                <w:rFonts w:hint="eastAsia" w:ascii="仿宋_GB2312" w:hAnsi="仿宋_GB2312" w:eastAsia="仿宋_GB2312" w:cs="仿宋_GB2312"/>
                <w:color w:val="auto"/>
                <w:sz w:val="24"/>
                <w:highlight w:val="none"/>
                <w:lang w:val="zh-CN"/>
              </w:rPr>
              <w:t>。</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总体服务方案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本项目理解的熟悉程度，整体构想的创新性、充分性和相符程度；保安管理目标明确性，起点高低程度及设置；针对本项目日常服务管理特点和难点进行分析，整体调查分析到位、问题抓准；提出解决问题的措施等，提供方案及案例，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综合管理方案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投标人提供全面的综合管理方案，包括但不限于对医院消防、治安、停车、队伍建设等方面现状分析、总体管理、服务指标及措施等，0-5分。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管理制度</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根据投标人提供的管理制度进行打分，包括但不限于投标人本身的管理制度、作业流程及保安管理工作计划、档案管理制度、公众制度等方面，0-5分。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安全管理方案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安全管理方案进行打分，包括但不限于针对医院实际情况，制定应急预案/处置流程、应急响应时间、配置应急人员数量、临时（1-3天）和短期（半个月-3个月）应急支援队伍的保障计划等方面，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紧急事件防范方案</w:t>
            </w:r>
          </w:p>
        </w:tc>
        <w:tc>
          <w:tcPr>
            <w:tcW w:w="65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根据投标人提供紧急、突发事件防范方案进行打分，包括但不限于重大活动应急保障，电梯困人，雨雪天气，火灾、治安防范等，0-5分。</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根据投标人提供的培训方案进行打分，包括但不限于各类人员演练制度、培训场地、培训师资、培训制度、培训内容等方面，0-5分。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设施设备</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根据投标人承诺提供的设施设备或物品情况进行打分，包括但不限于护器、特勤处突设备或物品等方面，0-5分。</w:t>
            </w:r>
          </w:p>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注：需提供设备购置发票或租赁合同复印件加盖投标人公章。</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考核管理方案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根据投标人提供的考核管理方案进行打分，包括但不限于人员录用与考核的标准、奖惩淘汰机制的标准等方面，0-5分。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88"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公共卫生防控方案</w:t>
            </w:r>
          </w:p>
        </w:tc>
        <w:tc>
          <w:tcPr>
            <w:tcW w:w="6550" w:type="dxa"/>
            <w:tcBorders>
              <w:top w:val="single" w:color="auto" w:sz="4" w:space="0"/>
              <w:left w:val="single" w:color="auto" w:sz="4" w:space="0"/>
              <w:bottom w:val="single" w:color="auto" w:sz="4" w:space="0"/>
              <w:right w:val="single" w:color="auto" w:sz="4" w:space="0"/>
            </w:tcBorders>
            <w:vAlign w:val="center"/>
          </w:tcPr>
          <w:p>
            <w:pPr>
              <w:widowControl/>
              <w:spacing w:line="288" w:lineRule="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投标人根据各类物业场景，制定公共卫生防控方案，包括但不限于如何做好公共区域及场所的出入管控、活动和会务的卫生消毒等防疫消杀工作方案等，0-5分</w:t>
            </w:r>
            <w:r>
              <w:rPr>
                <w:rFonts w:hint="eastAsia" w:ascii="仿宋_GB2312" w:hAnsi="仿宋_GB2312" w:eastAsia="仿宋_GB2312" w:cs="仿宋_GB2312"/>
                <w:color w:val="auto"/>
                <w:kern w:val="0"/>
                <w:sz w:val="24"/>
                <w:highlight w:val="none"/>
              </w:rPr>
              <w:t>。</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88" w:lineRule="auto"/>
              <w:jc w:val="center"/>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p>
        </w:tc>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稳定员工队伍的方案</w:t>
            </w:r>
          </w:p>
        </w:tc>
        <w:tc>
          <w:tcPr>
            <w:tcW w:w="6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投标人提供</w:t>
            </w:r>
            <w:r>
              <w:rPr>
                <w:rFonts w:hint="eastAsia" w:ascii="仿宋_GB2312" w:hAnsi="仿宋_GB2312" w:eastAsia="仿宋_GB2312" w:cs="仿宋_GB2312"/>
                <w:color w:val="auto"/>
                <w:sz w:val="24"/>
                <w:highlight w:val="none"/>
              </w:rPr>
              <w:t>针对本项目稳定员工队伍的措施及方案，包括但不限于员工福利待遇，工会福利等方面，0-5分。</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赔偿承诺方案</w:t>
            </w:r>
          </w:p>
        </w:tc>
        <w:tc>
          <w:tcPr>
            <w:tcW w:w="65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投标人针对本项目相关赔偿承诺方案，包括但不限于赔偿制度及细则、是否具有专人落实等内容，0-5分。</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1063" w:hRule="atLeast"/>
          <w:jc w:val="center"/>
        </w:trPr>
        <w:tc>
          <w:tcPr>
            <w:tcW w:w="10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重大活动安保保障方案</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根据投标人提供的重大活动安保</w:t>
            </w:r>
            <w:r>
              <w:rPr>
                <w:rFonts w:hint="eastAsia" w:ascii="仿宋_GB2312" w:hAnsi="仿宋_GB2312" w:eastAsia="仿宋_GB2312" w:cs="仿宋_GB2312"/>
                <w:color w:val="auto"/>
                <w:sz w:val="24"/>
                <w:highlight w:val="none"/>
                <w:lang w:eastAsia="zh-CN"/>
              </w:rPr>
              <w:t>保障</w:t>
            </w:r>
            <w:r>
              <w:rPr>
                <w:rFonts w:hint="eastAsia" w:ascii="仿宋_GB2312" w:hAnsi="仿宋_GB2312" w:eastAsia="仿宋_GB2312" w:cs="仿宋_GB2312"/>
                <w:color w:val="auto"/>
                <w:sz w:val="24"/>
                <w:highlight w:val="none"/>
              </w:rPr>
              <w:t>方案进行打分，包括重大活动级别，重大活动的响应时效、人员保障措施、装备保障措施等内容</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 xml:space="preserve">0-5分。 </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r>
        <w:tblPrEx>
          <w:tblCellMar>
            <w:top w:w="0" w:type="dxa"/>
            <w:left w:w="108" w:type="dxa"/>
            <w:bottom w:w="0" w:type="dxa"/>
            <w:right w:w="108" w:type="dxa"/>
          </w:tblCellMar>
        </w:tblPrEx>
        <w:trPr>
          <w:trHeight w:val="305" w:hRule="atLeast"/>
          <w:jc w:val="center"/>
        </w:trPr>
        <w:tc>
          <w:tcPr>
            <w:tcW w:w="10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服务承诺</w:t>
            </w:r>
          </w:p>
        </w:tc>
        <w:tc>
          <w:tcPr>
            <w:tcW w:w="6550"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根据投标人提供的服务承诺进行打分，包括但不限于对诚信、质量、管理及服从采购人安排等方面，0-5分。</w:t>
            </w:r>
          </w:p>
        </w:tc>
        <w:tc>
          <w:tcPr>
            <w:tcW w:w="75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5分</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w:t>
      </w:r>
      <w:r>
        <w:rPr>
          <w:rFonts w:hint="eastAsia" w:ascii="仿宋_GB2312" w:hAnsi="宋体" w:eastAsia="仿宋_GB2312"/>
          <w:b/>
          <w:bCs/>
          <w:iCs/>
          <w:color w:val="auto"/>
          <w:sz w:val="24"/>
          <w:highlight w:val="none"/>
        </w:rPr>
        <w:t>0分）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绍兴市中医院保安服务项目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2024-12-0152</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绍兴市中医院</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绍兴市中医院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绍兴市中医院保安服务项目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2024-12-0152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绍兴市中医院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绍兴市中医院保安服务项目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2024-12-0152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绍兴市中医院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绍兴市中医院保安服务项目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2024-12-0152</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3" w:name="_Hlk101259491"/>
      <w:r>
        <w:rPr>
          <w:rFonts w:hint="eastAsia" w:ascii="仿宋_GB2312" w:hAnsi="仿宋" w:eastAsia="仿宋_GB2312" w:cs="仿宋"/>
          <w:color w:val="auto"/>
          <w:sz w:val="32"/>
          <w:szCs w:val="32"/>
          <w:highlight w:val="none"/>
        </w:rPr>
        <w:t>（如果有）</w:t>
      </w:r>
      <w:bookmarkEnd w:id="133"/>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4" w:name="_Toc465665161"/>
      <w:r>
        <w:rPr>
          <w:rFonts w:hint="eastAsia" w:ascii="仿宋_GB2312" w:hAnsi="仿宋" w:cs="仿宋"/>
          <w:color w:val="auto"/>
          <w:highlight w:val="none"/>
        </w:rPr>
        <w:t>附件</w:t>
      </w:r>
      <w:bookmarkEnd w:id="134"/>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5" w:name="_Hlk101131882"/>
      <w:r>
        <w:rPr>
          <w:rFonts w:hint="eastAsia" w:ascii="仿宋_GB2312" w:hAnsi="仿宋" w:eastAsia="仿宋_GB2312" w:cs="仿宋"/>
          <w:color w:val="auto"/>
          <w:kern w:val="0"/>
          <w:sz w:val="24"/>
          <w:highlight w:val="none"/>
          <w:u w:val="single"/>
        </w:rPr>
        <w:t>联合体成员X,……</w:t>
      </w:r>
      <w:bookmarkEnd w:id="135"/>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6"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6"/>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7" w:name="OLE_LINK13"/>
      <w:bookmarkStart w:id="138" w:name="OLE_LINK14"/>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7"/>
    <w:bookmarkEnd w:id="138"/>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Symbol">
    <w:panose1 w:val="05050102010706020507"/>
    <w:charset w:val="00"/>
    <w:family w:val="auto"/>
    <w:pitch w:val="default"/>
    <w:sig w:usb0="00000000" w:usb1="00000000" w:usb2="00000000" w:usb3="00000000" w:csb0="80000000" w:csb1="0000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2024-12-0152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41059314"/>
    <w:multiLevelType w:val="singleLevel"/>
    <w:tmpl w:val="41059314"/>
    <w:lvl w:ilvl="0" w:tentative="0">
      <w:start w:val="1"/>
      <w:numFmt w:val="decimal"/>
      <w:suff w:val="nothing"/>
      <w:lvlText w:val="（%1）"/>
      <w:lvlJc w:val="left"/>
    </w:lvl>
  </w:abstractNum>
  <w:abstractNum w:abstractNumId="5">
    <w:nsid w:val="53BBF237"/>
    <w:multiLevelType w:val="singleLevel"/>
    <w:tmpl w:val="53BBF237"/>
    <w:lvl w:ilvl="0" w:tentative="0">
      <w:start w:val="1"/>
      <w:numFmt w:val="decimal"/>
      <w:lvlText w:val="%1."/>
      <w:lvlJc w:val="left"/>
      <w:pPr>
        <w:tabs>
          <w:tab w:val="left" w:pos="312"/>
        </w:tabs>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8">
    <w:nsid w:val="7EA88EAE"/>
    <w:multiLevelType w:val="singleLevel"/>
    <w:tmpl w:val="7EA88EAE"/>
    <w:lvl w:ilvl="0" w:tentative="0">
      <w:start w:val="1"/>
      <w:numFmt w:val="chineseCounting"/>
      <w:suff w:val="nothing"/>
      <w:lvlText w:val="%1、"/>
      <w:lvlJc w:val="left"/>
      <w:rPr>
        <w:rFonts w:hint="eastAsia"/>
      </w:rPr>
    </w:lvl>
  </w:abstractNum>
  <w:num w:numId="1">
    <w:abstractNumId w:val="6"/>
  </w:num>
  <w:num w:numId="2">
    <w:abstractNumId w:val="2"/>
  </w:num>
  <w:num w:numId="3">
    <w:abstractNumId w:val="1"/>
  </w:num>
  <w:num w:numId="4">
    <w:abstractNumId w:val="7"/>
  </w:num>
  <w:num w:numId="5">
    <w:abstractNumId w:val="0"/>
  </w:num>
  <w:num w:numId="6">
    <w:abstractNumId w:val="4"/>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lOTFlODk5Y2UyODUzZWFjNjA2YzA3NWFhMTcyZD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B859ED"/>
    <w:rsid w:val="05DB4C7C"/>
    <w:rsid w:val="0F6634D4"/>
    <w:rsid w:val="101337C2"/>
    <w:rsid w:val="1059279E"/>
    <w:rsid w:val="108A6801"/>
    <w:rsid w:val="10A52B22"/>
    <w:rsid w:val="2A23501F"/>
    <w:rsid w:val="2B823886"/>
    <w:rsid w:val="38431A73"/>
    <w:rsid w:val="3FD9443D"/>
    <w:rsid w:val="44536CDC"/>
    <w:rsid w:val="4A523CB1"/>
    <w:rsid w:val="56D92837"/>
    <w:rsid w:val="57DB7F47"/>
    <w:rsid w:val="5B952728"/>
    <w:rsid w:val="657A026D"/>
    <w:rsid w:val="6CD22F28"/>
    <w:rsid w:val="6EEC5629"/>
    <w:rsid w:val="72E87C49"/>
    <w:rsid w:val="74683116"/>
    <w:rsid w:val="75165DFB"/>
    <w:rsid w:val="7DFBB8BB"/>
    <w:rsid w:val="7FA7228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next w:val="25"/>
    <w:link w:val="93"/>
    <w:qFormat/>
    <w:uiPriority w:val="0"/>
    <w:pPr>
      <w:spacing w:after="120"/>
      <w:ind w:left="420" w:leftChars="200"/>
    </w:pPr>
  </w:style>
  <w:style w:type="paragraph" w:styleId="25">
    <w:name w:val="Body Text First Indent 2"/>
    <w:basedOn w:val="24"/>
    <w:next w:val="23"/>
    <w:link w:val="231"/>
    <w:qFormat/>
    <w:uiPriority w:val="0"/>
    <w:pPr>
      <w:ind w:firstLine="420" w:firstLine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w:basedOn w:val="23"/>
    <w:link w:val="230"/>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2"/>
    <w:qFormat/>
    <w:uiPriority w:val="0"/>
    <w:rPr>
      <w:rFonts w:eastAsia="仿宋_GB2312"/>
      <w:b/>
      <w:kern w:val="44"/>
      <w:sz w:val="44"/>
      <w:lang w:val="en-US" w:eastAsia="zh-CN" w:bidi="ar-SA"/>
    </w:rPr>
  </w:style>
  <w:style w:type="character" w:customStyle="1" w:styleId="81">
    <w:name w:val="正文缩进 Char"/>
    <w:link w:val="4"/>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3"/>
    <w:qFormat/>
    <w:uiPriority w:val="0"/>
    <w:rPr>
      <w:rFonts w:ascii="Arial" w:hAnsi="Arial" w:eastAsia="黑体"/>
      <w:b/>
      <w:kern w:val="2"/>
      <w:sz w:val="32"/>
      <w:lang w:val="en-US" w:eastAsia="zh-CN" w:bidi="ar-SA"/>
    </w:rPr>
  </w:style>
  <w:style w:type="character" w:customStyle="1" w:styleId="84">
    <w:name w:val="标题 3 Char"/>
    <w:link w:val="5"/>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4"/>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62"/>
    <w:qFormat/>
    <w:uiPriority w:val="0"/>
    <w:rPr>
      <w:rFonts w:eastAsia="仿宋_GB2312"/>
      <w:kern w:val="2"/>
      <w:sz w:val="21"/>
      <w:szCs w:val="24"/>
      <w:lang w:val="en-US" w:eastAsia="zh-CN" w:bidi="ar-SA"/>
    </w:rPr>
  </w:style>
  <w:style w:type="character" w:customStyle="1" w:styleId="231">
    <w:name w:val="正文首行缩进 2 Char"/>
    <w:basedOn w:val="93"/>
    <w:link w:val="25"/>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27602</Words>
  <Characters>29479</Characters>
  <Lines>378</Lines>
  <Paragraphs>106</Paragraphs>
  <TotalTime>0</TotalTime>
  <ScaleCrop>false</ScaleCrop>
  <LinksUpToDate>false</LinksUpToDate>
  <CharactersWithSpaces>32521</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Administrator</cp:lastModifiedBy>
  <cp:lastPrinted>2023-07-27T03:40:00Z</cp:lastPrinted>
  <dcterms:modified xsi:type="dcterms:W3CDTF">2024-12-25T08:45:44Z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