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bookmarkStart w:id="167" w:name="_GoBack"/>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绍兴市财政局2024-2025年度绍兴市投影仪“政务优选专区”项目采购</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2024-10-0114</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绍兴市财政局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十</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绍兴市财政局2024-2025年度绍兴市投影仪“政务优选专区”项目采购</w:t>
                  </w:r>
                  <w:r>
                    <w:rPr>
                      <w:rFonts w:hint="eastAsia" w:ascii="仿宋_GB2312" w:hAnsi="新宋体" w:eastAsia="仿宋_GB2312"/>
                      <w:color w:val="auto"/>
                      <w:szCs w:val="24"/>
                      <w:highlight w:val="none"/>
                    </w:rPr>
                    <w:t>招标项目的潜在投标人应在政采云平台（https://www.zcygov.cn/）获取（下载）招标文件，并于20</w:t>
                  </w:r>
                  <w:r>
                    <w:rPr>
                      <w:rFonts w:hint="eastAsia" w:ascii="仿宋_GB2312" w:hAnsi="新宋体" w:eastAsia="仿宋_GB2312"/>
                      <w:color w:val="auto"/>
                      <w:szCs w:val="24"/>
                      <w:highlight w:val="none"/>
                      <w:lang w:val="en-US" w:eastAsia="zh-CN"/>
                    </w:rPr>
                    <w:t>24</w:t>
                  </w:r>
                  <w:r>
                    <w:rPr>
                      <w:rFonts w:hint="eastAsia" w:ascii="仿宋_GB2312" w:hAnsi="新宋体" w:eastAsia="仿宋_GB2312"/>
                      <w:color w:val="auto"/>
                      <w:szCs w:val="24"/>
                      <w:highlight w:val="none"/>
                    </w:rPr>
                    <w:t>年 月 日9点00分00秒（北京时间）前递交（上传）投标文件。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2024-10-0114</w:t>
            </w:r>
          </w:p>
          <w:p>
            <w:pPr>
              <w:pStyle w:val="97"/>
              <w:keepNext w:val="0"/>
              <w:keepLines w:val="0"/>
              <w:pageBreakBefore w:val="0"/>
              <w:widowControl/>
              <w:kinsoku/>
              <w:wordWrap/>
              <w:overflowPunct/>
              <w:topLinePunct w:val="0"/>
              <w:autoSpaceDE/>
              <w:autoSpaceDN/>
              <w:bidi w:val="0"/>
              <w:adjustRightInd/>
              <w:snapToGrid w:val="0"/>
              <w:spacing w:afterLines="0" w:line="440" w:lineRule="exact"/>
              <w:ind w:right="0" w:rightChars="0" w:firstLine="482"/>
              <w:textAlignment w:val="auto"/>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绍兴市财政局2024-2025年度绍兴市投影仪“政务优选专区”项目采购</w:t>
            </w:r>
          </w:p>
          <w:p>
            <w:pPr>
              <w:pStyle w:val="97"/>
              <w:spacing w:afterLines="0" w:line="440" w:lineRule="exact"/>
              <w:ind w:firstLine="482"/>
              <w:rPr>
                <w:rFonts w:hint="eastAsia" w:ascii="仿宋_GB2312" w:hAnsi="新宋体" w:eastAsia="仿宋_GB2312"/>
                <w:b/>
                <w:color w:val="auto"/>
                <w:szCs w:val="24"/>
                <w:highlight w:val="none"/>
                <w:lang w:val="en-US" w:eastAsia="zh-CN"/>
              </w:rPr>
            </w:pPr>
            <w:r>
              <w:rPr>
                <w:rFonts w:hint="eastAsia" w:ascii="仿宋_GB2312" w:hAnsi="新宋体" w:eastAsia="仿宋_GB2312"/>
                <w:b/>
                <w:color w:val="auto"/>
                <w:szCs w:val="24"/>
                <w:highlight w:val="none"/>
              </w:rPr>
              <w:t>预算金额（元）：详见</w:t>
            </w:r>
            <w:r>
              <w:rPr>
                <w:rFonts w:hint="eastAsia" w:ascii="仿宋_GB2312" w:hAnsi="新宋体" w:eastAsia="仿宋_GB2312"/>
                <w:b/>
                <w:color w:val="auto"/>
                <w:szCs w:val="24"/>
                <w:highlight w:val="none"/>
                <w:lang w:val="en-US" w:eastAsia="zh-CN"/>
              </w:rPr>
              <w:t>招标文件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最高限价（元）：详见</w:t>
            </w:r>
            <w:r>
              <w:rPr>
                <w:rFonts w:hint="eastAsia" w:ascii="仿宋_GB2312" w:hAnsi="新宋体" w:eastAsia="仿宋_GB2312"/>
                <w:b/>
                <w:color w:val="auto"/>
                <w:szCs w:val="24"/>
                <w:highlight w:val="none"/>
                <w:lang w:val="en-US" w:eastAsia="zh-CN"/>
              </w:rPr>
              <w:t>招标文件</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2024-2025年度</w:t>
            </w:r>
            <w:r>
              <w:rPr>
                <w:rFonts w:hint="eastAsia" w:ascii="仿宋_GB2312" w:hAnsi="新宋体" w:eastAsia="仿宋_GB2312"/>
                <w:color w:val="auto"/>
                <w:szCs w:val="24"/>
                <w:highlight w:val="none"/>
              </w:rPr>
              <w:t>绍兴市本级、越城区、柯桥区</w:t>
            </w:r>
            <w:r>
              <w:rPr>
                <w:rFonts w:hint="eastAsia" w:ascii="仿宋_GB2312" w:hAnsi="新宋体" w:eastAsia="仿宋_GB2312"/>
                <w:color w:val="auto"/>
                <w:szCs w:val="24"/>
                <w:highlight w:val="none"/>
                <w:lang w:eastAsia="zh-CN"/>
              </w:rPr>
              <w:t>投影仪“政务优选专区”项目采购</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b w:val="0"/>
                <w:bCs/>
                <w:color w:val="auto"/>
                <w:szCs w:val="24"/>
                <w:highlight w:val="none"/>
              </w:rPr>
              <w:t>详见</w:t>
            </w:r>
            <w:r>
              <w:rPr>
                <w:rFonts w:hint="eastAsia" w:ascii="仿宋_GB2312" w:hAnsi="新宋体" w:eastAsia="仿宋_GB2312"/>
                <w:b w:val="0"/>
                <w:bCs/>
                <w:color w:val="auto"/>
                <w:szCs w:val="24"/>
                <w:highlight w:val="none"/>
                <w:lang w:val="en-US" w:eastAsia="zh-CN"/>
              </w:rPr>
              <w:t>招标文件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hint="eastAsia"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w:t>
            </w:r>
            <w:r>
              <w:rPr>
                <w:rFonts w:hint="eastAsia" w:ascii="仿宋_GB2312" w:hAnsi="新宋体" w:eastAsia="仿宋_GB2312"/>
                <w:color w:val="auto"/>
                <w:szCs w:val="24"/>
                <w:highlight w:val="none"/>
                <w:lang w:val="en-US" w:eastAsia="zh-CN"/>
              </w:rPr>
              <w:t>二</w:t>
            </w:r>
            <w:r>
              <w:rPr>
                <w:rFonts w:hint="eastAsia" w:ascii="仿宋_GB2312" w:hAnsi="新宋体" w:eastAsia="仿宋_GB2312"/>
                <w:color w:val="auto"/>
                <w:szCs w:val="24"/>
                <w:highlight w:val="none"/>
              </w:rPr>
              <w:t>:</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2024-2025年度</w:t>
            </w:r>
            <w:r>
              <w:rPr>
                <w:rFonts w:hint="eastAsia" w:ascii="仿宋_GB2312" w:hAnsi="新宋体" w:eastAsia="仿宋_GB2312"/>
                <w:color w:val="auto"/>
                <w:szCs w:val="24"/>
                <w:highlight w:val="none"/>
                <w:lang w:val="en-US" w:eastAsia="zh-CN"/>
              </w:rPr>
              <w:t>诸暨市</w:t>
            </w:r>
            <w:r>
              <w:rPr>
                <w:rFonts w:hint="eastAsia" w:ascii="仿宋_GB2312" w:hAnsi="新宋体" w:eastAsia="仿宋_GB2312"/>
                <w:color w:val="auto"/>
                <w:szCs w:val="24"/>
                <w:highlight w:val="none"/>
                <w:lang w:eastAsia="zh-CN"/>
              </w:rPr>
              <w:t>投影仪“政务优选专区”项目采购</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b w:val="0"/>
                <w:bCs/>
                <w:color w:val="auto"/>
                <w:szCs w:val="24"/>
                <w:highlight w:val="none"/>
              </w:rPr>
              <w:t>详见</w:t>
            </w:r>
            <w:r>
              <w:rPr>
                <w:rFonts w:hint="eastAsia" w:ascii="仿宋_GB2312" w:hAnsi="新宋体" w:eastAsia="仿宋_GB2312"/>
                <w:b w:val="0"/>
                <w:bCs/>
                <w:color w:val="auto"/>
                <w:szCs w:val="24"/>
                <w:highlight w:val="none"/>
                <w:lang w:val="en-US" w:eastAsia="zh-CN"/>
              </w:rPr>
              <w:t>招标文件</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w:t>
            </w:r>
            <w:r>
              <w:rPr>
                <w:rFonts w:hint="eastAsia" w:ascii="仿宋_GB2312" w:hAnsi="新宋体" w:eastAsia="仿宋_GB2312"/>
                <w:color w:val="auto"/>
                <w:szCs w:val="24"/>
                <w:highlight w:val="none"/>
                <w:lang w:val="en-US" w:eastAsia="zh-CN"/>
              </w:rPr>
              <w:t>三</w:t>
            </w:r>
            <w:r>
              <w:rPr>
                <w:rFonts w:hint="eastAsia" w:ascii="仿宋_GB2312" w:hAnsi="新宋体" w:eastAsia="仿宋_GB2312"/>
                <w:color w:val="auto"/>
                <w:szCs w:val="24"/>
                <w:highlight w:val="none"/>
              </w:rPr>
              <w:t>:</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2024-2025年度</w:t>
            </w:r>
            <w:r>
              <w:rPr>
                <w:rFonts w:hint="eastAsia" w:ascii="仿宋_GB2312" w:hAnsi="新宋体" w:eastAsia="仿宋_GB2312"/>
                <w:color w:val="auto"/>
                <w:szCs w:val="24"/>
                <w:highlight w:val="none"/>
              </w:rPr>
              <w:t>嵊州市、新昌县</w:t>
            </w:r>
            <w:r>
              <w:rPr>
                <w:rFonts w:hint="eastAsia" w:ascii="仿宋_GB2312" w:hAnsi="新宋体" w:eastAsia="仿宋_GB2312"/>
                <w:color w:val="auto"/>
                <w:szCs w:val="24"/>
                <w:highlight w:val="none"/>
                <w:lang w:eastAsia="zh-CN"/>
              </w:rPr>
              <w:t>投影仪“政务优选专区”项目采购</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b w:val="0"/>
                <w:bCs/>
                <w:color w:val="auto"/>
                <w:szCs w:val="24"/>
                <w:highlight w:val="none"/>
              </w:rPr>
              <w:t>详见</w:t>
            </w:r>
            <w:r>
              <w:rPr>
                <w:rFonts w:hint="eastAsia" w:ascii="仿宋_GB2312" w:hAnsi="新宋体" w:eastAsia="仿宋_GB2312"/>
                <w:b w:val="0"/>
                <w:bCs/>
                <w:color w:val="auto"/>
                <w:szCs w:val="24"/>
                <w:highlight w:val="none"/>
                <w:lang w:val="en-US" w:eastAsia="zh-CN"/>
              </w:rPr>
              <w:t>招标文件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是，</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00FE"/>
                </w:r>
              </w:sdtContent>
            </w:sdt>
            <w:r>
              <w:rPr>
                <w:rFonts w:hint="eastAsia" w:ascii="仿宋_GB2312" w:hAnsi="新宋体" w:eastAsia="仿宋_GB2312"/>
                <w:b/>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 月 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 xml:space="preserve"> 年 月 日 点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 xml:space="preserve"> 年 月 日 点 分00秒</w:t>
            </w:r>
            <w:r>
              <w:rPr>
                <w:rFonts w:hint="eastAsia" w:ascii="仿宋_GB2312" w:hAnsi="仿宋" w:eastAsia="仿宋_GB2312" w:cs="仿宋"/>
                <w:bCs/>
                <w:color w:val="auto"/>
                <w:sz w:val="24"/>
                <w:highlight w:val="none"/>
                <w:u w:val="single"/>
              </w:rPr>
              <w:t xml:space="preserve">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地址：绍兴市越城区凤林西路151号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项目联系人（询问）：高之聪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项目联系方式（询问）：13732227857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质疑联系人：王小炜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质疑联系方式：15968509669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□A无方案讲解演示。</w:t>
            </w:r>
          </w:p>
          <w:p>
            <w:pPr>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sym w:font="Wingdings 2" w:char="0052"/>
            </w:r>
            <w:r>
              <w:rPr>
                <w:rFonts w:hint="eastAsia" w:ascii="仿宋_GB2312" w:hAnsi="仿宋" w:eastAsia="仿宋_GB2312" w:cs="仿宋"/>
                <w:color w:val="auto"/>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15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sym w:font="Wingdings 2" w:char="0052"/>
            </w:r>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bdr w:val="single" w:sz="4" w:space="0"/>
                <w:lang w:val="en-US" w:eastAsia="zh-CN"/>
              </w:rPr>
              <w:t>01标</w:t>
            </w:r>
            <w:r>
              <w:rPr>
                <w:rFonts w:hint="eastAsia" w:ascii="仿宋_GB2312" w:hAnsi="仿宋" w:eastAsia="仿宋_GB2312"/>
                <w:color w:val="auto"/>
                <w:sz w:val="24"/>
                <w:highlight w:val="none"/>
                <w:u w:val="single"/>
                <w:lang w:val="en-US" w:eastAsia="zh-CN"/>
              </w:rPr>
              <w:t>投影仪、</w:t>
            </w:r>
            <w:r>
              <w:rPr>
                <w:rFonts w:hint="eastAsia" w:ascii="仿宋_GB2312" w:hAnsi="仿宋" w:eastAsia="仿宋_GB2312"/>
                <w:color w:val="auto"/>
                <w:sz w:val="24"/>
                <w:highlight w:val="none"/>
                <w:u w:val="single"/>
                <w:bdr w:val="single" w:sz="4" w:space="0"/>
                <w:lang w:val="en-US" w:eastAsia="zh-CN"/>
              </w:rPr>
              <w:t>02标</w:t>
            </w:r>
            <w:r>
              <w:rPr>
                <w:rFonts w:hint="eastAsia" w:ascii="仿宋_GB2312" w:hAnsi="仿宋" w:eastAsia="仿宋_GB2312"/>
                <w:color w:val="auto"/>
                <w:sz w:val="24"/>
                <w:highlight w:val="none"/>
                <w:u w:val="single"/>
                <w:lang w:val="en-US" w:eastAsia="zh-CN"/>
              </w:rPr>
              <w:t>投影仪、</w:t>
            </w:r>
            <w:r>
              <w:rPr>
                <w:rFonts w:hint="eastAsia" w:ascii="仿宋_GB2312" w:hAnsi="仿宋" w:eastAsia="仿宋_GB2312"/>
                <w:color w:val="auto"/>
                <w:sz w:val="24"/>
                <w:highlight w:val="none"/>
                <w:u w:val="single"/>
                <w:bdr w:val="single" w:sz="4" w:space="0"/>
                <w:lang w:val="en-US" w:eastAsia="zh-CN"/>
              </w:rPr>
              <w:t>03标</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投影仪</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rFonts w:hint="eastAsia"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p>
            <w:pPr>
              <w:snapToGrid w:val="0"/>
              <w:spacing w:line="360" w:lineRule="auto"/>
              <w:rPr>
                <w:rFonts w:hint="eastAsia"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hint="eastAsia" w:ascii="仿宋_GB2312" w:hAnsi="仿宋" w:eastAsia="仿宋_GB2312" w:cs="Arial"/>
                <w:color w:val="auto"/>
                <w:kern w:val="0"/>
                <w:sz w:val="24"/>
                <w:highlight w:val="none"/>
                <w:lang w:val="en-US" w:eastAsia="zh-CN"/>
              </w:rPr>
              <w:t>2</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02</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hint="eastAsia" w:ascii="仿宋_GB2312" w:hAnsi="仿宋" w:eastAsia="仿宋_GB2312" w:cs="Arial"/>
                <w:color w:val="auto"/>
                <w:kern w:val="0"/>
                <w:sz w:val="24"/>
                <w:highlight w:val="none"/>
                <w:lang w:val="en-US" w:eastAsia="zh-CN"/>
              </w:rPr>
              <w:t>3</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03</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“需求单位”系指供货范围内实际办公家具采购单位，由其在“政务优先专区”下单实施采购。</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 xml:space="preserve">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 xml:space="preserve">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 xml:space="preserve">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pStyle w:val="2"/>
        <w:spacing w:after="0" w:line="440" w:lineRule="exact"/>
        <w:ind w:left="0" w:leftChars="0" w:firstLine="0" w:firstLineChars="0"/>
        <w:jc w:val="left"/>
        <w:rPr>
          <w:rFonts w:ascii="仿宋_GB2312" w:hAnsi="仿宋_GB2312" w:eastAsia="仿宋_GB2312" w:cs="仿宋_GB2312"/>
          <w:color w:val="auto"/>
          <w:spacing w:val="-6"/>
          <w:sz w:val="24"/>
          <w:highlight w:val="none"/>
        </w:rPr>
      </w:pPr>
      <w:r>
        <w:rPr>
          <w:rFonts w:hint="eastAsia" w:ascii="仿宋_GB2312" w:hAnsi="仿宋" w:eastAsia="仿宋_GB2312"/>
          <w:color w:val="auto"/>
          <w:sz w:val="24"/>
          <w:highlight w:val="none"/>
        </w:rPr>
        <w:t>3.3.9</w:t>
      </w:r>
      <w:r>
        <w:rPr>
          <w:rFonts w:hint="eastAsia" w:ascii="仿宋_GB2312" w:hAnsi="仿宋_GB2312" w:eastAsia="仿宋_GB2312" w:cs="仿宋_GB2312"/>
          <w:color w:val="auto"/>
          <w:spacing w:val="-6"/>
          <w:sz w:val="24"/>
          <w:highlight w:val="none"/>
        </w:rPr>
        <w:t>计算公式为：</w:t>
      </w:r>
    </w:p>
    <w:p>
      <w:pPr>
        <w:pStyle w:val="2"/>
        <w:spacing w:after="0" w:line="440" w:lineRule="exact"/>
        <w:ind w:left="0" w:leftChars="0" w:firstLine="48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10%的扣除：价格扣除后</w:t>
      </w:r>
      <w:r>
        <w:rPr>
          <w:rFonts w:ascii="仿宋_GB2312" w:hAnsi="仿宋_GB2312" w:eastAsia="仿宋_GB2312" w:cs="仿宋_GB2312"/>
          <w:color w:val="auto"/>
          <w:sz w:val="24"/>
          <w:highlight w:val="none"/>
        </w:rPr>
        <w:t>报价</w:t>
      </w:r>
      <w:r>
        <w:rPr>
          <w:rFonts w:hint="eastAsia" w:ascii="仿宋_GB2312" w:hAnsi="仿宋_GB2312" w:eastAsia="仿宋_GB2312" w:cs="仿宋_GB2312"/>
          <w:color w:val="auto"/>
          <w:sz w:val="24"/>
          <w:highlight w:val="none"/>
        </w:rPr>
        <w:t>折扣率=供应商响应报价（统一折扣率）*90%</w:t>
      </w:r>
    </w:p>
    <w:p>
      <w:pPr>
        <w:pStyle w:val="2"/>
        <w:spacing w:after="0" w:line="440" w:lineRule="exact"/>
        <w:ind w:left="0" w:leftChars="0" w:firstLine="48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4%的扣除：价格扣除后</w:t>
      </w:r>
      <w:r>
        <w:rPr>
          <w:rFonts w:ascii="仿宋_GB2312" w:hAnsi="仿宋_GB2312" w:eastAsia="仿宋_GB2312" w:cs="仿宋_GB2312"/>
          <w:color w:val="auto"/>
          <w:sz w:val="24"/>
          <w:highlight w:val="none"/>
        </w:rPr>
        <w:t>报价</w:t>
      </w:r>
      <w:r>
        <w:rPr>
          <w:rFonts w:hint="eastAsia" w:ascii="仿宋_GB2312" w:hAnsi="仿宋_GB2312" w:eastAsia="仿宋_GB2312" w:cs="仿宋_GB2312"/>
          <w:color w:val="auto"/>
          <w:sz w:val="24"/>
          <w:highlight w:val="none"/>
        </w:rPr>
        <w:t>折扣率=供应商响应报价（统一折扣率）*96%</w:t>
      </w:r>
    </w:p>
    <w:p>
      <w:pPr>
        <w:pStyle w:val="2"/>
        <w:spacing w:after="0" w:line="440" w:lineRule="exact"/>
        <w:ind w:left="0" w:leftChars="0" w:firstLine="240" w:firstLineChars="1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举例：</w:t>
      </w:r>
      <w:r>
        <w:rPr>
          <w:rFonts w:ascii="仿宋_GB2312" w:hAnsi="仿宋_GB2312" w:eastAsia="仿宋_GB2312" w:cs="仿宋_GB2312"/>
          <w:color w:val="auto"/>
          <w:sz w:val="24"/>
          <w:highlight w:val="none"/>
        </w:rPr>
        <w:t>供应商的统一</w:t>
      </w:r>
      <w:r>
        <w:rPr>
          <w:rFonts w:hint="eastAsia" w:ascii="仿宋_GB2312" w:hAnsi="仿宋_GB2312" w:eastAsia="仿宋_GB2312" w:cs="仿宋_GB2312"/>
          <w:color w:val="auto"/>
          <w:sz w:val="24"/>
          <w:highlight w:val="none"/>
        </w:rPr>
        <w:t>折扣率</w:t>
      </w:r>
      <w:r>
        <w:rPr>
          <w:rFonts w:ascii="仿宋_GB2312" w:hAnsi="仿宋_GB2312" w:eastAsia="仿宋_GB2312" w:cs="仿宋_GB2312"/>
          <w:color w:val="auto"/>
          <w:sz w:val="24"/>
          <w:highlight w:val="none"/>
        </w:rPr>
        <w:t>为</w:t>
      </w:r>
      <w:r>
        <w:rPr>
          <w:rFonts w:hint="eastAsia" w:ascii="仿宋_GB2312" w:hAnsi="仿宋_GB2312" w:eastAsia="仿宋_GB2312" w:cs="仿宋_GB2312"/>
          <w:color w:val="auto"/>
          <w:sz w:val="24"/>
          <w:highlight w:val="none"/>
        </w:rPr>
        <w:t>8</w:t>
      </w:r>
      <w:r>
        <w:rPr>
          <w:rFonts w:ascii="仿宋_GB2312" w:hAnsi="仿宋_GB2312" w:eastAsia="仿宋_GB2312" w:cs="仿宋_GB2312"/>
          <w:color w:val="auto"/>
          <w:sz w:val="24"/>
          <w:highlight w:val="none"/>
        </w:rPr>
        <w:t>0%，则</w:t>
      </w:r>
      <w:r>
        <w:rPr>
          <w:rFonts w:hint="eastAsia" w:ascii="仿宋_GB2312" w:hAnsi="仿宋_GB2312" w:eastAsia="仿宋_GB2312" w:cs="仿宋_GB2312"/>
          <w:color w:val="auto"/>
          <w:sz w:val="24"/>
          <w:highlight w:val="none"/>
        </w:rPr>
        <w:t>价格扣除后</w:t>
      </w:r>
      <w:r>
        <w:rPr>
          <w:rFonts w:ascii="仿宋_GB2312" w:hAnsi="仿宋_GB2312" w:eastAsia="仿宋_GB2312" w:cs="仿宋_GB2312"/>
          <w:color w:val="auto"/>
          <w:sz w:val="24"/>
          <w:highlight w:val="none"/>
        </w:rPr>
        <w:t>报价</w:t>
      </w:r>
      <w:r>
        <w:rPr>
          <w:rFonts w:hint="eastAsia" w:ascii="仿宋_GB2312" w:hAnsi="仿宋_GB2312" w:eastAsia="仿宋_GB2312" w:cs="仿宋_GB2312"/>
          <w:color w:val="auto"/>
          <w:sz w:val="24"/>
          <w:highlight w:val="none"/>
        </w:rPr>
        <w:t>折扣率</w:t>
      </w:r>
      <w:r>
        <w:rPr>
          <w:rFonts w:ascii="仿宋_GB2312" w:hAnsi="仿宋_GB2312" w:eastAsia="仿宋_GB2312" w:cs="仿宋_GB2312"/>
          <w:color w:val="auto"/>
          <w:sz w:val="24"/>
          <w:highlight w:val="none"/>
        </w:rPr>
        <w:t>为</w:t>
      </w:r>
      <w:r>
        <w:rPr>
          <w:rFonts w:hint="eastAsia" w:ascii="仿宋_GB2312" w:hAnsi="仿宋_GB2312" w:eastAsia="仿宋_GB2312" w:cs="仿宋_GB2312"/>
          <w:color w:val="auto"/>
          <w:sz w:val="24"/>
          <w:highlight w:val="none"/>
        </w:rPr>
        <w:t>:</w:t>
      </w:r>
    </w:p>
    <w:p>
      <w:pPr>
        <w:pStyle w:val="2"/>
        <w:spacing w:after="0" w:line="400" w:lineRule="exact"/>
        <w:ind w:left="0" w:leftChars="0" w:firstLine="48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10%的扣除</w:t>
      </w:r>
      <w:r>
        <w:rPr>
          <w:rFonts w:hint="eastAsia" w:ascii="仿宋_GB2312" w:hAnsi="仿宋_GB2312" w:eastAsia="仿宋_GB2312" w:cs="仿宋_GB2312"/>
          <w:color w:val="auto"/>
          <w:spacing w:val="-6"/>
          <w:sz w:val="24"/>
          <w:highlight w:val="none"/>
        </w:rPr>
        <w:t>：</w:t>
      </w:r>
      <w:r>
        <w:rPr>
          <w:rFonts w:ascii="仿宋_GB2312" w:hAnsi="仿宋_GB2312" w:eastAsia="仿宋_GB2312" w:cs="仿宋_GB2312"/>
          <w:color w:val="auto"/>
          <w:sz w:val="24"/>
          <w:highlight w:val="none"/>
        </w:rPr>
        <w:t>0.9*</w:t>
      </w:r>
      <w:r>
        <w:rPr>
          <w:rFonts w:hint="eastAsia" w:ascii="仿宋_GB2312" w:hAnsi="仿宋_GB2312" w:eastAsia="仿宋_GB2312" w:cs="仿宋_GB2312"/>
          <w:color w:val="auto"/>
          <w:sz w:val="24"/>
          <w:highlight w:val="none"/>
        </w:rPr>
        <w:t>8</w:t>
      </w:r>
      <w:r>
        <w:rPr>
          <w:rFonts w:ascii="仿宋_GB2312" w:hAnsi="仿宋_GB2312" w:eastAsia="仿宋_GB2312" w:cs="仿宋_GB2312"/>
          <w:color w:val="auto"/>
          <w:sz w:val="24"/>
          <w:highlight w:val="none"/>
        </w:rPr>
        <w:t>0%=</w:t>
      </w:r>
      <w:r>
        <w:rPr>
          <w:rFonts w:hint="eastAsia" w:ascii="仿宋_GB2312" w:hAnsi="仿宋_GB2312" w:eastAsia="仿宋_GB2312" w:cs="仿宋_GB2312"/>
          <w:color w:val="auto"/>
          <w:sz w:val="24"/>
          <w:highlight w:val="none"/>
        </w:rPr>
        <w:t>72</w:t>
      </w:r>
      <w:r>
        <w:rPr>
          <w:rFonts w:ascii="仿宋_GB2312" w:hAnsi="仿宋_GB2312" w:eastAsia="仿宋_GB2312" w:cs="仿宋_GB2312"/>
          <w:color w:val="auto"/>
          <w:sz w:val="24"/>
          <w:highlight w:val="none"/>
        </w:rPr>
        <w:t>%。</w:t>
      </w:r>
    </w:p>
    <w:p>
      <w:pPr>
        <w:pStyle w:val="2"/>
        <w:spacing w:after="0" w:line="400" w:lineRule="exact"/>
        <w:ind w:left="0" w:leftChars="0" w:firstLine="480"/>
        <w:jc w:val="left"/>
        <w:rPr>
          <w:color w:val="auto"/>
          <w:highlight w:val="none"/>
        </w:rPr>
      </w:pPr>
      <w:r>
        <w:rPr>
          <w:rFonts w:hint="eastAsia" w:ascii="仿宋_GB2312" w:hAnsi="仿宋_GB2312" w:eastAsia="仿宋_GB2312" w:cs="仿宋_GB2312"/>
          <w:color w:val="auto"/>
          <w:sz w:val="24"/>
          <w:highlight w:val="none"/>
        </w:rPr>
        <w:t>4%的扣除</w:t>
      </w:r>
      <w:r>
        <w:rPr>
          <w:rFonts w:hint="eastAsia" w:ascii="仿宋_GB2312" w:hAnsi="仿宋_GB2312" w:eastAsia="仿宋_GB2312" w:cs="仿宋_GB2312"/>
          <w:color w:val="auto"/>
          <w:spacing w:val="-6"/>
          <w:sz w:val="24"/>
          <w:highlight w:val="none"/>
        </w:rPr>
        <w:t>：0.96*80%=76.8%</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144" w:beforeLines="50" w:line="360" w:lineRule="auto"/>
        <w:jc w:val="center"/>
        <w:textAlignment w:val="auto"/>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953"/>
      <w:bookmarkStart w:id="3" w:name="_Toc81372776"/>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3"/>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4"/>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4"/>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1"/>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9"/>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9"/>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color w:val="auto"/>
          <w:sz w:val="24"/>
          <w:highlight w:val="none"/>
          <w:lang w:val="en-US" w:eastAsia="zh-CN"/>
        </w:rPr>
      </w:pPr>
      <w:r>
        <w:rPr>
          <w:rFonts w:hint="eastAsia" w:ascii="仿宋_GB2312" w:hAnsi="仿宋" w:eastAsia="仿宋_GB2312" w:cs="仿宋"/>
          <w:b/>
          <w:color w:val="auto"/>
          <w:sz w:val="24"/>
          <w:highlight w:val="none"/>
          <w:lang w:val="en-US" w:eastAsia="zh-CN"/>
        </w:rPr>
        <w:t>8.23参与同一个采购包(标段)的供应商存在下列情形之一的其投标(响应)文件无效：</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8.23.1不同供应商的电子投标(响应)文件上传计算机的网卡MAC地址、CPU序列号和硬盘序列号等硬件信息相同的；</w:t>
      </w:r>
    </w:p>
    <w:p>
      <w:pPr>
        <w:tabs>
          <w:tab w:val="left" w:pos="3870"/>
          <w:tab w:val="left" w:pos="4085"/>
        </w:tabs>
        <w:snapToGrid w:val="0"/>
        <w:spacing w:line="440" w:lineRule="exact"/>
        <w:ind w:firstLine="720" w:firstLineChars="300"/>
        <w:jc w:val="left"/>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8.23.2不同供应商联系人为同一人或不同联系人的联系电话一致，且无法合理解释的；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4</w:t>
      </w:r>
      <w:r>
        <w:rPr>
          <w:rFonts w:hint="eastAsia" w:ascii="仿宋_GB2312" w:hAnsi="仿宋" w:eastAsia="仿宋_GB2312" w:cs="仿宋"/>
          <w:b/>
          <w:color w:val="auto"/>
          <w:sz w:val="24"/>
          <w:highlight w:val="none"/>
        </w:rPr>
        <w:t>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5</w:t>
      </w:r>
      <w:r>
        <w:rPr>
          <w:rFonts w:hint="eastAsia" w:ascii="仿宋_GB2312" w:hAnsi="仿宋" w:eastAsia="仿宋_GB2312" w:cs="仿宋"/>
          <w:b/>
          <w:color w:val="auto"/>
          <w:sz w:val="24"/>
          <w:highlight w:val="none"/>
        </w:rPr>
        <w:t>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hint="eastAsia" w:ascii="仿宋_GB2312" w:hAnsi="仿宋" w:eastAsia="仿宋_GB2312" w:cs="仿宋"/>
          <w:b/>
          <w:color w:val="auto"/>
          <w:sz w:val="24"/>
          <w:highlight w:val="none"/>
        </w:rPr>
        <w:t>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4"/>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9"/>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keepNext w:val="0"/>
        <w:keepLines w:val="0"/>
        <w:pageBreakBefore w:val="0"/>
        <w:kinsoku/>
        <w:wordWrap/>
        <w:overflowPunct/>
        <w:topLinePunct w:val="0"/>
        <w:autoSpaceDE/>
        <w:autoSpaceDN/>
        <w:bidi w:val="0"/>
        <w:spacing w:line="360" w:lineRule="exact"/>
        <w:ind w:right="420"/>
        <w:textAlignment w:val="auto"/>
        <w:rPr>
          <w:rFonts w:hint="eastAsia" w:ascii="仿宋_GB2312" w:hAnsi="仿宋_GB2312" w:eastAsia="仿宋_GB2312" w:cs="仿宋_GB2312"/>
          <w:b/>
          <w:bCs/>
          <w:color w:val="auto"/>
          <w:sz w:val="24"/>
          <w:szCs w:val="24"/>
          <w:highlight w:val="none"/>
        </w:rPr>
      </w:pPr>
      <w:bookmarkStart w:id="4" w:name="_Toc151354173"/>
      <w:bookmarkStart w:id="5" w:name="_Toc84325981"/>
      <w:bookmarkStart w:id="6" w:name="_Toc80157775"/>
      <w:bookmarkStart w:id="7" w:name="_Toc81372787"/>
      <w:bookmarkStart w:id="8" w:name="_Toc81372964"/>
      <w:r>
        <w:rPr>
          <w:rFonts w:hint="eastAsia" w:ascii="仿宋_GB2312" w:hAnsi="仿宋_GB2312" w:eastAsia="仿宋_GB2312" w:cs="仿宋_GB2312"/>
          <w:b/>
          <w:bCs/>
          <w:color w:val="auto"/>
          <w:sz w:val="24"/>
          <w:szCs w:val="24"/>
          <w:highlight w:val="none"/>
          <w:lang w:eastAsia="zh-CN"/>
        </w:rPr>
        <w:t>2024-2025年度绍兴市投影仪“政务优选专区”项目采购</w:t>
      </w:r>
      <w:bookmarkStart w:id="9" w:name="_Toc32678"/>
      <w:bookmarkStart w:id="10" w:name="_Toc7206"/>
    </w:p>
    <w:bookmarkEnd w:id="9"/>
    <w:bookmarkEnd w:id="10"/>
    <w:p>
      <w:pPr>
        <w:pStyle w:val="8"/>
        <w:keepNext w:val="0"/>
        <w:keepLines w:val="0"/>
        <w:pageBreakBefore w:val="0"/>
        <w:kinsoku/>
        <w:wordWrap/>
        <w:overflowPunct/>
        <w:topLinePunct w:val="0"/>
        <w:autoSpaceDE/>
        <w:autoSpaceDN/>
        <w:bidi w:val="0"/>
        <w:spacing w:line="360" w:lineRule="exact"/>
        <w:ind w:firstLine="480"/>
        <w:textAlignment w:val="auto"/>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一、项目概况</w:t>
      </w:r>
    </w:p>
    <w:p>
      <w:pPr>
        <w:keepNext w:val="0"/>
        <w:keepLines w:val="0"/>
        <w:pageBreakBefore w:val="0"/>
        <w:widowControl/>
        <w:kinsoku/>
        <w:wordWrap/>
        <w:overflowPunct/>
        <w:topLinePunct w:val="0"/>
        <w:autoSpaceDE/>
        <w:autoSpaceDN/>
        <w:bidi w:val="0"/>
        <w:adjustRightInd w:val="0"/>
        <w:snapToGrid w:val="0"/>
        <w:spacing w:line="360" w:lineRule="exact"/>
        <w:ind w:firstLine="480"/>
        <w:jc w:val="both"/>
        <w:textAlignment w:val="auto"/>
        <w:rPr>
          <w:rFonts w:hint="eastAsia" w:ascii="仿宋_GB2312" w:hAnsi="仿宋_GB2312" w:eastAsia="仿宋_GB2312" w:cs="仿宋_GB2312"/>
          <w:snapToGrid w:val="0"/>
          <w:color w:val="auto"/>
          <w:kern w:val="28"/>
          <w:sz w:val="24"/>
          <w:szCs w:val="24"/>
          <w:highlight w:val="none"/>
          <w:lang w:val="en-US" w:eastAsia="zh-CN" w:bidi="ar-SA"/>
        </w:rPr>
      </w:pPr>
      <w:r>
        <w:rPr>
          <w:rFonts w:hint="eastAsia" w:ascii="仿宋_GB2312" w:hAnsi="仿宋_GB2312" w:eastAsia="仿宋_GB2312" w:cs="仿宋_GB2312"/>
          <w:snapToGrid w:val="0"/>
          <w:color w:val="auto"/>
          <w:kern w:val="28"/>
          <w:sz w:val="24"/>
          <w:szCs w:val="24"/>
          <w:highlight w:val="none"/>
          <w:lang w:val="en-US" w:eastAsia="zh-CN" w:bidi="ar-SA"/>
        </w:rPr>
        <w:t>1.根据《绍兴市财政局关于推广应用“政务优选专区”开展政府采购增值化服务改革助力优化提升营商环境的通知》，为进一步规范投影仪的采购与管理，确保科学高效的满足行政办公需求，开展本次投影仪采购项目。</w:t>
      </w:r>
    </w:p>
    <w:p>
      <w:pPr>
        <w:pStyle w:val="8"/>
        <w:keepNext w:val="0"/>
        <w:keepLines w:val="0"/>
        <w:pageBreakBefore w:val="0"/>
        <w:kinsoku/>
        <w:wordWrap/>
        <w:overflowPunct/>
        <w:topLinePunct w:val="0"/>
        <w:autoSpaceDE/>
        <w:autoSpaceDN/>
        <w:bidi w:val="0"/>
        <w:spacing w:line="360" w:lineRule="exact"/>
        <w:ind w:firstLine="48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bCs w:val="0"/>
          <w:color w:val="auto"/>
          <w:sz w:val="24"/>
          <w:szCs w:val="24"/>
          <w:highlight w:val="none"/>
          <w:lang w:val="en-US" w:eastAsia="zh-CN"/>
        </w:rPr>
        <w:t>2.本项目下设三个采购包项：</w:t>
      </w:r>
    </w:p>
    <w:p>
      <w:pPr>
        <w:pStyle w:val="8"/>
        <w:keepNext w:val="0"/>
        <w:keepLines w:val="0"/>
        <w:pageBreakBefore w:val="0"/>
        <w:kinsoku/>
        <w:wordWrap/>
        <w:overflowPunct/>
        <w:topLinePunct w:val="0"/>
        <w:autoSpaceDE/>
        <w:autoSpaceDN/>
        <w:bidi w:val="0"/>
        <w:spacing w:line="360" w:lineRule="exact"/>
        <w:ind w:firstLine="48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标项一：2024-2025年度绍兴市本级、越城区、柯桥区投影仪“政务优选专区”项目采购</w:t>
      </w:r>
    </w:p>
    <w:p>
      <w:pPr>
        <w:pStyle w:val="8"/>
        <w:keepNext w:val="0"/>
        <w:keepLines w:val="0"/>
        <w:pageBreakBefore w:val="0"/>
        <w:kinsoku/>
        <w:wordWrap/>
        <w:overflowPunct/>
        <w:topLinePunct w:val="0"/>
        <w:autoSpaceDE/>
        <w:autoSpaceDN/>
        <w:bidi w:val="0"/>
        <w:spacing w:line="360" w:lineRule="exact"/>
        <w:ind w:firstLine="48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标项二：2024-2025年度诸暨市投影仪“政务优选专区”项目采购</w:t>
      </w:r>
    </w:p>
    <w:p>
      <w:pPr>
        <w:pStyle w:val="8"/>
        <w:keepNext w:val="0"/>
        <w:keepLines w:val="0"/>
        <w:pageBreakBefore w:val="0"/>
        <w:kinsoku/>
        <w:wordWrap/>
        <w:overflowPunct/>
        <w:topLinePunct w:val="0"/>
        <w:autoSpaceDE/>
        <w:autoSpaceDN/>
        <w:bidi w:val="0"/>
        <w:spacing w:line="360" w:lineRule="exact"/>
        <w:ind w:firstLine="48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标项三：2024-2025年度嵊州市、新昌县投影仪“政务优选专区”项目采购</w:t>
      </w:r>
    </w:p>
    <w:p>
      <w:pPr>
        <w:pStyle w:val="8"/>
        <w:keepNext w:val="0"/>
        <w:keepLines w:val="0"/>
        <w:pageBreakBefore w:val="0"/>
        <w:kinsoku/>
        <w:wordWrap/>
        <w:overflowPunct/>
        <w:topLinePunct w:val="0"/>
        <w:autoSpaceDE/>
        <w:autoSpaceDN/>
        <w:bidi w:val="0"/>
        <w:spacing w:line="360" w:lineRule="exact"/>
        <w:ind w:firstLine="480"/>
        <w:textAlignment w:val="auto"/>
        <w:rPr>
          <w:rFonts w:hint="eastAsia" w:ascii="仿宋_GB2312" w:hAnsi="仿宋_GB2312" w:eastAsia="仿宋_GB2312" w:cs="仿宋_GB2312"/>
          <w:b/>
          <w:bCs w:val="0"/>
          <w:color w:val="auto"/>
          <w:sz w:val="24"/>
          <w:szCs w:val="24"/>
          <w:highlight w:val="none"/>
          <w:lang w:val="en-US" w:eastAsia="zh-CN"/>
        </w:rPr>
      </w:pPr>
      <w:r>
        <w:rPr>
          <w:rFonts w:hint="eastAsia" w:ascii="仿宋_GB2312" w:hAnsi="仿宋_GB2312" w:eastAsia="仿宋_GB2312" w:cs="仿宋_GB2312"/>
          <w:b/>
          <w:bCs w:val="0"/>
          <w:color w:val="auto"/>
          <w:sz w:val="24"/>
          <w:szCs w:val="24"/>
          <w:highlight w:val="none"/>
          <w:lang w:val="en-US" w:eastAsia="zh-CN"/>
        </w:rPr>
        <w:t>3.采购内容：</w:t>
      </w:r>
    </w:p>
    <w:p>
      <w:pPr>
        <w:keepNext w:val="0"/>
        <w:keepLines w:val="0"/>
        <w:pageBreakBefore w:val="0"/>
        <w:widowControl/>
        <w:kinsoku/>
        <w:wordWrap/>
        <w:overflowPunct/>
        <w:topLinePunct w:val="0"/>
        <w:autoSpaceDE/>
        <w:autoSpaceDN/>
        <w:bidi w:val="0"/>
        <w:adjustRightInd w:val="0"/>
        <w:snapToGrid w:val="0"/>
        <w:spacing w:line="360" w:lineRule="exact"/>
        <w:ind w:firstLine="48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snapToGrid w:val="0"/>
          <w:color w:val="auto"/>
          <w:kern w:val="28"/>
          <w:sz w:val="24"/>
          <w:szCs w:val="24"/>
          <w:highlight w:val="none"/>
          <w:lang w:val="en-US" w:eastAsia="zh-CN" w:bidi="ar-SA"/>
        </w:rPr>
        <w:t>本项目采购的投影仪主要包括：</w:t>
      </w:r>
      <w:r>
        <w:rPr>
          <w:rFonts w:hint="eastAsia" w:ascii="仿宋_GB2312" w:hAnsi="仿宋_GB2312" w:eastAsia="仿宋_GB2312" w:cs="仿宋_GB2312"/>
          <w:b w:val="0"/>
          <w:bCs/>
          <w:snapToGrid w:val="0"/>
          <w:color w:val="auto"/>
          <w:kern w:val="28"/>
          <w:sz w:val="24"/>
          <w:szCs w:val="24"/>
          <w:highlight w:val="none"/>
          <w:lang w:val="en-US" w:eastAsia="zh-CN" w:bidi="ar-SA"/>
        </w:rPr>
        <w:t>投影仪</w:t>
      </w:r>
      <w:r>
        <w:rPr>
          <w:rFonts w:hint="eastAsia" w:ascii="仿宋_GB2312" w:hAnsi="仿宋_GB2312" w:eastAsia="仿宋_GB2312" w:cs="仿宋_GB2312"/>
          <w:snapToGrid w:val="0"/>
          <w:color w:val="auto"/>
          <w:kern w:val="28"/>
          <w:sz w:val="24"/>
          <w:szCs w:val="24"/>
          <w:highlight w:val="none"/>
          <w:lang w:val="en-US" w:eastAsia="zh-CN" w:bidi="ar-SA"/>
        </w:rPr>
        <w:t>。</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61"/>
        <w:gridCol w:w="1451"/>
        <w:gridCol w:w="2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b/>
                <w:bCs/>
                <w:snapToGrid w:val="0"/>
                <w:color w:val="auto"/>
                <w:kern w:val="28"/>
                <w:sz w:val="24"/>
                <w:szCs w:val="24"/>
                <w:highlight w:val="none"/>
                <w:vertAlign w:val="baseline"/>
                <w:lang w:val="en-US" w:eastAsia="zh-CN" w:bidi="ar-SA"/>
              </w:rPr>
            </w:pPr>
            <w:r>
              <w:rPr>
                <w:rFonts w:hint="eastAsia" w:ascii="仿宋_GB2312" w:hAnsi="仿宋_GB2312" w:eastAsia="仿宋_GB2312" w:cs="仿宋_GB2312"/>
                <w:b/>
                <w:bCs/>
                <w:snapToGrid w:val="0"/>
                <w:color w:val="auto"/>
                <w:kern w:val="28"/>
                <w:sz w:val="24"/>
                <w:szCs w:val="24"/>
                <w:highlight w:val="none"/>
                <w:vertAlign w:val="baseline"/>
                <w:lang w:val="en-US" w:eastAsia="zh-CN" w:bidi="ar-SA"/>
              </w:rPr>
              <w:t>品名</w:t>
            </w:r>
          </w:p>
        </w:tc>
        <w:tc>
          <w:tcPr>
            <w:tcW w:w="266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snapToGrid w:val="0"/>
                <w:color w:val="auto"/>
                <w:kern w:val="28"/>
                <w:sz w:val="24"/>
                <w:szCs w:val="24"/>
                <w:highlight w:val="none"/>
                <w:vertAlign w:val="baseline"/>
                <w:lang w:val="en-US" w:eastAsia="zh-CN" w:bidi="ar-SA"/>
              </w:rPr>
            </w:pPr>
            <w:r>
              <w:rPr>
                <w:rFonts w:hint="eastAsia" w:ascii="仿宋_GB2312" w:hAnsi="仿宋_GB2312" w:eastAsia="仿宋_GB2312" w:cs="仿宋_GB2312"/>
                <w:snapToGrid w:val="0"/>
                <w:color w:val="auto"/>
                <w:kern w:val="28"/>
                <w:sz w:val="24"/>
                <w:szCs w:val="24"/>
                <w:highlight w:val="none"/>
                <w:vertAlign w:val="baseline"/>
                <w:lang w:val="en-US" w:eastAsia="zh-CN" w:bidi="ar-SA"/>
              </w:rPr>
              <w:t>投影仪</w:t>
            </w:r>
          </w:p>
        </w:tc>
        <w:tc>
          <w:tcPr>
            <w:tcW w:w="145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b/>
                <w:bCs/>
                <w:snapToGrid w:val="0"/>
                <w:color w:val="auto"/>
                <w:kern w:val="28"/>
                <w:sz w:val="24"/>
                <w:szCs w:val="24"/>
                <w:highlight w:val="none"/>
                <w:vertAlign w:val="baseline"/>
                <w:lang w:val="en-US" w:eastAsia="zh-CN" w:bidi="ar-SA"/>
              </w:rPr>
            </w:pPr>
            <w:r>
              <w:rPr>
                <w:rFonts w:hint="eastAsia" w:ascii="仿宋_GB2312" w:hAnsi="仿宋_GB2312" w:eastAsia="仿宋_GB2312" w:cs="仿宋_GB2312"/>
                <w:b/>
                <w:bCs/>
                <w:snapToGrid w:val="0"/>
                <w:color w:val="auto"/>
                <w:kern w:val="28"/>
                <w:sz w:val="24"/>
                <w:szCs w:val="24"/>
                <w:highlight w:val="none"/>
                <w:vertAlign w:val="baseline"/>
                <w:lang w:val="en-US" w:eastAsia="zh-CN" w:bidi="ar-SA"/>
              </w:rPr>
              <w:t>显示技术</w:t>
            </w:r>
          </w:p>
        </w:tc>
        <w:tc>
          <w:tcPr>
            <w:tcW w:w="257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snapToGrid w:val="0"/>
                <w:color w:val="auto"/>
                <w:kern w:val="28"/>
                <w:sz w:val="24"/>
                <w:szCs w:val="24"/>
                <w:highlight w:val="none"/>
                <w:vertAlign w:val="baseline"/>
                <w:lang w:val="en-US" w:eastAsia="zh-CN" w:bidi="ar-SA"/>
              </w:rPr>
            </w:pPr>
            <w:r>
              <w:rPr>
                <w:rFonts w:hint="eastAsia" w:ascii="仿宋_GB2312" w:hAnsi="仿宋_GB2312" w:eastAsia="仿宋_GB2312" w:cs="仿宋_GB2312"/>
                <w:snapToGrid w:val="0"/>
                <w:color w:val="auto"/>
                <w:kern w:val="28"/>
                <w:sz w:val="24"/>
                <w:szCs w:val="24"/>
                <w:highlight w:val="none"/>
                <w:vertAlign w:val="baseline"/>
                <w:lang w:val="en-US" w:eastAsia="zh-CN" w:bidi="ar-SA"/>
              </w:rPr>
              <w:t>DLP 或 3LCD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仿宋_GB2312" w:hAnsi="仿宋_GB2312" w:eastAsia="仿宋_GB2312" w:cs="仿宋_GB2312"/>
                <w:b/>
                <w:bCs/>
                <w:snapToGrid w:val="0"/>
                <w:color w:val="auto"/>
                <w:kern w:val="28"/>
                <w:sz w:val="24"/>
                <w:szCs w:val="24"/>
                <w:highlight w:val="none"/>
                <w:vertAlign w:val="baseline"/>
                <w:lang w:val="en-US" w:eastAsia="zh-CN" w:bidi="ar-SA"/>
              </w:rPr>
            </w:pPr>
            <w:r>
              <w:rPr>
                <w:rFonts w:hint="eastAsia" w:ascii="仿宋_GB2312" w:hAnsi="仿宋_GB2312" w:eastAsia="仿宋_GB2312" w:cs="仿宋_GB2312"/>
                <w:b/>
                <w:bCs/>
                <w:snapToGrid w:val="0"/>
                <w:color w:val="auto"/>
                <w:kern w:val="28"/>
                <w:sz w:val="24"/>
                <w:szCs w:val="24"/>
                <w:highlight w:val="none"/>
                <w:vertAlign w:val="baseline"/>
                <w:lang w:val="en-US" w:eastAsia="zh-CN" w:bidi="ar-SA"/>
              </w:rPr>
              <w:t>支持接口</w:t>
            </w:r>
          </w:p>
        </w:tc>
        <w:tc>
          <w:tcPr>
            <w:tcW w:w="266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仿宋_GB2312" w:hAnsi="仿宋_GB2312" w:eastAsia="仿宋_GB2312" w:cs="仿宋_GB2312"/>
                <w:snapToGrid w:val="0"/>
                <w:color w:val="auto"/>
                <w:kern w:val="28"/>
                <w:sz w:val="24"/>
                <w:szCs w:val="24"/>
                <w:highlight w:val="none"/>
                <w:vertAlign w:val="baseline"/>
                <w:lang w:val="en-US" w:eastAsia="zh-CN" w:bidi="ar-SA"/>
              </w:rPr>
            </w:pPr>
            <w:r>
              <w:rPr>
                <w:rFonts w:hint="eastAsia" w:ascii="仿宋_GB2312" w:hAnsi="仿宋_GB2312" w:eastAsia="仿宋_GB2312" w:cs="仿宋_GB2312"/>
                <w:snapToGrid w:val="0"/>
                <w:color w:val="auto"/>
                <w:kern w:val="28"/>
                <w:sz w:val="24"/>
                <w:szCs w:val="24"/>
                <w:highlight w:val="none"/>
                <w:vertAlign w:val="baseline"/>
                <w:lang w:val="en-US" w:eastAsia="zh-CN" w:bidi="ar-SA"/>
              </w:rPr>
              <w:t>至少包含：VGA、HDMI、USB</w:t>
            </w:r>
          </w:p>
        </w:tc>
        <w:tc>
          <w:tcPr>
            <w:tcW w:w="145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b/>
                <w:bCs/>
                <w:snapToGrid w:val="0"/>
                <w:color w:val="auto"/>
                <w:kern w:val="28"/>
                <w:sz w:val="24"/>
                <w:szCs w:val="24"/>
                <w:highlight w:val="none"/>
                <w:vertAlign w:val="baseline"/>
                <w:lang w:val="en-US" w:eastAsia="zh-CN" w:bidi="ar-SA"/>
              </w:rPr>
            </w:pPr>
            <w:r>
              <w:rPr>
                <w:rFonts w:hint="eastAsia" w:ascii="仿宋_GB2312" w:hAnsi="仿宋_GB2312" w:eastAsia="仿宋_GB2312" w:cs="仿宋_GB2312"/>
                <w:b/>
                <w:bCs/>
                <w:snapToGrid w:val="0"/>
                <w:color w:val="auto"/>
                <w:kern w:val="28"/>
                <w:sz w:val="24"/>
                <w:szCs w:val="24"/>
                <w:highlight w:val="none"/>
                <w:vertAlign w:val="baseline"/>
                <w:lang w:val="en-US" w:eastAsia="zh-CN" w:bidi="ar-SA"/>
              </w:rPr>
              <w:t>物理分辨率</w:t>
            </w:r>
          </w:p>
        </w:tc>
        <w:tc>
          <w:tcPr>
            <w:tcW w:w="257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snapToGrid w:val="0"/>
                <w:color w:val="auto"/>
                <w:kern w:val="28"/>
                <w:sz w:val="24"/>
                <w:szCs w:val="24"/>
                <w:highlight w:val="none"/>
                <w:vertAlign w:val="baseline"/>
                <w:lang w:val="en-US" w:eastAsia="zh-CN" w:bidi="ar-SA"/>
              </w:rPr>
            </w:pPr>
            <w:r>
              <w:rPr>
                <w:rFonts w:hint="eastAsia" w:ascii="仿宋_GB2312" w:hAnsi="仿宋_GB2312" w:eastAsia="仿宋_GB2312" w:cs="仿宋_GB2312"/>
                <w:snapToGrid w:val="0"/>
                <w:color w:val="auto"/>
                <w:kern w:val="28"/>
                <w:sz w:val="24"/>
                <w:szCs w:val="24"/>
                <w:highlight w:val="none"/>
                <w:vertAlign w:val="baseline"/>
                <w:lang w:val="en-US" w:eastAsia="zh-CN" w:bidi="ar-SA"/>
              </w:rPr>
              <w:t>≥1080P，1920x1080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b/>
                <w:bCs/>
                <w:snapToGrid w:val="0"/>
                <w:color w:val="auto"/>
                <w:kern w:val="28"/>
                <w:sz w:val="24"/>
                <w:szCs w:val="24"/>
                <w:highlight w:val="none"/>
                <w:vertAlign w:val="baseline"/>
                <w:lang w:val="en-US" w:eastAsia="zh-CN" w:bidi="ar-SA"/>
              </w:rPr>
            </w:pPr>
            <w:r>
              <w:rPr>
                <w:rFonts w:hint="eastAsia" w:ascii="仿宋_GB2312" w:hAnsi="仿宋_GB2312" w:eastAsia="仿宋_GB2312" w:cs="仿宋_GB2312"/>
                <w:b/>
                <w:bCs/>
                <w:snapToGrid w:val="0"/>
                <w:color w:val="auto"/>
                <w:kern w:val="28"/>
                <w:sz w:val="24"/>
                <w:szCs w:val="24"/>
                <w:highlight w:val="none"/>
                <w:vertAlign w:val="baseline"/>
                <w:lang w:val="en-US" w:eastAsia="zh-CN" w:bidi="ar-SA"/>
              </w:rPr>
              <w:t>标称亮度</w:t>
            </w:r>
          </w:p>
        </w:tc>
        <w:tc>
          <w:tcPr>
            <w:tcW w:w="266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snapToGrid w:val="0"/>
                <w:color w:val="auto"/>
                <w:kern w:val="28"/>
                <w:sz w:val="24"/>
                <w:szCs w:val="24"/>
                <w:highlight w:val="none"/>
                <w:vertAlign w:val="baseline"/>
                <w:lang w:val="en-US" w:eastAsia="zh-CN" w:bidi="ar-SA"/>
              </w:rPr>
            </w:pPr>
            <w:r>
              <w:rPr>
                <w:rFonts w:hint="eastAsia" w:ascii="仿宋_GB2312" w:hAnsi="仿宋_GB2312" w:eastAsia="仿宋_GB2312" w:cs="仿宋_GB2312"/>
                <w:snapToGrid w:val="0"/>
                <w:color w:val="auto"/>
                <w:kern w:val="28"/>
                <w:sz w:val="24"/>
                <w:szCs w:val="24"/>
                <w:highlight w:val="none"/>
                <w:vertAlign w:val="baseline"/>
                <w:lang w:val="en-US" w:eastAsia="zh-CN" w:bidi="ar-SA"/>
              </w:rPr>
              <w:t>≥3500流明（ISO标准）</w:t>
            </w:r>
          </w:p>
        </w:tc>
        <w:tc>
          <w:tcPr>
            <w:tcW w:w="145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b/>
                <w:bCs/>
                <w:snapToGrid w:val="0"/>
                <w:color w:val="auto"/>
                <w:kern w:val="28"/>
                <w:sz w:val="24"/>
                <w:szCs w:val="24"/>
                <w:highlight w:val="none"/>
                <w:vertAlign w:val="baseline"/>
                <w:lang w:val="en-US" w:eastAsia="zh-CN" w:bidi="ar-SA"/>
              </w:rPr>
            </w:pPr>
            <w:r>
              <w:rPr>
                <w:rFonts w:hint="eastAsia" w:ascii="仿宋_GB2312" w:hAnsi="仿宋_GB2312" w:eastAsia="仿宋_GB2312" w:cs="仿宋_GB2312"/>
                <w:b/>
                <w:bCs/>
                <w:snapToGrid w:val="0"/>
                <w:color w:val="auto"/>
                <w:kern w:val="28"/>
                <w:sz w:val="24"/>
                <w:szCs w:val="24"/>
                <w:highlight w:val="none"/>
                <w:vertAlign w:val="baseline"/>
                <w:lang w:val="en-US" w:eastAsia="zh-CN" w:bidi="ar-SA"/>
              </w:rPr>
              <w:t>投射比</w:t>
            </w:r>
          </w:p>
        </w:tc>
        <w:tc>
          <w:tcPr>
            <w:tcW w:w="257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snapToGrid w:val="0"/>
                <w:color w:val="auto"/>
                <w:kern w:val="28"/>
                <w:sz w:val="24"/>
                <w:szCs w:val="24"/>
                <w:highlight w:val="none"/>
                <w:vertAlign w:val="baseline"/>
                <w:lang w:val="en-US" w:eastAsia="zh-CN" w:bidi="ar-SA"/>
              </w:rPr>
            </w:pPr>
            <w:r>
              <w:rPr>
                <w:rFonts w:hint="eastAsia" w:ascii="仿宋_GB2312" w:hAnsi="仿宋_GB2312" w:eastAsia="仿宋_GB2312" w:cs="仿宋_GB2312"/>
                <w:snapToGrid w:val="0"/>
                <w:color w:val="auto"/>
                <w:kern w:val="28"/>
                <w:sz w:val="24"/>
                <w:szCs w:val="24"/>
                <w:highlight w:val="none"/>
                <w:vertAlign w:val="baseline"/>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27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b/>
                <w:bCs/>
                <w:snapToGrid w:val="0"/>
                <w:color w:val="auto"/>
                <w:kern w:val="28"/>
                <w:sz w:val="24"/>
                <w:szCs w:val="24"/>
                <w:highlight w:val="none"/>
                <w:vertAlign w:val="baseline"/>
                <w:lang w:val="en-US" w:eastAsia="zh-CN" w:bidi="ar-SA"/>
              </w:rPr>
            </w:pPr>
            <w:r>
              <w:rPr>
                <w:rFonts w:hint="eastAsia" w:ascii="仿宋_GB2312" w:hAnsi="仿宋_GB2312" w:eastAsia="仿宋_GB2312" w:cs="仿宋_GB2312"/>
                <w:b/>
                <w:bCs/>
                <w:snapToGrid w:val="0"/>
                <w:color w:val="auto"/>
                <w:kern w:val="28"/>
                <w:sz w:val="24"/>
                <w:szCs w:val="24"/>
                <w:highlight w:val="none"/>
                <w:vertAlign w:val="baseline"/>
                <w:lang w:val="en-US" w:eastAsia="zh-CN" w:bidi="ar-SA"/>
              </w:rPr>
              <w:t>上限单价</w:t>
            </w:r>
          </w:p>
        </w:tc>
        <w:tc>
          <w:tcPr>
            <w:tcW w:w="266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default" w:ascii="仿宋_GB2312" w:hAnsi="仿宋_GB2312" w:eastAsia="仿宋_GB2312" w:cs="仿宋_GB2312"/>
                <w:snapToGrid w:val="0"/>
                <w:color w:val="auto"/>
                <w:kern w:val="28"/>
                <w:sz w:val="24"/>
                <w:szCs w:val="24"/>
                <w:highlight w:val="none"/>
                <w:vertAlign w:val="baseline"/>
                <w:lang w:val="en-US" w:eastAsia="zh-CN" w:bidi="ar-SA"/>
              </w:rPr>
            </w:pPr>
            <w:r>
              <w:rPr>
                <w:rFonts w:hint="eastAsia" w:ascii="仿宋_GB2312" w:hAnsi="仿宋_GB2312" w:eastAsia="仿宋_GB2312" w:cs="仿宋_GB2312"/>
                <w:snapToGrid w:val="0"/>
                <w:color w:val="auto"/>
                <w:kern w:val="28"/>
                <w:sz w:val="24"/>
                <w:szCs w:val="24"/>
                <w:highlight w:val="none"/>
                <w:vertAlign w:val="baseline"/>
                <w:lang w:val="en-US" w:eastAsia="zh-CN" w:bidi="ar-SA"/>
              </w:rPr>
              <w:t>10000元/台</w:t>
            </w:r>
          </w:p>
        </w:tc>
        <w:tc>
          <w:tcPr>
            <w:tcW w:w="145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b/>
                <w:bCs/>
                <w:snapToGrid w:val="0"/>
                <w:color w:val="auto"/>
                <w:kern w:val="28"/>
                <w:sz w:val="24"/>
                <w:szCs w:val="24"/>
                <w:highlight w:val="none"/>
                <w:vertAlign w:val="baseline"/>
                <w:lang w:val="en-US" w:eastAsia="zh-CN" w:bidi="ar-SA"/>
              </w:rPr>
            </w:pPr>
            <w:r>
              <w:rPr>
                <w:rFonts w:hint="eastAsia" w:ascii="仿宋_GB2312" w:hAnsi="仿宋_GB2312" w:eastAsia="仿宋_GB2312" w:cs="仿宋_GB2312"/>
                <w:b/>
                <w:bCs/>
                <w:snapToGrid w:val="0"/>
                <w:color w:val="auto"/>
                <w:kern w:val="28"/>
                <w:sz w:val="24"/>
                <w:szCs w:val="24"/>
                <w:highlight w:val="none"/>
                <w:vertAlign w:val="baseline"/>
                <w:lang w:val="en-US" w:eastAsia="zh-CN" w:bidi="ar-SA"/>
              </w:rPr>
              <w:t>质保期</w:t>
            </w:r>
          </w:p>
        </w:tc>
        <w:tc>
          <w:tcPr>
            <w:tcW w:w="257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firstLine="0" w:firstLineChars="0"/>
              <w:jc w:val="center"/>
              <w:textAlignment w:val="auto"/>
              <w:rPr>
                <w:rFonts w:hint="eastAsia" w:ascii="仿宋_GB2312" w:hAnsi="仿宋_GB2312" w:eastAsia="仿宋_GB2312" w:cs="仿宋_GB2312"/>
                <w:snapToGrid w:val="0"/>
                <w:color w:val="auto"/>
                <w:kern w:val="28"/>
                <w:sz w:val="24"/>
                <w:szCs w:val="24"/>
                <w:highlight w:val="none"/>
                <w:vertAlign w:val="baseline"/>
                <w:lang w:val="en-US" w:eastAsia="zh-CN" w:bidi="ar-SA"/>
              </w:rPr>
            </w:pPr>
            <w:r>
              <w:rPr>
                <w:rFonts w:hint="eastAsia" w:ascii="仿宋_GB2312" w:hAnsi="仿宋_GB2312" w:eastAsia="仿宋_GB2312" w:cs="仿宋_GB2312"/>
                <w:snapToGrid w:val="0"/>
                <w:color w:val="auto"/>
                <w:kern w:val="28"/>
                <w:sz w:val="24"/>
                <w:szCs w:val="24"/>
                <w:highlight w:val="none"/>
                <w:vertAlign w:val="baseline"/>
                <w:lang w:val="en-US" w:eastAsia="zh-CN" w:bidi="ar-SA"/>
              </w:rPr>
              <w:t>提供三年原厂免费质保及免费上门服务</w:t>
            </w:r>
          </w:p>
        </w:tc>
      </w:tr>
    </w:tbl>
    <w:p>
      <w:pPr>
        <w:keepNext w:val="0"/>
        <w:keepLines w:val="0"/>
        <w:pageBreakBefore w:val="0"/>
        <w:kinsoku/>
        <w:wordWrap/>
        <w:overflowPunct/>
        <w:topLinePunct w:val="0"/>
        <w:autoSpaceDE/>
        <w:autoSpaceDN/>
        <w:bidi w:val="0"/>
        <w:spacing w:line="360" w:lineRule="exact"/>
        <w:ind w:firstLine="482" w:firstLineChars="200"/>
        <w:textAlignment w:val="auto"/>
        <w:rPr>
          <w:rFonts w:hint="eastAsia" w:ascii="仿宋_GB2312" w:hAnsi="仿宋_GB2312" w:eastAsia="仿宋_GB2312" w:cs="仿宋_GB2312"/>
          <w:b/>
          <w:bCs w:val="0"/>
          <w:color w:val="auto"/>
          <w:sz w:val="24"/>
          <w:szCs w:val="24"/>
          <w:highlight w:val="none"/>
        </w:rPr>
      </w:pPr>
      <w:r>
        <w:rPr>
          <w:rFonts w:hint="eastAsia" w:ascii="仿宋_GB2312" w:hAnsi="仿宋_GB2312" w:eastAsia="仿宋_GB2312" w:cs="仿宋_GB2312"/>
          <w:b/>
          <w:bCs w:val="0"/>
          <w:color w:val="auto"/>
          <w:sz w:val="24"/>
          <w:szCs w:val="24"/>
          <w:highlight w:val="none"/>
          <w:lang w:val="en-US" w:eastAsia="zh-CN"/>
        </w:rPr>
        <w:t>注：本项目每个标段最终确定三家投标单位作为中标候选人，供应商可兼投兼中，供应商应充分考虑自身配送服务能力以保证项目正常运作。</w:t>
      </w:r>
    </w:p>
    <w:p>
      <w:pPr>
        <w:pStyle w:val="181"/>
        <w:keepNext w:val="0"/>
        <w:keepLines w:val="0"/>
        <w:pageBreakBefore w:val="0"/>
        <w:kinsoku/>
        <w:wordWrap/>
        <w:overflowPunct/>
        <w:topLinePunct w:val="0"/>
        <w:autoSpaceDE/>
        <w:autoSpaceDN/>
        <w:bidi w:val="0"/>
        <w:spacing w:before="0" w:line="360" w:lineRule="exact"/>
        <w:ind w:firstLine="482"/>
        <w:textAlignment w:val="auto"/>
        <w:outlineLvl w:val="2"/>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4.供货</w:t>
      </w:r>
      <w:r>
        <w:rPr>
          <w:rFonts w:hint="eastAsia" w:ascii="仿宋_GB2312" w:hAnsi="仿宋_GB2312" w:eastAsia="仿宋_GB2312" w:cs="仿宋_GB2312"/>
          <w:b/>
          <w:color w:val="auto"/>
          <w:sz w:val="24"/>
          <w:szCs w:val="24"/>
          <w:highlight w:val="none"/>
          <w:lang w:eastAsia="zh-CN"/>
        </w:rPr>
        <w:t>范围</w:t>
      </w:r>
      <w:r>
        <w:rPr>
          <w:rFonts w:hint="eastAsia" w:ascii="仿宋_GB2312" w:hAnsi="仿宋_GB2312" w:eastAsia="仿宋_GB2312" w:cs="仿宋_GB2312"/>
          <w:b/>
          <w:color w:val="auto"/>
          <w:sz w:val="24"/>
          <w:szCs w:val="24"/>
          <w:highlight w:val="none"/>
        </w:rPr>
        <w:t>：</w:t>
      </w:r>
    </w:p>
    <w:p>
      <w:pPr>
        <w:pStyle w:val="181"/>
        <w:keepNext w:val="0"/>
        <w:keepLines w:val="0"/>
        <w:pageBreakBefore w:val="0"/>
        <w:kinsoku/>
        <w:wordWrap/>
        <w:overflowPunct/>
        <w:topLinePunct w:val="0"/>
        <w:autoSpaceDE/>
        <w:autoSpaceDN/>
        <w:bidi w:val="0"/>
        <w:spacing w:before="0" w:line="360" w:lineRule="exact"/>
        <w:ind w:firstLine="482"/>
        <w:textAlignment w:val="auto"/>
        <w:outlineLvl w:val="2"/>
        <w:rPr>
          <w:rFonts w:hint="eastAsia" w:ascii="仿宋_GB2312" w:hAnsi="仿宋_GB2312" w:eastAsia="仿宋_GB2312" w:cs="仿宋_GB2312"/>
          <w:b/>
          <w:bCs w:val="0"/>
          <w:i w:val="0"/>
          <w:iCs w:val="0"/>
          <w:color w:val="auto"/>
          <w:sz w:val="24"/>
          <w:szCs w:val="24"/>
          <w:highlight w:val="none"/>
          <w:lang w:eastAsia="zh-CN"/>
        </w:rPr>
      </w:pPr>
      <w:r>
        <w:rPr>
          <w:rFonts w:hint="eastAsia" w:ascii="仿宋_GB2312" w:hAnsi="仿宋_GB2312" w:eastAsia="仿宋_GB2312" w:cs="仿宋_GB2312"/>
          <w:b/>
          <w:bCs w:val="0"/>
          <w:color w:val="auto"/>
          <w:sz w:val="24"/>
          <w:szCs w:val="24"/>
          <w:highlight w:val="none"/>
          <w:bdr w:val="single" w:sz="4" w:space="0"/>
        </w:rPr>
        <w:t>01标</w:t>
      </w:r>
      <w:r>
        <w:rPr>
          <w:rFonts w:hint="eastAsia" w:ascii="仿宋_GB2312" w:hAnsi="仿宋_GB2312" w:eastAsia="仿宋_GB2312" w:cs="仿宋_GB2312"/>
          <w:b/>
          <w:bCs w:val="0"/>
          <w:color w:val="auto"/>
          <w:sz w:val="24"/>
          <w:szCs w:val="24"/>
          <w:highlight w:val="none"/>
          <w:lang w:eastAsia="zh-CN"/>
        </w:rPr>
        <w:t>：</w:t>
      </w:r>
      <w:r>
        <w:rPr>
          <w:rFonts w:hint="eastAsia" w:ascii="仿宋_GB2312" w:hAnsi="仿宋_GB2312" w:eastAsia="仿宋_GB2312" w:cs="仿宋_GB2312"/>
          <w:b/>
          <w:bCs w:val="0"/>
          <w:color w:val="auto"/>
          <w:sz w:val="24"/>
          <w:szCs w:val="24"/>
          <w:highlight w:val="none"/>
          <w:lang w:val="en-US" w:eastAsia="zh-CN"/>
        </w:rPr>
        <w:t>绍兴市本级、越城区、柯桥区</w:t>
      </w:r>
      <w:r>
        <w:rPr>
          <w:rFonts w:hint="eastAsia" w:ascii="仿宋_GB2312" w:hAnsi="仿宋_GB2312" w:eastAsia="仿宋_GB2312" w:cs="仿宋_GB2312"/>
          <w:b/>
          <w:bCs w:val="0"/>
          <w:color w:val="auto"/>
          <w:sz w:val="24"/>
          <w:szCs w:val="24"/>
          <w:highlight w:val="none"/>
          <w:lang w:eastAsia="zh-CN"/>
        </w:rPr>
        <w:t>等国家机关、事业单位和团体组织</w:t>
      </w:r>
      <w:r>
        <w:rPr>
          <w:rFonts w:hint="eastAsia" w:ascii="仿宋_GB2312" w:hAnsi="仿宋_GB2312" w:eastAsia="仿宋_GB2312" w:cs="仿宋_GB2312"/>
          <w:b/>
          <w:bCs w:val="0"/>
          <w:i w:val="0"/>
          <w:iCs w:val="0"/>
          <w:color w:val="auto"/>
          <w:sz w:val="24"/>
          <w:szCs w:val="24"/>
          <w:highlight w:val="none"/>
          <w:lang w:eastAsia="zh-CN"/>
        </w:rPr>
        <w:t>。</w:t>
      </w:r>
    </w:p>
    <w:p>
      <w:pPr>
        <w:pStyle w:val="181"/>
        <w:keepNext w:val="0"/>
        <w:keepLines w:val="0"/>
        <w:pageBreakBefore w:val="0"/>
        <w:kinsoku/>
        <w:wordWrap/>
        <w:overflowPunct/>
        <w:topLinePunct w:val="0"/>
        <w:autoSpaceDE/>
        <w:autoSpaceDN/>
        <w:bidi w:val="0"/>
        <w:spacing w:before="0" w:line="360" w:lineRule="exact"/>
        <w:ind w:firstLine="482"/>
        <w:textAlignment w:val="auto"/>
        <w:outlineLvl w:val="2"/>
        <w:rPr>
          <w:rFonts w:hint="eastAsia" w:ascii="仿宋_GB2312" w:hAnsi="仿宋_GB2312" w:eastAsia="仿宋_GB2312" w:cs="仿宋_GB2312"/>
          <w:b/>
          <w:bCs w:val="0"/>
          <w:i w:val="0"/>
          <w:iCs w:val="0"/>
          <w:color w:val="auto"/>
          <w:sz w:val="24"/>
          <w:szCs w:val="24"/>
          <w:highlight w:val="none"/>
          <w:lang w:eastAsia="zh-CN"/>
        </w:rPr>
      </w:pPr>
      <w:r>
        <w:rPr>
          <w:rFonts w:hint="eastAsia" w:ascii="仿宋_GB2312" w:hAnsi="仿宋_GB2312" w:eastAsia="仿宋_GB2312" w:cs="仿宋_GB2312"/>
          <w:b/>
          <w:bCs w:val="0"/>
          <w:color w:val="auto"/>
          <w:sz w:val="24"/>
          <w:szCs w:val="24"/>
          <w:highlight w:val="none"/>
          <w:bdr w:val="single" w:sz="4" w:space="0"/>
        </w:rPr>
        <w:t>0</w:t>
      </w:r>
      <w:r>
        <w:rPr>
          <w:rFonts w:hint="eastAsia" w:ascii="仿宋_GB2312" w:hAnsi="仿宋_GB2312" w:eastAsia="仿宋_GB2312" w:cs="仿宋_GB2312"/>
          <w:b/>
          <w:bCs w:val="0"/>
          <w:color w:val="auto"/>
          <w:sz w:val="24"/>
          <w:szCs w:val="24"/>
          <w:highlight w:val="none"/>
          <w:bdr w:val="single" w:sz="4" w:space="0"/>
          <w:lang w:val="en-US" w:eastAsia="zh-CN"/>
        </w:rPr>
        <w:t>2</w:t>
      </w:r>
      <w:r>
        <w:rPr>
          <w:rFonts w:hint="eastAsia" w:ascii="仿宋_GB2312" w:hAnsi="仿宋_GB2312" w:eastAsia="仿宋_GB2312" w:cs="仿宋_GB2312"/>
          <w:b/>
          <w:bCs w:val="0"/>
          <w:color w:val="auto"/>
          <w:sz w:val="24"/>
          <w:szCs w:val="24"/>
          <w:highlight w:val="none"/>
          <w:bdr w:val="single" w:sz="4" w:space="0"/>
        </w:rPr>
        <w:t>标</w:t>
      </w:r>
      <w:r>
        <w:rPr>
          <w:rFonts w:hint="eastAsia" w:ascii="仿宋_GB2312" w:hAnsi="仿宋_GB2312" w:eastAsia="仿宋_GB2312" w:cs="仿宋_GB2312"/>
          <w:b/>
          <w:bCs w:val="0"/>
          <w:color w:val="auto"/>
          <w:sz w:val="24"/>
          <w:szCs w:val="24"/>
          <w:highlight w:val="none"/>
          <w:lang w:eastAsia="zh-CN"/>
        </w:rPr>
        <w:t>：</w:t>
      </w:r>
      <w:r>
        <w:rPr>
          <w:rFonts w:hint="eastAsia" w:ascii="仿宋_GB2312" w:hAnsi="仿宋_GB2312" w:eastAsia="仿宋_GB2312" w:cs="仿宋_GB2312"/>
          <w:b/>
          <w:bCs w:val="0"/>
          <w:color w:val="auto"/>
          <w:sz w:val="24"/>
          <w:szCs w:val="24"/>
          <w:highlight w:val="none"/>
          <w:lang w:val="en-US" w:eastAsia="zh-CN"/>
        </w:rPr>
        <w:t>诸暨市</w:t>
      </w:r>
      <w:r>
        <w:rPr>
          <w:rFonts w:hint="eastAsia" w:ascii="仿宋_GB2312" w:hAnsi="仿宋_GB2312" w:eastAsia="仿宋_GB2312" w:cs="仿宋_GB2312"/>
          <w:b/>
          <w:bCs w:val="0"/>
          <w:color w:val="auto"/>
          <w:sz w:val="24"/>
          <w:szCs w:val="24"/>
          <w:highlight w:val="none"/>
          <w:lang w:eastAsia="zh-CN"/>
        </w:rPr>
        <w:t>国家机关、事业单位和团体组织</w:t>
      </w:r>
      <w:r>
        <w:rPr>
          <w:rFonts w:hint="eastAsia" w:ascii="仿宋_GB2312" w:hAnsi="仿宋_GB2312" w:eastAsia="仿宋_GB2312" w:cs="仿宋_GB2312"/>
          <w:b/>
          <w:bCs w:val="0"/>
          <w:i w:val="0"/>
          <w:iCs w:val="0"/>
          <w:color w:val="auto"/>
          <w:sz w:val="24"/>
          <w:szCs w:val="24"/>
          <w:highlight w:val="none"/>
          <w:lang w:eastAsia="zh-CN"/>
        </w:rPr>
        <w:t>。</w:t>
      </w:r>
    </w:p>
    <w:p>
      <w:pPr>
        <w:pStyle w:val="181"/>
        <w:keepNext w:val="0"/>
        <w:keepLines w:val="0"/>
        <w:pageBreakBefore w:val="0"/>
        <w:kinsoku/>
        <w:wordWrap/>
        <w:overflowPunct/>
        <w:topLinePunct w:val="0"/>
        <w:autoSpaceDE/>
        <w:autoSpaceDN/>
        <w:bidi w:val="0"/>
        <w:spacing w:before="0" w:line="360" w:lineRule="exact"/>
        <w:ind w:firstLine="482"/>
        <w:textAlignment w:val="auto"/>
        <w:outlineLvl w:val="2"/>
        <w:rPr>
          <w:rFonts w:hint="eastAsia" w:ascii="仿宋_GB2312" w:hAnsi="仿宋_GB2312" w:eastAsia="仿宋_GB2312" w:cs="仿宋_GB2312"/>
          <w:b/>
          <w:bCs w:val="0"/>
          <w:i w:val="0"/>
          <w:iCs w:val="0"/>
          <w:color w:val="auto"/>
          <w:sz w:val="24"/>
          <w:szCs w:val="24"/>
          <w:highlight w:val="none"/>
          <w:lang w:eastAsia="zh-CN"/>
        </w:rPr>
      </w:pPr>
      <w:r>
        <w:rPr>
          <w:rFonts w:hint="eastAsia" w:ascii="仿宋_GB2312" w:hAnsi="仿宋_GB2312" w:eastAsia="仿宋_GB2312" w:cs="仿宋_GB2312"/>
          <w:b/>
          <w:bCs w:val="0"/>
          <w:color w:val="auto"/>
          <w:sz w:val="24"/>
          <w:szCs w:val="24"/>
          <w:highlight w:val="none"/>
          <w:bdr w:val="single" w:sz="4" w:space="0"/>
        </w:rPr>
        <w:t>0</w:t>
      </w:r>
      <w:r>
        <w:rPr>
          <w:rFonts w:hint="eastAsia" w:ascii="仿宋_GB2312" w:hAnsi="仿宋_GB2312" w:eastAsia="仿宋_GB2312" w:cs="仿宋_GB2312"/>
          <w:b/>
          <w:bCs w:val="0"/>
          <w:color w:val="auto"/>
          <w:sz w:val="24"/>
          <w:szCs w:val="24"/>
          <w:highlight w:val="none"/>
          <w:bdr w:val="single" w:sz="4" w:space="0"/>
          <w:lang w:val="en-US" w:eastAsia="zh-CN"/>
        </w:rPr>
        <w:t>3</w:t>
      </w:r>
      <w:r>
        <w:rPr>
          <w:rFonts w:hint="eastAsia" w:ascii="仿宋_GB2312" w:hAnsi="仿宋_GB2312" w:eastAsia="仿宋_GB2312" w:cs="仿宋_GB2312"/>
          <w:b/>
          <w:bCs w:val="0"/>
          <w:color w:val="auto"/>
          <w:sz w:val="24"/>
          <w:szCs w:val="24"/>
          <w:highlight w:val="none"/>
          <w:bdr w:val="single" w:sz="4" w:space="0"/>
        </w:rPr>
        <w:t>标</w:t>
      </w:r>
      <w:r>
        <w:rPr>
          <w:rFonts w:hint="eastAsia" w:ascii="仿宋_GB2312" w:hAnsi="仿宋_GB2312" w:eastAsia="仿宋_GB2312" w:cs="仿宋_GB2312"/>
          <w:b/>
          <w:bCs w:val="0"/>
          <w:color w:val="auto"/>
          <w:sz w:val="24"/>
          <w:szCs w:val="24"/>
          <w:highlight w:val="none"/>
          <w:lang w:eastAsia="zh-CN"/>
        </w:rPr>
        <w:t>：</w:t>
      </w:r>
      <w:r>
        <w:rPr>
          <w:rFonts w:hint="eastAsia" w:ascii="仿宋_GB2312" w:hAnsi="仿宋_GB2312" w:eastAsia="仿宋_GB2312" w:cs="仿宋_GB2312"/>
          <w:b/>
          <w:bCs w:val="0"/>
          <w:color w:val="auto"/>
          <w:sz w:val="24"/>
          <w:szCs w:val="24"/>
          <w:highlight w:val="none"/>
          <w:lang w:val="en-US" w:eastAsia="zh-CN"/>
        </w:rPr>
        <w:t>嵊州市、新昌县</w:t>
      </w:r>
      <w:r>
        <w:rPr>
          <w:rFonts w:hint="eastAsia" w:ascii="仿宋_GB2312" w:hAnsi="仿宋_GB2312" w:eastAsia="仿宋_GB2312" w:cs="仿宋_GB2312"/>
          <w:b/>
          <w:bCs w:val="0"/>
          <w:color w:val="auto"/>
          <w:sz w:val="24"/>
          <w:szCs w:val="24"/>
          <w:highlight w:val="none"/>
          <w:lang w:eastAsia="zh-CN"/>
        </w:rPr>
        <w:t>国家机关、事业单位和团体组织</w:t>
      </w:r>
      <w:r>
        <w:rPr>
          <w:rFonts w:hint="eastAsia" w:ascii="仿宋_GB2312" w:hAnsi="仿宋_GB2312" w:eastAsia="仿宋_GB2312" w:cs="仿宋_GB2312"/>
          <w:b/>
          <w:bCs w:val="0"/>
          <w:i w:val="0"/>
          <w:iCs w:val="0"/>
          <w:color w:val="auto"/>
          <w:sz w:val="24"/>
          <w:szCs w:val="24"/>
          <w:highlight w:val="none"/>
          <w:lang w:eastAsia="zh-CN"/>
        </w:rPr>
        <w:t>。</w:t>
      </w:r>
    </w:p>
    <w:p>
      <w:pPr>
        <w:pStyle w:val="181"/>
        <w:keepNext w:val="0"/>
        <w:keepLines w:val="0"/>
        <w:pageBreakBefore w:val="0"/>
        <w:kinsoku/>
        <w:wordWrap/>
        <w:overflowPunct/>
        <w:topLinePunct w:val="0"/>
        <w:autoSpaceDE/>
        <w:autoSpaceDN/>
        <w:bidi w:val="0"/>
        <w:spacing w:before="0" w:line="360" w:lineRule="exact"/>
        <w:ind w:firstLine="482"/>
        <w:textAlignment w:val="auto"/>
        <w:outlineLvl w:val="2"/>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5.供货</w:t>
      </w:r>
      <w:r>
        <w:rPr>
          <w:rFonts w:hint="eastAsia" w:ascii="仿宋_GB2312" w:hAnsi="仿宋_GB2312" w:eastAsia="仿宋_GB2312" w:cs="仿宋_GB2312"/>
          <w:b/>
          <w:color w:val="auto"/>
          <w:sz w:val="24"/>
          <w:szCs w:val="24"/>
          <w:highlight w:val="none"/>
        </w:rPr>
        <w:t>期限：</w:t>
      </w:r>
      <w:r>
        <w:rPr>
          <w:rFonts w:hint="eastAsia" w:ascii="仿宋_GB2312" w:hAnsi="仿宋_GB2312" w:eastAsia="仿宋_GB2312" w:cs="仿宋_GB2312"/>
          <w:b w:val="0"/>
          <w:bCs/>
          <w:color w:val="auto"/>
          <w:sz w:val="24"/>
          <w:szCs w:val="24"/>
          <w:highlight w:val="none"/>
          <w:lang w:val="en-US" w:eastAsia="zh-CN"/>
        </w:rPr>
        <w:t>自商品上架之日起至2025年12月31日止。</w:t>
      </w:r>
    </w:p>
    <w:p>
      <w:pPr>
        <w:pStyle w:val="181"/>
        <w:keepNext w:val="0"/>
        <w:keepLines w:val="0"/>
        <w:pageBreakBefore w:val="0"/>
        <w:kinsoku/>
        <w:wordWrap/>
        <w:overflowPunct/>
        <w:topLinePunct w:val="0"/>
        <w:autoSpaceDE/>
        <w:autoSpaceDN/>
        <w:bidi w:val="0"/>
        <w:spacing w:before="0" w:line="360" w:lineRule="exact"/>
        <w:ind w:firstLine="482"/>
        <w:textAlignment w:val="auto"/>
        <w:outlineLvl w:val="2"/>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6.项目实施范围：在供货期内，需求单位通过政采云“政务优选专区”使用财政性资金，购买单项采购金额未达到采购限额标准的产品。</w:t>
      </w:r>
    </w:p>
    <w:p>
      <w:pPr>
        <w:pStyle w:val="181"/>
        <w:keepNext w:val="0"/>
        <w:keepLines w:val="0"/>
        <w:pageBreakBefore w:val="0"/>
        <w:kinsoku/>
        <w:wordWrap/>
        <w:overflowPunct/>
        <w:topLinePunct w:val="0"/>
        <w:autoSpaceDE/>
        <w:autoSpaceDN/>
        <w:bidi w:val="0"/>
        <w:spacing w:before="0" w:line="360" w:lineRule="exact"/>
        <w:ind w:firstLine="482"/>
        <w:textAlignment w:val="auto"/>
        <w:outlineLvl w:val="2"/>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7.供应商响应有效期从提交响应文件的截止之日起不少于本项目采购有效期，在期满之前均具有约束力。</w:t>
      </w:r>
    </w:p>
    <w:p>
      <w:pPr>
        <w:keepNext w:val="0"/>
        <w:keepLines w:val="0"/>
        <w:pageBreakBefore w:val="0"/>
        <w:widowControl w:val="0"/>
        <w:kinsoku/>
        <w:wordWrap/>
        <w:overflowPunct/>
        <w:topLinePunct w:val="0"/>
        <w:autoSpaceDE/>
        <w:autoSpaceDN/>
        <w:bidi w:val="0"/>
        <w:adjustRightInd/>
        <w:snapToGrid w:val="0"/>
        <w:spacing w:line="360" w:lineRule="exact"/>
        <w:ind w:firstLine="482" w:firstLineChars="200"/>
        <w:textAlignment w:val="auto"/>
        <w:rPr>
          <w:rFonts w:hint="eastAsia" w:ascii="仿宋_GB2312" w:hAnsi="仿宋_GB2312" w:eastAsia="仿宋_GB2312" w:cs="仿宋_GB2312"/>
          <w:b/>
          <w:color w:val="auto"/>
          <w:sz w:val="24"/>
          <w:szCs w:val="24"/>
          <w:highlight w:val="none"/>
          <w:lang w:eastAsia="zh-CN"/>
        </w:rPr>
      </w:pPr>
      <w:r>
        <w:rPr>
          <w:rFonts w:hint="eastAsia" w:ascii="仿宋_GB2312" w:hAnsi="仿宋_GB2312" w:eastAsia="仿宋_GB2312" w:cs="仿宋_GB2312"/>
          <w:b/>
          <w:color w:val="auto"/>
          <w:sz w:val="24"/>
          <w:szCs w:val="24"/>
          <w:highlight w:val="none"/>
          <w:lang w:eastAsia="zh-CN"/>
        </w:rPr>
        <w:t>二、产品技术规范</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符合《</w:t>
      </w:r>
      <w:r>
        <w:rPr>
          <w:rFonts w:hint="eastAsia" w:ascii="仿宋_GB2312" w:hAnsi="仿宋_GB2312" w:eastAsia="仿宋_GB2312" w:cs="仿宋_GB2312"/>
          <w:b w:val="0"/>
          <w:bCs w:val="0"/>
          <w:color w:val="auto"/>
          <w:sz w:val="24"/>
          <w:szCs w:val="24"/>
          <w:highlight w:val="none"/>
          <w:lang w:val="en-US" w:eastAsia="zh-CN"/>
        </w:rPr>
        <w:t>信息技术 投影机规范</w:t>
      </w:r>
      <w:r>
        <w:rPr>
          <w:rFonts w:hint="eastAsia" w:ascii="仿宋_GB2312" w:hAnsi="仿宋_GB2312" w:eastAsia="仿宋_GB2312" w:cs="仿宋_GB2312"/>
          <w:b w:val="0"/>
          <w:bCs w:val="0"/>
          <w:color w:val="auto"/>
          <w:sz w:val="24"/>
          <w:szCs w:val="24"/>
          <w:highlight w:val="none"/>
        </w:rPr>
        <w:t xml:space="preserve">》（GB/T </w:t>
      </w:r>
      <w:r>
        <w:rPr>
          <w:rFonts w:hint="eastAsia" w:ascii="仿宋_GB2312" w:hAnsi="仿宋_GB2312" w:eastAsia="仿宋_GB2312" w:cs="仿宋_GB2312"/>
          <w:b w:val="0"/>
          <w:bCs w:val="0"/>
          <w:color w:val="auto"/>
          <w:sz w:val="24"/>
          <w:szCs w:val="24"/>
          <w:highlight w:val="none"/>
          <w:lang w:val="en-US" w:eastAsia="zh-CN"/>
        </w:rPr>
        <w:t>28037</w:t>
      </w:r>
      <w:r>
        <w:rPr>
          <w:rFonts w:hint="eastAsia" w:ascii="仿宋_GB2312" w:hAnsi="仿宋_GB2312" w:eastAsia="仿宋_GB2312" w:cs="仿宋_GB2312"/>
          <w:b w:val="0"/>
          <w:bCs w:val="0"/>
          <w:color w:val="auto"/>
          <w:sz w:val="24"/>
          <w:szCs w:val="24"/>
          <w:highlight w:val="none"/>
        </w:rPr>
        <w:t>-201</w:t>
      </w:r>
      <w:r>
        <w:rPr>
          <w:rFonts w:hint="eastAsia" w:ascii="仿宋_GB2312" w:hAnsi="仿宋_GB2312" w:eastAsia="仿宋_GB2312" w:cs="仿宋_GB2312"/>
          <w:b w:val="0"/>
          <w:bCs w:val="0"/>
          <w:color w:val="auto"/>
          <w:sz w:val="24"/>
          <w:szCs w:val="24"/>
          <w:highlight w:val="none"/>
          <w:lang w:val="en-US" w:eastAsia="zh-CN"/>
        </w:rPr>
        <w:t>1</w:t>
      </w:r>
      <w:r>
        <w:rPr>
          <w:rFonts w:hint="eastAsia" w:ascii="仿宋_GB2312" w:hAnsi="仿宋_GB2312" w:eastAsia="仿宋_GB2312" w:cs="仿宋_GB2312"/>
          <w:b w:val="0"/>
          <w:bCs w:val="0"/>
          <w:color w:val="auto"/>
          <w:sz w:val="24"/>
          <w:szCs w:val="24"/>
          <w:highlight w:val="none"/>
        </w:rPr>
        <w:t>）要求。</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本招标文件中未包括的标准和规范以及非现行的标准和规范，投标</w:t>
      </w:r>
      <w:r>
        <w:rPr>
          <w:rFonts w:hint="eastAsia" w:ascii="仿宋_GB2312" w:hAnsi="仿宋_GB2312" w:eastAsia="仿宋_GB2312" w:cs="仿宋_GB2312"/>
          <w:b w:val="0"/>
          <w:bCs w:val="0"/>
          <w:color w:val="auto"/>
          <w:sz w:val="24"/>
          <w:szCs w:val="24"/>
          <w:highlight w:val="none"/>
          <w:lang w:val="en-US" w:eastAsia="zh-CN"/>
        </w:rPr>
        <w:t>人</w:t>
      </w:r>
      <w:r>
        <w:rPr>
          <w:rFonts w:hint="eastAsia" w:ascii="仿宋_GB2312" w:hAnsi="仿宋_GB2312" w:eastAsia="仿宋_GB2312" w:cs="仿宋_GB2312"/>
          <w:b w:val="0"/>
          <w:bCs w:val="0"/>
          <w:color w:val="auto"/>
          <w:sz w:val="24"/>
          <w:szCs w:val="24"/>
          <w:highlight w:val="none"/>
        </w:rPr>
        <w:t>应提供现行的标准和规范的名称及标准号。</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招标文件中所提出的国家标准为最低要求，只有等于或优于这些标准要求时，采购人才予以接受。</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投标</w:t>
      </w:r>
      <w:r>
        <w:rPr>
          <w:rFonts w:hint="eastAsia" w:ascii="仿宋_GB2312" w:hAnsi="仿宋_GB2312" w:eastAsia="仿宋_GB2312" w:cs="仿宋_GB2312"/>
          <w:b w:val="0"/>
          <w:bCs w:val="0"/>
          <w:color w:val="auto"/>
          <w:sz w:val="24"/>
          <w:szCs w:val="24"/>
          <w:highlight w:val="none"/>
          <w:lang w:val="en-US" w:eastAsia="zh-CN"/>
        </w:rPr>
        <w:t>人</w:t>
      </w:r>
      <w:r>
        <w:rPr>
          <w:rFonts w:hint="eastAsia" w:ascii="仿宋_GB2312" w:hAnsi="仿宋_GB2312" w:eastAsia="仿宋_GB2312" w:cs="仿宋_GB2312"/>
          <w:b w:val="0"/>
          <w:bCs w:val="0"/>
          <w:color w:val="auto"/>
          <w:sz w:val="24"/>
          <w:szCs w:val="24"/>
          <w:highlight w:val="none"/>
        </w:rPr>
        <w:t>的产品其主材及配件等必须符合招标文件技术要求，技术要求中没有注明品牌及产地的、投标</w:t>
      </w:r>
      <w:r>
        <w:rPr>
          <w:rFonts w:hint="eastAsia" w:ascii="仿宋_GB2312" w:hAnsi="仿宋_GB2312" w:eastAsia="仿宋_GB2312" w:cs="仿宋_GB2312"/>
          <w:b w:val="0"/>
          <w:bCs w:val="0"/>
          <w:color w:val="auto"/>
          <w:sz w:val="24"/>
          <w:szCs w:val="24"/>
          <w:highlight w:val="none"/>
          <w:lang w:val="en-US" w:eastAsia="zh-CN"/>
        </w:rPr>
        <w:t>人</w:t>
      </w:r>
      <w:r>
        <w:rPr>
          <w:rFonts w:hint="eastAsia" w:ascii="仿宋_GB2312" w:hAnsi="仿宋_GB2312" w:eastAsia="仿宋_GB2312" w:cs="仿宋_GB2312"/>
          <w:b w:val="0"/>
          <w:bCs w:val="0"/>
          <w:color w:val="auto"/>
          <w:sz w:val="24"/>
          <w:szCs w:val="24"/>
          <w:highlight w:val="none"/>
        </w:rPr>
        <w:t>必须在投标文件上注明。</w:t>
      </w:r>
    </w:p>
    <w:p>
      <w:pPr>
        <w:keepNext w:val="0"/>
        <w:keepLines w:val="0"/>
        <w:pageBreakBefore w:val="0"/>
        <w:widowControl w:val="0"/>
        <w:kinsoku/>
        <w:wordWrap/>
        <w:overflowPunct/>
        <w:topLinePunct w:val="0"/>
        <w:autoSpaceDE/>
        <w:autoSpaceDN/>
        <w:bidi w:val="0"/>
        <w:adjustRightInd/>
        <w:snapToGrid w:val="0"/>
        <w:spacing w:line="36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三、货物（材料）要求</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1.投标人投标提供的货物必须是厂商原装的、全新的，型号、性能及指标符合国家及招标文件提出的有关技术、质量、安全标准。</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2.所有货物在开箱检验时必须完好，无破损，配置与装箱单相符。数量、质量及性能不低于本需求书中提出的要求。</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3.货物外观清洁，标记编号以及盘面显示等字体清晰，明确。铭牌、使用指示、警告指示应以中文或英文及易懂的通用符号来表示；应准确无误地表明货物之型号、规格、制造厂及生产或出厂日期。</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4.对于影响货物正常工作的必要组成部分，无论在技术规范中指出与否，投标人都应提供并在投标文件中明确列出。</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5.所有货物提供出厂合格证等质量证明文件。</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6.所有货物到现场安装使用前，需求单位有权进行抽样检验或试验。</w:t>
      </w:r>
    </w:p>
    <w:p>
      <w:pPr>
        <w:keepNext w:val="0"/>
        <w:keepLines w:val="0"/>
        <w:pageBreakBefore w:val="0"/>
        <w:widowControl w:val="0"/>
        <w:kinsoku/>
        <w:wordWrap/>
        <w:overflowPunct/>
        <w:topLinePunct w:val="0"/>
        <w:autoSpaceDE/>
        <w:autoSpaceDN/>
        <w:bidi w:val="0"/>
        <w:adjustRightInd/>
        <w:snapToGrid w:val="0"/>
        <w:spacing w:line="36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四、订货、供货、安装、调试要求</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1.交货地点：</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指定地点</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.安装、调试：</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①</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工作</w:t>
      </w:r>
      <w:r>
        <w:rPr>
          <w:rFonts w:hint="eastAsia" w:ascii="仿宋_GB2312" w:hAnsi="仿宋_GB2312" w:eastAsia="仿宋_GB2312" w:cs="仿宋_GB2312"/>
          <w:color w:val="auto"/>
          <w:sz w:val="24"/>
          <w:szCs w:val="24"/>
          <w:highlight w:val="none"/>
        </w:rPr>
        <w:t>人员应在合同规定的</w:t>
      </w:r>
      <w:r>
        <w:rPr>
          <w:rFonts w:hint="eastAsia" w:ascii="仿宋_GB2312" w:hAnsi="仿宋_GB2312" w:eastAsia="仿宋_GB2312" w:cs="仿宋_GB2312"/>
          <w:color w:val="auto"/>
          <w:sz w:val="24"/>
          <w:szCs w:val="24"/>
          <w:highlight w:val="none"/>
          <w:lang w:eastAsia="zh-CN"/>
        </w:rPr>
        <w:t>时间</w:t>
      </w:r>
      <w:r>
        <w:rPr>
          <w:rFonts w:hint="eastAsia" w:ascii="仿宋_GB2312" w:hAnsi="仿宋_GB2312" w:eastAsia="仿宋_GB2312" w:cs="仿宋_GB2312"/>
          <w:color w:val="auto"/>
          <w:sz w:val="24"/>
          <w:szCs w:val="24"/>
          <w:highlight w:val="none"/>
        </w:rPr>
        <w:t>内完成该项工作。</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②</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应派经</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认可的有经验和能力、具有相应资质的技术人员，负责</w:t>
      </w:r>
      <w:r>
        <w:rPr>
          <w:rFonts w:hint="eastAsia" w:ascii="仿宋_GB2312" w:hAnsi="仿宋_GB2312" w:eastAsia="仿宋_GB2312" w:cs="仿宋_GB2312"/>
          <w:color w:val="auto"/>
          <w:sz w:val="24"/>
          <w:szCs w:val="24"/>
          <w:highlight w:val="none"/>
          <w:lang w:val="en-US" w:eastAsia="zh-CN"/>
        </w:rPr>
        <w:t>投影仪</w:t>
      </w:r>
      <w:r>
        <w:rPr>
          <w:rFonts w:hint="eastAsia" w:ascii="仿宋_GB2312" w:hAnsi="仿宋_GB2312" w:eastAsia="仿宋_GB2312" w:cs="仿宋_GB2312"/>
          <w:color w:val="auto"/>
          <w:sz w:val="24"/>
          <w:szCs w:val="24"/>
          <w:highlight w:val="none"/>
        </w:rPr>
        <w:t>设备安装工作，在</w:t>
      </w:r>
      <w:r>
        <w:rPr>
          <w:rFonts w:hint="eastAsia" w:ascii="仿宋_GB2312" w:hAnsi="仿宋_GB2312" w:eastAsia="仿宋_GB2312" w:cs="仿宋_GB2312"/>
          <w:color w:val="auto"/>
          <w:sz w:val="24"/>
          <w:szCs w:val="24"/>
          <w:highlight w:val="none"/>
          <w:lang w:val="en-US" w:eastAsia="zh-CN"/>
        </w:rPr>
        <w:t>投影仪</w:t>
      </w:r>
      <w:r>
        <w:rPr>
          <w:rFonts w:hint="eastAsia" w:ascii="仿宋_GB2312" w:hAnsi="仿宋_GB2312" w:eastAsia="仿宋_GB2312" w:cs="仿宋_GB2312"/>
          <w:color w:val="auto"/>
          <w:sz w:val="24"/>
          <w:szCs w:val="24"/>
          <w:highlight w:val="none"/>
        </w:rPr>
        <w:t>安装期间应充分了解</w:t>
      </w:r>
      <w:r>
        <w:rPr>
          <w:rFonts w:hint="eastAsia" w:ascii="仿宋_GB2312" w:hAnsi="仿宋_GB2312" w:eastAsia="仿宋_GB2312" w:cs="仿宋_GB2312"/>
          <w:color w:val="auto"/>
          <w:sz w:val="24"/>
          <w:szCs w:val="24"/>
          <w:highlight w:val="none"/>
          <w:lang w:val="en-US" w:eastAsia="zh-CN"/>
        </w:rPr>
        <w:t>投影仪</w:t>
      </w:r>
      <w:r>
        <w:rPr>
          <w:rFonts w:hint="eastAsia" w:ascii="仿宋_GB2312" w:hAnsi="仿宋_GB2312" w:eastAsia="仿宋_GB2312" w:cs="仿宋_GB2312"/>
          <w:color w:val="auto"/>
          <w:sz w:val="24"/>
          <w:szCs w:val="24"/>
          <w:highlight w:val="none"/>
        </w:rPr>
        <w:t>安装进度要求，解决安装中出现的技术问题。</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③调试所需专用工具设施物料由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自备、自费运到现场，完工后自费搬</w:t>
      </w:r>
      <w:r>
        <w:rPr>
          <w:rFonts w:hint="eastAsia" w:ascii="仿宋_GB2312" w:hAnsi="仿宋_GB2312" w:eastAsia="仿宋_GB2312" w:cs="仿宋_GB2312"/>
          <w:color w:val="auto"/>
          <w:sz w:val="24"/>
          <w:szCs w:val="24"/>
          <w:highlight w:val="none"/>
          <w:lang w:eastAsia="zh-CN"/>
        </w:rPr>
        <w:t>离。</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3.投标人中标后，需服从政采云</w:t>
      </w:r>
      <w:r>
        <w:rPr>
          <w:rFonts w:hint="eastAsia" w:ascii="仿宋_GB2312" w:hAnsi="仿宋_GB2312" w:eastAsia="仿宋_GB2312" w:cs="仿宋_GB2312"/>
          <w:color w:val="auto"/>
          <w:kern w:val="2"/>
          <w:sz w:val="24"/>
          <w:szCs w:val="24"/>
          <w:highlight w:val="none"/>
          <w:lang w:val="en-US" w:eastAsia="zh-CN" w:bidi="ar-SA"/>
        </w:rPr>
        <w:t>“政务优选专区”管理，并</w:t>
      </w:r>
      <w:r>
        <w:rPr>
          <w:rFonts w:hint="eastAsia" w:ascii="仿宋_GB2312" w:hAnsi="仿宋_GB2312" w:eastAsia="仿宋_GB2312" w:cs="仿宋_GB2312"/>
          <w:b w:val="0"/>
          <w:bCs w:val="0"/>
          <w:color w:val="auto"/>
          <w:sz w:val="24"/>
          <w:szCs w:val="24"/>
          <w:highlight w:val="none"/>
          <w:lang w:val="en-US" w:eastAsia="zh-CN"/>
        </w:rPr>
        <w:t>在</w:t>
      </w:r>
      <w:r>
        <w:rPr>
          <w:rFonts w:hint="eastAsia" w:ascii="仿宋_GB2312" w:hAnsi="仿宋_GB2312" w:eastAsia="仿宋_GB2312" w:cs="仿宋_GB2312"/>
          <w:b w:val="0"/>
          <w:bCs w:val="0"/>
          <w:color w:val="auto"/>
          <w:sz w:val="24"/>
          <w:szCs w:val="24"/>
          <w:highlight w:val="none"/>
          <w:u w:val="single"/>
          <w:lang w:val="en-US" w:eastAsia="zh-CN"/>
        </w:rPr>
        <w:t>15</w:t>
      </w:r>
      <w:r>
        <w:rPr>
          <w:rFonts w:hint="eastAsia" w:ascii="仿宋_GB2312" w:hAnsi="仿宋_GB2312" w:eastAsia="仿宋_GB2312" w:cs="仿宋_GB2312"/>
          <w:b w:val="0"/>
          <w:bCs w:val="0"/>
          <w:color w:val="auto"/>
          <w:sz w:val="24"/>
          <w:szCs w:val="24"/>
          <w:highlight w:val="none"/>
          <w:lang w:val="en-US" w:eastAsia="zh-CN"/>
        </w:rPr>
        <w:t>个工作日内在平台完成上架，上架货物品类与投标的货物一致，如经查实发现价格品类不一致等情况，采购人有权自行采购同等质量的货物，由此造成的经济损失和责任均由成交供应商承担，并承担违约责任。</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常规</w:t>
      </w:r>
      <w:r>
        <w:rPr>
          <w:rFonts w:hint="eastAsia" w:ascii="仿宋_GB2312" w:hAnsi="仿宋_GB2312" w:eastAsia="仿宋_GB2312" w:cs="仿宋_GB2312"/>
          <w:color w:val="auto"/>
          <w:sz w:val="24"/>
          <w:szCs w:val="24"/>
          <w:highlight w:val="none"/>
          <w:lang w:eastAsia="zh-CN"/>
        </w:rPr>
        <w:t>订单发出后，</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应在</w:t>
      </w:r>
      <w:r>
        <w:rPr>
          <w:rFonts w:hint="eastAsia" w:ascii="仿宋_GB2312" w:hAnsi="仿宋_GB2312" w:eastAsia="仿宋_GB2312" w:cs="仿宋_GB2312"/>
          <w:color w:val="auto"/>
          <w:sz w:val="24"/>
          <w:szCs w:val="24"/>
          <w:highlight w:val="none"/>
          <w:lang w:val="en-US" w:eastAsia="zh-CN"/>
        </w:rPr>
        <w:t>72</w:t>
      </w:r>
      <w:r>
        <w:rPr>
          <w:rFonts w:hint="eastAsia" w:ascii="仿宋_GB2312" w:hAnsi="仿宋_GB2312" w:eastAsia="仿宋_GB2312" w:cs="仿宋_GB2312"/>
          <w:color w:val="auto"/>
          <w:sz w:val="24"/>
          <w:szCs w:val="24"/>
          <w:highlight w:val="none"/>
          <w:lang w:eastAsia="zh-CN"/>
        </w:rPr>
        <w:t>小时</w:t>
      </w:r>
      <w:r>
        <w:rPr>
          <w:rFonts w:hint="eastAsia" w:ascii="仿宋_GB2312" w:hAnsi="仿宋_GB2312" w:eastAsia="仿宋_GB2312" w:cs="仿宋_GB2312"/>
          <w:color w:val="auto"/>
          <w:sz w:val="24"/>
          <w:szCs w:val="24"/>
          <w:highlight w:val="none"/>
        </w:rPr>
        <w:t>内将货物安全、免费送到</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指定地点，并提供相应品牌公司的发货单，等待</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工作人员验收确认后，把货物放到指定位置。</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在收到</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要货通知后，应按时保质保量将货物送达</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指定位置，并出具相关产品的采购单据。</w:t>
      </w:r>
      <w:r>
        <w:rPr>
          <w:rFonts w:hint="eastAsia" w:ascii="仿宋_GB2312" w:hAnsi="仿宋_GB2312" w:eastAsia="仿宋_GB2312" w:cs="仿宋_GB2312"/>
          <w:color w:val="auto"/>
          <w:sz w:val="24"/>
          <w:szCs w:val="24"/>
          <w:highlight w:val="none"/>
          <w:lang w:eastAsia="zh-CN"/>
        </w:rPr>
        <w:t>同时，</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需对紧急情况下接到</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通知</w:t>
      </w:r>
      <w:r>
        <w:rPr>
          <w:rFonts w:hint="eastAsia" w:ascii="仿宋_GB2312" w:hAnsi="仿宋_GB2312" w:eastAsia="仿宋_GB2312" w:cs="仿宋_GB2312"/>
          <w:color w:val="auto"/>
          <w:sz w:val="24"/>
          <w:szCs w:val="24"/>
          <w:highlight w:val="none"/>
          <w:lang w:eastAsia="zh-CN"/>
        </w:rPr>
        <w:t>响应的情况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做更为详尽的承诺，投标人</w:t>
      </w:r>
      <w:r>
        <w:rPr>
          <w:rFonts w:hint="eastAsia" w:ascii="仿宋_GB2312" w:hAnsi="仿宋_GB2312" w:eastAsia="仿宋_GB2312" w:cs="仿宋_GB2312"/>
          <w:color w:val="auto"/>
          <w:sz w:val="24"/>
          <w:szCs w:val="24"/>
          <w:highlight w:val="none"/>
        </w:rPr>
        <w:t>不得无故改变交货时间、数量等，应确保</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的正常需求量。</w:t>
      </w:r>
    </w:p>
    <w:p>
      <w:pPr>
        <w:keepNext w:val="0"/>
        <w:keepLines w:val="0"/>
        <w:pageBreakBefore w:val="0"/>
        <w:widowControl w:val="0"/>
        <w:kinsoku/>
        <w:wordWrap/>
        <w:overflowPunct/>
        <w:topLinePunct w:val="0"/>
        <w:autoSpaceDE/>
        <w:autoSpaceDN/>
        <w:bidi w:val="0"/>
        <w:adjustRightInd/>
        <w:snapToGrid w:val="0"/>
        <w:spacing w:line="36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五、上架要求</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1.投标人平台上架商品须至少包含产品图片、产品价格、产品介绍等产品基础信息以及该产品在</w:t>
      </w:r>
      <w:r>
        <w:rPr>
          <w:rFonts w:hint="eastAsia" w:ascii="仿宋_GB2312" w:hAnsi="仿宋_GB2312" w:eastAsia="仿宋_GB2312" w:cs="仿宋_GB2312"/>
          <w:color w:val="auto"/>
          <w:sz w:val="24"/>
          <w:szCs w:val="24"/>
          <w:highlight w:val="none"/>
          <w:lang w:eastAsia="zh-CN"/>
        </w:rPr>
        <w:t>供应商投标时承诺参照的店铺中</w:t>
      </w:r>
      <w:r>
        <w:rPr>
          <w:rFonts w:hint="eastAsia" w:ascii="仿宋_GB2312" w:hAnsi="仿宋_GB2312" w:eastAsia="仿宋_GB2312" w:cs="仿宋_GB2312"/>
          <w:color w:val="auto"/>
          <w:sz w:val="24"/>
          <w:szCs w:val="24"/>
          <w:highlight w:val="none"/>
          <w:lang w:val="en-US" w:eastAsia="zh-CN"/>
        </w:rPr>
        <w:t>对应上架链接。</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2.通过采购人集中采购管理系统管理，需能够实现产品、价格、订单、物流、库存等信息的交互。</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3.最终上架产品范围由采购人决定，采购人有权在协议有效期内根据自身需求增加或减少上架物资。</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4.采购人可对供应商的上架产品进行审核，对于包括但不限于产品价格异常、产品超出目录范围、产品展示信息有误等情况，采购人有权进行下架处理。</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5.供应商须严格遵守政采云相关平台运营规范要求。</w:t>
      </w:r>
    </w:p>
    <w:p>
      <w:pPr>
        <w:keepNext w:val="0"/>
        <w:keepLines w:val="0"/>
        <w:pageBreakBefore w:val="0"/>
        <w:widowControl w:val="0"/>
        <w:kinsoku/>
        <w:wordWrap/>
        <w:overflowPunct/>
        <w:topLinePunct w:val="0"/>
        <w:autoSpaceDE/>
        <w:autoSpaceDN/>
        <w:bidi w:val="0"/>
        <w:adjustRightInd/>
        <w:snapToGrid w:val="0"/>
        <w:spacing w:line="36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六、验收</w:t>
      </w:r>
    </w:p>
    <w:p>
      <w:pPr>
        <w:keepNext w:val="0"/>
        <w:keepLines w:val="0"/>
        <w:pageBreakBefore w:val="0"/>
        <w:kinsoku/>
        <w:wordWrap/>
        <w:overflowPunct/>
        <w:topLinePunct w:val="0"/>
        <w:autoSpaceDE/>
        <w:autoSpaceDN/>
        <w:bidi w:val="0"/>
        <w:adjustRightInd w:val="0"/>
        <w:spacing w:line="360" w:lineRule="exact"/>
        <w:ind w:left="60" w:right="60" w:firstLine="435"/>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1.根据采购履约验收有关规定，</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应按照合同约定履行义务，完成项目，与</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做好项目验收，提供项目验收相关的生产、技术、服务、数量、质量、安全等资料，</w:t>
      </w:r>
    </w:p>
    <w:p>
      <w:pPr>
        <w:keepNext w:val="0"/>
        <w:keepLines w:val="0"/>
        <w:pageBreakBefore w:val="0"/>
        <w:numPr>
          <w:ilvl w:val="0"/>
          <w:numId w:val="0"/>
        </w:numPr>
        <w:kinsoku/>
        <w:wordWrap/>
        <w:overflowPunct/>
        <w:topLinePunct w:val="0"/>
        <w:autoSpaceDE/>
        <w:autoSpaceDN/>
        <w:bidi w:val="0"/>
        <w:adjustRightInd w:val="0"/>
        <w:spacing w:line="360" w:lineRule="exact"/>
        <w:ind w:left="495" w:leftChars="0" w:right="60" w:right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检验验收依据。</w:t>
      </w:r>
    </w:p>
    <w:p>
      <w:pPr>
        <w:keepNext w:val="0"/>
        <w:keepLines w:val="0"/>
        <w:pageBreakBefore w:val="0"/>
        <w:kinsoku/>
        <w:wordWrap/>
        <w:overflowPunct/>
        <w:topLinePunct w:val="0"/>
        <w:autoSpaceDE/>
        <w:autoSpaceDN/>
        <w:bidi w:val="0"/>
        <w:adjustRightInd w:val="0"/>
        <w:spacing w:line="360" w:lineRule="exact"/>
        <w:ind w:right="6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投影仪</w:t>
      </w:r>
      <w:r>
        <w:rPr>
          <w:rFonts w:hint="eastAsia" w:ascii="仿宋_GB2312" w:hAnsi="仿宋_GB2312" w:eastAsia="仿宋_GB2312" w:cs="仿宋_GB2312"/>
          <w:color w:val="auto"/>
          <w:sz w:val="24"/>
          <w:szCs w:val="24"/>
          <w:highlight w:val="none"/>
        </w:rPr>
        <w:t>各类国家标准、行业标准及项目采购需求。</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严格服务项目采购验收管理，验收时，</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应当清点</w:t>
      </w:r>
      <w:r>
        <w:rPr>
          <w:rFonts w:hint="eastAsia" w:ascii="仿宋_GB2312" w:hAnsi="仿宋_GB2312" w:eastAsia="仿宋_GB2312" w:cs="仿宋_GB2312"/>
          <w:color w:val="auto"/>
          <w:sz w:val="24"/>
          <w:szCs w:val="24"/>
          <w:highlight w:val="none"/>
          <w:lang w:eastAsia="zh-CN"/>
        </w:rPr>
        <w:t>到货数量</w:t>
      </w:r>
      <w:r>
        <w:rPr>
          <w:rFonts w:hint="eastAsia" w:ascii="仿宋_GB2312" w:hAnsi="仿宋_GB2312" w:eastAsia="仿宋_GB2312" w:cs="仿宋_GB2312"/>
          <w:color w:val="auto"/>
          <w:sz w:val="24"/>
          <w:szCs w:val="24"/>
          <w:highlight w:val="none"/>
        </w:rPr>
        <w:t>，进行质量验收，应当包括每一项货物履约情况，</w:t>
      </w:r>
      <w:r>
        <w:rPr>
          <w:rFonts w:hint="eastAsia" w:ascii="仿宋_GB2312" w:hAnsi="仿宋_GB2312" w:eastAsia="仿宋_GB2312" w:cs="仿宋_GB2312"/>
          <w:color w:val="auto"/>
          <w:sz w:val="24"/>
          <w:szCs w:val="24"/>
          <w:highlight w:val="none"/>
          <w:lang w:eastAsia="zh-CN"/>
        </w:rPr>
        <w:t>确认</w:t>
      </w:r>
      <w:r>
        <w:rPr>
          <w:rFonts w:hint="eastAsia" w:ascii="仿宋_GB2312" w:hAnsi="仿宋_GB2312" w:eastAsia="仿宋_GB2312" w:cs="仿宋_GB2312"/>
          <w:color w:val="auto"/>
          <w:sz w:val="24"/>
          <w:szCs w:val="24"/>
          <w:highlight w:val="none"/>
        </w:rPr>
        <w:t>无误后开具验收单给</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供货</w:t>
      </w:r>
      <w:r>
        <w:rPr>
          <w:rFonts w:hint="eastAsia" w:ascii="仿宋_GB2312" w:hAnsi="仿宋_GB2312" w:eastAsia="仿宋_GB2312" w:cs="仿宋_GB2312"/>
          <w:color w:val="auto"/>
          <w:sz w:val="24"/>
          <w:szCs w:val="24"/>
          <w:highlight w:val="none"/>
        </w:rPr>
        <w:t>数量有出入的，经双方核实确定，</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应及时给予补足或按</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实际收货量结算。</w:t>
      </w:r>
      <w:r>
        <w:rPr>
          <w:rFonts w:hint="eastAsia" w:ascii="仿宋_GB2312" w:hAnsi="仿宋_GB2312" w:eastAsia="仿宋_GB2312" w:cs="仿宋_GB2312"/>
          <w:color w:val="auto"/>
          <w:sz w:val="24"/>
          <w:szCs w:val="24"/>
          <w:highlight w:val="none"/>
          <w:lang w:eastAsia="zh-CN"/>
        </w:rPr>
        <w:t>供货</w:t>
      </w:r>
      <w:r>
        <w:rPr>
          <w:rFonts w:hint="eastAsia" w:ascii="仿宋_GB2312" w:hAnsi="仿宋_GB2312" w:eastAsia="仿宋_GB2312" w:cs="仿宋_GB2312"/>
          <w:color w:val="auto"/>
          <w:sz w:val="24"/>
          <w:szCs w:val="24"/>
          <w:highlight w:val="none"/>
        </w:rPr>
        <w:t>质量有问题的（不含</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人为原因造成），</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有权退</w:t>
      </w:r>
      <w:r>
        <w:rPr>
          <w:rFonts w:hint="eastAsia" w:ascii="仿宋_GB2312" w:hAnsi="仿宋_GB2312" w:eastAsia="仿宋_GB2312" w:cs="仿宋_GB2312"/>
          <w:color w:val="auto"/>
          <w:sz w:val="24"/>
          <w:szCs w:val="24"/>
          <w:highlight w:val="none"/>
          <w:lang w:eastAsia="zh-CN"/>
        </w:rPr>
        <w:t>换</w:t>
      </w:r>
      <w:r>
        <w:rPr>
          <w:rFonts w:hint="eastAsia" w:ascii="仿宋_GB2312" w:hAnsi="仿宋_GB2312" w:eastAsia="仿宋_GB2312" w:cs="仿宋_GB2312"/>
          <w:color w:val="auto"/>
          <w:sz w:val="24"/>
          <w:szCs w:val="24"/>
          <w:highlight w:val="none"/>
        </w:rPr>
        <w:t>货</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应当在保证不影响</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正常工作的前提下重新送货，由此产生的费用由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负责。</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部分物资因其自身特点导致</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无法在验收当时发现其质量问题，如</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在使用期间内发现产品存在问题，则</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应无条件为</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提供换货或退货处理。</w:t>
      </w:r>
      <w:r>
        <w:rPr>
          <w:rFonts w:hint="eastAsia" w:ascii="仿宋_GB2312" w:hAnsi="仿宋_GB2312" w:eastAsia="仿宋_GB2312" w:cs="仿宋_GB2312"/>
          <w:color w:val="auto"/>
          <w:sz w:val="24"/>
          <w:szCs w:val="24"/>
          <w:highlight w:val="none"/>
          <w:lang w:eastAsia="zh-CN"/>
        </w:rPr>
        <w:t>并对</w:t>
      </w:r>
      <w:r>
        <w:rPr>
          <w:rFonts w:hint="eastAsia" w:ascii="仿宋_GB2312" w:hAnsi="仿宋_GB2312" w:eastAsia="仿宋_GB2312" w:cs="仿宋_GB2312"/>
          <w:color w:val="auto"/>
          <w:sz w:val="24"/>
          <w:szCs w:val="24"/>
          <w:highlight w:val="none"/>
        </w:rPr>
        <w:t>所供应物资出现质量问题，需要退换货</w:t>
      </w:r>
      <w:r>
        <w:rPr>
          <w:rFonts w:hint="eastAsia" w:ascii="仿宋_GB2312" w:hAnsi="仿宋_GB2312" w:eastAsia="仿宋_GB2312" w:cs="仿宋_GB2312"/>
          <w:color w:val="auto"/>
          <w:sz w:val="24"/>
          <w:szCs w:val="24"/>
          <w:highlight w:val="none"/>
          <w:lang w:val="en-US" w:eastAsia="zh-CN"/>
        </w:rPr>
        <w:t>时作更为详尽的承诺。</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双方对质量有争议，如需将货物送至具有资质的质量检测机构检测的，若检测结果合格，检测费用由</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支付；若检测结果不合格，则检测费用由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支付。</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合同期内，如抽查发现货物质量（含包装）不合格的，责成</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对该批次产品作出更换、退货，情节严重的解除合同等处理；合同期内两次抽查发现不合格的（可为相同或不同货物），责成</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扣除该批次货物计价金额并解除合同。</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8.为了加强对投标人的管理，确保配送工作的正常进行，采购人有权根据日常考核情况进行管理。</w:t>
      </w:r>
    </w:p>
    <w:p>
      <w:pPr>
        <w:keepNext w:val="0"/>
        <w:keepLines w:val="0"/>
        <w:pageBreakBefore w:val="0"/>
        <w:widowControl w:val="0"/>
        <w:kinsoku/>
        <w:wordWrap/>
        <w:overflowPunct/>
        <w:topLinePunct w:val="0"/>
        <w:autoSpaceDE/>
        <w:autoSpaceDN/>
        <w:bidi w:val="0"/>
        <w:adjustRightInd/>
        <w:snapToGrid w:val="0"/>
        <w:spacing w:line="36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七、售后服务要求</w:t>
      </w:r>
    </w:p>
    <w:p>
      <w:pPr>
        <w:keepNext w:val="0"/>
        <w:keepLines w:val="0"/>
        <w:pageBreakBefore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质保期要求：产品验收合格使用之日起，原厂质保期三年，质保期内的维修费用（包括材料）全部由投标人负责，因人为因素出现的故障不在免费保修范围内。投标人必须承诺对所供所有投影仪实行终身维修，超过质保期的，修时只收部件成本费。</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应提供服务团队人员，对接配送、安装、维修等服务的有关事宜，需</w:t>
      </w:r>
      <w:r>
        <w:rPr>
          <w:rFonts w:hint="eastAsia" w:ascii="仿宋_GB2312" w:hAnsi="仿宋_GB2312" w:eastAsia="仿宋_GB2312" w:cs="仿宋_GB2312"/>
          <w:color w:val="auto"/>
          <w:sz w:val="24"/>
          <w:szCs w:val="24"/>
          <w:highlight w:val="none"/>
        </w:rPr>
        <w:t>提供7×24小时服务支持，服务响应时间小于2小时，要求</w:t>
      </w:r>
      <w:r>
        <w:rPr>
          <w:rFonts w:hint="eastAsia" w:ascii="仿宋_GB2312" w:hAnsi="仿宋_GB2312" w:eastAsia="仿宋_GB2312" w:cs="仿宋_GB2312"/>
          <w:color w:val="auto"/>
          <w:sz w:val="24"/>
          <w:szCs w:val="24"/>
          <w:highlight w:val="none"/>
          <w:lang w:val="en-US" w:eastAsia="zh-CN"/>
        </w:rPr>
        <w:t>48</w:t>
      </w:r>
      <w:r>
        <w:rPr>
          <w:rFonts w:hint="eastAsia" w:ascii="仿宋_GB2312" w:hAnsi="仿宋_GB2312" w:eastAsia="仿宋_GB2312" w:cs="仿宋_GB2312"/>
          <w:color w:val="auto"/>
          <w:sz w:val="24"/>
          <w:szCs w:val="24"/>
          <w:highlight w:val="none"/>
        </w:rPr>
        <w:t>小时以内到达现场履行服务义务。</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除不可抗力，不得因其他任何理由延迟送货</w:t>
      </w:r>
      <w:r>
        <w:rPr>
          <w:rFonts w:hint="eastAsia" w:ascii="仿宋_GB2312" w:hAnsi="仿宋_GB2312" w:eastAsia="仿宋_GB2312" w:cs="仿宋_GB2312"/>
          <w:color w:val="auto"/>
          <w:sz w:val="24"/>
          <w:szCs w:val="24"/>
          <w:highlight w:val="none"/>
          <w:lang w:eastAsia="zh-CN"/>
        </w:rPr>
        <w:t>、维修、安装等</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不能按时、按质、按量供货，导致</w:t>
      </w:r>
      <w:r>
        <w:rPr>
          <w:rFonts w:hint="eastAsia" w:ascii="仿宋_GB2312" w:hAnsi="仿宋_GB2312" w:eastAsia="仿宋_GB2312" w:cs="仿宋_GB2312"/>
          <w:color w:val="auto"/>
          <w:sz w:val="24"/>
          <w:szCs w:val="24"/>
          <w:highlight w:val="none"/>
          <w:lang w:val="en-US" w:eastAsia="zh-CN"/>
        </w:rPr>
        <w:t>需求单位所需产品</w:t>
      </w:r>
      <w:r>
        <w:rPr>
          <w:rFonts w:hint="eastAsia" w:ascii="仿宋_GB2312" w:hAnsi="仿宋_GB2312" w:eastAsia="仿宋_GB2312" w:cs="仿宋_GB2312"/>
          <w:color w:val="auto"/>
          <w:sz w:val="24"/>
          <w:szCs w:val="24"/>
          <w:highlight w:val="none"/>
        </w:rPr>
        <w:t>无法正常供应的，</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有权自行采购同等质量的货物，由此造成的经济损失和责任均由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承担，并承担违约责任。</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如遇特殊情况需推迟送货，应提前通知</w:t>
      </w:r>
      <w:r>
        <w:rPr>
          <w:rFonts w:hint="eastAsia" w:ascii="仿宋_GB2312" w:hAnsi="仿宋_GB2312" w:eastAsia="仿宋_GB2312" w:cs="仿宋_GB2312"/>
          <w:color w:val="auto"/>
          <w:sz w:val="24"/>
          <w:szCs w:val="24"/>
          <w:highlight w:val="none"/>
          <w:lang w:val="en-US" w:eastAsia="zh-CN"/>
        </w:rPr>
        <w:t>需求单位</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供应商</w:t>
      </w:r>
      <w:r>
        <w:rPr>
          <w:rFonts w:hint="eastAsia" w:ascii="仿宋_GB2312" w:hAnsi="仿宋_GB2312" w:eastAsia="仿宋_GB2312" w:cs="仿宋_GB2312"/>
          <w:color w:val="auto"/>
          <w:sz w:val="24"/>
          <w:szCs w:val="24"/>
          <w:highlight w:val="none"/>
        </w:rPr>
        <w:t>应及时对缺货、新增产品和价格变化等情况进行更新，并将更新的目录及时通知采购人指定专职人员。</w:t>
      </w:r>
    </w:p>
    <w:p>
      <w:pPr>
        <w:keepNext w:val="0"/>
        <w:keepLines w:val="0"/>
        <w:pageBreakBefore w:val="0"/>
        <w:widowControl w:val="0"/>
        <w:kinsoku/>
        <w:wordWrap/>
        <w:overflowPunct/>
        <w:topLinePunct w:val="0"/>
        <w:autoSpaceDE/>
        <w:autoSpaceDN/>
        <w:bidi w:val="0"/>
        <w:adjustRightInd/>
        <w:spacing w:line="36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八</w:t>
      </w:r>
      <w:r>
        <w:rPr>
          <w:rFonts w:hint="eastAsia" w:ascii="仿宋_GB2312" w:hAnsi="仿宋_GB2312" w:eastAsia="仿宋_GB2312" w:cs="仿宋_GB2312"/>
          <w:b/>
          <w:color w:val="auto"/>
          <w:sz w:val="24"/>
          <w:szCs w:val="24"/>
          <w:highlight w:val="none"/>
        </w:rPr>
        <w:t>、安全责任</w:t>
      </w:r>
    </w:p>
    <w:p>
      <w:pPr>
        <w:keepNext w:val="0"/>
        <w:keepLines w:val="0"/>
        <w:pageBreakBefore w:val="0"/>
        <w:widowControl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投标人配送人员与采购人、需求单位不存在任何劳动法律关系，投标人配送人员的劳务纠纷、疾病、事故等与采购人、需求单位无关，由投标人自行解决（处理和承担）。</w:t>
      </w:r>
    </w:p>
    <w:p>
      <w:pPr>
        <w:keepNext w:val="0"/>
        <w:keepLines w:val="0"/>
        <w:pageBreakBefore w:val="0"/>
        <w:widowControl w:val="0"/>
        <w:kinsoku/>
        <w:wordWrap/>
        <w:overflowPunct/>
        <w:topLinePunct w:val="0"/>
        <w:autoSpaceDE/>
        <w:autoSpaceDN/>
        <w:bidi w:val="0"/>
        <w:adjustRightInd/>
        <w:spacing w:line="36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eastAsia="zh-CN"/>
        </w:rPr>
        <w:t>九、</w:t>
      </w:r>
      <w:r>
        <w:rPr>
          <w:rFonts w:hint="eastAsia" w:ascii="仿宋_GB2312" w:hAnsi="仿宋_GB2312" w:eastAsia="仿宋_GB2312" w:cs="仿宋_GB2312"/>
          <w:b/>
          <w:color w:val="auto"/>
          <w:sz w:val="24"/>
          <w:szCs w:val="24"/>
          <w:highlight w:val="none"/>
        </w:rPr>
        <w:t>违约责任</w:t>
      </w:r>
    </w:p>
    <w:p>
      <w:pPr>
        <w:keepNext w:val="0"/>
        <w:keepLines w:val="0"/>
        <w:pageBreakBefore w:val="0"/>
        <w:widowControl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1.投标人未能在合同规定期限内验收完毕的，采购人有权根据相关监督管理机制对投标人进行处罚。</w:t>
      </w:r>
    </w:p>
    <w:p>
      <w:pPr>
        <w:keepNext w:val="0"/>
        <w:keepLines w:val="0"/>
        <w:pageBreakBefore w:val="0"/>
        <w:widowControl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2.本项目不得转包，未经采购人同意一律不得分包。一经发现作违约处理，采购人</w:t>
      </w:r>
      <w:r>
        <w:rPr>
          <w:rFonts w:hint="eastAsia" w:ascii="仿宋_GB2312" w:hAnsi="仿宋_GB2312" w:eastAsia="仿宋_GB2312" w:cs="仿宋_GB2312"/>
          <w:color w:val="auto"/>
          <w:sz w:val="24"/>
          <w:szCs w:val="24"/>
          <w:highlight w:val="none"/>
        </w:rPr>
        <w:t>有权</w:t>
      </w:r>
      <w:r>
        <w:rPr>
          <w:rFonts w:hint="eastAsia" w:ascii="仿宋_GB2312" w:hAnsi="仿宋_GB2312" w:eastAsia="仿宋_GB2312" w:cs="仿宋_GB2312"/>
          <w:color w:val="auto"/>
          <w:sz w:val="24"/>
          <w:szCs w:val="24"/>
          <w:highlight w:val="none"/>
          <w:lang w:val="en-US" w:eastAsia="zh-CN"/>
        </w:rPr>
        <w:t>解除合同。投标人应承担由此引起的一切经济损失。</w:t>
      </w:r>
    </w:p>
    <w:p>
      <w:pPr>
        <w:keepNext w:val="0"/>
        <w:keepLines w:val="0"/>
        <w:pageBreakBefore w:val="0"/>
        <w:widowControl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3.无特殊情况，投标人擅自终止合同的，采购人</w:t>
      </w:r>
      <w:r>
        <w:rPr>
          <w:rFonts w:hint="eastAsia" w:ascii="仿宋_GB2312" w:hAnsi="仿宋_GB2312" w:eastAsia="仿宋_GB2312" w:cs="仿宋_GB2312"/>
          <w:color w:val="auto"/>
          <w:sz w:val="24"/>
          <w:szCs w:val="24"/>
          <w:highlight w:val="none"/>
        </w:rPr>
        <w:t>有权</w:t>
      </w:r>
      <w:r>
        <w:rPr>
          <w:rFonts w:hint="eastAsia" w:ascii="仿宋_GB2312" w:hAnsi="仿宋_GB2312" w:eastAsia="仿宋_GB2312" w:cs="仿宋_GB2312"/>
          <w:color w:val="auto"/>
          <w:sz w:val="24"/>
          <w:szCs w:val="24"/>
          <w:highlight w:val="none"/>
          <w:lang w:val="en-US" w:eastAsia="zh-CN"/>
        </w:rPr>
        <w:t>报财政部门处理，</w:t>
      </w:r>
      <w:r>
        <w:rPr>
          <w:rFonts w:hint="eastAsia" w:ascii="仿宋_GB2312" w:hAnsi="仿宋_GB2312" w:eastAsia="仿宋_GB2312" w:cs="仿宋_GB2312"/>
          <w:color w:val="auto"/>
          <w:sz w:val="24"/>
          <w:szCs w:val="24"/>
          <w:highlight w:val="none"/>
          <w:lang w:eastAsia="zh-CN"/>
        </w:rPr>
        <w:t>并取消供应商下一轮参与资格</w:t>
      </w:r>
      <w:r>
        <w:rPr>
          <w:rFonts w:hint="eastAsia" w:ascii="仿宋_GB2312" w:hAnsi="仿宋_GB2312" w:eastAsia="仿宋_GB2312" w:cs="仿宋_GB2312"/>
          <w:color w:val="auto"/>
          <w:sz w:val="24"/>
          <w:szCs w:val="24"/>
          <w:highlight w:val="none"/>
          <w:lang w:val="en-US" w:eastAsia="zh-CN"/>
        </w:rPr>
        <w:t>，且承担由此引起的一切经济损失。</w:t>
      </w:r>
    </w:p>
    <w:p>
      <w:pPr>
        <w:keepNext w:val="0"/>
        <w:keepLines w:val="0"/>
        <w:pageBreakBefore w:val="0"/>
        <w:widowControl w:val="0"/>
        <w:kinsoku/>
        <w:wordWrap/>
        <w:overflowPunct/>
        <w:topLinePunct w:val="0"/>
        <w:autoSpaceDE/>
        <w:autoSpaceDN/>
        <w:bidi w:val="0"/>
        <w:adjustRightInd/>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采购人有权对</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供货产品进行抽检，</w:t>
      </w:r>
      <w:r>
        <w:rPr>
          <w:rFonts w:hint="eastAsia" w:ascii="仿宋_GB2312" w:hAnsi="仿宋_GB2312" w:eastAsia="仿宋_GB2312" w:cs="仿宋_GB2312"/>
          <w:color w:val="auto"/>
          <w:sz w:val="24"/>
          <w:szCs w:val="24"/>
          <w:highlight w:val="none"/>
          <w:lang w:val="en-US" w:eastAsia="zh-CN"/>
        </w:rPr>
        <w:t>如经查实发现价格品类不一致、存在质量问题等情况，采购人有权拒绝支付该批次货物费用。</w:t>
      </w:r>
    </w:p>
    <w:p>
      <w:pPr>
        <w:keepNext w:val="0"/>
        <w:keepLines w:val="0"/>
        <w:pageBreakBefore w:val="0"/>
        <w:widowControl w:val="0"/>
        <w:numPr>
          <w:ilvl w:val="0"/>
          <w:numId w:val="0"/>
        </w:numPr>
        <w:kinsoku/>
        <w:wordWrap/>
        <w:overflowPunct/>
        <w:topLinePunct w:val="0"/>
        <w:autoSpaceDE/>
        <w:autoSpaceDN/>
        <w:bidi w:val="0"/>
        <w:adjustRightInd/>
        <w:spacing w:line="360" w:lineRule="exact"/>
        <w:ind w:firstLine="482" w:firstLineChars="200"/>
        <w:textAlignment w:val="auto"/>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十、报价要求</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b/>
          <w:bCs w:val="0"/>
          <w:color w:val="auto"/>
          <w:sz w:val="24"/>
          <w:szCs w:val="24"/>
          <w:highlight w:val="none"/>
        </w:rPr>
        <w:t>★</w:t>
      </w:r>
      <w:r>
        <w:rPr>
          <w:rFonts w:hint="eastAsia" w:ascii="仿宋_GB2312" w:hAnsi="仿宋_GB2312" w:eastAsia="仿宋_GB2312" w:cs="仿宋_GB2312"/>
          <w:b/>
          <w:bCs w:val="0"/>
          <w:color w:val="auto"/>
          <w:sz w:val="24"/>
          <w:szCs w:val="24"/>
          <w:highlight w:val="none"/>
          <w:lang w:val="en-US" w:eastAsia="zh-CN"/>
        </w:rPr>
        <w:t>投标人</w:t>
      </w:r>
      <w:r>
        <w:rPr>
          <w:rFonts w:hint="eastAsia" w:ascii="仿宋_GB2312" w:hAnsi="仿宋_GB2312" w:eastAsia="仿宋_GB2312" w:cs="仿宋_GB2312"/>
          <w:b/>
          <w:bCs w:val="0"/>
          <w:color w:val="auto"/>
          <w:sz w:val="24"/>
          <w:szCs w:val="24"/>
          <w:highlight w:val="none"/>
        </w:rPr>
        <w:t>应在</w:t>
      </w:r>
      <w:r>
        <w:rPr>
          <w:rFonts w:hint="eastAsia" w:ascii="仿宋_GB2312" w:hAnsi="仿宋_GB2312" w:eastAsia="仿宋_GB2312" w:cs="仿宋_GB2312"/>
          <w:b/>
          <w:bCs w:val="0"/>
          <w:color w:val="auto"/>
          <w:sz w:val="24"/>
          <w:szCs w:val="24"/>
          <w:highlight w:val="none"/>
          <w:lang w:val="en-US" w:eastAsia="zh-CN"/>
        </w:rPr>
        <w:t>投影仪</w:t>
      </w:r>
      <w:r>
        <w:rPr>
          <w:rFonts w:hint="eastAsia" w:ascii="仿宋_GB2312" w:hAnsi="仿宋_GB2312" w:eastAsia="仿宋_GB2312" w:cs="仿宋_GB2312"/>
          <w:b/>
          <w:bCs w:val="0"/>
          <w:color w:val="auto"/>
          <w:sz w:val="24"/>
          <w:szCs w:val="24"/>
          <w:highlight w:val="none"/>
        </w:rPr>
        <w:t>最高限价的基础上作出响应报价，给予统一</w:t>
      </w:r>
      <w:r>
        <w:rPr>
          <w:rFonts w:hint="eastAsia" w:ascii="仿宋_GB2312" w:hAnsi="仿宋_GB2312" w:eastAsia="仿宋_GB2312" w:cs="仿宋_GB2312"/>
          <w:b/>
          <w:bCs w:val="0"/>
          <w:color w:val="auto"/>
          <w:sz w:val="24"/>
          <w:szCs w:val="24"/>
          <w:highlight w:val="none"/>
          <w:lang w:val="en-US" w:eastAsia="zh-CN"/>
        </w:rPr>
        <w:t>折扣率</w:t>
      </w:r>
      <w:r>
        <w:rPr>
          <w:rFonts w:hint="eastAsia" w:ascii="仿宋_GB2312" w:hAnsi="仿宋_GB2312" w:eastAsia="仿宋_GB2312" w:cs="仿宋_GB2312"/>
          <w:b/>
          <w:bCs w:val="0"/>
          <w:color w:val="auto"/>
          <w:sz w:val="24"/>
          <w:szCs w:val="24"/>
          <w:highlight w:val="none"/>
        </w:rPr>
        <w:t>。</w:t>
      </w:r>
      <w:r>
        <w:rPr>
          <w:rFonts w:hint="eastAsia" w:ascii="仿宋_GB2312" w:hAnsi="仿宋_GB2312" w:eastAsia="仿宋_GB2312" w:cs="仿宋_GB2312"/>
          <w:b w:val="0"/>
          <w:bCs/>
          <w:color w:val="auto"/>
          <w:sz w:val="24"/>
          <w:szCs w:val="24"/>
          <w:highlight w:val="none"/>
        </w:rPr>
        <w:t>统一</w:t>
      </w:r>
      <w:r>
        <w:rPr>
          <w:rFonts w:hint="eastAsia" w:ascii="仿宋_GB2312" w:hAnsi="仿宋_GB2312" w:eastAsia="仿宋_GB2312" w:cs="仿宋_GB2312"/>
          <w:b w:val="0"/>
          <w:bCs/>
          <w:color w:val="auto"/>
          <w:sz w:val="24"/>
          <w:szCs w:val="24"/>
          <w:highlight w:val="none"/>
          <w:lang w:val="en-US" w:eastAsia="zh-CN"/>
        </w:rPr>
        <w:t>折扣率</w:t>
      </w:r>
      <w:r>
        <w:rPr>
          <w:rFonts w:hint="eastAsia" w:ascii="仿宋_GB2312" w:hAnsi="仿宋_GB2312" w:eastAsia="仿宋_GB2312" w:cs="仿宋_GB2312"/>
          <w:b w:val="0"/>
          <w:bCs/>
          <w:color w:val="auto"/>
          <w:sz w:val="24"/>
          <w:szCs w:val="24"/>
          <w:highlight w:val="none"/>
        </w:rPr>
        <w:t>是唯一的，以百分数表示，所填数值（百分符号前面的数）须为大于</w:t>
      </w:r>
      <w:r>
        <w:rPr>
          <w:rFonts w:hint="eastAsia" w:ascii="仿宋_GB2312" w:hAnsi="仿宋_GB2312" w:eastAsia="仿宋_GB2312" w:cs="仿宋_GB2312"/>
          <w:b w:val="0"/>
          <w:bCs/>
          <w:color w:val="auto"/>
          <w:sz w:val="24"/>
          <w:szCs w:val="24"/>
          <w:highlight w:val="none"/>
          <w:lang w:val="en-US" w:eastAsia="zh-CN"/>
        </w:rPr>
        <w:t>等1</w:t>
      </w:r>
      <w:r>
        <w:rPr>
          <w:rFonts w:hint="eastAsia" w:ascii="仿宋_GB2312" w:hAnsi="仿宋_GB2312" w:eastAsia="仿宋_GB2312" w:cs="仿宋_GB2312"/>
          <w:b w:val="0"/>
          <w:bCs/>
          <w:color w:val="auto"/>
          <w:sz w:val="24"/>
          <w:szCs w:val="24"/>
          <w:highlight w:val="none"/>
        </w:rPr>
        <w:t>小于</w:t>
      </w:r>
      <w:r>
        <w:rPr>
          <w:rFonts w:hint="eastAsia" w:ascii="仿宋_GB2312" w:hAnsi="仿宋_GB2312" w:eastAsia="仿宋_GB2312" w:cs="仿宋_GB2312"/>
          <w:b w:val="0"/>
          <w:bCs/>
          <w:color w:val="auto"/>
          <w:sz w:val="24"/>
          <w:szCs w:val="24"/>
          <w:highlight w:val="none"/>
          <w:lang w:val="en-US" w:eastAsia="zh-CN"/>
        </w:rPr>
        <w:t>等于99</w:t>
      </w:r>
      <w:r>
        <w:rPr>
          <w:rFonts w:hint="eastAsia" w:ascii="仿宋_GB2312" w:hAnsi="仿宋_GB2312" w:eastAsia="仿宋_GB2312" w:cs="仿宋_GB2312"/>
          <w:b w:val="0"/>
          <w:bCs/>
          <w:color w:val="auto"/>
          <w:sz w:val="24"/>
          <w:szCs w:val="24"/>
          <w:highlight w:val="none"/>
        </w:rPr>
        <w:t>的整数。统一</w:t>
      </w:r>
      <w:r>
        <w:rPr>
          <w:rFonts w:hint="eastAsia" w:ascii="仿宋_GB2312" w:hAnsi="仿宋_GB2312" w:eastAsia="仿宋_GB2312" w:cs="仿宋_GB2312"/>
          <w:b w:val="0"/>
          <w:bCs/>
          <w:color w:val="auto"/>
          <w:sz w:val="24"/>
          <w:szCs w:val="24"/>
          <w:highlight w:val="none"/>
          <w:lang w:val="en-US" w:eastAsia="zh-CN"/>
        </w:rPr>
        <w:t>折扣率</w:t>
      </w:r>
      <w:r>
        <w:rPr>
          <w:rFonts w:hint="eastAsia" w:ascii="仿宋_GB2312" w:hAnsi="仿宋_GB2312" w:eastAsia="仿宋_GB2312" w:cs="仿宋_GB2312"/>
          <w:b w:val="0"/>
          <w:bCs/>
          <w:color w:val="auto"/>
          <w:sz w:val="24"/>
          <w:szCs w:val="24"/>
          <w:highlight w:val="none"/>
        </w:rPr>
        <w:t>的数值越</w:t>
      </w:r>
      <w:r>
        <w:rPr>
          <w:rFonts w:hint="eastAsia" w:ascii="仿宋_GB2312" w:hAnsi="仿宋_GB2312" w:eastAsia="仿宋_GB2312" w:cs="仿宋_GB2312"/>
          <w:b w:val="0"/>
          <w:bCs/>
          <w:color w:val="auto"/>
          <w:sz w:val="24"/>
          <w:szCs w:val="24"/>
          <w:highlight w:val="none"/>
          <w:lang w:val="en-US" w:eastAsia="zh-CN"/>
        </w:rPr>
        <w:t>大</w:t>
      </w:r>
      <w:r>
        <w:rPr>
          <w:rFonts w:hint="eastAsia" w:ascii="仿宋_GB2312" w:hAnsi="仿宋_GB2312" w:eastAsia="仿宋_GB2312" w:cs="仿宋_GB2312"/>
          <w:b w:val="0"/>
          <w:bCs/>
          <w:color w:val="auto"/>
          <w:sz w:val="24"/>
          <w:szCs w:val="24"/>
          <w:highlight w:val="none"/>
        </w:rPr>
        <w:t>，优惠力度越大。</w:t>
      </w:r>
      <w:r>
        <w:rPr>
          <w:rFonts w:hint="eastAsia" w:ascii="仿宋_GB2312" w:hAnsi="仿宋_GB2312" w:eastAsia="仿宋_GB2312" w:cs="仿宋_GB2312"/>
          <w:b/>
          <w:bCs/>
          <w:color w:val="auto"/>
          <w:sz w:val="24"/>
          <w:szCs w:val="24"/>
          <w:highlight w:val="none"/>
        </w:rPr>
        <w:t>上述报价为包含全部费用的最高限价，</w:t>
      </w:r>
      <w:r>
        <w:rPr>
          <w:rFonts w:hint="eastAsia" w:ascii="仿宋_GB2312" w:hAnsi="仿宋_GB2312" w:eastAsia="仿宋_GB2312" w:cs="仿宋_GB2312"/>
          <w:b/>
          <w:bCs/>
          <w:color w:val="auto"/>
          <w:sz w:val="24"/>
          <w:szCs w:val="24"/>
          <w:highlight w:val="none"/>
          <w:lang w:val="en-US" w:eastAsia="zh-CN"/>
        </w:rPr>
        <w:t>需求单位</w:t>
      </w:r>
      <w:r>
        <w:rPr>
          <w:rFonts w:hint="eastAsia" w:ascii="仿宋_GB2312" w:hAnsi="仿宋_GB2312" w:eastAsia="仿宋_GB2312" w:cs="仿宋_GB2312"/>
          <w:b/>
          <w:bCs/>
          <w:color w:val="auto"/>
          <w:sz w:val="24"/>
          <w:szCs w:val="24"/>
          <w:highlight w:val="none"/>
        </w:rPr>
        <w:t>可与</w:t>
      </w:r>
      <w:r>
        <w:rPr>
          <w:rFonts w:hint="eastAsia" w:ascii="仿宋_GB2312" w:hAnsi="仿宋_GB2312" w:eastAsia="仿宋_GB2312" w:cs="仿宋_GB2312"/>
          <w:b/>
          <w:bCs/>
          <w:color w:val="auto"/>
          <w:sz w:val="24"/>
          <w:szCs w:val="24"/>
          <w:highlight w:val="none"/>
          <w:lang w:val="en-US" w:eastAsia="zh-CN"/>
        </w:rPr>
        <w:t>投标人</w:t>
      </w:r>
      <w:r>
        <w:rPr>
          <w:rFonts w:hint="eastAsia" w:ascii="仿宋_GB2312" w:hAnsi="仿宋_GB2312" w:eastAsia="仿宋_GB2312" w:cs="仿宋_GB2312"/>
          <w:b/>
          <w:bCs/>
          <w:color w:val="auto"/>
          <w:sz w:val="24"/>
          <w:szCs w:val="24"/>
          <w:highlight w:val="none"/>
        </w:rPr>
        <w:t>在最高限价的基础上进行议价，以获得更优惠的价格。</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需求单位根据投标报价确定各商品结算单价，供货期内投标报价不变，投标人应自行承担报价风险。投标报价中须含供货物物资的供货、包装、运输、装卸、验收、其所有税费等全部费用以及供货时间内所供货物的价格浮动因素。</w:t>
      </w:r>
    </w:p>
    <w:p>
      <w:pPr>
        <w:keepNext w:val="0"/>
        <w:keepLines w:val="0"/>
        <w:pageBreakBefore w:val="0"/>
        <w:widowControl w:val="0"/>
        <w:kinsoku/>
        <w:wordWrap/>
        <w:overflowPunct/>
        <w:topLinePunct w:val="0"/>
        <w:autoSpaceDE/>
        <w:autoSpaceDN/>
        <w:bidi w:val="0"/>
        <w:adjustRightInd/>
        <w:snapToGrid/>
        <w:spacing w:line="360" w:lineRule="exact"/>
        <w:ind w:left="0" w:leftChars="0" w:firstLine="482" w:firstLineChars="200"/>
        <w:textAlignment w:val="auto"/>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十一、付款方式</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投标人通过具有结算和支付的电子商务平台进行计价结算，投标人须承诺提供不低于60天的结算账期，结算账期自采购人或辖内分支机构收到投标人开具的增值税专用发票之日起计算。</w:t>
      </w:r>
    </w:p>
    <w:p>
      <w:pPr>
        <w:keepNext w:val="0"/>
        <w:keepLines w:val="0"/>
        <w:pageBreakBefore w:val="0"/>
        <w:widowControl w:val="0"/>
        <w:numPr>
          <w:ilvl w:val="0"/>
          <w:numId w:val="0"/>
        </w:numPr>
        <w:kinsoku/>
        <w:wordWrap/>
        <w:overflowPunct/>
        <w:topLinePunct w:val="0"/>
        <w:autoSpaceDE/>
        <w:autoSpaceDN/>
        <w:bidi w:val="0"/>
        <w:adjustRightInd/>
        <w:spacing w:line="360" w:lineRule="exact"/>
        <w:ind w:firstLine="482" w:firstLineChars="200"/>
        <w:textAlignment w:val="auto"/>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十二、其他要求</w:t>
      </w:r>
    </w:p>
    <w:p>
      <w:pPr>
        <w:keepNext w:val="0"/>
        <w:keepLines w:val="0"/>
        <w:pageBreakBefore w:val="0"/>
        <w:widowControl/>
        <w:kinsoku/>
        <w:wordWrap/>
        <w:overflowPunct/>
        <w:topLinePunct w:val="0"/>
        <w:autoSpaceDE/>
        <w:autoSpaceDN/>
        <w:bidi w:val="0"/>
        <w:adjustRightInd w:val="0"/>
        <w:snapToGrid w:val="0"/>
        <w:spacing w:line="360" w:lineRule="exact"/>
        <w:ind w:firstLine="480"/>
        <w:jc w:val="both"/>
        <w:textAlignment w:val="auto"/>
        <w:rPr>
          <w:rFonts w:hint="eastAsia" w:ascii="仿宋_GB2312" w:hAnsi="仿宋_GB2312" w:eastAsia="仿宋_GB2312" w:cs="仿宋_GB2312"/>
          <w:snapToGrid w:val="0"/>
          <w:color w:val="auto"/>
          <w:kern w:val="28"/>
          <w:sz w:val="24"/>
          <w:szCs w:val="24"/>
          <w:highlight w:val="none"/>
          <w:lang w:val="en-US" w:eastAsia="zh-CN" w:bidi="ar-SA"/>
        </w:rPr>
      </w:pPr>
      <w:r>
        <w:rPr>
          <w:rFonts w:hint="eastAsia" w:ascii="仿宋_GB2312" w:hAnsi="仿宋_GB2312" w:eastAsia="仿宋_GB2312" w:cs="仿宋_GB2312"/>
          <w:snapToGrid w:val="0"/>
          <w:color w:val="auto"/>
          <w:kern w:val="28"/>
          <w:sz w:val="24"/>
          <w:szCs w:val="24"/>
          <w:highlight w:val="none"/>
          <w:lang w:val="en-US" w:eastAsia="zh-CN" w:bidi="ar-SA"/>
        </w:rPr>
        <w:t>1.投标人应具备良好的质量把控能力和供货能力，以及完善安全的运作管理系统，须承诺所供全部产品的质量符合或优于国家和行业的技术标准和规范、安全。否则，投标人将承担一切经济损失的赔偿及法律责任。</w:t>
      </w:r>
    </w:p>
    <w:p>
      <w:pPr>
        <w:keepNext w:val="0"/>
        <w:keepLines w:val="0"/>
        <w:pageBreakBefore w:val="0"/>
        <w:widowControl/>
        <w:kinsoku/>
        <w:wordWrap/>
        <w:overflowPunct/>
        <w:topLinePunct w:val="0"/>
        <w:autoSpaceDE/>
        <w:autoSpaceDN/>
        <w:bidi w:val="0"/>
        <w:adjustRightInd w:val="0"/>
        <w:snapToGrid w:val="0"/>
        <w:spacing w:line="360" w:lineRule="exact"/>
        <w:ind w:firstLine="48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snapToGrid w:val="0"/>
          <w:color w:val="auto"/>
          <w:kern w:val="28"/>
          <w:sz w:val="24"/>
          <w:szCs w:val="24"/>
          <w:highlight w:val="none"/>
          <w:lang w:val="en-US" w:eastAsia="zh-CN" w:bidi="ar-SA"/>
        </w:rPr>
        <w:t>★2.</w:t>
      </w:r>
      <w:r>
        <w:rPr>
          <w:rFonts w:hint="eastAsia" w:ascii="仿宋_GB2312" w:hAnsi="仿宋_GB2312" w:eastAsia="仿宋_GB2312" w:cs="仿宋_GB2312"/>
          <w:color w:val="auto"/>
          <w:sz w:val="24"/>
          <w:szCs w:val="24"/>
          <w:highlight w:val="none"/>
          <w:lang w:val="en-US" w:eastAsia="zh-CN"/>
        </w:rPr>
        <w:t>入围投标人上架商品时，不得提供或变相提供各类政府采购“专供”、“特供”、“定制”商品。</w:t>
      </w:r>
    </w:p>
    <w:p>
      <w:pPr>
        <w:spacing w:line="440" w:lineRule="exact"/>
        <w:ind w:firstLine="480" w:firstLineChars="200"/>
        <w:rPr>
          <w:rFonts w:ascii="仿宋_GB2312"/>
          <w:color w:val="auto"/>
          <w:sz w:val="24"/>
          <w:highlight w:val="none"/>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pPr>
        <w:pStyle w:val="310"/>
        <w:ind w:left="0" w:leftChars="0" w:firstLine="0" w:firstLineChars="0"/>
        <w:rPr>
          <w:rFonts w:ascii="仿宋_GB2312" w:hAnsi="仿宋" w:eastAsia="仿宋_GB2312" w:cs="仿宋"/>
          <w:color w:val="auto"/>
          <w:szCs w:val="24"/>
          <w:highlight w:val="none"/>
        </w:rPr>
      </w:pPr>
    </w:p>
    <w:p>
      <w:pPr>
        <w:pStyle w:val="310"/>
        <w:jc w:val="center"/>
        <w:rPr>
          <w:rFonts w:ascii="仿宋_GB2312" w:hAnsi="仿宋" w:eastAsia="仿宋_GB2312" w:cs="仿宋"/>
          <w:color w:val="auto"/>
          <w:szCs w:val="24"/>
          <w:highlight w:val="none"/>
        </w:rPr>
      </w:pP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pStyle w:val="310"/>
        <w:rPr>
          <w:rFonts w:ascii="仿宋_GB2312" w:hAnsi="仿宋" w:eastAsia="仿宋_GB2312" w:cs="仿宋"/>
          <w:color w:val="auto"/>
          <w:szCs w:val="24"/>
          <w:highlight w:val="none"/>
        </w:rPr>
      </w:pPr>
    </w:p>
    <w:p>
      <w:pPr>
        <w:pStyle w:val="310"/>
        <w:rPr>
          <w:rFonts w:ascii="仿宋_GB2312" w:hAnsi="仿宋" w:eastAsia="仿宋_GB2312" w:cs="仿宋"/>
          <w:color w:val="auto"/>
          <w:szCs w:val="24"/>
          <w:highlight w:val="none"/>
        </w:rPr>
      </w:pP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614" w:right="1474" w:bottom="1146"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560" w:lineRule="exact"/>
        <w:ind w:firstLine="482" w:firstLineChars="200"/>
        <w:outlineLvl w:val="0"/>
        <w:rPr>
          <w:rFonts w:ascii="仿宋_GB2312" w:hAnsi="仿宋" w:eastAsia="仿宋_GB2312" w:cs="仿宋"/>
          <w:b/>
          <w:color w:val="auto"/>
          <w:sz w:val="24"/>
          <w:highlight w:val="none"/>
        </w:rPr>
      </w:pPr>
      <w:bookmarkStart w:id="11" w:name="_Toc2232"/>
      <w:bookmarkStart w:id="12" w:name="_Toc3029"/>
      <w:bookmarkStart w:id="13" w:name="_Toc24059"/>
      <w:r>
        <w:rPr>
          <w:rFonts w:hint="eastAsia" w:ascii="仿宋_GB2312" w:hAnsi="仿宋" w:eastAsia="仿宋_GB2312" w:cs="仿宋"/>
          <w:b/>
          <w:color w:val="auto"/>
          <w:sz w:val="24"/>
          <w:highlight w:val="none"/>
        </w:rPr>
        <w:t>1.1 合同组成部分</w:t>
      </w:r>
      <w:bookmarkEnd w:id="11"/>
      <w:bookmarkEnd w:id="12"/>
      <w:bookmarkEnd w:id="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560" w:lineRule="exact"/>
        <w:ind w:firstLine="482" w:firstLineChars="200"/>
        <w:outlineLvl w:val="0"/>
        <w:rPr>
          <w:rFonts w:ascii="仿宋_GB2312" w:hAnsi="仿宋" w:eastAsia="仿宋_GB2312" w:cs="仿宋"/>
          <w:b/>
          <w:color w:val="auto"/>
          <w:sz w:val="24"/>
          <w:highlight w:val="none"/>
        </w:rPr>
      </w:pPr>
      <w:bookmarkStart w:id="14" w:name="_Toc21295"/>
      <w:bookmarkStart w:id="15" w:name="_Toc24300"/>
      <w:bookmarkStart w:id="16" w:name="_Toc27126"/>
      <w:r>
        <w:rPr>
          <w:rFonts w:hint="eastAsia" w:ascii="仿宋_GB2312" w:hAnsi="仿宋" w:eastAsia="仿宋_GB2312" w:cs="仿宋"/>
          <w:b/>
          <w:color w:val="auto"/>
          <w:sz w:val="24"/>
          <w:highlight w:val="none"/>
        </w:rPr>
        <w:t>1.2 货物</w:t>
      </w:r>
      <w:bookmarkEnd w:id="14"/>
      <w:bookmarkEnd w:id="15"/>
      <w:bookmarkEnd w:id="16"/>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pPr>
        <w:spacing w:line="560" w:lineRule="exact"/>
        <w:ind w:firstLine="482" w:firstLineChars="200"/>
        <w:outlineLvl w:val="0"/>
        <w:rPr>
          <w:rFonts w:ascii="仿宋_GB2312" w:hAnsi="仿宋" w:eastAsia="仿宋_GB2312" w:cs="仿宋"/>
          <w:b/>
          <w:color w:val="auto"/>
          <w:sz w:val="24"/>
          <w:highlight w:val="none"/>
        </w:rPr>
      </w:pPr>
      <w:bookmarkStart w:id="17" w:name="_Toc21631"/>
      <w:bookmarkStart w:id="18" w:name="_Toc21551"/>
      <w:bookmarkStart w:id="19" w:name="_Toc23292"/>
      <w:r>
        <w:rPr>
          <w:rFonts w:hint="eastAsia" w:ascii="仿宋_GB2312" w:hAnsi="仿宋" w:eastAsia="仿宋_GB2312" w:cs="仿宋"/>
          <w:b/>
          <w:color w:val="auto"/>
          <w:sz w:val="24"/>
          <w:highlight w:val="none"/>
        </w:rPr>
        <w:t>1.3 价款</w:t>
      </w:r>
      <w:bookmarkEnd w:id="17"/>
      <w:bookmarkEnd w:id="18"/>
      <w:bookmarkEnd w:id="1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8"/>
              <w:spacing w:line="560" w:lineRule="exact"/>
              <w:ind w:firstLine="200"/>
              <w:jc w:val="center"/>
              <w:rPr>
                <w:rFonts w:ascii="仿宋_GB2312" w:hAnsi="仿宋" w:eastAsia="仿宋_GB2312" w:cs="仿宋"/>
                <w:color w:val="auto"/>
                <w:sz w:val="24"/>
                <w:szCs w:val="24"/>
                <w:highlight w:val="none"/>
              </w:rPr>
            </w:pPr>
          </w:p>
        </w:tc>
      </w:tr>
    </w:tbl>
    <w:p>
      <w:pPr>
        <w:pStyle w:val="311"/>
        <w:spacing w:before="0" w:beforeAutospacing="0" w:after="0" w:afterAutospacing="0" w:line="360" w:lineRule="auto"/>
        <w:ind w:firstLine="480"/>
        <w:rPr>
          <w:rFonts w:ascii="仿宋_GB2312" w:hAnsi="仿宋" w:eastAsia="仿宋_GB2312" w:cs="仿宋"/>
          <w:b/>
          <w:color w:val="auto"/>
          <w:highlight w:val="none"/>
        </w:rPr>
      </w:pPr>
      <w:bookmarkStart w:id="20" w:name="_Toc22618"/>
      <w:bookmarkStart w:id="21" w:name="_Toc1814"/>
      <w:bookmarkStart w:id="22" w:name="_Toc10340"/>
      <w:r>
        <w:rPr>
          <w:rFonts w:hint="eastAsia" w:ascii="仿宋_GB2312" w:hAnsi="仿宋" w:eastAsia="仿宋_GB2312" w:cs="仿宋"/>
          <w:b/>
          <w:color w:val="auto"/>
          <w:highlight w:val="none"/>
        </w:rPr>
        <w:t>1.4履约保证金</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0"/>
      <w:bookmarkEnd w:id="21"/>
      <w:bookmarkEnd w:id="22"/>
      <w:r>
        <w:rPr>
          <w:rFonts w:hint="eastAsia" w:ascii="仿宋_GB2312" w:hAnsi="仿宋" w:eastAsia="仿宋_GB2312" w:cs="仿宋"/>
          <w:b/>
          <w:color w:val="auto"/>
          <w:sz w:val="24"/>
          <w:highlight w:val="none"/>
        </w:rPr>
        <w:t>预付款</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3" w:name="_Toc19304"/>
      <w:bookmarkStart w:id="24" w:name="_Toc32071"/>
      <w:bookmarkStart w:id="25" w:name="_Toc2846"/>
      <w:r>
        <w:rPr>
          <w:rFonts w:hint="eastAsia" w:ascii="仿宋_GB2312" w:hAnsi="仿宋" w:eastAsia="仿宋_GB2312" w:cs="仿宋"/>
          <w:b/>
          <w:color w:val="auto"/>
          <w:sz w:val="24"/>
          <w:highlight w:val="none"/>
        </w:rPr>
        <w:t>1.7货物交付期限、地点和方式</w:t>
      </w:r>
      <w:bookmarkEnd w:id="23"/>
      <w:bookmarkEnd w:id="24"/>
      <w:bookmarkEnd w:id="25"/>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6" w:name="_Toc19554"/>
      <w:bookmarkStart w:id="27" w:name="_Toc21423"/>
      <w:bookmarkStart w:id="28" w:name="_Toc27250"/>
      <w:r>
        <w:rPr>
          <w:rFonts w:hint="eastAsia" w:ascii="仿宋_GB2312" w:hAnsi="仿宋" w:eastAsia="仿宋_GB2312" w:cs="仿宋"/>
          <w:b/>
          <w:color w:val="auto"/>
          <w:sz w:val="24"/>
          <w:highlight w:val="none"/>
        </w:rPr>
        <w:t>1.8违约责任</w:t>
      </w:r>
      <w:bookmarkEnd w:id="26"/>
      <w:bookmarkEnd w:id="27"/>
      <w:bookmarkEnd w:id="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pPr>
        <w:spacing w:line="560" w:lineRule="exact"/>
        <w:ind w:firstLine="482" w:firstLineChars="200"/>
        <w:outlineLvl w:val="0"/>
        <w:rPr>
          <w:rFonts w:ascii="仿宋_GB2312" w:hAnsi="仿宋" w:eastAsia="仿宋_GB2312" w:cs="仿宋"/>
          <w:b/>
          <w:color w:val="auto"/>
          <w:sz w:val="24"/>
          <w:highlight w:val="none"/>
        </w:rPr>
      </w:pPr>
      <w:bookmarkStart w:id="29" w:name="_Toc16021"/>
      <w:bookmarkStart w:id="30" w:name="_Toc15583"/>
      <w:bookmarkStart w:id="31" w:name="_Toc28375"/>
      <w:r>
        <w:rPr>
          <w:rFonts w:hint="eastAsia" w:ascii="仿宋_GB2312" w:hAnsi="仿宋" w:eastAsia="仿宋_GB2312" w:cs="仿宋"/>
          <w:b/>
          <w:color w:val="auto"/>
          <w:sz w:val="24"/>
          <w:highlight w:val="none"/>
        </w:rPr>
        <w:t>1.9合同争议的解决</w:t>
      </w:r>
      <w:bookmarkEnd w:id="29"/>
      <w:bookmarkEnd w:id="30"/>
      <w:bookmarkEnd w:id="31"/>
    </w:p>
    <w:p>
      <w:pPr>
        <w:spacing w:line="560" w:lineRule="exact"/>
        <w:ind w:left="-61" w:leftChars="-29" w:right="-420" w:rightChars="-200" w:firstLine="240" w:firstLineChars="100"/>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本合同履行过程中发生的任何争议，双方当事人均可通过和解或者调解解决；不愿和解、调解或者和解、调解不成的，将争议提交绍兴仲裁委员会仲裁。</w:t>
      </w:r>
    </w:p>
    <w:p>
      <w:pPr>
        <w:spacing w:line="560" w:lineRule="exact"/>
        <w:ind w:firstLine="482" w:firstLineChars="200"/>
        <w:outlineLvl w:val="0"/>
        <w:rPr>
          <w:rFonts w:ascii="仿宋_GB2312" w:hAnsi="仿宋" w:eastAsia="仿宋_GB2312" w:cs="仿宋"/>
          <w:b/>
          <w:color w:val="auto"/>
          <w:sz w:val="24"/>
          <w:highlight w:val="none"/>
        </w:rPr>
      </w:pPr>
      <w:bookmarkStart w:id="32" w:name="_Toc11173"/>
      <w:bookmarkStart w:id="33" w:name="_Toc7245"/>
      <w:bookmarkStart w:id="34" w:name="_Toc15322"/>
      <w:r>
        <w:rPr>
          <w:rFonts w:hint="eastAsia" w:ascii="仿宋_GB2312" w:hAnsi="仿宋" w:eastAsia="仿宋_GB2312" w:cs="仿宋"/>
          <w:b/>
          <w:color w:val="auto"/>
          <w:sz w:val="24"/>
          <w:highlight w:val="none"/>
        </w:rPr>
        <w:t>2.0 合同生效</w:t>
      </w:r>
      <w:bookmarkEnd w:id="32"/>
      <w:bookmarkEnd w:id="33"/>
      <w:bookmarkEnd w:id="34"/>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0"/>
        <w:spacing w:line="560" w:lineRule="exact"/>
        <w:ind w:firstLine="482"/>
        <w:jc w:val="center"/>
        <w:rPr>
          <w:rFonts w:ascii="仿宋_GB2312" w:hAnsi="仿宋" w:eastAsia="仿宋_GB2312" w:cs="仿宋"/>
          <w:b/>
          <w:color w:val="auto"/>
          <w:szCs w:val="24"/>
          <w:highlight w:val="none"/>
        </w:rPr>
      </w:pP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35" w:name="_Ref467379225"/>
      <w:bookmarkStart w:id="36" w:name="_Ref467379094"/>
      <w:bookmarkStart w:id="37" w:name="_Ref467379205"/>
      <w:bookmarkStart w:id="38" w:name="_Ref467379101"/>
      <w:bookmarkStart w:id="39" w:name="_Ref467379195"/>
      <w:bookmarkStart w:id="40" w:name="_Ref467378499"/>
      <w:bookmarkStart w:id="41" w:name="_Toc16917"/>
      <w:bookmarkStart w:id="42" w:name="_Toc487900349"/>
      <w:bookmarkStart w:id="43" w:name="_Toc279701240"/>
      <w:bookmarkStart w:id="44" w:name="_Toc19614"/>
      <w:bookmarkStart w:id="45" w:name="_Toc259093669"/>
      <w:bookmarkStart w:id="46" w:name="_Ref467378404"/>
      <w:bookmarkStart w:id="47" w:name="_Ref467378463"/>
      <w:bookmarkStart w:id="48" w:name="_Ref467379214"/>
      <w:bookmarkStart w:id="49" w:name="_Ref467379109"/>
      <w:bookmarkStart w:id="50" w:name="_Toc28763"/>
      <w:r>
        <w:rPr>
          <w:rFonts w:hint="eastAsia" w:ascii="仿宋_GB2312" w:hAnsi="仿宋" w:eastAsia="仿宋_GB2312" w:cs="仿宋"/>
          <w:b/>
          <w:color w:val="auto"/>
          <w:sz w:val="24"/>
          <w:highlight w:val="none"/>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highlight w:val="none"/>
        </w:rPr>
      </w:pPr>
      <w:bookmarkStart w:id="51" w:name="_Ref467378840"/>
      <w:r>
        <w:rPr>
          <w:rFonts w:hint="eastAsia" w:ascii="仿宋_GB2312" w:hAnsi="仿宋" w:eastAsia="仿宋_GB2312" w:cs="仿宋"/>
          <w:color w:val="auto"/>
          <w:sz w:val="24"/>
          <w:highlight w:val="none"/>
        </w:rPr>
        <w:t>2.1.4 “甲方”系指与中标或成交供应商签署合同的采购人</w:t>
      </w:r>
      <w:bookmarkEnd w:id="51"/>
      <w:r>
        <w:rPr>
          <w:rFonts w:hint="eastAsia" w:ascii="仿宋_GB2312" w:hAnsi="仿宋" w:eastAsia="仿宋_GB2312"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bookmarkStart w:id="52" w:name="_Ref467379400"/>
      <w:r>
        <w:rPr>
          <w:rFonts w:hint="eastAsia" w:ascii="仿宋_GB2312" w:hAnsi="仿宋" w:eastAsia="仿宋_GB2312" w:cs="仿宋"/>
          <w:color w:val="auto"/>
          <w:sz w:val="24"/>
          <w:highlight w:val="none"/>
        </w:rPr>
        <w:t>2.1.5 “乙方”系指根据合同约定交付货物的中标或成交供应商</w:t>
      </w:r>
      <w:bookmarkEnd w:id="52"/>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bookmarkStart w:id="53" w:name="_Ref467379436"/>
      <w:r>
        <w:rPr>
          <w:rFonts w:hint="eastAsia" w:ascii="仿宋_GB2312" w:hAnsi="仿宋" w:eastAsia="仿宋_GB2312" w:cs="仿宋"/>
          <w:color w:val="auto"/>
          <w:sz w:val="24"/>
          <w:highlight w:val="none"/>
        </w:rPr>
        <w:t>2.1.6 “现场”系指合同约定货物将要运至或者安装的地点。</w:t>
      </w:r>
      <w:bookmarkEnd w:id="53"/>
    </w:p>
    <w:p>
      <w:pPr>
        <w:spacing w:line="560" w:lineRule="exact"/>
        <w:ind w:firstLine="482" w:firstLineChars="200"/>
        <w:outlineLvl w:val="0"/>
        <w:rPr>
          <w:rFonts w:ascii="仿宋_GB2312" w:hAnsi="仿宋" w:eastAsia="仿宋_GB2312" w:cs="仿宋"/>
          <w:b/>
          <w:color w:val="auto"/>
          <w:sz w:val="24"/>
          <w:highlight w:val="none"/>
        </w:rPr>
      </w:pPr>
      <w:bookmarkStart w:id="54" w:name="_Toc279701241"/>
      <w:bookmarkStart w:id="55" w:name="_Toc32504"/>
      <w:bookmarkStart w:id="56" w:name="_Toc13336"/>
      <w:bookmarkStart w:id="57" w:name="_Toc27635"/>
      <w:bookmarkStart w:id="58" w:name="_Toc259093670"/>
      <w:bookmarkStart w:id="59" w:name="_Toc487900350"/>
      <w:r>
        <w:rPr>
          <w:rFonts w:hint="eastAsia" w:ascii="仿宋_GB2312" w:hAnsi="仿宋" w:eastAsia="仿宋_GB2312" w:cs="仿宋"/>
          <w:b/>
          <w:color w:val="auto"/>
          <w:sz w:val="24"/>
          <w:highlight w:val="none"/>
        </w:rPr>
        <w:t>2.2 技术规范</w:t>
      </w:r>
      <w:bookmarkEnd w:id="54"/>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0" w:name="_Toc259093671"/>
      <w:bookmarkStart w:id="61" w:name="_Toc279701242"/>
      <w:bookmarkStart w:id="62" w:name="_Toc9829"/>
      <w:bookmarkStart w:id="63" w:name="_Toc487900351"/>
      <w:bookmarkStart w:id="64" w:name="_Toc31634"/>
      <w:bookmarkStart w:id="65" w:name="_Toc27853"/>
      <w:r>
        <w:rPr>
          <w:rFonts w:hint="eastAsia" w:ascii="仿宋_GB2312" w:hAnsi="仿宋" w:eastAsia="仿宋_GB2312" w:cs="仿宋"/>
          <w:b/>
          <w:color w:val="auto"/>
          <w:sz w:val="24"/>
          <w:highlight w:val="none"/>
        </w:rPr>
        <w:t>2.3 知识产权</w:t>
      </w:r>
      <w:bookmarkEnd w:id="60"/>
      <w:bookmarkEnd w:id="61"/>
      <w:bookmarkEnd w:id="62"/>
      <w:bookmarkEnd w:id="63"/>
      <w:bookmarkEnd w:id="64"/>
      <w:bookmarkEnd w:id="6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6" w:name="_Toc29149"/>
      <w:bookmarkStart w:id="67" w:name="_Toc11932"/>
      <w:bookmarkStart w:id="68" w:name="_Toc4194"/>
      <w:r>
        <w:rPr>
          <w:rFonts w:hint="eastAsia" w:ascii="仿宋_GB2312" w:hAnsi="仿宋" w:eastAsia="仿宋_GB2312" w:cs="仿宋"/>
          <w:b/>
          <w:color w:val="auto"/>
          <w:sz w:val="24"/>
          <w:highlight w:val="none"/>
        </w:rPr>
        <w:t>2.4 包装和装运</w:t>
      </w:r>
      <w:bookmarkEnd w:id="66"/>
      <w:bookmarkEnd w:id="67"/>
      <w:bookmarkEnd w:id="6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9" w:name="_Ref467379542"/>
      <w:bookmarkStart w:id="70" w:name="_Ref467379527"/>
      <w:bookmarkStart w:id="71" w:name="_Toc259093674"/>
      <w:bookmarkStart w:id="72" w:name="_Ref467378591"/>
      <w:bookmarkStart w:id="73" w:name="_Ref467378541"/>
      <w:bookmarkStart w:id="74" w:name="_Toc279701245"/>
      <w:bookmarkStart w:id="75" w:name="_Toc487900354"/>
      <w:bookmarkStart w:id="76" w:name="_Ref467379536"/>
      <w:bookmarkStart w:id="77" w:name="_Toc26182"/>
      <w:bookmarkStart w:id="78" w:name="_Toc30272"/>
      <w:bookmarkStart w:id="79" w:name="_Toc19074"/>
      <w:r>
        <w:rPr>
          <w:rFonts w:hint="eastAsia" w:ascii="仿宋_GB2312" w:hAnsi="仿宋" w:eastAsia="仿宋_GB2312" w:cs="仿宋"/>
          <w:b/>
          <w:color w:val="auto"/>
          <w:sz w:val="24"/>
          <w:highlight w:val="none"/>
        </w:rPr>
        <w:t>2.</w:t>
      </w:r>
      <w:bookmarkEnd w:id="69"/>
      <w:bookmarkEnd w:id="70"/>
      <w:bookmarkEnd w:id="71"/>
      <w:bookmarkEnd w:id="72"/>
      <w:bookmarkEnd w:id="73"/>
      <w:bookmarkEnd w:id="74"/>
      <w:bookmarkEnd w:id="75"/>
      <w:bookmarkEnd w:id="76"/>
      <w:r>
        <w:rPr>
          <w:rFonts w:hint="eastAsia" w:ascii="仿宋_GB2312" w:hAnsi="仿宋" w:eastAsia="仿宋_GB2312" w:cs="仿宋"/>
          <w:b/>
          <w:color w:val="auto"/>
          <w:sz w:val="24"/>
          <w:highlight w:val="none"/>
        </w:rPr>
        <w:t>5 履约检查和问题反馈</w:t>
      </w:r>
      <w:bookmarkEnd w:id="77"/>
      <w:bookmarkEnd w:id="78"/>
      <w:bookmarkEnd w:id="79"/>
    </w:p>
    <w:p>
      <w:pPr>
        <w:spacing w:line="560" w:lineRule="exact"/>
        <w:ind w:firstLine="480" w:firstLineChars="200"/>
        <w:rPr>
          <w:rFonts w:ascii="仿宋_GB2312" w:hAnsi="仿宋" w:eastAsia="仿宋_GB2312" w:cs="仿宋"/>
          <w:color w:val="auto"/>
          <w:sz w:val="24"/>
          <w:highlight w:val="none"/>
        </w:rPr>
      </w:pPr>
      <w:bookmarkStart w:id="80" w:name="_Ref467379657"/>
      <w:r>
        <w:rPr>
          <w:rFonts w:hint="eastAsia" w:ascii="仿宋_GB2312" w:hAnsi="仿宋" w:eastAsia="仿宋_GB2312" w:cs="仿宋"/>
          <w:color w:val="auto"/>
          <w:sz w:val="24"/>
          <w:highlight w:val="none"/>
        </w:rPr>
        <w:t>2.5.1</w:t>
      </w:r>
      <w:bookmarkEnd w:id="80"/>
      <w:bookmarkStart w:id="81" w:name="_Toc186431854"/>
      <w:bookmarkStart w:id="82" w:name="_Toc279701247"/>
      <w:bookmarkStart w:id="83" w:name="_Toc487900357"/>
      <w:bookmarkStart w:id="84" w:name="_Toc259093676"/>
      <w:bookmarkStart w:id="85" w:name="_Ref467379807"/>
      <w:bookmarkStart w:id="86" w:name="_Ref467379793"/>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color w:val="auto"/>
          <w:sz w:val="24"/>
          <w:highlight w:val="none"/>
        </w:rPr>
        <w:t>。</w:t>
      </w:r>
    </w:p>
    <w:bookmarkEnd w:id="82"/>
    <w:bookmarkEnd w:id="83"/>
    <w:bookmarkEnd w:id="84"/>
    <w:bookmarkEnd w:id="85"/>
    <w:bookmarkEnd w:id="86"/>
    <w:bookmarkEnd w:id="87"/>
    <w:p>
      <w:pPr>
        <w:spacing w:line="560" w:lineRule="exact"/>
        <w:ind w:firstLine="482" w:firstLineChars="200"/>
        <w:outlineLvl w:val="0"/>
        <w:rPr>
          <w:rFonts w:ascii="仿宋_GB2312" w:hAnsi="仿宋" w:eastAsia="仿宋_GB2312" w:cs="仿宋"/>
          <w:b/>
          <w:color w:val="auto"/>
          <w:sz w:val="24"/>
          <w:highlight w:val="none"/>
        </w:rPr>
      </w:pPr>
      <w:bookmarkStart w:id="88" w:name="_Toc279701248"/>
      <w:bookmarkStart w:id="89" w:name="_Ref467379923"/>
      <w:bookmarkStart w:id="90" w:name="_Toc259093677"/>
      <w:bookmarkStart w:id="91" w:name="_Ref467379852"/>
      <w:bookmarkStart w:id="92" w:name="_Ref467379863"/>
      <w:bookmarkStart w:id="93" w:name="_Toc487900358"/>
      <w:bookmarkStart w:id="94" w:name="_Toc16110"/>
      <w:bookmarkStart w:id="95" w:name="_Toc774"/>
      <w:bookmarkStart w:id="96" w:name="_Toc3225"/>
      <w:r>
        <w:rPr>
          <w:rFonts w:hint="eastAsia" w:ascii="仿宋_GB2312" w:hAnsi="仿宋" w:eastAsia="仿宋_GB2312" w:cs="仿宋"/>
          <w:b/>
          <w:color w:val="auto"/>
          <w:sz w:val="24"/>
          <w:highlight w:val="none"/>
        </w:rPr>
        <w:t>2.6 技术资料</w:t>
      </w:r>
      <w:bookmarkEnd w:id="88"/>
      <w:bookmarkEnd w:id="89"/>
      <w:bookmarkEnd w:id="90"/>
      <w:bookmarkEnd w:id="91"/>
      <w:bookmarkEnd w:id="92"/>
      <w:bookmarkEnd w:id="93"/>
      <w:r>
        <w:rPr>
          <w:rFonts w:hint="eastAsia" w:ascii="仿宋_GB2312" w:hAnsi="仿宋" w:eastAsia="仿宋_GB2312" w:cs="仿宋"/>
          <w:b/>
          <w:color w:val="auto"/>
          <w:sz w:val="24"/>
          <w:highlight w:val="none"/>
        </w:rPr>
        <w:t>和保密义务</w:t>
      </w:r>
      <w:bookmarkEnd w:id="94"/>
      <w:bookmarkEnd w:id="95"/>
      <w:bookmarkEnd w:id="9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97" w:name="_Toc7860"/>
      <w:r>
        <w:rPr>
          <w:rFonts w:hint="eastAsia" w:ascii="仿宋_GB2312" w:hAnsi="仿宋" w:eastAsia="仿宋_GB2312" w:cs="仿宋"/>
          <w:b/>
          <w:color w:val="auto"/>
          <w:sz w:val="24"/>
          <w:highlight w:val="none"/>
        </w:rPr>
        <w:t>2.7 质量保证</w:t>
      </w:r>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98" w:name="_Toc17244"/>
      <w:bookmarkStart w:id="99" w:name="_Toc487900362"/>
      <w:bookmarkStart w:id="100" w:name="_Toc279701252"/>
      <w:bookmarkStart w:id="101" w:name="_Toc259093681"/>
      <w:r>
        <w:rPr>
          <w:rFonts w:hint="eastAsia" w:ascii="仿宋_GB2312" w:hAnsi="仿宋" w:eastAsia="仿宋_GB2312" w:cs="仿宋"/>
          <w:b/>
          <w:color w:val="auto"/>
          <w:sz w:val="24"/>
          <w:highlight w:val="none"/>
        </w:rPr>
        <w:t>2.8 货物的风险负担</w:t>
      </w:r>
      <w:bookmarkEnd w:id="98"/>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2" w:name="_Toc14055"/>
      <w:r>
        <w:rPr>
          <w:rFonts w:hint="eastAsia" w:ascii="仿宋_GB2312" w:hAnsi="仿宋" w:eastAsia="仿宋_GB2312" w:cs="仿宋"/>
          <w:b/>
          <w:color w:val="auto"/>
          <w:sz w:val="24"/>
          <w:highlight w:val="none"/>
        </w:rPr>
        <w:t>2.9 延迟交货</w:t>
      </w:r>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highlight w:val="none"/>
        </w:rPr>
      </w:pPr>
      <w:bookmarkStart w:id="103" w:name="_Toc7502"/>
      <w:bookmarkStart w:id="104" w:name="_Toc279701254"/>
      <w:bookmarkStart w:id="105" w:name="_Ref467378121"/>
      <w:bookmarkStart w:id="106" w:name="_Toc487900364"/>
      <w:bookmarkStart w:id="107" w:name="_Toc259093683"/>
      <w:r>
        <w:rPr>
          <w:rFonts w:hint="eastAsia" w:ascii="仿宋_GB2312" w:hAnsi="仿宋" w:eastAsia="仿宋_GB2312" w:cs="仿宋"/>
          <w:b/>
          <w:color w:val="auto"/>
          <w:sz w:val="24"/>
          <w:highlight w:val="none"/>
        </w:rPr>
        <w:t>2.10 合同变更</w:t>
      </w:r>
      <w:bookmarkEnd w:id="10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8" w:name="_Toc487900369"/>
      <w:bookmarkStart w:id="109" w:name="_Toc279701259"/>
      <w:bookmarkStart w:id="110" w:name="_Toc259093688"/>
    </w:p>
    <w:p>
      <w:pPr>
        <w:spacing w:line="560" w:lineRule="exact"/>
        <w:ind w:firstLine="482" w:firstLineChars="200"/>
        <w:outlineLvl w:val="0"/>
        <w:rPr>
          <w:rFonts w:ascii="仿宋_GB2312" w:hAnsi="仿宋" w:eastAsia="仿宋_GB2312" w:cs="仿宋"/>
          <w:b/>
          <w:color w:val="auto"/>
          <w:sz w:val="24"/>
          <w:highlight w:val="none"/>
        </w:rPr>
      </w:pPr>
      <w:bookmarkStart w:id="111" w:name="_Toc15237"/>
      <w:bookmarkStart w:id="112" w:name="_Toc22955"/>
      <w:bookmarkStart w:id="113" w:name="_Toc10366"/>
      <w:r>
        <w:rPr>
          <w:rFonts w:hint="eastAsia" w:ascii="仿宋_GB2312" w:hAnsi="仿宋" w:eastAsia="仿宋_GB2312" w:cs="仿宋"/>
          <w:b/>
          <w:color w:val="auto"/>
          <w:sz w:val="24"/>
          <w:highlight w:val="none"/>
        </w:rPr>
        <w:t>2.11 合同转让</w:t>
      </w:r>
      <w:bookmarkEnd w:id="108"/>
      <w:bookmarkEnd w:id="109"/>
      <w:bookmarkEnd w:id="110"/>
      <w:r>
        <w:rPr>
          <w:rFonts w:hint="eastAsia" w:ascii="仿宋_GB2312" w:hAnsi="仿宋" w:eastAsia="仿宋_GB2312" w:cs="仿宋"/>
          <w:b/>
          <w:color w:val="auto"/>
          <w:sz w:val="24"/>
          <w:highlight w:val="none"/>
        </w:rPr>
        <w:t>和分包</w:t>
      </w:r>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highlight w:val="none"/>
        </w:rPr>
      </w:pPr>
      <w:bookmarkStart w:id="114" w:name="_Toc14066"/>
      <w:bookmarkStart w:id="115" w:name="_Toc13566"/>
      <w:bookmarkStart w:id="116" w:name="_Toc16508"/>
      <w:r>
        <w:rPr>
          <w:rFonts w:hint="eastAsia" w:ascii="仿宋_GB2312" w:hAnsi="仿宋" w:eastAsia="仿宋_GB2312" w:cs="仿宋"/>
          <w:b/>
          <w:color w:val="auto"/>
          <w:sz w:val="24"/>
          <w:highlight w:val="none"/>
        </w:rPr>
        <w:t>2.12 不可抗力</w:t>
      </w:r>
      <w:bookmarkEnd w:id="114"/>
      <w:bookmarkEnd w:id="115"/>
      <w:bookmarkEnd w:id="11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17" w:name="_Toc689"/>
      <w:bookmarkStart w:id="118" w:name="_Toc487900365"/>
      <w:bookmarkStart w:id="119" w:name="_Toc279701255"/>
      <w:bookmarkStart w:id="120" w:name="_Toc259093684"/>
      <w:bookmarkStart w:id="121" w:name="_Toc6969"/>
      <w:bookmarkStart w:id="122" w:name="_Toc30676"/>
      <w:r>
        <w:rPr>
          <w:rFonts w:hint="eastAsia" w:ascii="仿宋_GB2312" w:hAnsi="仿宋" w:eastAsia="仿宋_GB2312" w:cs="仿宋"/>
          <w:b/>
          <w:color w:val="auto"/>
          <w:sz w:val="24"/>
          <w:highlight w:val="none"/>
        </w:rPr>
        <w:t>2.13 税费</w:t>
      </w:r>
      <w:bookmarkEnd w:id="117"/>
      <w:bookmarkEnd w:id="118"/>
      <w:bookmarkEnd w:id="119"/>
      <w:bookmarkEnd w:id="120"/>
      <w:bookmarkEnd w:id="121"/>
      <w:bookmarkEnd w:id="12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highlight w:val="none"/>
        </w:rPr>
      </w:pPr>
      <w:bookmarkStart w:id="123" w:name="_Toc16959"/>
      <w:bookmarkStart w:id="124" w:name="_Toc8298"/>
      <w:bookmarkStart w:id="125" w:name="_Toc7102"/>
      <w:bookmarkStart w:id="126" w:name="_Toc487900368"/>
      <w:bookmarkStart w:id="127" w:name="_Toc259093687"/>
      <w:bookmarkStart w:id="128" w:name="_Toc279701258"/>
      <w:r>
        <w:rPr>
          <w:rFonts w:hint="eastAsia" w:ascii="仿宋_GB2312" w:hAnsi="仿宋" w:eastAsia="仿宋_GB2312" w:cs="仿宋"/>
          <w:b/>
          <w:color w:val="auto"/>
          <w:sz w:val="24"/>
          <w:highlight w:val="none"/>
        </w:rPr>
        <w:t>2.14乙方破产</w:t>
      </w:r>
      <w:bookmarkEnd w:id="123"/>
      <w:bookmarkEnd w:id="124"/>
      <w:bookmarkEnd w:id="125"/>
      <w:bookmarkEnd w:id="126"/>
      <w:bookmarkEnd w:id="127"/>
      <w:bookmarkEnd w:id="1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29" w:name="_Toc15387"/>
      <w:bookmarkStart w:id="130" w:name="_Toc6134"/>
      <w:bookmarkStart w:id="131" w:name="_Toc29333"/>
      <w:r>
        <w:rPr>
          <w:rFonts w:hint="eastAsia" w:ascii="仿宋_GB2312" w:hAnsi="仿宋" w:eastAsia="仿宋_GB2312" w:cs="仿宋"/>
          <w:b/>
          <w:color w:val="auto"/>
          <w:sz w:val="24"/>
          <w:highlight w:val="none"/>
        </w:rPr>
        <w:t>2.15 合同中止、终止</w:t>
      </w:r>
      <w:bookmarkEnd w:id="129"/>
      <w:bookmarkEnd w:id="130"/>
      <w:bookmarkEnd w:id="13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32" w:name="_Toc1125"/>
      <w:bookmarkStart w:id="133" w:name="_Toc6596"/>
      <w:bookmarkStart w:id="134" w:name="_Toc14563"/>
      <w:r>
        <w:rPr>
          <w:rFonts w:hint="eastAsia" w:ascii="仿宋_GB2312" w:hAnsi="仿宋" w:eastAsia="仿宋_GB2312" w:cs="仿宋"/>
          <w:b/>
          <w:color w:val="auto"/>
          <w:sz w:val="24"/>
          <w:highlight w:val="none"/>
        </w:rPr>
        <w:t>2.16检验和验收</w:t>
      </w:r>
      <w:bookmarkEnd w:id="132"/>
      <w:bookmarkEnd w:id="133"/>
      <w:bookmarkEnd w:id="134"/>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4"/>
    <w:bookmarkEnd w:id="105"/>
    <w:bookmarkEnd w:id="106"/>
    <w:bookmarkEnd w:id="107"/>
    <w:p>
      <w:pPr>
        <w:spacing w:line="560" w:lineRule="exact"/>
        <w:ind w:firstLine="482" w:firstLineChars="200"/>
        <w:outlineLvl w:val="0"/>
        <w:rPr>
          <w:rFonts w:ascii="仿宋_GB2312" w:hAnsi="仿宋" w:eastAsia="仿宋_GB2312" w:cs="仿宋"/>
          <w:b/>
          <w:color w:val="auto"/>
          <w:sz w:val="24"/>
          <w:highlight w:val="none"/>
        </w:rPr>
      </w:pPr>
      <w:bookmarkStart w:id="135" w:name="_Toc487900371"/>
      <w:bookmarkStart w:id="136" w:name="_Toc279701261"/>
      <w:bookmarkStart w:id="137" w:name="_Toc259093690"/>
      <w:bookmarkStart w:id="138" w:name="_Toc19604"/>
      <w:bookmarkStart w:id="139" w:name="_Toc25182"/>
      <w:bookmarkStart w:id="140" w:name="_Toc11284"/>
      <w:r>
        <w:rPr>
          <w:rFonts w:hint="eastAsia" w:ascii="仿宋_GB2312" w:hAnsi="仿宋" w:eastAsia="仿宋_GB2312" w:cs="仿宋"/>
          <w:b/>
          <w:color w:val="auto"/>
          <w:sz w:val="24"/>
          <w:highlight w:val="none"/>
        </w:rPr>
        <w:t>2.17 通知</w:t>
      </w:r>
      <w:bookmarkEnd w:id="135"/>
      <w:bookmarkEnd w:id="136"/>
      <w:bookmarkEnd w:id="137"/>
      <w:r>
        <w:rPr>
          <w:rFonts w:hint="eastAsia" w:ascii="仿宋_GB2312" w:hAnsi="仿宋" w:eastAsia="仿宋_GB2312" w:cs="仿宋"/>
          <w:b/>
          <w:color w:val="auto"/>
          <w:sz w:val="24"/>
          <w:highlight w:val="none"/>
        </w:rPr>
        <w:t>和送达</w:t>
      </w:r>
      <w:bookmarkEnd w:id="138"/>
      <w:bookmarkEnd w:id="139"/>
      <w:bookmarkEnd w:id="140"/>
    </w:p>
    <w:p>
      <w:pPr>
        <w:spacing w:line="560" w:lineRule="exact"/>
        <w:ind w:firstLine="480" w:firstLineChars="200"/>
        <w:rPr>
          <w:rFonts w:ascii="仿宋_GB2312" w:hAnsi="仿宋" w:eastAsia="仿宋_GB2312" w:cs="仿宋"/>
          <w:color w:val="auto"/>
          <w:sz w:val="24"/>
          <w:highlight w:val="none"/>
        </w:rPr>
      </w:pPr>
      <w:bookmarkStart w:id="141" w:name="_Toc3135"/>
      <w:bookmarkStart w:id="142" w:name="_Toc6698"/>
      <w:bookmarkStart w:id="143" w:name="_Toc487900372"/>
      <w:bookmarkStart w:id="144" w:name="_Toc279701262"/>
      <w:bookmarkStart w:id="145" w:name="_Toc25909369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_GB2312" w:hAnsi="仿宋" w:eastAsia="仿宋_GB2312" w:cs="仿宋"/>
          <w:color w:val="auto"/>
          <w:sz w:val="24"/>
          <w:highlight w:val="none"/>
        </w:rPr>
      </w:pPr>
      <w:bookmarkStart w:id="146" w:name="_Toc23294"/>
      <w:bookmarkStart w:id="147" w:name="_Toc23128"/>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_GB2312" w:hAnsi="仿宋" w:eastAsia="仿宋_GB2312" w:cs="仿宋"/>
          <w:b/>
          <w:color w:val="auto"/>
          <w:sz w:val="24"/>
          <w:highlight w:val="none"/>
        </w:rPr>
      </w:pPr>
      <w:bookmarkStart w:id="148" w:name="_Toc30599"/>
      <w:bookmarkStart w:id="149" w:name="_Toc4355"/>
      <w:bookmarkStart w:id="150" w:name="_Toc18540"/>
      <w:r>
        <w:rPr>
          <w:rFonts w:hint="eastAsia" w:ascii="仿宋_GB2312" w:hAnsi="仿宋" w:eastAsia="仿宋_GB2312" w:cs="仿宋"/>
          <w:b/>
          <w:color w:val="auto"/>
          <w:sz w:val="24"/>
          <w:highlight w:val="none"/>
        </w:rPr>
        <w:t>2.18 计量单位</w:t>
      </w:r>
      <w:bookmarkEnd w:id="143"/>
      <w:bookmarkEnd w:id="144"/>
      <w:bookmarkEnd w:id="145"/>
      <w:bookmarkEnd w:id="148"/>
      <w:bookmarkEnd w:id="149"/>
      <w:bookmarkEnd w:id="1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51" w:name="_Toc12773"/>
      <w:bookmarkStart w:id="152" w:name="_Toc259093692"/>
      <w:bookmarkStart w:id="153" w:name="_Toc10330"/>
      <w:bookmarkStart w:id="154" w:name="_Toc18567"/>
      <w:bookmarkStart w:id="155" w:name="_Toc279701263"/>
      <w:bookmarkStart w:id="156" w:name="_Toc487900373"/>
      <w:r>
        <w:rPr>
          <w:rFonts w:hint="eastAsia" w:ascii="仿宋_GB2312" w:hAnsi="仿宋" w:eastAsia="仿宋_GB2312"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57" w:name="_Toc19890"/>
      <w:bookmarkStart w:id="158" w:name="_Toc14001"/>
      <w:bookmarkStart w:id="159" w:name="_Toc6885"/>
      <w:r>
        <w:rPr>
          <w:rFonts w:hint="eastAsia" w:ascii="仿宋_GB2312" w:hAnsi="仿宋" w:eastAsia="仿宋_GB2312" w:cs="仿宋"/>
          <w:b/>
          <w:color w:val="auto"/>
          <w:sz w:val="24"/>
          <w:highlight w:val="none"/>
        </w:rPr>
        <w:t>2.20 合同份数</w:t>
      </w:r>
      <w:bookmarkEnd w:id="157"/>
      <w:bookmarkEnd w:id="158"/>
      <w:bookmarkEnd w:id="1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4"/>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共100分，其中商务技术分60分，价格分40分。评分依下述所列为评标打分依据，分值如下（计算分值时，按其算术平均值保留小数2位）。</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2.1商务技术分（60分）</w:t>
      </w:r>
    </w:p>
    <w:tbl>
      <w:tblPr>
        <w:tblStyle w:val="63"/>
        <w:tblW w:w="8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240"/>
        <w:gridCol w:w="6267"/>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序号</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评分项</w:t>
            </w:r>
          </w:p>
        </w:tc>
        <w:tc>
          <w:tcPr>
            <w:tcW w:w="62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评审依据及标准</w:t>
            </w:r>
          </w:p>
        </w:tc>
        <w:tc>
          <w:tcPr>
            <w:tcW w:w="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rPr>
            </w:pPr>
            <w:bookmarkStart w:id="160" w:name="OLE_LINK1" w:colFirst="3" w:colLast="3"/>
            <w:r>
              <w:rPr>
                <w:rFonts w:hint="eastAsia" w:ascii="仿宋_GB2312" w:hAnsi="仿宋_GB2312" w:eastAsia="仿宋_GB2312" w:cs="仿宋_GB2312"/>
                <w:color w:val="auto"/>
                <w:sz w:val="24"/>
                <w:szCs w:val="24"/>
                <w:highlight w:val="none"/>
              </w:rPr>
              <w:t>1</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业绩</w:t>
            </w:r>
          </w:p>
        </w:tc>
        <w:tc>
          <w:tcPr>
            <w:tcW w:w="62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投标人自2021年7月1日以来（以合同签订时间为准）完成的同类案例，每有1个得1分，满分3分。</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注：1.每个案例提供合同、验收报告复印件加盖投标人公章。 2.投标产品为省级以上主管部门认定的首台套产品，自纳入《省推广应用指导目录》起三年内参加政府采购活动，视同已具备相应销售业绩，业绩分为满分。</w:t>
            </w:r>
          </w:p>
        </w:tc>
        <w:tc>
          <w:tcPr>
            <w:tcW w:w="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认证体系</w:t>
            </w:r>
          </w:p>
        </w:tc>
        <w:tc>
          <w:tcPr>
            <w:tcW w:w="62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根据投标人企业认证证书情况进行打分，0-3分。（提供相关证明并加盖投标人公章）</w:t>
            </w:r>
          </w:p>
        </w:tc>
        <w:tc>
          <w:tcPr>
            <w:tcW w:w="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124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技术参数先进性</w:t>
            </w:r>
          </w:p>
        </w:tc>
        <w:tc>
          <w:tcPr>
            <w:tcW w:w="626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投标人所投产品实际亮度（</w:t>
            </w:r>
            <w:r>
              <w:rPr>
                <w:rFonts w:hint="eastAsia" w:ascii="仿宋_GB2312" w:hAnsi="仿宋_GB2312" w:eastAsia="仿宋_GB2312" w:cs="仿宋_GB2312"/>
                <w:b/>
                <w:bCs/>
                <w:color w:val="auto"/>
                <w:sz w:val="24"/>
                <w:szCs w:val="24"/>
                <w:highlight w:val="none"/>
                <w:lang w:val="en-US" w:eastAsia="zh-CN"/>
              </w:rPr>
              <w:t>需提供具有CMA标识的检测报告</w:t>
            </w:r>
            <w:r>
              <w:rPr>
                <w:rFonts w:hint="eastAsia" w:ascii="仿宋_GB2312" w:hAnsi="仿宋_GB2312" w:eastAsia="仿宋_GB2312" w:cs="仿宋_GB2312"/>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实际亮度≥4000流明的，得5分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3700流明≤实际亮度＜4000流明的，得3分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3500流明≤实际亮度＜3700流明的，得2分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以上都不符合的或未提供检测报告的不得分。</w:t>
            </w:r>
          </w:p>
        </w:tc>
        <w:tc>
          <w:tcPr>
            <w:tcW w:w="723"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1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24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626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投标人承诺所投产品需支持自动垂直校正功能，提供相应的承诺函（格式自拟）的得3分，不提供不得分。</w:t>
            </w:r>
          </w:p>
        </w:tc>
        <w:tc>
          <w:tcPr>
            <w:tcW w:w="72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1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p>
        </w:tc>
        <w:tc>
          <w:tcPr>
            <w:tcW w:w="124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p>
        </w:tc>
        <w:tc>
          <w:tcPr>
            <w:tcW w:w="626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投标人所投产品梯形校正范围，需提供相应的承诺函（格式自拟）：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梯形校正范围≥±30度的，得2分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梯形校正范围≥±15度的，得1分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以上都不符合或不提供承诺函的不得分。</w:t>
            </w:r>
          </w:p>
        </w:tc>
        <w:tc>
          <w:tcPr>
            <w:tcW w:w="723"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trPr>
        <w:tc>
          <w:tcPr>
            <w:tcW w:w="715"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p>
        </w:tc>
        <w:tc>
          <w:tcPr>
            <w:tcW w:w="124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p>
        </w:tc>
        <w:tc>
          <w:tcPr>
            <w:tcW w:w="626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投标人承诺所投产品具有以下附加功能的，需提供相应的承诺函（格式自拟），每有一个得2分，最多得12分：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（1）支持护眼功能；（2）支持PC、IOS、安卓设备无线投屏；（3）支持U盘直连投屏；（4）支持遥控操作；（5）支持节能模式；（6）多画面功能。</w:t>
            </w:r>
          </w:p>
        </w:tc>
        <w:tc>
          <w:tcPr>
            <w:tcW w:w="723"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服务方案</w:t>
            </w:r>
          </w:p>
        </w:tc>
        <w:tc>
          <w:tcPr>
            <w:tcW w:w="62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服务方案：包括产品配送、售后服务、紧急情况应对措施等进行打分，0-5分。</w:t>
            </w:r>
          </w:p>
        </w:tc>
        <w:tc>
          <w:tcPr>
            <w:tcW w:w="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1240"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仓储及供应能力</w:t>
            </w:r>
          </w:p>
        </w:tc>
        <w:tc>
          <w:tcPr>
            <w:tcW w:w="62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针对本项目的仓储及供货情况，包括仓储情况、覆盖程度、空间大小、调度情况、整洁规范程度、成品保护等进行打分，0-5分。</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注：投标人需提供以下任意一种佐证材料复印件加盖投标人公章用于证明仓储情况，否则不予认可。</w:t>
            </w:r>
          </w:p>
          <w:p>
            <w:pPr>
              <w:keepNext w:val="0"/>
              <w:keepLines w:val="0"/>
              <w:pageBreakBefore w:val="0"/>
              <w:widowControl w:val="0"/>
              <w:numPr>
                <w:ilvl w:val="-1"/>
                <w:numId w:val="0"/>
              </w:numPr>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1、自有仓库的应提供仓储场所图片、场所自有证明；</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2、租赁仓库的应提供仓储场所图片、租赁合同、水电发票。</w:t>
            </w:r>
          </w:p>
        </w:tc>
        <w:tc>
          <w:tcPr>
            <w:tcW w:w="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质保期</w:t>
            </w:r>
          </w:p>
        </w:tc>
        <w:tc>
          <w:tcPr>
            <w:tcW w:w="62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在满足招标文件免费质保年限（三年）要求的基础上，每延长免费质保期1年得2分，最高得6分。</w:t>
            </w:r>
            <w:r>
              <w:rPr>
                <w:rFonts w:hint="eastAsia" w:ascii="仿宋_GB2312" w:hAnsi="仿宋_GB2312" w:eastAsia="仿宋_GB2312" w:cs="仿宋_GB2312"/>
                <w:b/>
                <w:bCs/>
                <w:color w:val="auto"/>
                <w:sz w:val="24"/>
                <w:szCs w:val="24"/>
                <w:highlight w:val="none"/>
                <w:lang w:val="en-US" w:eastAsia="zh-CN"/>
              </w:rPr>
              <w:t>出具质保承诺函，不满足招标文件基本要求的做无效投标处理。</w:t>
            </w:r>
          </w:p>
        </w:tc>
        <w:tc>
          <w:tcPr>
            <w:tcW w:w="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环境标志产品认证</w:t>
            </w:r>
          </w:p>
        </w:tc>
        <w:tc>
          <w:tcPr>
            <w:tcW w:w="62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rPr>
              <w:t>采购人本次拟采购的产品属于</w:t>
            </w:r>
            <w:r>
              <w:rPr>
                <w:rFonts w:hint="eastAsia" w:ascii="仿宋_GB2312" w:hAnsi="仿宋_GB2312" w:eastAsia="仿宋_GB2312" w:cs="仿宋_GB2312"/>
                <w:b/>
                <w:color w:val="auto"/>
                <w:sz w:val="24"/>
                <w:szCs w:val="24"/>
                <w:highlight w:val="none"/>
              </w:rPr>
              <w:t>环境标志产品</w:t>
            </w:r>
            <w:r>
              <w:rPr>
                <w:rFonts w:hint="eastAsia" w:ascii="仿宋_GB2312" w:hAnsi="仿宋_GB2312" w:eastAsia="仿宋_GB2312" w:cs="仿宋_GB2312"/>
                <w:b/>
                <w:color w:val="auto"/>
                <w:sz w:val="24"/>
                <w:szCs w:val="24"/>
                <w:highlight w:val="none"/>
                <w:lang w:val="en-US" w:eastAsia="zh-CN"/>
              </w:rPr>
              <w:t>政府采购品目</w:t>
            </w:r>
            <w:r>
              <w:rPr>
                <w:rFonts w:hint="eastAsia" w:ascii="仿宋_GB2312" w:hAnsi="仿宋_GB2312" w:eastAsia="仿宋_GB2312" w:cs="仿宋_GB2312"/>
                <w:b/>
                <w:bCs/>
                <w:color w:val="auto"/>
                <w:sz w:val="24"/>
                <w:szCs w:val="24"/>
                <w:highlight w:val="none"/>
              </w:rPr>
              <w:t>清单范围。</w:t>
            </w:r>
            <w:r>
              <w:rPr>
                <w:rFonts w:hint="eastAsia" w:ascii="仿宋_GB2312" w:hAnsi="仿宋_GB2312" w:eastAsia="仿宋_GB2312" w:cs="仿宋_GB2312"/>
                <w:color w:val="auto"/>
                <w:sz w:val="24"/>
                <w:szCs w:val="24"/>
                <w:highlight w:val="none"/>
                <w:lang w:val="en-US" w:eastAsia="zh-CN"/>
              </w:rPr>
              <w:t>投标人所投产品具有环境标志产品认证证书的，得2分。</w:t>
            </w:r>
          </w:p>
        </w:tc>
        <w:tc>
          <w:tcPr>
            <w:tcW w:w="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演示分</w:t>
            </w:r>
          </w:p>
        </w:tc>
        <w:tc>
          <w:tcPr>
            <w:tcW w:w="62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bCs/>
                <w:color w:val="auto"/>
                <w:spacing w:val="14"/>
                <w:sz w:val="24"/>
                <w:szCs w:val="24"/>
                <w:highlight w:val="none"/>
              </w:rPr>
            </w:pPr>
            <w:r>
              <w:rPr>
                <w:rFonts w:hint="eastAsia" w:ascii="仿宋_GB2312" w:hAnsi="仿宋_GB2312" w:eastAsia="仿宋_GB2312" w:cs="仿宋_GB2312"/>
                <w:b/>
                <w:bCs/>
                <w:color w:val="auto"/>
                <w:spacing w:val="14"/>
                <w:sz w:val="24"/>
                <w:szCs w:val="24"/>
                <w:highlight w:val="none"/>
              </w:rPr>
              <w:t>本项目</w:t>
            </w:r>
            <w:r>
              <w:rPr>
                <w:rFonts w:hint="eastAsia" w:ascii="仿宋_GB2312" w:hAnsi="仿宋_GB2312" w:eastAsia="仿宋_GB2312" w:cs="仿宋_GB2312"/>
                <w:b/>
                <w:bCs/>
                <w:color w:val="auto"/>
                <w:spacing w:val="14"/>
                <w:sz w:val="24"/>
                <w:szCs w:val="24"/>
                <w:highlight w:val="none"/>
                <w:lang w:val="en-US" w:eastAsia="zh-CN"/>
              </w:rPr>
              <w:t>要求所投产品进行在线</w:t>
            </w:r>
            <w:r>
              <w:rPr>
                <w:rFonts w:hint="eastAsia" w:ascii="仿宋_GB2312" w:hAnsi="仿宋_GB2312" w:eastAsia="仿宋_GB2312" w:cs="仿宋_GB2312"/>
                <w:b/>
                <w:bCs/>
                <w:color w:val="auto"/>
                <w:spacing w:val="14"/>
                <w:sz w:val="24"/>
                <w:szCs w:val="24"/>
                <w:highlight w:val="none"/>
              </w:rPr>
              <w:t>演示，演示时间不超过15分钟，根据演示情况进行打分（仅以PPT或图片演示不得分），具体演示要求详见前附表，演示内容如下：</w:t>
            </w:r>
          </w:p>
          <w:p>
            <w:pPr>
              <w:pStyle w:val="2"/>
              <w:keepNext w:val="0"/>
              <w:keepLines w:val="0"/>
              <w:pageBreakBefore w:val="0"/>
              <w:widowControl w:val="0"/>
              <w:numPr>
                <w:ilvl w:val="-1"/>
                <w:numId w:val="0"/>
              </w:numPr>
              <w:kinsoku/>
              <w:wordWrap/>
              <w:overflowPunct/>
              <w:topLinePunct w:val="0"/>
              <w:autoSpaceDE/>
              <w:autoSpaceDN/>
              <w:bidi w:val="0"/>
              <w:adjustRightInd/>
              <w:spacing w:after="0"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1、投影仪画面质量：画面是否清晰、色彩是否清晰；</w:t>
            </w:r>
          </w:p>
          <w:p>
            <w:pPr>
              <w:pStyle w:val="2"/>
              <w:keepNext w:val="0"/>
              <w:keepLines w:val="0"/>
              <w:pageBreakBefore w:val="0"/>
              <w:widowControl w:val="0"/>
              <w:numPr>
                <w:ilvl w:val="-1"/>
                <w:numId w:val="0"/>
              </w:numPr>
              <w:kinsoku/>
              <w:wordWrap/>
              <w:overflowPunct/>
              <w:topLinePunct w:val="0"/>
              <w:autoSpaceDE/>
              <w:autoSpaceDN/>
              <w:bidi w:val="0"/>
              <w:adjustRightInd/>
              <w:spacing w:after="0"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2、投影仪音频质量：</w:t>
            </w:r>
            <w:r>
              <w:rPr>
                <w:rFonts w:hint="eastAsia" w:ascii="仿宋_GB2312" w:hAnsi="仿宋_GB2312" w:eastAsia="仿宋_GB2312" w:cs="仿宋_GB2312"/>
                <w:color w:val="auto"/>
                <w:kern w:val="2"/>
                <w:sz w:val="24"/>
                <w:szCs w:val="24"/>
                <w:highlight w:val="none"/>
              </w:rPr>
              <w:t>声音是否清晰，无明显杂音</w:t>
            </w:r>
            <w:r>
              <w:rPr>
                <w:rFonts w:hint="eastAsia" w:ascii="仿宋_GB2312" w:hAnsi="仿宋_GB2312" w:eastAsia="仿宋_GB2312" w:cs="仿宋_GB2312"/>
                <w:color w:val="auto"/>
                <w:kern w:val="2"/>
                <w:sz w:val="24"/>
                <w:szCs w:val="24"/>
                <w:highlight w:val="none"/>
                <w:lang w:eastAsia="zh-CN"/>
              </w:rPr>
              <w:t>；</w:t>
            </w:r>
          </w:p>
          <w:p>
            <w:pPr>
              <w:pStyle w:val="2"/>
              <w:keepNext w:val="0"/>
              <w:keepLines w:val="0"/>
              <w:pageBreakBefore w:val="0"/>
              <w:widowControl w:val="0"/>
              <w:numPr>
                <w:ilvl w:val="-1"/>
                <w:numId w:val="0"/>
              </w:numPr>
              <w:kinsoku/>
              <w:wordWrap/>
              <w:overflowPunct/>
              <w:topLinePunct w:val="0"/>
              <w:autoSpaceDE/>
              <w:autoSpaceDN/>
              <w:bidi w:val="0"/>
              <w:adjustRightInd/>
              <w:spacing w:after="0"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3、投影仪操作便利程度：投影仪的投影操作方便、内置操作界面简单易懂；</w:t>
            </w:r>
          </w:p>
          <w:p>
            <w:pPr>
              <w:pStyle w:val="2"/>
              <w:keepNext w:val="0"/>
              <w:keepLines w:val="0"/>
              <w:pageBreakBefore w:val="0"/>
              <w:widowControl w:val="0"/>
              <w:numPr>
                <w:ilvl w:val="-1"/>
                <w:numId w:val="0"/>
              </w:numPr>
              <w:kinsoku/>
              <w:wordWrap/>
              <w:overflowPunct/>
              <w:topLinePunct w:val="0"/>
              <w:autoSpaceDE/>
              <w:autoSpaceDN/>
              <w:bidi w:val="0"/>
              <w:adjustRightInd/>
              <w:spacing w:after="0"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4、投影仪抗干扰能力：画面在白天光照环境下是否仍然清晰。</w:t>
            </w:r>
          </w:p>
          <w:p>
            <w:pPr>
              <w:pStyle w:val="2"/>
              <w:keepNext w:val="0"/>
              <w:keepLines w:val="0"/>
              <w:pageBreakBefore w:val="0"/>
              <w:widowControl w:val="0"/>
              <w:numPr>
                <w:ilvl w:val="-1"/>
                <w:numId w:val="0"/>
              </w:numPr>
              <w:kinsoku/>
              <w:wordWrap/>
              <w:overflowPunct/>
              <w:topLinePunct w:val="0"/>
              <w:autoSpaceDE/>
              <w:autoSpaceDN/>
              <w:bidi w:val="0"/>
              <w:adjustRightInd/>
              <w:spacing w:after="0" w:line="240" w:lineRule="auto"/>
              <w:ind w:left="0" w:leftChars="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注：每项得0-3分，合计12分。</w:t>
            </w:r>
          </w:p>
        </w:tc>
        <w:tc>
          <w:tcPr>
            <w:tcW w:w="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12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其他优惠承诺</w:t>
            </w:r>
          </w:p>
        </w:tc>
        <w:tc>
          <w:tcPr>
            <w:tcW w:w="62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针对本项目，投标人就实际情况提供更为切实的优惠承诺（不包括价格优惠），提供相应的承诺函（格式自拟），根据承诺内容进行打分，0-2分。</w:t>
            </w:r>
          </w:p>
        </w:tc>
        <w:tc>
          <w:tcPr>
            <w:tcW w:w="7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2</w:t>
            </w:r>
          </w:p>
        </w:tc>
      </w:tr>
      <w:bookmarkEnd w:id="160"/>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40</w:t>
      </w:r>
      <w:r>
        <w:rPr>
          <w:rFonts w:hint="eastAsia" w:ascii="仿宋_GB2312" w:hAnsi="宋体" w:eastAsia="仿宋_GB2312"/>
          <w:b/>
          <w:bCs/>
          <w:iCs/>
          <w:color w:val="auto"/>
          <w:sz w:val="24"/>
          <w:highlight w:val="none"/>
        </w:rPr>
        <w:t>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w:t>
      </w:r>
      <w:r>
        <w:rPr>
          <w:rFonts w:hint="eastAsia" w:ascii="仿宋_GB2312" w:hAnsi="宋体" w:eastAsia="仿宋_GB2312"/>
          <w:bCs/>
          <w:iCs/>
          <w:color w:val="auto"/>
          <w:sz w:val="24"/>
          <w:highlight w:val="none"/>
          <w:lang w:val="en-US" w:eastAsia="zh-CN"/>
        </w:rPr>
        <w:t>折扣率</w:t>
      </w:r>
      <w:r>
        <w:rPr>
          <w:rFonts w:hint="eastAsia" w:ascii="仿宋_GB2312" w:hAnsi="宋体" w:eastAsia="仿宋_GB2312"/>
          <w:bCs/>
          <w:iCs/>
          <w:color w:val="auto"/>
          <w:sz w:val="24"/>
          <w:highlight w:val="none"/>
        </w:rPr>
        <w:t>）为评标基准价，其价格分为满分。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即：价格分=基准</w:t>
      </w:r>
      <w:r>
        <w:rPr>
          <w:rFonts w:hint="eastAsia" w:ascii="仿宋_GB2312" w:hAnsi="宋体" w:eastAsia="仿宋_GB2312"/>
          <w:bCs/>
          <w:iCs/>
          <w:color w:val="auto"/>
          <w:sz w:val="24"/>
          <w:highlight w:val="none"/>
          <w:lang w:val="en-US" w:eastAsia="zh-CN"/>
        </w:rPr>
        <w:t>折扣率</w:t>
      </w:r>
      <w:r>
        <w:rPr>
          <w:rFonts w:hint="eastAsia" w:ascii="仿宋_GB2312" w:hAnsi="宋体" w:eastAsia="仿宋_GB2312"/>
          <w:bCs/>
          <w:iCs/>
          <w:color w:val="auto"/>
          <w:sz w:val="24"/>
          <w:highlight w:val="none"/>
        </w:rPr>
        <w:t>/</w:t>
      </w:r>
      <w:r>
        <w:rPr>
          <w:rFonts w:hint="eastAsia" w:ascii="仿宋_GB2312" w:hAnsi="宋体" w:eastAsia="仿宋_GB2312"/>
          <w:bCs/>
          <w:iCs/>
          <w:color w:val="auto"/>
          <w:sz w:val="24"/>
          <w:highlight w:val="none"/>
          <w:lang w:val="en-US" w:eastAsia="zh-CN"/>
        </w:rPr>
        <w:t>投标折扣率</w:t>
      </w:r>
      <w:r>
        <w:rPr>
          <w:rFonts w:hint="eastAsia" w:ascii="仿宋_GB2312" w:hAnsi="宋体" w:eastAsia="仿宋_GB2312"/>
          <w:bCs/>
          <w:iCs/>
          <w:color w:val="auto"/>
          <w:sz w:val="24"/>
          <w:highlight w:val="none"/>
        </w:rPr>
        <w:t>×</w:t>
      </w:r>
      <w:r>
        <w:rPr>
          <w:rFonts w:hint="eastAsia" w:ascii="仿宋_GB2312" w:hAnsi="宋体" w:eastAsia="仿宋_GB2312"/>
          <w:bCs/>
          <w:iCs/>
          <w:color w:val="auto"/>
          <w:sz w:val="24"/>
          <w:highlight w:val="none"/>
          <w:lang w:val="en-US" w:eastAsia="zh-CN"/>
        </w:rPr>
        <w:t>4</w:t>
      </w:r>
      <w:r>
        <w:rPr>
          <w:rFonts w:hint="eastAsia" w:ascii="仿宋_GB2312" w:hAnsi="宋体" w:eastAsia="仿宋_GB2312"/>
          <w:bCs/>
          <w:iCs/>
          <w:color w:val="auto"/>
          <w:sz w:val="24"/>
          <w:highlight w:val="none"/>
        </w:rPr>
        <w:t>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3"/>
        <w:spacing w:line="800" w:lineRule="atLeast"/>
        <w:ind w:left="0" w:leftChars="0"/>
        <w:rPr>
          <w:rFonts w:ascii="仿宋_GB2312" w:hAnsi="宋体" w:eastAsia="仿宋_GB2312"/>
          <w:b/>
          <w:color w:val="auto"/>
          <w:sz w:val="36"/>
          <w:szCs w:val="36"/>
          <w:highlight w:val="none"/>
        </w:rPr>
      </w:pPr>
    </w:p>
    <w:p>
      <w:pPr>
        <w:pStyle w:val="3"/>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绍兴市财政局</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绍兴市财政局2024-2025年度绍兴市投影仪“政务优选专区”项目采购</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2024-10-0114</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绍兴市财政局</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7"/>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7"/>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绍兴市财政局</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绍兴市财政局2024-2025年度绍兴市投影仪“政务优选专区”项目采购</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2024-10-0114</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绍兴市财政局</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绍兴市财政局2024-2025年度绍兴市投影仪“政务优选专区”项目采购</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2024-10-0114</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绍兴市财政局</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绍兴市财政局</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绍兴市财政局2024-2025年度绍兴市投影仪“政务优选专区”项目采购</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2024-10-0114</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w:t>
      </w:r>
    </w:p>
    <w:tbl>
      <w:tblPr>
        <w:tblStyle w:val="6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9"/>
        <w:gridCol w:w="5611"/>
        <w:gridCol w:w="5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992" w:type="pct"/>
            <w:vMerge w:val="restart"/>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ind w:left="0" w:right="0"/>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val="en-US" w:eastAsia="zh-CN"/>
              </w:rPr>
              <w:t>标段</w:t>
            </w:r>
          </w:p>
        </w:tc>
        <w:tc>
          <w:tcPr>
            <w:tcW w:w="400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ind w:left="0" w:right="0"/>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val="en-US" w:eastAsia="zh-CN"/>
              </w:rPr>
              <w:t>折扣率（小写，整数）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992" w:type="pct"/>
            <w:vMerge w:val="continue"/>
            <w:tcBorders>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ind w:left="0" w:right="0"/>
              <w:jc w:val="center"/>
              <w:rPr>
                <w:rFonts w:hint="eastAsia" w:ascii="仿宋" w:hAnsi="仿宋" w:eastAsia="仿宋" w:cs="仿宋"/>
                <w:b/>
                <w:color w:val="auto"/>
                <w:sz w:val="28"/>
                <w:szCs w:val="28"/>
                <w:highlight w:val="none"/>
              </w:rPr>
            </w:pPr>
          </w:p>
        </w:tc>
        <w:tc>
          <w:tcPr>
            <w:tcW w:w="19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ind w:left="0" w:right="0"/>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小写（</w:t>
            </w:r>
            <w:r>
              <w:rPr>
                <w:rFonts w:hint="eastAsia" w:ascii="仿宋" w:hAnsi="仿宋" w:eastAsia="仿宋" w:cs="仿宋"/>
                <w:b/>
                <w:color w:val="auto"/>
                <w:sz w:val="28"/>
                <w:szCs w:val="28"/>
                <w:highlight w:val="none"/>
                <w:lang w:val="en-US" w:eastAsia="zh-CN"/>
              </w:rPr>
              <w:t>%</w:t>
            </w:r>
            <w:r>
              <w:rPr>
                <w:rFonts w:hint="eastAsia" w:ascii="仿宋" w:hAnsi="仿宋" w:eastAsia="仿宋" w:cs="仿宋"/>
                <w:b/>
                <w:color w:val="auto"/>
                <w:sz w:val="28"/>
                <w:szCs w:val="28"/>
                <w:highlight w:val="none"/>
                <w:lang w:eastAsia="zh-CN"/>
              </w:rPr>
              <w:t>）</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ind w:left="0" w:right="0"/>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9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50" w:beforeAutospacing="0" w:after="50" w:afterAutospacing="0"/>
              <w:ind w:left="0" w:right="0"/>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lang w:val="en-US" w:eastAsia="zh-CN"/>
              </w:rPr>
              <w:t>（如：01）</w:t>
            </w:r>
          </w:p>
        </w:tc>
        <w:tc>
          <w:tcPr>
            <w:tcW w:w="1989" w:type="pct"/>
            <w:tcBorders>
              <w:top w:val="single" w:color="auto" w:sz="4" w:space="0"/>
              <w:left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440" w:lineRule="exact"/>
              <w:ind w:left="0" w:right="0"/>
              <w:jc w:val="center"/>
              <w:rPr>
                <w:rFonts w:hint="eastAsia" w:ascii="仿宋" w:hAnsi="仿宋" w:eastAsia="仿宋" w:cs="仿宋"/>
                <w:b/>
                <w:color w:val="auto"/>
                <w:sz w:val="28"/>
                <w:szCs w:val="28"/>
                <w:highlight w:val="none"/>
              </w:rPr>
            </w:pPr>
          </w:p>
        </w:tc>
        <w:tc>
          <w:tcPr>
            <w:tcW w:w="2017" w:type="pct"/>
            <w:tcBorders>
              <w:top w:val="single" w:color="auto" w:sz="4" w:space="0"/>
              <w:left w:val="single" w:color="auto" w:sz="4" w:space="0"/>
              <w:right w:val="single" w:color="auto" w:sz="4" w:space="0"/>
            </w:tcBorders>
            <w:noWrap w:val="0"/>
            <w:vAlign w:val="top"/>
          </w:tcPr>
          <w:p>
            <w:pPr>
              <w:keepNext w:val="0"/>
              <w:keepLines w:val="0"/>
              <w:suppressLineNumbers w:val="0"/>
              <w:snapToGrid w:val="0"/>
              <w:spacing w:before="50" w:beforeAutospacing="0" w:after="50" w:afterAutospacing="0"/>
              <w:ind w:left="0" w:right="0"/>
              <w:jc w:val="center"/>
              <w:rPr>
                <w:rFonts w:hint="eastAsia" w:ascii="仿宋" w:hAnsi="仿宋" w:eastAsia="仿宋" w:cs="仿宋"/>
                <w:b/>
                <w:color w:val="auto"/>
                <w:sz w:val="28"/>
                <w:szCs w:val="28"/>
                <w:highlight w:val="none"/>
                <w:lang w:val="en-US" w:eastAsia="zh-CN"/>
              </w:rPr>
            </w:pPr>
          </w:p>
        </w:tc>
      </w:tr>
    </w:tbl>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1" w:name="_Hlk101259491"/>
      <w:r>
        <w:rPr>
          <w:rFonts w:hint="eastAsia" w:ascii="仿宋_GB2312" w:hAnsi="仿宋" w:eastAsia="仿宋_GB2312" w:cs="仿宋"/>
          <w:color w:val="auto"/>
          <w:sz w:val="32"/>
          <w:szCs w:val="32"/>
          <w:highlight w:val="none"/>
        </w:rPr>
        <w:t>（如果有）</w:t>
      </w:r>
      <w:bookmarkEnd w:id="161"/>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6"/>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2" w:name="_Toc465665161"/>
      <w:r>
        <w:rPr>
          <w:rFonts w:hint="eastAsia" w:ascii="仿宋_GB2312" w:hAnsi="仿宋" w:cs="仿宋"/>
          <w:color w:val="auto"/>
          <w:highlight w:val="none"/>
        </w:rPr>
        <w:t>附件</w:t>
      </w:r>
      <w:bookmarkEnd w:id="162"/>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63"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3"/>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4"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4"/>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65" w:name="OLE_LINK14"/>
      <w:bookmarkStart w:id="166" w:name="OLE_LINK13"/>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5"/>
    <w:bookmarkEnd w:id="166"/>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4"/>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bookmarkEnd w:id="167"/>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Arial"/>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eastAsia="宋体"/>
        <w:lang w:eastAsia="zh-CN"/>
      </w:rPr>
    </w:pPr>
    <w:r>
      <w:rPr>
        <w:rFonts w:hint="eastAsia"/>
      </w:rPr>
      <w:t>绍兴市公共资源交易中心                                           招标文件招标编号:</w:t>
    </w:r>
    <w:r>
      <w:rPr>
        <w:rFonts w:hint="eastAsia"/>
        <w:lang w:eastAsia="zh-CN"/>
      </w:rPr>
      <w:t>2024-10-0114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9"/>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7"/>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6"/>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10"/>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11"/>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BD75A11"/>
    <w:rsid w:val="0D8D2FE8"/>
    <w:rsid w:val="0E9D3A71"/>
    <w:rsid w:val="0F3476B8"/>
    <w:rsid w:val="193E359A"/>
    <w:rsid w:val="19CF064A"/>
    <w:rsid w:val="23437EE8"/>
    <w:rsid w:val="25171665"/>
    <w:rsid w:val="28CC1352"/>
    <w:rsid w:val="2989420F"/>
    <w:rsid w:val="2FA54326"/>
    <w:rsid w:val="5ABC222A"/>
    <w:rsid w:val="5F8F2D94"/>
    <w:rsid w:val="6A261A93"/>
    <w:rsid w:val="6EDB63E4"/>
    <w:rsid w:val="710A3044"/>
    <w:rsid w:val="72E87C49"/>
    <w:rsid w:val="7DFBB8BB"/>
    <w:rsid w:val="7F7061A1"/>
    <w:rsid w:val="AEBA6020"/>
    <w:rsid w:val="DFFF39D7"/>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7">
    <w:name w:val="heading 2"/>
    <w:basedOn w:val="1"/>
    <w:next w:val="8"/>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9">
    <w:name w:val="heading 3"/>
    <w:basedOn w:val="1"/>
    <w:next w:val="8"/>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10">
    <w:name w:val="heading 4"/>
    <w:basedOn w:val="1"/>
    <w:next w:val="8"/>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1">
    <w:name w:val="heading 5"/>
    <w:basedOn w:val="1"/>
    <w:next w:val="8"/>
    <w:link w:val="86"/>
    <w:qFormat/>
    <w:uiPriority w:val="0"/>
    <w:pPr>
      <w:keepNext/>
      <w:widowControl/>
      <w:numPr>
        <w:ilvl w:val="0"/>
        <w:numId w:val="4"/>
      </w:numPr>
      <w:jc w:val="left"/>
      <w:outlineLvl w:val="4"/>
    </w:pPr>
    <w:rPr>
      <w:kern w:val="0"/>
      <w:sz w:val="24"/>
      <w:szCs w:val="20"/>
    </w:rPr>
  </w:style>
  <w:style w:type="paragraph" w:styleId="12">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13">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4">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5">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231"/>
    <w:qFormat/>
    <w:uiPriority w:val="0"/>
    <w:pPr>
      <w:ind w:firstLine="420" w:firstLineChars="200"/>
    </w:pPr>
  </w:style>
  <w:style w:type="paragraph" w:styleId="3">
    <w:name w:val="Body Text Indent"/>
    <w:basedOn w:val="1"/>
    <w:next w:val="2"/>
    <w:link w:val="93"/>
    <w:qFormat/>
    <w:uiPriority w:val="0"/>
    <w:pPr>
      <w:spacing w:after="120"/>
      <w:ind w:left="420" w:leftChars="200"/>
    </w:pPr>
  </w:style>
  <w:style w:type="paragraph" w:styleId="4">
    <w:name w:val="Body Text"/>
    <w:basedOn w:val="1"/>
    <w:next w:val="5"/>
    <w:link w:val="112"/>
    <w:qFormat/>
    <w:uiPriority w:val="0"/>
    <w:pPr>
      <w:spacing w:line="360" w:lineRule="auto"/>
    </w:pPr>
    <w:rPr>
      <w:rFonts w:eastAsia="仿宋_GB2312"/>
      <w:sz w:val="28"/>
    </w:rPr>
  </w:style>
  <w:style w:type="paragraph" w:styleId="5">
    <w:name w:val="Body Text First Indent"/>
    <w:basedOn w:val="4"/>
    <w:next w:val="1"/>
    <w:link w:val="230"/>
    <w:qFormat/>
    <w:uiPriority w:val="0"/>
    <w:pPr>
      <w:spacing w:after="120" w:line="240" w:lineRule="auto"/>
      <w:ind w:firstLine="420" w:firstLineChars="100"/>
    </w:pPr>
    <w:rPr>
      <w:rFonts w:eastAsia="宋体"/>
      <w:sz w:val="21"/>
    </w:rPr>
  </w:style>
  <w:style w:type="paragraph" w:styleId="8">
    <w:name w:val="Normal Indent"/>
    <w:basedOn w:val="1"/>
    <w:next w:val="1"/>
    <w:link w:val="81"/>
    <w:qFormat/>
    <w:uiPriority w:val="0"/>
    <w:pPr>
      <w:ind w:firstLine="420" w:firstLineChars="200"/>
    </w:pPr>
  </w:style>
  <w:style w:type="paragraph" w:styleId="16">
    <w:name w:val="toc 7"/>
    <w:basedOn w:val="1"/>
    <w:next w:val="1"/>
    <w:qFormat/>
    <w:uiPriority w:val="0"/>
    <w:pPr>
      <w:adjustRightInd w:val="0"/>
      <w:ind w:left="2520" w:leftChars="1200"/>
    </w:pPr>
  </w:style>
  <w:style w:type="paragraph" w:styleId="17">
    <w:name w:val="List Number 2"/>
    <w:basedOn w:val="1"/>
    <w:qFormat/>
    <w:uiPriority w:val="0"/>
    <w:pPr>
      <w:widowControl/>
      <w:tabs>
        <w:tab w:val="left" w:pos="1697"/>
      </w:tabs>
      <w:spacing w:afterLines="50"/>
      <w:ind w:left="1697" w:hanging="420"/>
      <w:jc w:val="left"/>
    </w:pPr>
    <w:rPr>
      <w:kern w:val="0"/>
      <w:sz w:val="24"/>
      <w:szCs w:val="20"/>
    </w:rPr>
  </w:style>
  <w:style w:type="paragraph" w:styleId="18">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454"/>
      </w:tabs>
      <w:spacing w:afterLines="50"/>
      <w:ind w:left="454" w:hanging="284"/>
      <w:jc w:val="left"/>
    </w:pPr>
    <w:rPr>
      <w:kern w:val="0"/>
      <w:sz w:val="24"/>
      <w:szCs w:val="20"/>
    </w:rPr>
  </w:style>
  <w:style w:type="paragraph" w:styleId="20">
    <w:name w:val="caption"/>
    <w:basedOn w:val="1"/>
    <w:next w:val="1"/>
    <w:link w:val="308"/>
    <w:qFormat/>
    <w:uiPriority w:val="0"/>
    <w:pPr>
      <w:spacing w:line="360" w:lineRule="auto"/>
      <w:jc w:val="center"/>
    </w:pPr>
    <w:rPr>
      <w:rFonts w:ascii="Calibri" w:hAnsi="Calibri"/>
      <w:sz w:val="20"/>
      <w:szCs w:val="20"/>
    </w:rPr>
  </w:style>
  <w:style w:type="paragraph" w:styleId="21">
    <w:name w:val="index 5"/>
    <w:basedOn w:val="1"/>
    <w:next w:val="1"/>
    <w:qFormat/>
    <w:uiPriority w:val="0"/>
    <w:pPr>
      <w:ind w:left="800" w:leftChars="800" w:firstLine="200" w:firstLineChars="200"/>
    </w:pPr>
  </w:style>
  <w:style w:type="paragraph" w:styleId="22">
    <w:name w:val="Document Map"/>
    <w:basedOn w:val="1"/>
    <w:link w:val="147"/>
    <w:qFormat/>
    <w:uiPriority w:val="0"/>
    <w:pPr>
      <w:shd w:val="clear" w:color="auto" w:fill="000080"/>
    </w:pPr>
  </w:style>
  <w:style w:type="paragraph" w:styleId="23">
    <w:name w:val="annotation text"/>
    <w:basedOn w:val="1"/>
    <w:link w:val="99"/>
    <w:qFormat/>
    <w:uiPriority w:val="99"/>
    <w:pPr>
      <w:jc w:val="left"/>
    </w:pPr>
  </w:style>
  <w:style w:type="paragraph" w:styleId="24">
    <w:name w:val="Salutation"/>
    <w:basedOn w:val="1"/>
    <w:next w:val="1"/>
    <w:link w:val="316"/>
    <w:qFormat/>
    <w:uiPriority w:val="0"/>
    <w:pPr>
      <w:adjustRightInd w:val="0"/>
    </w:pPr>
    <w:rPr>
      <w:rFonts w:ascii="仿宋_GB2312" w:eastAsia="仿宋_GB2312"/>
      <w:sz w:val="28"/>
      <w:szCs w:val="20"/>
    </w:rPr>
  </w:style>
  <w:style w:type="paragraph" w:styleId="25">
    <w:name w:val="Body Text 3"/>
    <w:basedOn w:val="1"/>
    <w:link w:val="317"/>
    <w:qFormat/>
    <w:uiPriority w:val="0"/>
    <w:pPr>
      <w:adjustRightInd w:val="0"/>
      <w:jc w:val="center"/>
    </w:pPr>
    <w:rPr>
      <w:szCs w:val="20"/>
    </w:rPr>
  </w:style>
  <w:style w:type="paragraph" w:styleId="26">
    <w:name w:val="List Bullet 3"/>
    <w:basedOn w:val="1"/>
    <w:qFormat/>
    <w:uiPriority w:val="0"/>
    <w:pPr>
      <w:adjustRightInd w:val="0"/>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8"/>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link w:val="91"/>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4"/>
    <w:qFormat/>
    <w:uiPriority w:val="0"/>
    <w:rPr>
      <w:rFonts w:ascii="楷体_GB2312" w:eastAsia="楷体_GB2312"/>
      <w:b/>
      <w:sz w:val="28"/>
      <w:szCs w:val="20"/>
    </w:rPr>
  </w:style>
  <w:style w:type="paragraph" w:styleId="38">
    <w:name w:val="Body Text Indent 2"/>
    <w:basedOn w:val="1"/>
    <w:link w:val="108"/>
    <w:qFormat/>
    <w:uiPriority w:val="0"/>
    <w:pPr>
      <w:spacing w:after="120" w:line="480" w:lineRule="auto"/>
      <w:ind w:left="420" w:leftChars="200"/>
    </w:pPr>
  </w:style>
  <w:style w:type="paragraph" w:styleId="39">
    <w:name w:val="endnote text"/>
    <w:basedOn w:val="1"/>
    <w:link w:val="319"/>
    <w:qFormat/>
    <w:uiPriority w:val="0"/>
    <w:pPr>
      <w:adjustRightInd w:val="0"/>
    </w:pPr>
    <w:rPr>
      <w:lang w:val="zh-CN"/>
    </w:rPr>
  </w:style>
  <w:style w:type="paragraph" w:styleId="40">
    <w:name w:val="Balloon Text"/>
    <w:basedOn w:val="1"/>
    <w:link w:val="226"/>
    <w:qFormat/>
    <w:uiPriority w:val="0"/>
    <w:rPr>
      <w:sz w:val="18"/>
      <w:szCs w:val="18"/>
    </w:rPr>
  </w:style>
  <w:style w:type="paragraph" w:styleId="41">
    <w:name w:val="footer"/>
    <w:basedOn w:val="1"/>
    <w:link w:val="96"/>
    <w:qFormat/>
    <w:uiPriority w:val="99"/>
    <w:pPr>
      <w:tabs>
        <w:tab w:val="center" w:pos="4153"/>
        <w:tab w:val="right" w:pos="8306"/>
      </w:tabs>
      <w:snapToGrid w:val="0"/>
      <w:jc w:val="left"/>
    </w:pPr>
    <w:rPr>
      <w:sz w:val="18"/>
      <w:szCs w:val="18"/>
    </w:rPr>
  </w:style>
  <w:style w:type="paragraph" w:styleId="42">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8"/>
    <w:link w:val="322"/>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27"/>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2"/>
    <w:qFormat/>
    <w:uiPriority w:val="10"/>
    <w:pPr>
      <w:adjustRightInd w:val="0"/>
      <w:spacing w:before="240" w:after="60"/>
      <w:jc w:val="center"/>
      <w:outlineLvl w:val="0"/>
    </w:pPr>
    <w:rPr>
      <w:rFonts w:ascii="Calibri Light" w:hAnsi="Calibri Light"/>
      <w:b/>
      <w:bCs/>
      <w:sz w:val="32"/>
      <w:szCs w:val="32"/>
    </w:rPr>
  </w:style>
  <w:style w:type="paragraph" w:styleId="62">
    <w:name w:val="annotation subject"/>
    <w:basedOn w:val="23"/>
    <w:next w:val="23"/>
    <w:link w:val="229"/>
    <w:qFormat/>
    <w:uiPriority w:val="0"/>
    <w:pPr>
      <w:widowControl/>
      <w:spacing w:afterLines="50"/>
    </w:pPr>
    <w:rPr>
      <w:b/>
      <w:bCs/>
      <w:kern w:val="0"/>
      <w:sz w:val="24"/>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标题 1 Char"/>
    <w:link w:val="6"/>
    <w:qFormat/>
    <w:uiPriority w:val="9"/>
    <w:rPr>
      <w:rFonts w:eastAsia="仿宋_GB2312"/>
      <w:b/>
      <w:kern w:val="44"/>
      <w:sz w:val="44"/>
      <w:lang w:val="en-US" w:eastAsia="zh-CN" w:bidi="ar-SA"/>
    </w:rPr>
  </w:style>
  <w:style w:type="character" w:customStyle="1" w:styleId="81">
    <w:name w:val="正文缩进 Char"/>
    <w:link w:val="8"/>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7"/>
    <w:qFormat/>
    <w:uiPriority w:val="0"/>
    <w:rPr>
      <w:rFonts w:ascii="Arial" w:hAnsi="Arial" w:eastAsia="黑体"/>
      <w:b/>
      <w:kern w:val="2"/>
      <w:sz w:val="32"/>
      <w:lang w:val="en-US" w:eastAsia="zh-CN" w:bidi="ar-SA"/>
    </w:rPr>
  </w:style>
  <w:style w:type="character" w:customStyle="1" w:styleId="84">
    <w:name w:val="标题 3 Char"/>
    <w:link w:val="9"/>
    <w:qFormat/>
    <w:uiPriority w:val="0"/>
    <w:rPr>
      <w:rFonts w:eastAsia="仿宋_GB2312"/>
      <w:b/>
      <w:kern w:val="2"/>
      <w:sz w:val="32"/>
      <w:lang w:val="en-US" w:eastAsia="zh-CN" w:bidi="ar-SA"/>
    </w:rPr>
  </w:style>
  <w:style w:type="character" w:customStyle="1" w:styleId="85">
    <w:name w:val="标题 4 Char1"/>
    <w:link w:val="10"/>
    <w:qFormat/>
    <w:uiPriority w:val="9"/>
    <w:rPr>
      <w:rFonts w:ascii="Arial" w:hAnsi="Arial" w:eastAsia="黑体"/>
      <w:b/>
      <w:kern w:val="2"/>
      <w:sz w:val="28"/>
      <w:lang w:val="en-US" w:eastAsia="zh-CN" w:bidi="ar-SA"/>
    </w:rPr>
  </w:style>
  <w:style w:type="character" w:customStyle="1" w:styleId="86">
    <w:name w:val="标题 5 Char1"/>
    <w:link w:val="11"/>
    <w:qFormat/>
    <w:uiPriority w:val="0"/>
    <w:rPr>
      <w:rFonts w:eastAsia="宋体"/>
      <w:sz w:val="24"/>
      <w:lang w:val="en-US" w:eastAsia="zh-CN" w:bidi="ar-SA"/>
    </w:rPr>
  </w:style>
  <w:style w:type="character" w:customStyle="1" w:styleId="87">
    <w:name w:val="标题 6 Char1"/>
    <w:link w:val="12"/>
    <w:qFormat/>
    <w:uiPriority w:val="0"/>
    <w:rPr>
      <w:rFonts w:ascii="宋体" w:hAnsi="Arial" w:eastAsia="宋体"/>
      <w:sz w:val="24"/>
      <w:lang w:val="en-US" w:eastAsia="zh-CN" w:bidi="ar-SA"/>
    </w:rPr>
  </w:style>
  <w:style w:type="character" w:customStyle="1" w:styleId="88">
    <w:name w:val="标题 7 Char1"/>
    <w:link w:val="13"/>
    <w:qFormat/>
    <w:uiPriority w:val="0"/>
    <w:rPr>
      <w:rFonts w:ascii="宋体" w:hAnsi="Arial" w:eastAsia="宋体"/>
      <w:b/>
      <w:sz w:val="24"/>
      <w:lang w:val="en-US" w:eastAsia="zh-CN" w:bidi="ar-SA"/>
    </w:rPr>
  </w:style>
  <w:style w:type="character" w:customStyle="1" w:styleId="89">
    <w:name w:val="标题 8 Char1"/>
    <w:link w:val="14"/>
    <w:qFormat/>
    <w:uiPriority w:val="0"/>
    <w:rPr>
      <w:rFonts w:ascii="Arial" w:hAnsi="Arial" w:eastAsia="黑体"/>
      <w:sz w:val="24"/>
      <w:lang w:val="en-US" w:eastAsia="zh-CN" w:bidi="ar-SA"/>
    </w:rPr>
  </w:style>
  <w:style w:type="character" w:customStyle="1" w:styleId="90">
    <w:name w:val="标题 9 Char1"/>
    <w:link w:val="15"/>
    <w:qFormat/>
    <w:uiPriority w:val="0"/>
    <w:rPr>
      <w:rFonts w:ascii="Arial" w:hAnsi="Arial" w:eastAsia="黑体"/>
      <w:sz w:val="24"/>
      <w:lang w:val="en-US" w:eastAsia="zh-CN" w:bidi="ar-SA"/>
    </w:rPr>
  </w:style>
  <w:style w:type="character" w:customStyle="1" w:styleId="91">
    <w:name w:val="纯文本 Char"/>
    <w:link w:val="34"/>
    <w:qFormat/>
    <w:uiPriority w:val="0"/>
    <w:rPr>
      <w:rFonts w:ascii="宋体" w:hAnsi="Courier New" w:eastAsia="宋体"/>
      <w:kern w:val="2"/>
      <w:sz w:val="21"/>
      <w:lang w:val="en-US" w:eastAsia="zh-CN" w:bidi="ar-SA"/>
    </w:rPr>
  </w:style>
  <w:style w:type="paragraph" w:customStyle="1" w:styleId="92">
    <w:name w:val="表正文"/>
    <w:basedOn w:val="1"/>
    <w:next w:val="34"/>
    <w:qFormat/>
    <w:uiPriority w:val="0"/>
    <w:rPr>
      <w:rFonts w:ascii="宋体" w:hAnsi="Courier New"/>
      <w:szCs w:val="20"/>
    </w:rPr>
  </w:style>
  <w:style w:type="character" w:customStyle="1" w:styleId="93">
    <w:name w:val="正文文本缩进 Char"/>
    <w:link w:val="3"/>
    <w:qFormat/>
    <w:uiPriority w:val="0"/>
    <w:rPr>
      <w:rFonts w:eastAsia="宋体"/>
      <w:kern w:val="2"/>
      <w:sz w:val="21"/>
      <w:szCs w:val="24"/>
      <w:lang w:val="en-US" w:eastAsia="zh-CN" w:bidi="ar-SA"/>
    </w:rPr>
  </w:style>
  <w:style w:type="character" w:customStyle="1" w:styleId="94">
    <w:name w:val="日期 Char2"/>
    <w:link w:val="37"/>
    <w:qFormat/>
    <w:uiPriority w:val="0"/>
    <w:rPr>
      <w:rFonts w:ascii="楷体_GB2312" w:eastAsia="楷体_GB2312"/>
      <w:b/>
      <w:kern w:val="2"/>
      <w:sz w:val="28"/>
      <w:lang w:val="en-US" w:eastAsia="zh-CN" w:bidi="ar-SA"/>
    </w:rPr>
  </w:style>
  <w:style w:type="character" w:customStyle="1" w:styleId="95">
    <w:name w:val="页眉 Char1"/>
    <w:link w:val="42"/>
    <w:qFormat/>
    <w:uiPriority w:val="0"/>
    <w:rPr>
      <w:rFonts w:eastAsia="宋体"/>
      <w:kern w:val="2"/>
      <w:sz w:val="18"/>
      <w:szCs w:val="18"/>
      <w:lang w:val="en-US" w:eastAsia="zh-CN" w:bidi="ar-SA"/>
    </w:rPr>
  </w:style>
  <w:style w:type="character" w:customStyle="1" w:styleId="96">
    <w:name w:val="页脚 Char"/>
    <w:link w:val="41"/>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23"/>
    <w:qFormat/>
    <w:uiPriority w:val="0"/>
    <w:rPr>
      <w:rFonts w:eastAsia="宋体"/>
      <w:kern w:val="2"/>
      <w:sz w:val="21"/>
      <w:szCs w:val="24"/>
      <w:lang w:val="en-US" w:eastAsia="zh-CN" w:bidi="ar-SA"/>
    </w:rPr>
  </w:style>
  <w:style w:type="character" w:customStyle="1" w:styleId="100">
    <w:name w:val="正文文本 2 Char1"/>
    <w:link w:val="57"/>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3"/>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8"/>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4"/>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22"/>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22"/>
    <w:qFormat/>
    <w:uiPriority w:val="0"/>
    <w:rPr>
      <w:rFonts w:ascii="Tahoma" w:hAnsi="Tahoma"/>
      <w:sz w:val="24"/>
    </w:rPr>
  </w:style>
  <w:style w:type="paragraph" w:customStyle="1" w:styleId="167">
    <w:name w:val="Char Char Char"/>
    <w:basedOn w:val="22"/>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8"/>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99"/>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9"/>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0"/>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9"/>
    <w:qFormat/>
    <w:uiPriority w:val="2"/>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6"/>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1"/>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99"/>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9"/>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40"/>
    <w:qFormat/>
    <w:uiPriority w:val="0"/>
    <w:rPr>
      <w:kern w:val="2"/>
      <w:sz w:val="18"/>
      <w:szCs w:val="18"/>
    </w:rPr>
  </w:style>
  <w:style w:type="character" w:customStyle="1" w:styleId="227">
    <w:name w:val="正文文本缩进 3 Char"/>
    <w:basedOn w:val="70"/>
    <w:link w:val="54"/>
    <w:qFormat/>
    <w:uiPriority w:val="0"/>
    <w:rPr>
      <w:kern w:val="2"/>
      <w:sz w:val="16"/>
      <w:szCs w:val="16"/>
    </w:rPr>
  </w:style>
  <w:style w:type="character" w:customStyle="1" w:styleId="228">
    <w:name w:val="HTML 预设格式 Char"/>
    <w:basedOn w:val="70"/>
    <w:link w:val="59"/>
    <w:qFormat/>
    <w:uiPriority w:val="0"/>
    <w:rPr>
      <w:rFonts w:ascii="黑体" w:hAnsi="Courier New" w:eastAsia="黑体" w:cs="Courier New"/>
    </w:rPr>
  </w:style>
  <w:style w:type="character" w:customStyle="1" w:styleId="229">
    <w:name w:val="批注主题 Char"/>
    <w:basedOn w:val="196"/>
    <w:link w:val="62"/>
    <w:qFormat/>
    <w:uiPriority w:val="0"/>
    <w:rPr>
      <w:rFonts w:eastAsia="宋体"/>
      <w:b/>
      <w:bCs/>
      <w:kern w:val="2"/>
      <w:sz w:val="24"/>
      <w:szCs w:val="24"/>
      <w:lang w:val="en-US" w:eastAsia="zh-CN" w:bidi="ar-SA"/>
    </w:rPr>
  </w:style>
  <w:style w:type="character" w:customStyle="1" w:styleId="230">
    <w:name w:val="正文首行缩进 Char"/>
    <w:basedOn w:val="191"/>
    <w:link w:val="5"/>
    <w:qFormat/>
    <w:uiPriority w:val="0"/>
    <w:rPr>
      <w:rFonts w:eastAsia="仿宋_GB2312"/>
      <w:kern w:val="2"/>
      <w:sz w:val="21"/>
      <w:szCs w:val="24"/>
      <w:lang w:val="en-US" w:eastAsia="zh-CN" w:bidi="ar-SA"/>
    </w:rPr>
  </w:style>
  <w:style w:type="character" w:customStyle="1" w:styleId="231">
    <w:name w:val="正文首行缩进 2 Char"/>
    <w:basedOn w:val="93"/>
    <w:link w:val="2"/>
    <w:qFormat/>
    <w:uiPriority w:val="0"/>
    <w:rPr>
      <w:rFonts w:eastAsia="宋体"/>
      <w:kern w:val="2"/>
      <w:sz w:val="21"/>
      <w:szCs w:val="24"/>
      <w:lang w:val="en-US" w:eastAsia="zh-CN" w:bidi="ar-SA"/>
    </w:rPr>
  </w:style>
  <w:style w:type="paragraph" w:customStyle="1" w:styleId="232">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6"/>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0"/>
    <w:pPr>
      <w:spacing w:line="440" w:lineRule="exact"/>
      <w:ind w:firstLine="420" w:firstLineChars="200"/>
    </w:pPr>
    <w:rPr>
      <w:rFonts w:eastAsia="仿宋_GB2312"/>
      <w:sz w:val="24"/>
    </w:rPr>
  </w:style>
  <w:style w:type="paragraph" w:customStyle="1" w:styleId="283">
    <w:name w:val="TOC 标题2"/>
    <w:basedOn w:val="6"/>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0"/>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20"/>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4"/>
    <w:qFormat/>
    <w:uiPriority w:val="0"/>
    <w:rPr>
      <w:rFonts w:ascii="仿宋_GB2312" w:eastAsia="仿宋_GB2312"/>
      <w:kern w:val="2"/>
      <w:sz w:val="28"/>
    </w:rPr>
  </w:style>
  <w:style w:type="character" w:customStyle="1" w:styleId="317">
    <w:name w:val="正文文本 3 Char"/>
    <w:basedOn w:val="70"/>
    <w:link w:val="25"/>
    <w:qFormat/>
    <w:uiPriority w:val="0"/>
    <w:rPr>
      <w:kern w:val="2"/>
      <w:sz w:val="21"/>
    </w:rPr>
  </w:style>
  <w:style w:type="character" w:customStyle="1" w:styleId="318">
    <w:name w:val="HTML 地址 Char"/>
    <w:basedOn w:val="70"/>
    <w:link w:val="31"/>
    <w:qFormat/>
    <w:uiPriority w:val="0"/>
    <w:rPr>
      <w:rFonts w:ascii="宋体" w:hAnsi="宋体"/>
      <w:i/>
      <w:iCs/>
      <w:sz w:val="24"/>
      <w:szCs w:val="24"/>
    </w:rPr>
  </w:style>
  <w:style w:type="character" w:customStyle="1" w:styleId="319">
    <w:name w:val="尾注文本 Char"/>
    <w:basedOn w:val="70"/>
    <w:link w:val="39"/>
    <w:qFormat/>
    <w:uiPriority w:val="0"/>
    <w:rPr>
      <w:kern w:val="2"/>
      <w:sz w:val="21"/>
      <w:szCs w:val="24"/>
      <w:lang w:val="zh-CN"/>
    </w:rPr>
  </w:style>
  <w:style w:type="character" w:customStyle="1" w:styleId="320">
    <w:name w:val="签名 Char"/>
    <w:basedOn w:val="70"/>
    <w:link w:val="43"/>
    <w:qFormat/>
    <w:uiPriority w:val="0"/>
    <w:rPr>
      <w:rFonts w:eastAsia="仿宋_GB2312"/>
      <w:sz w:val="24"/>
    </w:rPr>
  </w:style>
  <w:style w:type="character" w:customStyle="1" w:styleId="321">
    <w:name w:val="副标题 Char"/>
    <w:basedOn w:val="70"/>
    <w:link w:val="48"/>
    <w:qFormat/>
    <w:uiPriority w:val="0"/>
    <w:rPr>
      <w:rFonts w:ascii="Arial" w:hAnsi="Arial" w:eastAsia="隶书"/>
      <w:b/>
      <w:bCs/>
      <w:kern w:val="28"/>
      <w:sz w:val="44"/>
      <w:szCs w:val="32"/>
    </w:rPr>
  </w:style>
  <w:style w:type="character" w:customStyle="1" w:styleId="322">
    <w:name w:val="脚注文本 Char"/>
    <w:basedOn w:val="70"/>
    <w:link w:val="51"/>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7"/>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9"/>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10"/>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10"/>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3"/>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10"/>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7"/>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7"/>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12"/>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7"/>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9"/>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11"/>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9"/>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7"/>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8"/>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6"/>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5"/>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10"/>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7"/>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3"/>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7"/>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3"/>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9"/>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7"/>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9"/>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6"/>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7"/>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10"/>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7"/>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7"/>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6"/>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6"/>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10"/>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7"/>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9"/>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20"/>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4"/>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1"/>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3"/>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9"/>
    <w:next w:val="54"/>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6"/>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4"/>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10"/>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9"/>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22"/>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9"/>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11"/>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6"/>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7"/>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Pages>
  <Words>7886</Words>
  <Characters>44956</Characters>
  <Lines>374</Lines>
  <Paragraphs>105</Paragraphs>
  <TotalTime>5</TotalTime>
  <ScaleCrop>false</ScaleCrop>
  <LinksUpToDate>false</LinksUpToDate>
  <CharactersWithSpaces>52737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2023-07-29T08:58:00Z</dcterms:created>
  <dc:creator>USER</dc:creator>
  <cp:lastModifiedBy>amin</cp:lastModifiedBy>
  <cp:lastPrinted>2023-07-25T07:14:00Z</cp:lastPrinted>
  <dcterms:modified xsi:type="dcterms:W3CDTF">2024-10-25T09:26:34Z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