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outlineLvl w:val="0"/>
        <w:rPr>
          <w:rFonts w:ascii="隶书" w:hAnsi="Arial" w:eastAsia="隶书" w:cs="Arial"/>
          <w:b/>
          <w:color w:val="auto"/>
          <w:spacing w:val="-12"/>
          <w:sz w:val="48"/>
          <w:szCs w:val="48"/>
          <w:highlight w:val="none"/>
        </w:rPr>
      </w:pPr>
    </w:p>
    <w:p>
      <w:pPr>
        <w:shd w:val="clea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绍兴市第七人民医院</w:t>
      </w:r>
    </w:p>
    <w:p>
      <w:pPr>
        <w:shd w:val="clea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保洁服务项目</w:t>
      </w:r>
    </w:p>
    <w:p>
      <w:pPr>
        <w:shd w:val="clear"/>
        <w:outlineLvl w:val="0"/>
        <w:rPr>
          <w:rFonts w:ascii="隶书" w:eastAsia="隶书"/>
          <w:color w:val="auto"/>
          <w:sz w:val="44"/>
          <w:highlight w:val="none"/>
        </w:rPr>
      </w:pPr>
    </w:p>
    <w:p>
      <w:pPr>
        <w:shd w:val="clear"/>
        <w:outlineLvl w:val="0"/>
        <w:rPr>
          <w:rFonts w:ascii="隶书" w:eastAsia="隶书"/>
          <w:color w:val="auto"/>
          <w:sz w:val="44"/>
          <w:highlight w:val="none"/>
        </w:rPr>
      </w:pPr>
    </w:p>
    <w:p>
      <w:pPr>
        <w:shd w:val="clea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shd w:val="clea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shd w:val="clea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shd w:val="clea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shd w:val="clea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shd w:val="clea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shd w:val="clea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shd w:val="clear"/>
        <w:jc w:val="center"/>
        <w:outlineLvl w:val="0"/>
        <w:rPr>
          <w:rFonts w:ascii="隶书" w:eastAsia="隶书"/>
          <w:color w:val="auto"/>
          <w:sz w:val="44"/>
          <w:highlight w:val="none"/>
        </w:rPr>
      </w:pPr>
    </w:p>
    <w:p>
      <w:pPr>
        <w:shd w:val="clear"/>
        <w:jc w:val="center"/>
        <w:outlineLvl w:val="0"/>
        <w:rPr>
          <w:rFonts w:ascii="隶书" w:eastAsia="隶书"/>
          <w:color w:val="auto"/>
          <w:sz w:val="44"/>
          <w:highlight w:val="none"/>
        </w:rPr>
      </w:pPr>
    </w:p>
    <w:p>
      <w:pPr>
        <w:shd w:val="clea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2024-10-0117</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hd w:val="clea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hd w:val="clear"/>
              <w:spacing w:after="100" w:afterAutospacing="1" w:line="440" w:lineRule="exact"/>
              <w:rPr>
                <w:rFonts w:ascii="隶书" w:hAnsi="宋体" w:eastAsia="隶书"/>
                <w:color w:val="auto"/>
                <w:sz w:val="28"/>
                <w:szCs w:val="28"/>
                <w:highlight w:val="none"/>
              </w:rPr>
            </w:pPr>
          </w:p>
        </w:tc>
        <w:tc>
          <w:tcPr>
            <w:tcW w:w="5445" w:type="dxa"/>
          </w:tcPr>
          <w:p>
            <w:pPr>
              <w:shd w:val="clea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hd w:val="clea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w:t>
            </w:r>
            <w:r>
              <w:rPr>
                <w:rFonts w:hint="eastAsia" w:ascii="隶书" w:eastAsia="隶书"/>
                <w:color w:val="auto"/>
                <w:sz w:val="28"/>
                <w:szCs w:val="28"/>
                <w:highlight w:val="none"/>
              </w:rPr>
              <w:t>月</w:t>
            </w:r>
          </w:p>
        </w:tc>
      </w:tr>
    </w:tbl>
    <w:p>
      <w:pPr>
        <w:pageBreakBefore/>
        <w:shd w:val="clear"/>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shd w:val="clear"/>
        <w:jc w:val="center"/>
        <w:rPr>
          <w:rFonts w:ascii="隶书" w:eastAsia="隶书"/>
          <w:b/>
          <w:color w:val="auto"/>
          <w:sz w:val="44"/>
          <w:szCs w:val="44"/>
          <w:highlight w:val="none"/>
        </w:rPr>
      </w:pPr>
    </w:p>
    <w:p>
      <w:pPr>
        <w:shd w:val="clea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shd w:val="clear"/>
        <w:jc w:val="center"/>
        <w:rPr>
          <w:rFonts w:ascii="隶书" w:eastAsia="隶书"/>
          <w:b/>
          <w:color w:val="auto"/>
          <w:sz w:val="44"/>
          <w:szCs w:val="44"/>
          <w:highlight w:val="none"/>
        </w:rPr>
      </w:pPr>
    </w:p>
    <w:p>
      <w:pPr>
        <w:shd w:val="clear"/>
        <w:jc w:val="center"/>
        <w:rPr>
          <w:rFonts w:ascii="隶书" w:eastAsia="隶书"/>
          <w:color w:val="auto"/>
          <w:highlight w:val="none"/>
        </w:rPr>
      </w:pP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hd w:val="clea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shd w:val="clear"/>
        <w:snapToGrid w:val="0"/>
        <w:spacing w:line="480" w:lineRule="auto"/>
        <w:jc w:val="left"/>
        <w:rPr>
          <w:rFonts w:ascii="仿宋_GB2312" w:hAnsi="宋体" w:eastAsia="仿宋_GB2312"/>
          <w:color w:val="auto"/>
          <w:sz w:val="36"/>
          <w:szCs w:val="36"/>
          <w:highlight w:val="none"/>
        </w:rPr>
      </w:pPr>
    </w:p>
    <w:p>
      <w:pPr>
        <w:pageBreakBefore/>
        <w:widowControl/>
        <w:shd w:val="clear"/>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shd w:val="clear"/>
              <w:rPr>
                <w:color w:val="auto"/>
                <w:highlight w:val="none"/>
              </w:rPr>
            </w:pPr>
            <w:r>
              <w:rPr>
                <w:rFonts w:ascii="仿宋_GB2312" w:hAnsi="新宋体" w:eastAsia="仿宋_GB2312"/>
                <w:color w:val="auto"/>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8"/>
                    <w:shd w:val="clear"/>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8"/>
                    <w:shd w:val="clear"/>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绍兴市第七人民医院保洁服务项目</w:t>
                  </w:r>
                  <w:r>
                    <w:rPr>
                      <w:rFonts w:hint="eastAsia" w:ascii="仿宋_GB2312" w:hAnsi="新宋体" w:eastAsia="仿宋_GB2312"/>
                      <w:color w:val="auto"/>
                      <w:szCs w:val="24"/>
                      <w:highlight w:val="none"/>
                    </w:rPr>
                    <w:t>招标项目的潜在投标人应在政采云平台（https://www.zcygov.cn/）获取（下载）招标文件，并于2023年 月 日 点 分00秒（北京时间）前递交（上传）投标文件。</w:t>
                  </w:r>
                </w:p>
              </w:tc>
            </w:tr>
          </w:tbl>
          <w:p>
            <w:pPr>
              <w:pStyle w:val="98"/>
              <w:shd w:val="clear"/>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8"/>
              <w:shd w:val="clear"/>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2024-10-0117</w:t>
            </w:r>
          </w:p>
          <w:p>
            <w:pPr>
              <w:pStyle w:val="98"/>
              <w:shd w:val="clear"/>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绍兴市第七人民医院保洁服务项目</w:t>
            </w:r>
          </w:p>
          <w:p>
            <w:pPr>
              <w:pStyle w:val="98"/>
              <w:shd w:val="clear"/>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2482000</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2482000</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保洁服务项目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2482000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shd w:val="clear"/>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hd w:val="clear"/>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shd w:val="clear"/>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hd w:val="clea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hd w:val="clea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hd w:val="clea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8"/>
              <w:shd w:val="clear"/>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w:t>
            </w:r>
            <w:r>
              <w:rPr>
                <w:rFonts w:hint="eastAsia" w:ascii="仿宋_GB2312" w:hAnsi="新宋体" w:eastAsia="仿宋_GB2312"/>
                <w:color w:val="auto"/>
                <w:szCs w:val="24"/>
                <w:highlight w:val="none"/>
                <w:u w:val="single"/>
                <w:lang w:val="en-US" w:eastAsia="zh-CN"/>
              </w:rPr>
              <w:t>24</w:t>
            </w:r>
            <w:r>
              <w:rPr>
                <w:rFonts w:hint="eastAsia" w:ascii="仿宋_GB2312" w:hAnsi="新宋体" w:eastAsia="仿宋_GB2312"/>
                <w:color w:val="auto"/>
                <w:szCs w:val="24"/>
                <w:highlight w:val="none"/>
                <w:u w:val="single"/>
              </w:rPr>
              <w:t>年 月 日9点00分00秒</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绍兴市第七人民医院</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地址：绍兴市胜利西路1234号 </w:t>
            </w:r>
          </w:p>
          <w:p>
            <w:pPr>
              <w:pStyle w:val="98"/>
              <w:shd w:val="clear"/>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项目联系人（询问）：叶巍</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项目联系方式（询问）：0575-85397725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质疑联系人：唐亮 </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质疑联系方式：0575-85397715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8"/>
              <w:shd w:val="clea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hd w:val="clear"/>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8"/>
              <w:shd w:val="clear"/>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shd w:val="clear"/>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8"/>
              <w:shd w:val="clear"/>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shd w:val="clea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shd w:val="clear"/>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shd w:val="clear"/>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hd w:val="clea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hd w:val="clea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hd w:val="clea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shd w:val="clea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hd w:val="clea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hd w:val="clea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hd w:val="clea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shd w:val="clea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hd w:val="clea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5"/>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shd w:val="clea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6"/>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hd w:val="clea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hd w:val="clea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hd w:val="clea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hd w:val="clea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hd w:val="clea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hd w:val="clea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hd w:val="clea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hd w:val="clea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hd w:val="clea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hd w:val="clea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26"/>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hd w:val="clea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2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hd w:val="clea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hd w:val="clea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hd w:val="clea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hd w:val="clea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hd w:val="clea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hd w:val="clea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hd w:val="clea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hd w:val="clear"/>
              <w:spacing w:line="440" w:lineRule="exact"/>
              <w:jc w:val="center"/>
              <w:rPr>
                <w:rFonts w:ascii="仿宋_GB2312" w:hAnsi="宋体" w:eastAsia="仿宋_GB2312"/>
                <w:color w:val="auto"/>
                <w:sz w:val="24"/>
                <w:highlight w:val="none"/>
              </w:rPr>
            </w:pPr>
          </w:p>
        </w:tc>
        <w:tc>
          <w:tcPr>
            <w:tcW w:w="855" w:type="dxa"/>
            <w:vMerge w:val="continue"/>
            <w:vAlign w:val="center"/>
          </w:tcPr>
          <w:p>
            <w:pPr>
              <w:shd w:val="clear"/>
              <w:snapToGrid w:val="0"/>
              <w:spacing w:line="440" w:lineRule="exact"/>
              <w:rPr>
                <w:rFonts w:ascii="仿宋_GB2312" w:hAnsi="仿宋_GB2312" w:eastAsia="仿宋_GB2312" w:cs="仿宋_GB2312"/>
                <w:b/>
                <w:color w:val="auto"/>
                <w:sz w:val="24"/>
                <w:highlight w:val="none"/>
              </w:rPr>
            </w:pPr>
          </w:p>
        </w:tc>
        <w:tc>
          <w:tcPr>
            <w:tcW w:w="7515" w:type="dxa"/>
            <w:vAlign w:val="center"/>
          </w:tcPr>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hd w:val="clear"/>
              <w:spacing w:line="440" w:lineRule="exact"/>
              <w:jc w:val="center"/>
              <w:rPr>
                <w:rFonts w:ascii="仿宋_GB2312" w:hAnsi="宋体" w:eastAsia="仿宋_GB2312"/>
                <w:color w:val="auto"/>
                <w:sz w:val="24"/>
                <w:highlight w:val="none"/>
              </w:rPr>
            </w:pPr>
          </w:p>
        </w:tc>
        <w:tc>
          <w:tcPr>
            <w:tcW w:w="855" w:type="dxa"/>
            <w:vMerge w:val="continue"/>
            <w:vAlign w:val="center"/>
          </w:tcPr>
          <w:p>
            <w:pPr>
              <w:shd w:val="clear"/>
              <w:snapToGrid w:val="0"/>
              <w:spacing w:line="440" w:lineRule="exact"/>
              <w:rPr>
                <w:rFonts w:ascii="仿宋_GB2312" w:hAnsi="仿宋_GB2312" w:eastAsia="仿宋_GB2312" w:cs="仿宋_GB2312"/>
                <w:b/>
                <w:color w:val="auto"/>
                <w:sz w:val="24"/>
                <w:highlight w:val="none"/>
              </w:rPr>
            </w:pPr>
          </w:p>
        </w:tc>
        <w:tc>
          <w:tcPr>
            <w:tcW w:w="7515" w:type="dxa"/>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hd w:val="clea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hd w:val="clea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hd w:val="clea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hd w:val="clea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hd w:val="clea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hd w:val="clea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hd w:val="clea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hd w:val="clea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hd w:val="clear"/>
              <w:spacing w:line="440" w:lineRule="exact"/>
              <w:rPr>
                <w:rFonts w:ascii="仿宋_GB2312" w:hAnsi="宋体" w:eastAsia="仿宋_GB2312"/>
                <w:color w:val="auto"/>
                <w:sz w:val="24"/>
                <w:highlight w:val="none"/>
              </w:rPr>
            </w:pPr>
          </w:p>
        </w:tc>
        <w:tc>
          <w:tcPr>
            <w:tcW w:w="8370" w:type="dxa"/>
            <w:gridSpan w:val="2"/>
            <w:vAlign w:val="center"/>
          </w:tcPr>
          <w:p>
            <w:pPr>
              <w:shd w:val="clea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0"/>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hd w:val="clea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1"/>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hd w:val="clea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hd w:val="clea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hd w:val="clea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hd w:val="clea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shd w:val="clear"/>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hd w:val="clea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hd w:val="clea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hd w:val="clea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hd w:val="clea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hd w:val="clea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hd w:val="clea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hd w:val="clea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hd w:val="clea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hd w:val="clea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hd w:val="clea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hd w:val="clea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hd w:val="clear"/>
        <w:spacing w:line="360" w:lineRule="auto"/>
        <w:jc w:val="center"/>
        <w:outlineLvl w:val="0"/>
        <w:rPr>
          <w:rFonts w:ascii="仿宋_GB2312" w:hAnsi="仿宋" w:eastAsia="仿宋_GB2312" w:cs="仿宋"/>
          <w:b/>
          <w:color w:val="auto"/>
          <w:sz w:val="32"/>
          <w:szCs w:val="32"/>
          <w:highlight w:val="none"/>
        </w:rPr>
      </w:pPr>
    </w:p>
    <w:p>
      <w:pPr>
        <w:shd w:val="clea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3"/>
        <w:shd w:val="clear"/>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hd w:val="clear"/>
        <w:spacing w:line="360" w:lineRule="auto"/>
        <w:jc w:val="center"/>
        <w:outlineLvl w:val="0"/>
        <w:rPr>
          <w:rFonts w:ascii="仿宋_GB2312" w:hAnsi="仿宋" w:eastAsia="仿宋_GB2312" w:cs="仿宋"/>
          <w:b/>
          <w:color w:val="auto"/>
          <w:sz w:val="32"/>
          <w:szCs w:val="32"/>
          <w:highlight w:val="none"/>
        </w:rPr>
      </w:pPr>
    </w:p>
    <w:p>
      <w:pPr>
        <w:shd w:val="clea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hd w:val="clea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hd w:val="clea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hd w:val="clea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hd w:val="clea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hd w:val="clear"/>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hd w:val="clea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hd w:val="clea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hd w:val="clea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hd w:val="clea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hd w:val="clea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hd w:val="clea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hd w:val="clea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hd w:val="clea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4"/>
        <w:shd w:val="clear"/>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3"/>
        <w:keepNext w:val="0"/>
        <w:keepLines w:val="0"/>
        <w:pageBreakBefore w:val="0"/>
        <w:widowControl w:val="0"/>
        <w:shd w:val="clear"/>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3"/>
        <w:shd w:val="clear"/>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4"/>
        <w:shd w:val="clear"/>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hd w:val="clea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hd w:val="clear"/>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hd w:val="clea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hd w:val="clea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hd w:val="clea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shd w:val="clear"/>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hd w:val="clear"/>
        <w:adjustRightInd w:val="0"/>
        <w:spacing w:line="360" w:lineRule="auto"/>
        <w:jc w:val="center"/>
        <w:rPr>
          <w:rFonts w:ascii="仿宋_GB2312" w:hAnsi="仿宋" w:eastAsia="仿宋_GB2312" w:cs="仿宋"/>
          <w:b/>
          <w:color w:val="auto"/>
          <w:sz w:val="32"/>
          <w:szCs w:val="32"/>
          <w:highlight w:val="none"/>
        </w:rPr>
      </w:pPr>
    </w:p>
    <w:p>
      <w:pPr>
        <w:shd w:val="clea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hd w:val="clea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1．电子招投标开标及评审程序</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hd w:val="clea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hd w:val="clea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hd w:val="clea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shd w:val="clear"/>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9"/>
        <w:widowControl w:val="0"/>
        <w:shd w:val="clear"/>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hd w:val="clear"/>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shd w:val="clea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shd w:val="clea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hd w:val="clea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shd w:val="clea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hd w:val="clea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hd w:val="clea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hd w:val="clea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hd w:val="clea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hd w:val="clea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shd w:val="clear"/>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4"/>
        <w:shd w:val="clear"/>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9"/>
        <w:shd w:val="clear"/>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hd w:val="clea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hd w:val="clea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hd w:val="clea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hd w:val="clear"/>
        <w:spacing w:line="336" w:lineRule="auto"/>
        <w:jc w:val="center"/>
        <w:outlineLvl w:val="0"/>
        <w:rPr>
          <w:rFonts w:ascii="仿宋_GB2312" w:hAnsi="仿宋_GB2312" w:eastAsia="仿宋_GB2312" w:cs="仿宋_GB2312"/>
          <w:b/>
          <w:color w:val="auto"/>
          <w:sz w:val="36"/>
          <w:szCs w:val="36"/>
          <w:highlight w:val="none"/>
        </w:rPr>
      </w:pPr>
    </w:p>
    <w:p>
      <w:pPr>
        <w:shd w:val="clea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shd w:val="clea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hd w:val="clear"/>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hd w:val="clea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hd w:val="clea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hd w:val="clea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hd w:val="clea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hd w:val="clea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hd w:val="clear"/>
        <w:spacing w:line="440" w:lineRule="exact"/>
        <w:ind w:right="420"/>
        <w:rPr>
          <w:rFonts w:ascii="仿宋_GB2312" w:hAnsi="新宋体" w:eastAsia="仿宋_GB2312" w:cs="Arial"/>
          <w:b/>
          <w:bCs/>
          <w:color w:val="auto"/>
          <w:sz w:val="24"/>
          <w:highlight w:val="none"/>
        </w:rPr>
      </w:pPr>
      <w:bookmarkStart w:id="4" w:name="_Toc151354173"/>
      <w:bookmarkStart w:id="5" w:name="_Toc84325981"/>
      <w:bookmarkStart w:id="6" w:name="_Toc80157775"/>
      <w:bookmarkStart w:id="7" w:name="_Toc81372964"/>
      <w:bookmarkStart w:id="8" w:name="_Toc81372787"/>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保洁服务项目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248.2</w:t>
      </w:r>
      <w:r>
        <w:rPr>
          <w:rFonts w:hint="eastAsia" w:ascii="仿宋_GB2312" w:hAnsi="新宋体" w:eastAsia="仿宋_GB2312" w:cs="Arial"/>
          <w:b/>
          <w:bCs/>
          <w:color w:val="auto"/>
          <w:sz w:val="24"/>
          <w:highlight w:val="none"/>
        </w:rPr>
        <w:t>万元）</w:t>
      </w:r>
      <w:bookmarkStart w:id="9" w:name="_Toc32678"/>
      <w:bookmarkStart w:id="10" w:name="_Toc7206"/>
    </w:p>
    <w:bookmarkEnd w:id="9"/>
    <w:bookmarkEnd w:id="10"/>
    <w:p>
      <w:pPr>
        <w:keepNext w:val="0"/>
        <w:keepLines w:val="0"/>
        <w:pageBreakBefore w:val="0"/>
        <w:shd w:val="clear"/>
        <w:kinsoku/>
        <w:wordWrap/>
        <w:overflowPunct/>
        <w:topLinePunct w:val="0"/>
        <w:autoSpaceDE w:val="0"/>
        <w:autoSpaceDN w:val="0"/>
        <w:bidi w:val="0"/>
        <w:adjustRightInd w:val="0"/>
        <w:snapToGrid w:val="0"/>
        <w:spacing w:line="360" w:lineRule="exact"/>
        <w:ind w:left="0" w:leftChars="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bCs/>
          <w:color w:val="auto"/>
          <w:sz w:val="24"/>
          <w:highlight w:val="none"/>
          <w:bdr w:val="single" w:color="auto" w:sz="4" w:space="0"/>
        </w:rPr>
        <w:t>01标</w:t>
      </w:r>
      <w:r>
        <w:rPr>
          <w:rFonts w:hint="eastAsia" w:ascii="仿宋_GB2312" w:hAnsi="仿宋_GB2312" w:eastAsia="仿宋_GB2312" w:cs="仿宋_GB2312"/>
          <w:b/>
          <w:bCs/>
          <w:color w:val="auto"/>
          <w:sz w:val="24"/>
          <w:highlight w:val="none"/>
          <w:lang w:eastAsia="zh-CN"/>
        </w:rPr>
        <w:t>绍兴市第七人民医院保洁服务项目</w:t>
      </w:r>
      <w:r>
        <w:rPr>
          <w:rFonts w:hint="eastAsia" w:ascii="仿宋_GB2312" w:hAnsi="仿宋_GB2312" w:eastAsia="仿宋_GB2312" w:cs="仿宋_GB2312"/>
          <w:b/>
          <w:bCs/>
          <w:color w:val="auto"/>
          <w:sz w:val="24"/>
          <w:highlight w:val="none"/>
        </w:rPr>
        <w:t xml:space="preserve"> </w:t>
      </w:r>
      <w:r>
        <w:rPr>
          <w:rFonts w:hint="eastAsia" w:ascii="仿宋_GB2312" w:hAnsi="仿宋_GB2312" w:eastAsia="仿宋_GB2312" w:cs="仿宋_GB2312"/>
          <w:b/>
          <w:bCs/>
          <w:color w:val="auto"/>
          <w:sz w:val="24"/>
          <w:highlight w:val="none"/>
          <w:lang w:val="en-US" w:eastAsia="zh-CN"/>
        </w:rPr>
        <w:t xml:space="preserve"> </w:t>
      </w:r>
      <w:r>
        <w:rPr>
          <w:rFonts w:hint="eastAsia" w:ascii="仿宋_GB2312" w:hAnsi="仿宋_GB2312" w:eastAsia="仿宋_GB2312" w:cs="仿宋_GB2312"/>
          <w:b/>
          <w:bCs/>
          <w:color w:val="auto"/>
          <w:sz w:val="24"/>
          <w:highlight w:val="none"/>
        </w:rPr>
        <w:t>上限价：</w:t>
      </w:r>
      <w:r>
        <w:rPr>
          <w:rFonts w:hint="eastAsia" w:ascii="仿宋_GB2312" w:hAnsi="仿宋_GB2312" w:eastAsia="仿宋_GB2312" w:cs="仿宋_GB2312"/>
          <w:b/>
          <w:bCs/>
          <w:color w:val="auto"/>
          <w:sz w:val="24"/>
          <w:highlight w:val="none"/>
          <w:lang w:val="en-US" w:eastAsia="zh-CN"/>
        </w:rPr>
        <w:t>2482000.00元</w:t>
      </w:r>
      <w:r>
        <w:rPr>
          <w:rFonts w:hint="eastAsia" w:ascii="仿宋_GB2312" w:hAnsi="仿宋_GB2312" w:eastAsia="仿宋_GB2312" w:cs="仿宋_GB2312"/>
          <w:b w:val="0"/>
          <w:bCs/>
          <w:color w:val="auto"/>
          <w:sz w:val="24"/>
          <w:highlight w:val="none"/>
        </w:rPr>
        <w:t xml:space="preserve"> </w:t>
      </w:r>
    </w:p>
    <w:p>
      <w:pPr>
        <w:pStyle w:val="23"/>
        <w:keepNext w:val="0"/>
        <w:keepLines w:val="0"/>
        <w:pageBreakBefore w:val="0"/>
        <w:numPr>
          <w:ilvl w:val="0"/>
          <w:numId w:val="0"/>
        </w:numPr>
        <w:shd w:val="clear"/>
        <w:kinsoku/>
        <w:wordWrap/>
        <w:overflowPunct/>
        <w:topLinePunct w:val="0"/>
        <w:bidi w:val="0"/>
        <w:adjustRightInd w:val="0"/>
        <w:snapToGrid w:val="0"/>
        <w:spacing w:line="360" w:lineRule="exact"/>
        <w:ind w:left="0" w:leftChars="0" w:firstLine="482" w:firstLineChars="200"/>
        <w:rPr>
          <w:rFonts w:hint="eastAsia" w:ascii="仿宋_GB2312" w:hAnsi="仿宋_GB2312" w:eastAsia="仿宋_GB2312" w:cs="仿宋_GB2312"/>
          <w:b/>
          <w:bCs w:val="0"/>
          <w:color w:val="auto"/>
          <w:sz w:val="24"/>
          <w:highlight w:val="none"/>
          <w:lang w:val="en-US" w:eastAsia="zh-CN"/>
        </w:rPr>
      </w:pPr>
      <w:r>
        <w:rPr>
          <w:rFonts w:hint="eastAsia" w:ascii="仿宋_GB2312" w:hAnsi="仿宋_GB2312" w:eastAsia="仿宋_GB2312" w:cs="仿宋_GB2312"/>
          <w:b/>
          <w:bCs w:val="0"/>
          <w:color w:val="auto"/>
          <w:kern w:val="2"/>
          <w:sz w:val="24"/>
          <w:szCs w:val="24"/>
          <w:highlight w:val="none"/>
          <w:lang w:val="en-US" w:eastAsia="zh-CN" w:bidi="ar-SA"/>
        </w:rPr>
        <w:t>一、</w:t>
      </w:r>
      <w:r>
        <w:rPr>
          <w:rFonts w:hint="eastAsia" w:ascii="仿宋_GB2312" w:hAnsi="仿宋_GB2312" w:eastAsia="仿宋_GB2312" w:cs="仿宋_GB2312"/>
          <w:b/>
          <w:bCs w:val="0"/>
          <w:color w:val="auto"/>
          <w:sz w:val="24"/>
          <w:highlight w:val="none"/>
          <w:lang w:val="en-US" w:eastAsia="zh-CN"/>
        </w:rPr>
        <w:t>项目概况</w:t>
      </w:r>
    </w:p>
    <w:p>
      <w:pPr>
        <w:pStyle w:val="23"/>
        <w:keepNext w:val="0"/>
        <w:keepLines w:val="0"/>
        <w:pageBreakBefore w:val="0"/>
        <w:numPr>
          <w:ilvl w:val="0"/>
          <w:numId w:val="0"/>
        </w:numPr>
        <w:shd w:val="clear"/>
        <w:kinsoku/>
        <w:wordWrap/>
        <w:overflowPunct/>
        <w:topLinePunct w:val="0"/>
        <w:bidi w:val="0"/>
        <w:adjustRightInd w:val="0"/>
        <w:snapToGrid w:val="0"/>
        <w:spacing w:line="360" w:lineRule="exact"/>
        <w:ind w:left="0" w:leftChars="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sz w:val="24"/>
          <w:highlight w:val="none"/>
        </w:rPr>
        <w:t>本次</w:t>
      </w:r>
      <w:r>
        <w:rPr>
          <w:rFonts w:hint="eastAsia" w:ascii="仿宋_GB2312" w:hAnsi="仿宋_GB2312" w:eastAsia="仿宋_GB2312" w:cs="仿宋_GB2312"/>
          <w:color w:val="auto"/>
          <w:sz w:val="24"/>
          <w:highlight w:val="none"/>
        </w:rPr>
        <w:t>保洁服务（含护工服务）</w:t>
      </w:r>
      <w:r>
        <w:rPr>
          <w:rFonts w:hint="eastAsia" w:ascii="仿宋_GB2312" w:hAnsi="仿宋_GB2312" w:eastAsia="仿宋_GB2312" w:cs="仿宋_GB2312"/>
          <w:bCs/>
          <w:color w:val="auto"/>
          <w:sz w:val="24"/>
          <w:highlight w:val="none"/>
          <w:lang w:val="en-US" w:eastAsia="zh-CN"/>
        </w:rPr>
        <w:t>采购</w:t>
      </w:r>
      <w:r>
        <w:rPr>
          <w:rFonts w:hint="eastAsia" w:ascii="仿宋_GB2312" w:hAnsi="仿宋_GB2312" w:eastAsia="仿宋_GB2312" w:cs="仿宋_GB2312"/>
          <w:bCs/>
          <w:color w:val="auto"/>
          <w:sz w:val="24"/>
          <w:highlight w:val="none"/>
        </w:rPr>
        <w:t>项目期限为</w:t>
      </w:r>
      <w:r>
        <w:rPr>
          <w:rFonts w:hint="eastAsia" w:ascii="仿宋_GB2312" w:hAnsi="仿宋_GB2312" w:eastAsia="仿宋_GB2312" w:cs="仿宋_GB2312"/>
          <w:bCs/>
          <w:color w:val="auto"/>
          <w:sz w:val="24"/>
          <w:highlight w:val="none"/>
          <w:lang w:val="en-US" w:eastAsia="zh-CN"/>
        </w:rPr>
        <w:t>10</w:t>
      </w:r>
      <w:r>
        <w:rPr>
          <w:rFonts w:hint="eastAsia" w:ascii="仿宋_GB2312" w:hAnsi="仿宋_GB2312" w:eastAsia="仿宋_GB2312" w:cs="仿宋_GB2312"/>
          <w:bCs/>
          <w:color w:val="auto"/>
          <w:sz w:val="24"/>
          <w:highlight w:val="none"/>
        </w:rPr>
        <w:t>个月，自202</w:t>
      </w:r>
      <w:r>
        <w:rPr>
          <w:rFonts w:hint="eastAsia" w:ascii="仿宋_GB2312" w:hAnsi="仿宋_GB2312" w:eastAsia="仿宋_GB2312" w:cs="仿宋_GB2312"/>
          <w:bCs/>
          <w:color w:val="auto"/>
          <w:sz w:val="24"/>
          <w:highlight w:val="none"/>
          <w:lang w:val="en-US" w:eastAsia="zh-CN"/>
        </w:rPr>
        <w:t>4</w:t>
      </w:r>
      <w:r>
        <w:rPr>
          <w:rFonts w:hint="eastAsia" w:ascii="仿宋_GB2312" w:hAnsi="仿宋_GB2312" w:eastAsia="仿宋_GB2312" w:cs="仿宋_GB2312"/>
          <w:bCs/>
          <w:color w:val="auto"/>
          <w:sz w:val="24"/>
          <w:highlight w:val="none"/>
        </w:rPr>
        <w:t>年</w:t>
      </w:r>
      <w:r>
        <w:rPr>
          <w:rFonts w:hint="eastAsia" w:ascii="仿宋_GB2312" w:hAnsi="仿宋_GB2312" w:eastAsia="仿宋_GB2312" w:cs="仿宋_GB2312"/>
          <w:bCs/>
          <w:color w:val="auto"/>
          <w:sz w:val="24"/>
          <w:highlight w:val="none"/>
          <w:lang w:val="en-US" w:eastAsia="zh-CN"/>
        </w:rPr>
        <w:t>12</w:t>
      </w:r>
      <w:r>
        <w:rPr>
          <w:rFonts w:hint="eastAsia" w:ascii="仿宋_GB2312" w:hAnsi="仿宋_GB2312" w:eastAsia="仿宋_GB2312" w:cs="仿宋_GB2312"/>
          <w:bCs/>
          <w:color w:val="auto"/>
          <w:sz w:val="24"/>
          <w:highlight w:val="none"/>
        </w:rPr>
        <w:t>月1日起至202</w:t>
      </w:r>
      <w:r>
        <w:rPr>
          <w:rFonts w:hint="eastAsia" w:ascii="仿宋_GB2312" w:hAnsi="仿宋_GB2312" w:eastAsia="仿宋_GB2312" w:cs="仿宋_GB2312"/>
          <w:bCs/>
          <w:color w:val="auto"/>
          <w:sz w:val="24"/>
          <w:highlight w:val="none"/>
          <w:lang w:val="en-US" w:eastAsia="zh-CN"/>
        </w:rPr>
        <w:t>5</w:t>
      </w:r>
      <w:r>
        <w:rPr>
          <w:rFonts w:hint="eastAsia" w:ascii="仿宋_GB2312" w:hAnsi="仿宋_GB2312" w:eastAsia="仿宋_GB2312" w:cs="仿宋_GB2312"/>
          <w:bCs/>
          <w:color w:val="auto"/>
          <w:sz w:val="24"/>
          <w:highlight w:val="none"/>
        </w:rPr>
        <w:t>年</w:t>
      </w:r>
      <w:r>
        <w:rPr>
          <w:rFonts w:hint="eastAsia" w:ascii="仿宋_GB2312" w:hAnsi="仿宋_GB2312" w:eastAsia="仿宋_GB2312" w:cs="仿宋_GB2312"/>
          <w:bCs/>
          <w:color w:val="auto"/>
          <w:sz w:val="24"/>
          <w:highlight w:val="none"/>
          <w:lang w:val="en-US" w:eastAsia="zh-CN"/>
        </w:rPr>
        <w:t>9</w:t>
      </w:r>
      <w:r>
        <w:rPr>
          <w:rFonts w:hint="eastAsia" w:ascii="仿宋_GB2312" w:hAnsi="仿宋_GB2312" w:eastAsia="仿宋_GB2312" w:cs="仿宋_GB2312"/>
          <w:bCs/>
          <w:color w:val="auto"/>
          <w:sz w:val="24"/>
          <w:highlight w:val="none"/>
        </w:rPr>
        <w:t>月</w:t>
      </w:r>
      <w:r>
        <w:rPr>
          <w:rFonts w:hint="eastAsia" w:ascii="仿宋_GB2312" w:hAnsi="仿宋_GB2312" w:eastAsia="仿宋_GB2312" w:cs="仿宋_GB2312"/>
          <w:bCs/>
          <w:color w:val="auto"/>
          <w:sz w:val="24"/>
          <w:highlight w:val="none"/>
          <w:lang w:val="en-US" w:eastAsia="zh-CN"/>
        </w:rPr>
        <w:t>30</w:t>
      </w:r>
      <w:r>
        <w:rPr>
          <w:rFonts w:hint="eastAsia" w:ascii="仿宋_GB2312" w:hAnsi="仿宋_GB2312" w:eastAsia="仿宋_GB2312" w:cs="仿宋_GB2312"/>
          <w:bCs/>
          <w:color w:val="auto"/>
          <w:sz w:val="24"/>
          <w:highlight w:val="none"/>
        </w:rPr>
        <w:t>日</w:t>
      </w:r>
      <w:r>
        <w:rPr>
          <w:rFonts w:hint="eastAsia" w:ascii="仿宋_GB2312" w:hAnsi="仿宋_GB2312" w:eastAsia="仿宋_GB2312" w:cs="仿宋_GB2312"/>
          <w:bCs/>
          <w:color w:val="auto"/>
          <w:sz w:val="24"/>
          <w:highlight w:val="none"/>
          <w:lang w:val="en-US" w:eastAsia="zh-CN"/>
        </w:rPr>
        <w:t>止</w:t>
      </w:r>
      <w:r>
        <w:rPr>
          <w:rFonts w:hint="eastAsia" w:ascii="仿宋_GB2312" w:hAnsi="仿宋_GB2312" w:eastAsia="仿宋_GB2312" w:cs="仿宋_GB2312"/>
          <w:bCs/>
          <w:color w:val="auto"/>
          <w:sz w:val="24"/>
          <w:highlight w:val="none"/>
        </w:rPr>
        <w:t>，</w:t>
      </w:r>
      <w:r>
        <w:rPr>
          <w:rFonts w:hint="eastAsia" w:ascii="仿宋_GB2312" w:hAnsi="仿宋_GB2312" w:eastAsia="仿宋_GB2312" w:cs="仿宋_GB2312"/>
          <w:color w:val="auto"/>
          <w:sz w:val="24"/>
          <w:highlight w:val="none"/>
        </w:rPr>
        <w:t>纳入本次</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的服务内容包括保洁服务、</w:t>
      </w:r>
      <w:r>
        <w:rPr>
          <w:rFonts w:hint="eastAsia" w:ascii="仿宋_GB2312" w:hAnsi="仿宋_GB2312" w:eastAsia="仿宋_GB2312" w:cs="仿宋_GB2312"/>
          <w:bCs/>
          <w:color w:val="auto"/>
          <w:sz w:val="24"/>
          <w:highlight w:val="none"/>
        </w:rPr>
        <w:t>护工服务、</w:t>
      </w:r>
      <w:r>
        <w:rPr>
          <w:rFonts w:hint="eastAsia" w:ascii="仿宋_GB2312" w:hAnsi="仿宋_GB2312" w:eastAsia="仿宋_GB2312" w:cs="仿宋_GB2312"/>
          <w:color w:val="auto"/>
          <w:sz w:val="24"/>
          <w:highlight w:val="none"/>
        </w:rPr>
        <w:t>针对各类检查和突发性公共卫生事件的应急保洁相关服务及医院各项临时性相关服务等。</w:t>
      </w:r>
    </w:p>
    <w:p>
      <w:pPr>
        <w:pStyle w:val="908"/>
        <w:numPr>
          <w:ilvl w:val="0"/>
          <w:numId w:val="0"/>
        </w:numPr>
        <w:shd w:val="clear"/>
        <w:bidi w:val="0"/>
        <w:spacing w:line="360" w:lineRule="exact"/>
        <w:ind w:firstLine="482" w:firstLineChars="200"/>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kern w:val="2"/>
          <w:sz w:val="24"/>
          <w:szCs w:val="24"/>
          <w:highlight w:val="none"/>
          <w:lang w:val="en-US" w:eastAsia="zh-CN" w:bidi="ar-SA"/>
        </w:rPr>
        <w:t>二、</w:t>
      </w:r>
      <w:r>
        <w:rPr>
          <w:rFonts w:hint="eastAsia" w:ascii="仿宋_GB2312" w:hAnsi="仿宋_GB2312" w:eastAsia="仿宋_GB2312" w:cs="仿宋_GB2312"/>
          <w:b/>
          <w:bCs/>
          <w:color w:val="auto"/>
          <w:szCs w:val="24"/>
          <w:highlight w:val="none"/>
          <w:lang w:val="en-US" w:eastAsia="zh-CN"/>
        </w:rPr>
        <w:t>服务要求</w:t>
      </w:r>
    </w:p>
    <w:p>
      <w:pPr>
        <w:pStyle w:val="908"/>
        <w:numPr>
          <w:ilvl w:val="0"/>
          <w:numId w:val="0"/>
        </w:numPr>
        <w:shd w:val="clear"/>
        <w:bidi w:val="0"/>
        <w:spacing w:line="360" w:lineRule="exact"/>
        <w:ind w:firstLine="480" w:firstLineChars="200"/>
        <w:rPr>
          <w:rFonts w:hint="eastAsia" w:ascii="仿宋_GB2312" w:hAnsi="仿宋_GB2312" w:eastAsia="仿宋_GB2312" w:cs="仿宋_GB2312"/>
          <w:b w:val="0"/>
          <w:bCs w:val="0"/>
          <w:color w:val="auto"/>
          <w:szCs w:val="24"/>
          <w:highlight w:val="none"/>
          <w:lang w:val="en-US" w:eastAsia="zh-CN"/>
        </w:rPr>
      </w:pPr>
      <w:r>
        <w:rPr>
          <w:rFonts w:hint="eastAsia" w:ascii="仿宋_GB2312" w:hAnsi="仿宋_GB2312" w:eastAsia="仿宋_GB2312" w:cs="仿宋_GB2312"/>
          <w:b w:val="0"/>
          <w:bCs w:val="0"/>
          <w:color w:val="auto"/>
          <w:szCs w:val="24"/>
          <w:highlight w:val="none"/>
          <w:lang w:val="en-US" w:eastAsia="zh-CN"/>
        </w:rPr>
        <w:t>按照三级甲等专科医院的卫生标准，提供规范的保洁服务（含护工服务）并配合医院做好各类检查和突发性公卫事件的应急保洁。</w:t>
      </w:r>
    </w:p>
    <w:p>
      <w:pPr>
        <w:pStyle w:val="908"/>
        <w:numPr>
          <w:ilvl w:val="0"/>
          <w:numId w:val="0"/>
        </w:numPr>
        <w:shd w:val="clear"/>
        <w:bidi w:val="0"/>
        <w:spacing w:line="360" w:lineRule="exact"/>
        <w:ind w:firstLine="482" w:firstLineChars="200"/>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kern w:val="2"/>
          <w:sz w:val="24"/>
          <w:szCs w:val="24"/>
          <w:highlight w:val="none"/>
          <w:lang w:val="en-US" w:eastAsia="zh-CN" w:bidi="ar-SA"/>
        </w:rPr>
        <w:t>三、</w:t>
      </w:r>
      <w:r>
        <w:rPr>
          <w:rFonts w:hint="eastAsia" w:ascii="仿宋_GB2312" w:hAnsi="仿宋_GB2312" w:eastAsia="仿宋_GB2312" w:cs="仿宋_GB2312"/>
          <w:b/>
          <w:bCs/>
          <w:color w:val="auto"/>
          <w:szCs w:val="24"/>
          <w:highlight w:val="none"/>
          <w:lang w:val="en-US" w:eastAsia="zh-CN"/>
        </w:rPr>
        <w:t>服务内容</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1.1.1日常保洁服务：</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住院楼、门急诊楼、行政楼、康复楼、宿舍楼等全院范围含地下、屋顶、外环境等保洁服务工作；</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1.1.2专项保洁服务：</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大厅、走廊地面晶化保养，PVC地面上蜡、抛光保养，不锈钢保养,公厕保洁及玻璃清洁等；</w:t>
      </w:r>
    </w:p>
    <w:p>
      <w:pPr>
        <w:pStyle w:val="23"/>
        <w:shd w:val="clear"/>
        <w:rPr>
          <w:rFonts w:hint="default" w:eastAsia="宋体"/>
          <w:color w:val="auto"/>
          <w:highlight w:val="none"/>
          <w:lang w:val="en-US" w:eastAsia="zh-CN"/>
        </w:rPr>
      </w:pPr>
      <w:r>
        <w:rPr>
          <w:rFonts w:hint="eastAsia" w:ascii="仿宋_GB2312" w:hAnsi="仿宋_GB2312" w:eastAsia="仿宋_GB2312" w:cs="仿宋_GB2312"/>
          <w:color w:val="auto"/>
          <w:szCs w:val="24"/>
          <w:highlight w:val="none"/>
          <w:lang w:val="en-US" w:eastAsia="zh-CN"/>
        </w:rPr>
        <w:t>1.1.3外墙清洗保洁服务</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highlight w:val="none"/>
          <w:lang w:val="en-US" w:eastAsia="zh-CN"/>
        </w:rPr>
        <w:t>服务期内提供1次清洗服务。</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1.1.4服务要求详见6.1保洁服务，由投标人出具详细管理方案。</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2.护工服务</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2.1接受医疗护理相关基本安全知识（包括感染控制）、生活护理技能培训；</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2.2在护士指导下协助做好患者生活护理及科室其他事务/辅助工作；</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2.3服务要求详见6.2护工服务，由投标人出具详细管理方案。</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3、岗位设置：</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3.1暂定为73人。</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3.2投标人应对承包区域内的各项服务配备人员，合计73人，根据岗位性质，工种设置分为保洁、护工、管理3种，具体人员分布见下表，投标人根据自身管理情况可对保洁、护工、管理三个岗位提供优化方案并征得采购人同意后作合理调整。</w:t>
      </w:r>
    </w:p>
    <w:p>
      <w:pPr>
        <w:pStyle w:val="908"/>
        <w:numPr>
          <w:ilvl w:val="0"/>
          <w:numId w:val="0"/>
        </w:numPr>
        <w:shd w:val="clear"/>
        <w:bidi w:val="0"/>
        <w:spacing w:line="360" w:lineRule="exact"/>
        <w:ind w:firstLine="482" w:firstLineChars="200"/>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kern w:val="2"/>
          <w:sz w:val="24"/>
          <w:szCs w:val="24"/>
          <w:highlight w:val="none"/>
          <w:lang w:val="en-US" w:eastAsia="zh-CN" w:bidi="ar-SA"/>
        </w:rPr>
        <w:t>四、</w:t>
      </w:r>
      <w:r>
        <w:rPr>
          <w:rFonts w:hint="eastAsia" w:ascii="仿宋_GB2312" w:hAnsi="仿宋_GB2312" w:eastAsia="仿宋_GB2312" w:cs="仿宋_GB2312"/>
          <w:b/>
          <w:bCs/>
          <w:color w:val="auto"/>
          <w:szCs w:val="24"/>
          <w:highlight w:val="none"/>
          <w:lang w:val="en-US" w:eastAsia="zh-CN"/>
        </w:rPr>
        <w:t>综合要求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4.1</w:t>
      </w:r>
      <w:r>
        <w:rPr>
          <w:rFonts w:hint="eastAsia" w:ascii="仿宋_GB2312" w:hAnsi="仿宋_GB2312" w:eastAsia="仿宋_GB2312" w:cs="仿宋_GB2312"/>
          <w:color w:val="auto"/>
          <w:szCs w:val="24"/>
          <w:highlight w:val="none"/>
          <w:lang w:val="zh-CN"/>
        </w:rPr>
        <w:t>用工要求：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1</w:t>
      </w:r>
      <w:r>
        <w:rPr>
          <w:rFonts w:hint="eastAsia" w:ascii="仿宋_GB2312" w:hAnsi="仿宋_GB2312" w:eastAsia="仿宋_GB2312" w:cs="仿宋_GB2312"/>
          <w:color w:val="auto"/>
          <w:szCs w:val="24"/>
          <w:highlight w:val="none"/>
          <w:lang w:val="zh-CN"/>
        </w:rPr>
        <w:t>.1管理团队：派遣到医院的项目管理人员需常驻医院；项目管理人员负责所有事务，应具有医院保洁、护工管理</w:t>
      </w:r>
      <w:r>
        <w:rPr>
          <w:rFonts w:hint="eastAsia" w:ascii="仿宋_GB2312" w:hAnsi="仿宋_GB2312" w:eastAsia="仿宋_GB2312" w:cs="仿宋_GB2312"/>
          <w:color w:val="auto"/>
          <w:szCs w:val="24"/>
          <w:highlight w:val="none"/>
          <w:lang w:val="en-US" w:eastAsia="zh-CN"/>
        </w:rPr>
        <w:t>能力</w:t>
      </w:r>
      <w:r>
        <w:rPr>
          <w:rFonts w:hint="eastAsia" w:ascii="仿宋_GB2312" w:hAnsi="仿宋_GB2312" w:eastAsia="仿宋_GB2312" w:cs="仿宋_GB2312"/>
          <w:color w:val="auto"/>
          <w:szCs w:val="24"/>
          <w:highlight w:val="none"/>
          <w:lang w:val="zh-CN"/>
        </w:rPr>
        <w:t>，熟悉各岗位的操作流程，懂得保洁、护理等专业知识和医院的消毒标准及处理流程；未经</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允许，</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不得擅自更换项目管理人员。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1</w:t>
      </w:r>
      <w:r>
        <w:rPr>
          <w:rFonts w:hint="eastAsia" w:ascii="仿宋_GB2312" w:hAnsi="仿宋_GB2312" w:eastAsia="仿宋_GB2312" w:cs="仿宋_GB2312"/>
          <w:color w:val="auto"/>
          <w:szCs w:val="24"/>
          <w:highlight w:val="none"/>
          <w:lang w:val="zh-CN"/>
        </w:rPr>
        <w:t>.2年龄要求：</w:t>
      </w:r>
      <w:r>
        <w:rPr>
          <w:rFonts w:hint="eastAsia" w:ascii="仿宋_GB2312" w:hAnsi="宋体" w:eastAsia="仿宋_GB2312" w:cs="Times New Roman"/>
          <w:color w:val="auto"/>
          <w:sz w:val="24"/>
          <w:szCs w:val="24"/>
          <w:highlight w:val="none"/>
          <w:lang w:val="en-US" w:eastAsia="zh-CN"/>
        </w:rPr>
        <w:t>服务人员年龄结构为18周岁以上，男性上限不得高于70周岁，女性上限不得高于65周岁；要求女性在50周岁及以下，男性在60周岁及以下的人数占比大于总人数的10%</w:t>
      </w:r>
      <w:r>
        <w:rPr>
          <w:rFonts w:hint="eastAsia" w:ascii="仿宋_GB2312" w:hAnsi="宋体" w:eastAsia="仿宋_GB2312"/>
          <w:color w:val="auto"/>
          <w:sz w:val="24"/>
          <w:szCs w:val="24"/>
          <w:highlight w:val="none"/>
          <w:lang w:val="zh-CN"/>
        </w:rPr>
        <w:t>；管理岗、</w:t>
      </w:r>
      <w:r>
        <w:rPr>
          <w:rFonts w:hint="eastAsia" w:ascii="仿宋_GB2312" w:hAnsi="仿宋_GB2312" w:eastAsia="仿宋_GB2312" w:cs="仿宋_GB2312"/>
          <w:color w:val="auto"/>
          <w:szCs w:val="24"/>
          <w:highlight w:val="none"/>
          <w:lang w:val="zh-CN"/>
        </w:rPr>
        <w:t>护工要求初中以上文化，保洁人员小学以上或能看懂报纸，身体情况能满足岗位需要。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1</w:t>
      </w:r>
      <w:r>
        <w:rPr>
          <w:rFonts w:hint="eastAsia" w:ascii="仿宋_GB2312" w:hAnsi="仿宋_GB2312" w:eastAsia="仿宋_GB2312" w:cs="仿宋_GB2312"/>
          <w:color w:val="auto"/>
          <w:szCs w:val="24"/>
          <w:highlight w:val="none"/>
          <w:lang w:val="zh-CN"/>
        </w:rPr>
        <w:t>.3薪金发放：投标人的用工必须按《中华人民共和国劳动法》和绍兴市人民政府有关各部门规定，与员工签订正式劳动合同，投标人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w:t>
      </w:r>
      <w:r>
        <w:rPr>
          <w:rFonts w:hint="eastAsia" w:ascii="仿宋_GB2312" w:hAnsi="仿宋_GB2312" w:eastAsia="仿宋_GB2312" w:cs="仿宋_GB2312"/>
          <w:color w:val="auto"/>
          <w:szCs w:val="24"/>
          <w:highlight w:val="none"/>
          <w:lang w:val="en-US" w:eastAsia="zh-CN"/>
        </w:rPr>
        <w:t>投标</w:t>
      </w:r>
      <w:r>
        <w:rPr>
          <w:rFonts w:hint="eastAsia" w:ascii="仿宋_GB2312" w:hAnsi="仿宋_GB2312" w:eastAsia="仿宋_GB2312" w:cs="仿宋_GB2312"/>
          <w:color w:val="auto"/>
          <w:szCs w:val="24"/>
          <w:highlight w:val="none"/>
          <w:lang w:val="zh-CN"/>
        </w:rPr>
        <w:t>总价中。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1</w:t>
      </w:r>
      <w:r>
        <w:rPr>
          <w:rFonts w:hint="eastAsia" w:ascii="仿宋_GB2312" w:hAnsi="仿宋_GB2312" w:eastAsia="仿宋_GB2312" w:cs="仿宋_GB2312"/>
          <w:color w:val="auto"/>
          <w:szCs w:val="24"/>
          <w:highlight w:val="none"/>
          <w:lang w:val="zh-CN"/>
        </w:rPr>
        <w:t>.4工作时间：投标人全年365天运行，其工作时间必须符合《中华人民共和国劳动法》规定，并满足</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的工作要求，包括双休日及公众假期。体检要求：所有员工入职前均须体检，体检合格方能上岗（</w:t>
      </w:r>
      <w:r>
        <w:rPr>
          <w:rFonts w:hint="eastAsia" w:ascii="仿宋_GB2312" w:hAnsi="仿宋_GB2312" w:eastAsia="仿宋_GB2312" w:cs="仿宋_GB2312"/>
          <w:color w:val="auto"/>
          <w:szCs w:val="24"/>
          <w:highlight w:val="none"/>
          <w:lang w:val="en-US" w:eastAsia="zh-CN"/>
        </w:rPr>
        <w:t>体检包括</w:t>
      </w:r>
      <w:r>
        <w:rPr>
          <w:rFonts w:hint="eastAsia" w:ascii="仿宋_GB2312" w:hAnsi="仿宋_GB2312" w:eastAsia="仿宋_GB2312" w:cs="仿宋_GB2312"/>
          <w:color w:val="auto"/>
          <w:szCs w:val="24"/>
          <w:highlight w:val="none"/>
          <w:lang w:val="zh-CN"/>
        </w:rPr>
        <w:t>艾滋、梅毒、肝炎等传染性项目），相关报告上交</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总务科，费用由投标人承担。</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4.2管理要求：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2</w:t>
      </w:r>
      <w:r>
        <w:rPr>
          <w:rFonts w:hint="eastAsia" w:ascii="仿宋_GB2312" w:hAnsi="仿宋_GB2312" w:eastAsia="仿宋_GB2312" w:cs="仿宋_GB2312"/>
          <w:color w:val="auto"/>
          <w:szCs w:val="24"/>
          <w:highlight w:val="none"/>
          <w:lang w:val="zh-CN"/>
        </w:rPr>
        <w:t>.1坚持“以病人为中心”的宗旨，结合医疗工作的特性，</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按照</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的具体要求并在相关职能科室的督导下开展保洁、护工等工作。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2</w:t>
      </w:r>
      <w:r>
        <w:rPr>
          <w:rFonts w:hint="eastAsia" w:ascii="仿宋_GB2312" w:hAnsi="仿宋_GB2312" w:eastAsia="仿宋_GB2312" w:cs="仿宋_GB2312"/>
          <w:color w:val="auto"/>
          <w:szCs w:val="24"/>
          <w:highlight w:val="none"/>
          <w:lang w:val="zh-CN"/>
        </w:rPr>
        <w:t>.2</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必须有健全的组织机构，完善的质量监督体系，良好的企业员工形象，所有人员由</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统一招聘、统一培训、统一管理。</w:t>
      </w:r>
    </w:p>
    <w:p>
      <w:pPr>
        <w:pStyle w:val="908"/>
        <w:shd w:val="clear"/>
        <w:bidi w:val="0"/>
        <w:spacing w:line="360" w:lineRule="exact"/>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2</w:t>
      </w:r>
      <w:r>
        <w:rPr>
          <w:rFonts w:hint="eastAsia" w:ascii="仿宋_GB2312" w:hAnsi="仿宋_GB2312" w:eastAsia="仿宋_GB2312" w:cs="仿宋_GB2312"/>
          <w:color w:val="auto"/>
          <w:szCs w:val="24"/>
          <w:highlight w:val="none"/>
          <w:lang w:val="zh-CN"/>
        </w:rPr>
        <w:t>.3科学、合理地安排各区域的服务人员及工作时间，采用动态管理方式，保持</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的卫生清洁；保证优质服务；确保标本、报告等物品及时、准确送达</w:t>
      </w:r>
      <w:r>
        <w:rPr>
          <w:rFonts w:hint="eastAsia" w:ascii="仿宋_GB2312" w:hAnsi="仿宋_GB2312" w:eastAsia="仿宋_GB2312" w:cs="仿宋_GB2312"/>
          <w:color w:val="auto"/>
          <w:szCs w:val="24"/>
          <w:highlight w:val="none"/>
          <w:lang w:eastAsia="zh-CN"/>
        </w:rPr>
        <w:t>。</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rPr>
        <w:t>2</w:t>
      </w:r>
      <w:r>
        <w:rPr>
          <w:rFonts w:hint="eastAsia" w:ascii="仿宋_GB2312" w:hAnsi="仿宋_GB2312" w:eastAsia="仿宋_GB2312" w:cs="仿宋_GB2312"/>
          <w:color w:val="auto"/>
          <w:szCs w:val="24"/>
          <w:highlight w:val="none"/>
          <w:lang w:val="zh-CN"/>
        </w:rPr>
        <w:t>.4制订切实可行的管理制度，包括员工招聘、培训制度；员工岗位责任制；员工劳动纪律和行为规范；员工奖惩制度；各类检查、考核制度；设备、工具使用、存放、保养制度；工作应急预案。</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4.2.5</w:t>
      </w:r>
      <w:r>
        <w:rPr>
          <w:rFonts w:hint="eastAsia" w:ascii="仿宋_GB2312" w:hAnsi="仿宋_GB2312" w:eastAsia="仿宋_GB2312" w:cs="仿宋_GB2312"/>
          <w:color w:val="auto"/>
          <w:szCs w:val="24"/>
          <w:highlight w:val="none"/>
          <w:lang w:eastAsia="zh-CN"/>
        </w:rPr>
        <w:t>投标人</w:t>
      </w:r>
      <w:r>
        <w:rPr>
          <w:rFonts w:hint="eastAsia" w:ascii="仿宋_GB2312" w:hAnsi="仿宋_GB2312" w:eastAsia="仿宋_GB2312" w:cs="仿宋_GB2312"/>
          <w:color w:val="auto"/>
          <w:szCs w:val="24"/>
          <w:highlight w:val="none"/>
        </w:rPr>
        <w:t>全体工作人员必须无条件服从</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疫情常态化管理。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4.3培训要求：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4.3.1投标人要求对工人进行岗前、岗中培训，服务人员100%经过岗前培训合格才能上岗。</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4.3.2</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对保洁服务人员进行院感知识、消防知识的培训，特别是新进人员，要求通过培训后才能上岗。</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4.3.3投标人参加</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组织的各项安全、院感等培训。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4.4监督要求：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4.4.1各病区及科室的保洁服务员工由各科室进行考勤并参与考核；公共区域部分由总务科统一进行考勤、考核；总务科做好对管理人员的考核工作；投标人的管理人员做好员工的操作流程、服务质量管理。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4.4.2投标人有责任配合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接受上级领导部门的监督、检查，并提供必须的材料。</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4.4.3投标人在项目运作中必须定期向</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汇报工作情况，</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每月一次对保洁服务进行抽查、暗访等自查工作，并将检查结果报</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，主动接受</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领导和相关部门的监督，根据</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要求进行整改。对于科室提出的不满意员工，经调查核实，投标人须在7日内调整完毕。</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4.4.4严格控制各类服务人员数量，如</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调整服务区域或服务内容，则各类服务人员作相应的增减，并按成交价人均工资进行相应的调整，</w:t>
      </w:r>
      <w:r>
        <w:rPr>
          <w:rFonts w:hint="eastAsia" w:ascii="仿宋_GB2312" w:hAnsi="仿宋_GB2312" w:eastAsia="仿宋_GB2312" w:cs="仿宋_GB2312"/>
          <w:color w:val="auto"/>
          <w:szCs w:val="24"/>
          <w:highlight w:val="none"/>
          <w:lang w:val="en-US" w:eastAsia="zh-CN"/>
        </w:rPr>
        <w:t>但最终结算价格不超过投标总价</w:t>
      </w:r>
      <w:r>
        <w:rPr>
          <w:rFonts w:hint="eastAsia" w:ascii="仿宋_GB2312" w:hAnsi="仿宋_GB2312" w:eastAsia="仿宋_GB2312" w:cs="仿宋_GB2312"/>
          <w:color w:val="auto"/>
          <w:szCs w:val="24"/>
          <w:highlight w:val="none"/>
          <w:lang w:val="zh-CN"/>
        </w:rPr>
        <w:t>。各岗位人员设置要求固定，不得缺岗、拼岗、脱岗，</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将不定期抽查投入的人员数量。</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4.4.5投标人须严格做好医疗废弃物管理工作，因投标人内部管理失误造成医疗废弃物外流，经查实，视情节轻重对投标人处罚，触犯法律的，提交司法处理。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4.4.6投标人必须协助</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调查、处理有关投诉，并根据</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 xml:space="preserve">要求及时处理。     </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4.5耗品、器材要求：投标人应承担全年所需的清洁剂、洗涤剂、消毒剂、消毒纸、各类垃圾袋（除医疗垃圾袋外）、不锈钢油、地面保护材料（推荐品牌：庄臣、3M、威霸、奥林匹斯）等各类耗材；提供满足清洁用拖把、扫把、玻璃刮刀、桶类等相关器材；提供各种设备、笔类、打印纸、复印类、墨盒等办公用品，所有上述耗品及器材符合国家标准和</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院感科要求。</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负责提供各类垃圾桶、医疗垃圾袋，负责生活垃圾、医疗垃圾的外运费和垃圾处理费用。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4.6着装要求：投标人工作人员统一着装，佩戴胸牌，仪表端庄，语言文明，服装样式由双方协商确定，费用和制作均由投标人负担。</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4.7应急要求：积极配合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完成突发性工作，配合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应对上级各项迎检工作、突发性公共卫生事件；服从</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指挥与安排，在人员流动性大的路口、门口、广场、大厅等位置加大保洁力度和频率，并指定专职人员协助工作，直至完成。</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4.8禁烟要求：严禁服务人员在院内吸烟，部分工作人员上班需佩戴“禁烟巡查员”标志，在看到有在公共场所吸烟的应予以劝止。</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4.9质量要求：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优质服务且必须符合国家法律法规、行业标准及本表文所有条款要求。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rPr>
        <w:t>5、</w:t>
      </w:r>
      <w:r>
        <w:rPr>
          <w:rFonts w:hint="eastAsia" w:ascii="仿宋_GB2312" w:hAnsi="仿宋_GB2312" w:eastAsia="仿宋_GB2312" w:cs="仿宋_GB2312"/>
          <w:color w:val="auto"/>
          <w:szCs w:val="24"/>
          <w:highlight w:val="none"/>
          <w:lang w:val="zh-CN"/>
        </w:rPr>
        <w:t>经费结算：</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5.1</w:t>
      </w:r>
      <w:r>
        <w:rPr>
          <w:rFonts w:hint="eastAsia" w:ascii="仿宋_GB2312" w:hAnsi="仿宋_GB2312" w:eastAsia="仿宋_GB2312" w:cs="仿宋_GB2312"/>
          <w:color w:val="auto"/>
          <w:szCs w:val="24"/>
          <w:highlight w:val="none"/>
          <w:lang w:val="zh-CN"/>
        </w:rPr>
        <w:t>由投标人承担完成服务内容所需要的一切费用，包括但不限于工具、材料、通讯、服装、胸卡、办公设备、桌椅柜子、巡检器材、人工、保险、社保、加班费、利润、税金、政策性文件规定及合同包含的所有风险、责任等。除非因特殊原因并经双方协商同意，投标人不得再要求追加任何费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rPr>
        <w:t>5.2按</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财务结算方式，发票章单位名称必须与</w:t>
      </w:r>
      <w:r>
        <w:rPr>
          <w:rFonts w:hint="eastAsia" w:ascii="仿宋_GB2312" w:hAnsi="仿宋_GB2312" w:eastAsia="仿宋_GB2312" w:cs="仿宋_GB2312"/>
          <w:color w:val="auto"/>
          <w:szCs w:val="24"/>
          <w:highlight w:val="none"/>
          <w:lang w:val="en-US" w:eastAsia="zh-CN"/>
        </w:rPr>
        <w:t>投标</w:t>
      </w:r>
      <w:r>
        <w:rPr>
          <w:rFonts w:hint="eastAsia" w:ascii="仿宋_GB2312" w:hAnsi="仿宋_GB2312" w:eastAsia="仿宋_GB2312" w:cs="仿宋_GB2312"/>
          <w:color w:val="auto"/>
          <w:szCs w:val="24"/>
          <w:highlight w:val="none"/>
        </w:rPr>
        <w:t>时公章名称相符合，否则</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有权拒付相关款项，</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为</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提供保洁服务合格满一个月后，</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开具发票，原则上</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按照每月的考核结果</w:t>
      </w:r>
      <w:r>
        <w:rPr>
          <w:rFonts w:hint="eastAsia" w:ascii="仿宋_GB2312" w:hAnsi="仿宋_GB2312" w:eastAsia="仿宋_GB2312" w:cs="仿宋_GB2312"/>
          <w:color w:val="auto"/>
          <w:szCs w:val="24"/>
          <w:highlight w:val="none"/>
        </w:rPr>
        <w:t>第二个月开始支付第一个月保洁金额给</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val="zh-CN"/>
        </w:rPr>
        <w:t>支付时间：下月下旬支付本月服务费用，</w:t>
      </w:r>
      <w:r>
        <w:rPr>
          <w:rFonts w:hint="eastAsia" w:ascii="仿宋_GB2312" w:hAnsi="仿宋_GB2312" w:eastAsia="仿宋_GB2312" w:cs="仿宋_GB2312"/>
          <w:color w:val="auto"/>
          <w:szCs w:val="24"/>
          <w:highlight w:val="none"/>
        </w:rPr>
        <w:t>余款按此类推支付。</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6.具体要求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6.1保洁服务</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6.1.1保洁服务内容：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根据</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公共区域日常服务内容：地面、楼梯、扶手、起脚线、门窗玻璃、门及门窗框、纱门、纱窗、玻璃幕墙及有关附体，沙发、桌子、各类宣传牌、橱窗及有关附件，天花板、栏杆消防楼梯区域等，及时清除各种垃圾等杂物，无积灰、印迹、污渍。PVC地面定期进行抛光、喷磨、刷洗、补蜡、全面保养打蜡，石材地面定期晶面处理及保养。</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办公区域、会议室等特定区域保洁服务内容：地面、楼梯、扶手、起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负责行政区域各办公室、会议室的开水供应。</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负责病区内的清洁卫生，包括内墙、玻璃、高处灯具、通风口、地面、室内家具、楼梯、扶手、起脚线、走廊、通道、窗户、门、纱门、纱窗、桌、椅、床、柜、宣传栏、洗手间、公共通道等。</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顶篷等边缘区域服务内容：屋顶屋面、沟槽、地面、雨篷及边角区域，各种附体的表面清洁，不积水、不留杂物，排水通畅。</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设备、设施服务内容：全院区域内的自助挂号机、自助查询机等；一般机器表面清洁（除医疗设备及医院特殊规定的设备除外），空调风口及室内机外壳洗尘与保洁。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（6）</w:t>
      </w:r>
      <w:r>
        <w:rPr>
          <w:rFonts w:hint="eastAsia" w:ascii="仿宋_GB2312" w:hAnsi="仿宋_GB2312" w:eastAsia="仿宋_GB2312" w:cs="仿宋_GB2312"/>
          <w:color w:val="auto"/>
          <w:szCs w:val="24"/>
          <w:highlight w:val="none"/>
          <w:lang w:val="zh-CN"/>
        </w:rPr>
        <w:t>窗帘、床帘服务内容：保持窗帘、床帘表面清洁，普通窗帘、床帘根据窗帘、床帘清洁情况及时报告总务科。</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val="zh-CN"/>
        </w:rPr>
        <w:t>不锈钢保洁服务内容：包括所有不锈钢制品、设施、设备、除有明确规定的保洁要求外，至少每二个月用不锈钢油保养一次，亚光不锈钢表面无污渍、无灰尘，镜面不锈钢表面光亮。</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（8）</w:t>
      </w:r>
      <w:r>
        <w:rPr>
          <w:rFonts w:hint="eastAsia" w:ascii="仿宋_GB2312" w:hAnsi="仿宋_GB2312" w:eastAsia="仿宋_GB2312" w:cs="仿宋_GB2312"/>
          <w:color w:val="auto"/>
          <w:szCs w:val="24"/>
          <w:highlight w:val="none"/>
          <w:lang w:val="zh-CN"/>
        </w:rPr>
        <w:t>生活垃圾收集、清运服务：符合《绍兴市</w:t>
      </w:r>
      <w:r>
        <w:rPr>
          <w:rFonts w:hint="eastAsia" w:ascii="仿宋_GB2312" w:hAnsi="仿宋_GB2312" w:eastAsia="仿宋_GB2312" w:cs="仿宋_GB2312"/>
          <w:color w:val="auto"/>
          <w:szCs w:val="24"/>
          <w:highlight w:val="none"/>
          <w:lang w:val="zh-CN"/>
        </w:rPr>
        <w:fldChar w:fldCharType="begin"/>
      </w:r>
      <w:r>
        <w:rPr>
          <w:rFonts w:hint="eastAsia" w:ascii="仿宋_GB2312" w:hAnsi="仿宋_GB2312" w:eastAsia="仿宋_GB2312" w:cs="仿宋_GB2312"/>
          <w:color w:val="auto"/>
          <w:szCs w:val="24"/>
          <w:highlight w:val="none"/>
          <w:lang w:val="zh-CN"/>
        </w:rPr>
        <w:instrText xml:space="preserve"> HYPERLINK "https://huanbao.bjx.com.cn/topics/chengzhenshenghuolaji/" \t "https://huanbao.bjx.com.cn/news/20200324/_blank" </w:instrText>
      </w:r>
      <w:r>
        <w:rPr>
          <w:rFonts w:hint="eastAsia" w:ascii="仿宋_GB2312" w:hAnsi="仿宋_GB2312" w:eastAsia="仿宋_GB2312" w:cs="仿宋_GB2312"/>
          <w:color w:val="auto"/>
          <w:szCs w:val="24"/>
          <w:highlight w:val="none"/>
          <w:lang w:val="zh-CN"/>
        </w:rPr>
        <w:fldChar w:fldCharType="separate"/>
      </w:r>
      <w:r>
        <w:rPr>
          <w:rFonts w:hint="eastAsia" w:ascii="仿宋_GB2312" w:hAnsi="仿宋_GB2312" w:eastAsia="仿宋_GB2312" w:cs="仿宋_GB2312"/>
          <w:color w:val="auto"/>
          <w:szCs w:val="24"/>
          <w:highlight w:val="none"/>
          <w:lang w:val="zh-CN"/>
        </w:rPr>
        <w:t>城镇生活垃圾</w:t>
      </w:r>
      <w:r>
        <w:rPr>
          <w:rFonts w:hint="eastAsia" w:ascii="仿宋_GB2312" w:hAnsi="仿宋_GB2312" w:eastAsia="仿宋_GB2312" w:cs="仿宋_GB2312"/>
          <w:color w:val="auto"/>
          <w:szCs w:val="24"/>
          <w:highlight w:val="none"/>
          <w:lang w:val="zh-CN"/>
        </w:rPr>
        <w:fldChar w:fldCharType="end"/>
      </w:r>
      <w:r>
        <w:rPr>
          <w:rFonts w:hint="eastAsia" w:ascii="仿宋_GB2312" w:hAnsi="仿宋_GB2312" w:eastAsia="仿宋_GB2312" w:cs="仿宋_GB2312"/>
          <w:color w:val="auto"/>
          <w:szCs w:val="24"/>
          <w:highlight w:val="none"/>
          <w:lang w:val="zh-CN"/>
        </w:rPr>
        <w:t>分类处理三年行动方案（2020—2022年）》（绍政办发〔2019〕36 号）、绍兴市卫生健康委员会关于《绍兴市卫生健康系统机关和医疗卫生健康单位</w:t>
      </w:r>
      <w:r>
        <w:rPr>
          <w:rFonts w:hint="eastAsia" w:ascii="仿宋_GB2312" w:hAnsi="仿宋_GB2312" w:eastAsia="仿宋_GB2312" w:cs="仿宋_GB2312"/>
          <w:color w:val="auto"/>
          <w:szCs w:val="24"/>
          <w:highlight w:val="none"/>
        </w:rPr>
        <w:t>2022年</w:t>
      </w:r>
      <w:r>
        <w:rPr>
          <w:rFonts w:hint="eastAsia" w:ascii="仿宋_GB2312" w:hAnsi="仿宋_GB2312" w:eastAsia="仿宋_GB2312" w:cs="仿宋_GB2312"/>
          <w:color w:val="auto"/>
          <w:szCs w:val="24"/>
          <w:highlight w:val="none"/>
          <w:lang w:val="zh-CN"/>
        </w:rPr>
        <w:t>生活垃圾分类工作实施方案》的通知（绍卫发函[20</w:t>
      </w:r>
      <w:r>
        <w:rPr>
          <w:rFonts w:hint="eastAsia" w:ascii="仿宋_GB2312" w:hAnsi="仿宋_GB2312" w:eastAsia="仿宋_GB2312" w:cs="仿宋_GB2312"/>
          <w:color w:val="auto"/>
          <w:szCs w:val="24"/>
          <w:highlight w:val="none"/>
        </w:rPr>
        <w:t>22</w:t>
      </w:r>
      <w:r>
        <w:rPr>
          <w:rFonts w:hint="eastAsia" w:ascii="仿宋_GB2312" w:hAnsi="仿宋_GB2312" w:eastAsia="仿宋_GB2312" w:cs="仿宋_GB2312"/>
          <w:color w:val="auto"/>
          <w:szCs w:val="24"/>
          <w:highlight w:val="none"/>
          <w:lang w:val="zh-CN"/>
        </w:rPr>
        <w:t>]</w:t>
      </w:r>
      <w:r>
        <w:rPr>
          <w:rFonts w:hint="eastAsia" w:ascii="仿宋_GB2312" w:hAnsi="仿宋_GB2312" w:eastAsia="仿宋_GB2312" w:cs="仿宋_GB2312"/>
          <w:color w:val="auto"/>
          <w:szCs w:val="24"/>
          <w:highlight w:val="none"/>
        </w:rPr>
        <w:t>55</w:t>
      </w:r>
      <w:r>
        <w:rPr>
          <w:rFonts w:hint="eastAsia" w:ascii="仿宋_GB2312" w:hAnsi="仿宋_GB2312" w:eastAsia="仿宋_GB2312" w:cs="仿宋_GB2312"/>
          <w:color w:val="auto"/>
          <w:szCs w:val="24"/>
          <w:highlight w:val="none"/>
          <w:lang w:val="zh-CN"/>
        </w:rPr>
        <w:t>号）及医院制定的《</w:t>
      </w:r>
      <w:r>
        <w:rPr>
          <w:rFonts w:hint="eastAsia" w:ascii="仿宋_GB2312" w:hAnsi="仿宋_GB2312" w:eastAsia="仿宋_GB2312" w:cs="仿宋_GB2312"/>
          <w:color w:val="auto"/>
          <w:szCs w:val="24"/>
          <w:highlight w:val="none"/>
        </w:rPr>
        <w:t>202</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-202</w:t>
      </w: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生活垃圾分类工作方案》等文件要求，做到生活垃圾储运规范，专职员工每天2次及时收集垃圾，使用专用标识垃圾袋，不在客流高峰期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（9）</w:t>
      </w:r>
      <w:r>
        <w:rPr>
          <w:rFonts w:hint="eastAsia" w:ascii="仿宋_GB2312" w:hAnsi="仿宋_GB2312" w:eastAsia="仿宋_GB2312" w:cs="仿宋_GB2312"/>
          <w:color w:val="auto"/>
          <w:szCs w:val="24"/>
          <w:highlight w:val="none"/>
          <w:lang w:val="zh-CN"/>
        </w:rPr>
        <w:t>为了符合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院感的要求，用于物表、地表清洁、消毒的毛巾、地巾、拖把等所有保洁用具实行集中清洗、集中消毒，集中发放，并符合《医疗机构消毒技术规范》（ WS/T367—2012）要求,由</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提供集中清洗的场地和水电，投标人提供清洗消毒设备、烘干设备、人员及相关耗材，同时投标人必须提供充足保洁用具，确保周转，投标人尚需满足以下要求：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设立不同的洗涤、储存、浸泡、晾干、收发、消毒功能区域：</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为防止交叉感染，对不同区域的清洁工具按</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院感要求实行严格分类摆放和使用，用颜色、字标等方式进行区分；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配置专职洗涤人员；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制定集中清洗消毒工作流程；</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6.1.2保洁服务标准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rPr>
        <w:t>6.1.2.1保洁服务总体要求：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负责服务范围内环境清洁卫生</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及时收集垃圾,并送到院内指定地点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按时（每天至少1次）巡视，每层要做到干净、整洁、无蜘蛛丝，无异味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为避免尘土飞扬，按地面清洁标准，规范方法进行处理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要求对清洁工具采取集中清洗消毒，符合院感要求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（6）</w:t>
      </w:r>
      <w:r>
        <w:rPr>
          <w:rFonts w:hint="eastAsia" w:ascii="仿宋_GB2312" w:hAnsi="仿宋_GB2312" w:eastAsia="仿宋_GB2312" w:cs="仿宋_GB2312"/>
          <w:color w:val="auto"/>
          <w:szCs w:val="24"/>
          <w:highlight w:val="none"/>
          <w:lang w:val="zh-CN"/>
        </w:rPr>
        <w:t>为防止交叉感染，对不同区域的清洁工具按院感的要求实行一床一巾，拖把分色使用，分类摆放，用颜色、字标等方式进行区分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val="zh-CN"/>
        </w:rPr>
        <w:t>要求投标人配置满足功能要求的集中洗涤设备、烘干机、晶面机、洗地机、自动洗地吸水机、抛光机、吸水洗尘机、地坪/地毯吹干机，真空吸尘机、垃圾车等，清洁车辆必须是先进的全方位清洁手推车，定期对PVC、大理石、花岗岩以及其它各材质地面护理，包括PVC地面的起蜡落蜡，刷洗补蜡，喷磨和抛光等处理，大理石、花岗岩地面的晶化，翻新、保持各材质地面的光亮、整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（8）</w:t>
      </w:r>
      <w:r>
        <w:rPr>
          <w:rFonts w:hint="eastAsia" w:ascii="仿宋_GB2312" w:hAnsi="仿宋_GB2312" w:eastAsia="仿宋_GB2312" w:cs="仿宋_GB2312"/>
          <w:color w:val="auto"/>
          <w:szCs w:val="24"/>
          <w:highlight w:val="none"/>
          <w:lang w:val="zh-CN"/>
        </w:rPr>
        <w:t>投标人负责提供保洁用的清洁剂、洗涤剂、消毒剂和地面保护材料，并符合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院感的要求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（9）</w:t>
      </w:r>
      <w:r>
        <w:rPr>
          <w:rFonts w:hint="eastAsia" w:ascii="仿宋_GB2312" w:hAnsi="仿宋_GB2312" w:eastAsia="仿宋_GB2312" w:cs="仿宋_GB2312"/>
          <w:color w:val="auto"/>
          <w:szCs w:val="24"/>
          <w:highlight w:val="none"/>
          <w:lang w:val="zh-CN"/>
        </w:rPr>
        <w:t>门急诊区域内的公厕实行专人负责，定时巡扫</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（10）采购人</w:t>
      </w:r>
      <w:r>
        <w:rPr>
          <w:rFonts w:hint="eastAsia" w:ascii="仿宋_GB2312" w:hAnsi="仿宋_GB2312" w:eastAsia="仿宋_GB2312" w:cs="仿宋_GB2312"/>
          <w:color w:val="auto"/>
          <w:szCs w:val="24"/>
          <w:highlight w:val="none"/>
          <w:lang w:val="zh-CN"/>
        </w:rPr>
        <w:t>区域内的道路、停车场和门前“三包”及所有公共区域的地面无有形垃圾和建筑垃圾，无堆积杂物，无积灰，无积水，无阻塞等，做到每日清扫两次，巡回保洁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（11）</w:t>
      </w:r>
      <w:r>
        <w:rPr>
          <w:rFonts w:hint="eastAsia" w:ascii="仿宋_GB2312" w:hAnsi="仿宋_GB2312" w:eastAsia="仿宋_GB2312" w:cs="仿宋_GB2312"/>
          <w:color w:val="auto"/>
          <w:szCs w:val="24"/>
          <w:highlight w:val="none"/>
          <w:lang w:val="zh-CN"/>
        </w:rPr>
        <w:t>日常巡视如发现设施设备故障或安全隐患时须及时上报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（12）</w:t>
      </w:r>
      <w:r>
        <w:rPr>
          <w:rFonts w:hint="eastAsia" w:ascii="仿宋_GB2312" w:hAnsi="仿宋_GB2312" w:eastAsia="仿宋_GB2312" w:cs="仿宋_GB2312"/>
          <w:color w:val="auto"/>
          <w:szCs w:val="24"/>
          <w:highlight w:val="none"/>
          <w:lang w:val="zh-CN"/>
        </w:rPr>
        <w:t>配合做好节能工作，关好空调房的门窗，杜绝衣服乱晒乱挂现象</w:t>
      </w:r>
    </w:p>
    <w:p>
      <w:pPr>
        <w:pStyle w:val="908"/>
        <w:shd w:val="clear"/>
        <w:bidi w:val="0"/>
        <w:spacing w:line="360" w:lineRule="exact"/>
        <w:rPr>
          <w:rFonts w:hint="eastAsia" w:ascii="仿宋_GB2312" w:hAnsi="仿宋_GB2312" w:eastAsia="仿宋_GB2312" w:cs="仿宋_GB2312"/>
          <w:b/>
          <w:bCs/>
          <w:color w:val="auto"/>
          <w:szCs w:val="24"/>
          <w:highlight w:val="none"/>
          <w:lang w:val="zh-CN"/>
        </w:rPr>
      </w:pPr>
      <w:r>
        <w:rPr>
          <w:rFonts w:hint="eastAsia" w:ascii="仿宋_GB2312" w:hAnsi="仿宋_GB2312" w:eastAsia="仿宋_GB2312" w:cs="仿宋_GB2312"/>
          <w:b/>
          <w:bCs/>
          <w:color w:val="auto"/>
          <w:szCs w:val="24"/>
          <w:highlight w:val="none"/>
        </w:rPr>
        <w:t>6.1.2.2</w:t>
      </w:r>
      <w:r>
        <w:rPr>
          <w:rFonts w:hint="eastAsia" w:ascii="仿宋_GB2312" w:hAnsi="仿宋_GB2312" w:eastAsia="仿宋_GB2312" w:cs="仿宋_GB2312"/>
          <w:b/>
          <w:bCs/>
          <w:color w:val="auto"/>
          <w:szCs w:val="24"/>
          <w:highlight w:val="none"/>
          <w:lang w:val="zh-CN"/>
        </w:rPr>
        <w:t>保洁服务分项要求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户外清洁卫生标准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外围的所有路面、通道、停车场等公共区域原则上做到无纸屑、无烟头、无污水、无瓜皮果壳、无痰迹.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花园、花坛内无杂物、石凳、石桌上保持洁净</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垃圾箱内外保持清洁，及时处理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应完成的其余工作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公共场所、大厅保洁卫生标准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大理石地面清洁光亮无尘土污迹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休息处清洁、无污迹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休息处的候诊椅、沙发、茶几保持干净，垃圾及时处理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建筑物室外3米以下玻璃保持光洁、明亮、大堂室内4米以下玻璃保持光洁、明亮。</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地面无烟蒂，保持整洁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大门、门把手上无手印、无尘、无污迹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公共卫生间保持清洁、无异味、无污垢</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电梯间天花板、不锈钢墙面清洁光亮、不锈钢门和电梯轿厢每周上油一次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9)</w:t>
      </w:r>
      <w:r>
        <w:rPr>
          <w:rFonts w:hint="eastAsia" w:ascii="仿宋_GB2312" w:hAnsi="仿宋_GB2312" w:eastAsia="仿宋_GB2312" w:cs="仿宋_GB2312"/>
          <w:color w:val="auto"/>
          <w:szCs w:val="24"/>
          <w:highlight w:val="none"/>
          <w:lang w:val="zh-CN"/>
        </w:rPr>
        <w:t>各服务台饰面清洁光亮无尘迹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10)</w:t>
      </w:r>
      <w:r>
        <w:rPr>
          <w:rFonts w:hint="eastAsia" w:ascii="仿宋_GB2312" w:hAnsi="仿宋_GB2312" w:eastAsia="仿宋_GB2312" w:cs="仿宋_GB2312"/>
          <w:color w:val="auto"/>
          <w:szCs w:val="24"/>
          <w:highlight w:val="none"/>
          <w:lang w:val="zh-CN"/>
        </w:rPr>
        <w:t>公共场所、走廊、过道无堆放杂物，墙面无蜘蛛网、鞋印、小广告等污迹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11)</w:t>
      </w:r>
      <w:r>
        <w:rPr>
          <w:rFonts w:hint="eastAsia" w:ascii="仿宋_GB2312" w:hAnsi="仿宋_GB2312" w:eastAsia="仿宋_GB2312" w:cs="仿宋_GB2312"/>
          <w:color w:val="auto"/>
          <w:szCs w:val="24"/>
          <w:highlight w:val="none"/>
          <w:lang w:val="zh-CN"/>
        </w:rPr>
        <w:t>区域内的自助挂号、查询机的保洁消毒使用专用的一次性杀菌无纺布，保证一天一次以上</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12)</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13)</w:t>
      </w:r>
      <w:r>
        <w:rPr>
          <w:rFonts w:hint="eastAsia" w:ascii="仿宋_GB2312" w:hAnsi="仿宋_GB2312" w:eastAsia="仿宋_GB2312" w:cs="仿宋_GB2312"/>
          <w:color w:val="auto"/>
          <w:szCs w:val="24"/>
          <w:highlight w:val="none"/>
          <w:lang w:val="zh-CN"/>
        </w:rPr>
        <w:t>垃圾桶必须专人检查，垃圾按分类标准进行捡放，如果垃圾筒超过三分之二，就应及时清倒，垃圾袋不得有破损，否则会导致垃圾溢出。垃圾袋按标准套放，垃圾筒定期清洗、消毒，内外壁干净、干燥、无异味。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14)</w:t>
      </w:r>
      <w:r>
        <w:rPr>
          <w:rFonts w:hint="eastAsia" w:ascii="仿宋_GB2312" w:hAnsi="仿宋_GB2312" w:eastAsia="仿宋_GB2312" w:cs="仿宋_GB2312"/>
          <w:color w:val="auto"/>
          <w:szCs w:val="24"/>
          <w:highlight w:val="none"/>
          <w:lang w:val="zh-CN"/>
        </w:rPr>
        <w:t>应完成的其他工作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地胶板（PVC）、地面石材维护、保养</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院区内所有地胶板（PVC）每</w:t>
      </w:r>
      <w:r>
        <w:rPr>
          <w:rFonts w:hint="eastAsia" w:ascii="仿宋_GB2312" w:hAnsi="仿宋_GB2312" w:eastAsia="仿宋_GB2312" w:cs="仿宋_GB2312"/>
          <w:color w:val="auto"/>
          <w:szCs w:val="24"/>
          <w:highlight w:val="none"/>
          <w:lang w:val="en-US" w:eastAsia="zh-CN"/>
        </w:rPr>
        <w:t>5个月</w:t>
      </w:r>
      <w:r>
        <w:rPr>
          <w:rFonts w:hint="eastAsia" w:ascii="仿宋_GB2312" w:hAnsi="仿宋_GB2312" w:eastAsia="仿宋_GB2312" w:cs="仿宋_GB2312"/>
          <w:color w:val="auto"/>
          <w:szCs w:val="24"/>
          <w:highlight w:val="none"/>
          <w:lang w:val="zh-CN"/>
        </w:rPr>
        <w:t>打蜡1次，特殊情况按实际需要执行</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再次打蜡前，须将陈蜡去除后，方可重新打蜡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地胶板、石材维护的机器设备必须满足实际工作需要，低噪音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室内石材地面须定期清洗，各楼层石材地面定期做晶面养护</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平时地胶板上的顽固污垢，应对其擦拭去除</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地胶板打蜡的须环保，无刺激性气味，选用百丽珠、3M、庄臣或同档次及以上品牌</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工作时应放置“工作进行中”“小心地滑”的警告牌，有安全措施，确保工作时各类人员的安全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应完成的其余工作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各楼层清洁卫生标准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走廊地面、电梯厅墙面光亮清洁无尘、无水迹；各层面电梯按键清洁无污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安全通道、楼梯清洁无垃圾及卫生死角，楼梯扶手、画框、栏杆、灯罩无灰尘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烟道通风口经常擦拭无积灰</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污洗间、开水间、晾衣间保持干净无积水</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不锈钢水池等保持光亮，每周上油一次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示教室保持整洁干净，随时可用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公共设施、消防设施外表面保持整洁无尘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保持各诊室、治疗室、护理站、医生办公室、主任办公室、医护值班室等各种台面、地面、家具表面、冰箱表面及椅子洁净无尘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9)</w:t>
      </w:r>
      <w:r>
        <w:rPr>
          <w:rFonts w:hint="eastAsia" w:ascii="仿宋_GB2312" w:hAnsi="仿宋_GB2312" w:eastAsia="仿宋_GB2312" w:cs="仿宋_GB2312"/>
          <w:color w:val="auto"/>
          <w:szCs w:val="24"/>
          <w:highlight w:val="none"/>
          <w:lang w:val="zh-CN"/>
        </w:rPr>
        <w:t>保持病区宣传栏、门、玻璃窗内洁净，无乱贴画、广告，无乱堆放杂物</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10)</w:t>
      </w:r>
      <w:r>
        <w:rPr>
          <w:rFonts w:hint="eastAsia" w:ascii="仿宋_GB2312" w:hAnsi="仿宋_GB2312" w:eastAsia="仿宋_GB2312" w:cs="仿宋_GB2312"/>
          <w:color w:val="auto"/>
          <w:szCs w:val="24"/>
          <w:highlight w:val="none"/>
          <w:lang w:val="zh-CN"/>
        </w:rPr>
        <w:t>各病区走廊、墙</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lang w:val="zh-CN"/>
        </w:rPr>
        <w:t>面、扶手、玻璃窗内必须洁净光亮、整洁，不得有任何污迹、烟头</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11)</w:t>
      </w:r>
      <w:r>
        <w:rPr>
          <w:rFonts w:hint="eastAsia" w:ascii="仿宋_GB2312" w:hAnsi="仿宋_GB2312" w:eastAsia="仿宋_GB2312" w:cs="仿宋_GB2312"/>
          <w:color w:val="auto"/>
          <w:szCs w:val="24"/>
          <w:highlight w:val="none"/>
          <w:lang w:val="zh-CN"/>
        </w:rPr>
        <w:t>分类处理垃圾：垃圾箱内外保持清洁，及时处理，无散乱垃圾，无积水，无异味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12)</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13)</w:t>
      </w:r>
      <w:r>
        <w:rPr>
          <w:rFonts w:hint="eastAsia" w:ascii="仿宋_GB2312" w:hAnsi="仿宋_GB2312" w:eastAsia="仿宋_GB2312" w:cs="仿宋_GB2312"/>
          <w:color w:val="auto"/>
          <w:szCs w:val="24"/>
          <w:highlight w:val="none"/>
          <w:lang w:val="zh-CN"/>
        </w:rPr>
        <w:t>应完成的其余工作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病房清洁卫生标准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病房要求：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保持病房安静、整洁、舒适、安全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病房内墙面、桌面、床档、输液架及设备带清洁、无尘；地面无垃圾、无污迹，保持干净</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病房窗帘、床帘：拆、挂符合标准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电视机表面无积灰</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病房的冰箱，里外须保持干净</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热水瓶外干净无污迹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沙发、茶几、电话机表面干净无污迹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橱柜表面无积灰，抽屉表面干净无污迹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9)</w:t>
      </w:r>
      <w:r>
        <w:rPr>
          <w:rFonts w:hint="eastAsia" w:ascii="仿宋_GB2312" w:hAnsi="仿宋_GB2312" w:eastAsia="仿宋_GB2312" w:cs="仿宋_GB2312"/>
          <w:color w:val="auto"/>
          <w:szCs w:val="24"/>
          <w:highlight w:val="none"/>
          <w:lang w:val="zh-CN"/>
        </w:rPr>
        <w:t>垃圾桶内外清洁，垃圾袋按标准套放</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10)</w:t>
      </w:r>
      <w:r>
        <w:rPr>
          <w:rFonts w:hint="eastAsia" w:ascii="仿宋_GB2312" w:hAnsi="仿宋_GB2312" w:eastAsia="仿宋_GB2312" w:cs="仿宋_GB2312"/>
          <w:color w:val="auto"/>
          <w:szCs w:val="24"/>
          <w:highlight w:val="none"/>
          <w:lang w:val="zh-CN"/>
        </w:rPr>
        <w:t>墙面、空调风口表面无积灰</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11)</w:t>
      </w:r>
      <w:r>
        <w:rPr>
          <w:rFonts w:hint="eastAsia" w:ascii="仿宋_GB2312" w:hAnsi="仿宋_GB2312" w:eastAsia="仿宋_GB2312" w:cs="仿宋_GB2312"/>
          <w:color w:val="auto"/>
          <w:szCs w:val="24"/>
          <w:highlight w:val="none"/>
          <w:lang w:val="zh-CN"/>
        </w:rPr>
        <w:t>病房四角无蜘蛛网尘埃</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12)</w:t>
      </w:r>
      <w:r>
        <w:rPr>
          <w:rFonts w:hint="eastAsia" w:ascii="仿宋_GB2312" w:hAnsi="仿宋_GB2312" w:eastAsia="仿宋_GB2312" w:cs="仿宋_GB2312"/>
          <w:color w:val="auto"/>
          <w:szCs w:val="24"/>
          <w:highlight w:val="none"/>
          <w:lang w:val="zh-CN"/>
        </w:rPr>
        <w:t>玻璃窗清洁光亮、窗台、窗轨清洁无尘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13)</w:t>
      </w:r>
      <w:r>
        <w:rPr>
          <w:rFonts w:hint="eastAsia" w:ascii="仿宋_GB2312" w:hAnsi="仿宋_GB2312" w:eastAsia="仿宋_GB2312" w:cs="仿宋_GB2312"/>
          <w:color w:val="auto"/>
          <w:szCs w:val="24"/>
          <w:highlight w:val="none"/>
          <w:lang w:val="zh-CN"/>
        </w:rPr>
        <w:t>进入病房，应尽量集中作业，避免在病人休息和用餐时间进行清洁，清洁动作轻，不得碰坏病人用品，要避免发出大的响声，轻拿轻放</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14)</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15)</w:t>
      </w:r>
      <w:r>
        <w:rPr>
          <w:rFonts w:hint="eastAsia" w:ascii="仿宋_GB2312" w:hAnsi="仿宋_GB2312" w:eastAsia="仿宋_GB2312" w:cs="仿宋_GB2312"/>
          <w:color w:val="auto"/>
          <w:szCs w:val="24"/>
          <w:highlight w:val="none"/>
          <w:lang w:val="zh-CN"/>
        </w:rPr>
        <w:t>应完成的其余工作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卫生间要求（包括公共卫生间）</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镜子明亮，无积灰、水迹及污渍</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天花板无积灰，蜘蛛网</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灯箱装饰板表面无积灰</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坐厕盖板、座板清洁无水迹、内壁外壁无污迹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洗脸盆和沐浴房所有金属器表面清洁光亮、瓷盆内壁无水珠或皂渍，水塞无毛发</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墙面、墙身面砖清洁光亮，无污迹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沐浴房玻璃门干净，无污迹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毛巾架光亮无水迹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9)</w:t>
      </w:r>
      <w:r>
        <w:rPr>
          <w:rFonts w:hint="eastAsia" w:ascii="仿宋_GB2312" w:hAnsi="仿宋_GB2312" w:eastAsia="仿宋_GB2312" w:cs="仿宋_GB2312"/>
          <w:color w:val="auto"/>
          <w:szCs w:val="24"/>
          <w:highlight w:val="none"/>
          <w:lang w:val="zh-CN"/>
        </w:rPr>
        <w:t>地漏无异味，地漏盖盖好，地砖擦拭干净，无烟灰及毛发留下</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10)</w:t>
      </w:r>
      <w:r>
        <w:rPr>
          <w:rFonts w:hint="eastAsia" w:ascii="仿宋_GB2312" w:hAnsi="仿宋_GB2312" w:eastAsia="仿宋_GB2312" w:cs="仿宋_GB2312"/>
          <w:color w:val="auto"/>
          <w:szCs w:val="24"/>
          <w:highlight w:val="none"/>
          <w:lang w:val="zh-CN"/>
        </w:rPr>
        <w:t>厕所地面无积水，便池内（含小便器）大小便及时冲净，无尿碱或污垢</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11)</w:t>
      </w:r>
      <w:r>
        <w:rPr>
          <w:rFonts w:hint="eastAsia" w:ascii="仿宋_GB2312" w:hAnsi="仿宋_GB2312" w:eastAsia="仿宋_GB2312" w:cs="仿宋_GB2312"/>
          <w:color w:val="auto"/>
          <w:szCs w:val="24"/>
          <w:highlight w:val="none"/>
          <w:lang w:val="zh-CN"/>
        </w:rPr>
        <w:t>抹布、拖把、扫把要及时清洗、消毒，保持干净，必须做好标记，挂在固定位置，分别按要求使用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12)</w:t>
      </w:r>
      <w:r>
        <w:rPr>
          <w:rFonts w:hint="eastAsia" w:ascii="仿宋_GB2312" w:hAnsi="仿宋_GB2312" w:eastAsia="仿宋_GB2312" w:cs="仿宋_GB2312"/>
          <w:color w:val="auto"/>
          <w:szCs w:val="24"/>
          <w:highlight w:val="none"/>
          <w:lang w:val="zh-CN"/>
        </w:rPr>
        <w:t>垃圾桶必须经常专人检查，如果垃圾量超过三分之二，就应及时清倒，垃圾袋不得有破损，否则会导致垃圾溢出。垃圾袋按标准套入。垃圾筒定期清洗，消毒，内外壁干净、干燥、无异味。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13)</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14)</w:t>
      </w:r>
      <w:r>
        <w:rPr>
          <w:rFonts w:hint="eastAsia" w:ascii="仿宋_GB2312" w:hAnsi="仿宋_GB2312" w:eastAsia="仿宋_GB2312" w:cs="仿宋_GB2312"/>
          <w:color w:val="auto"/>
          <w:szCs w:val="24"/>
          <w:highlight w:val="none"/>
          <w:lang w:val="zh-CN"/>
        </w:rPr>
        <w:t>病房卫生间是病人和家属倾倒污物的地方，是主要污染源，所以保洁时应彻底清除一切污物和污渍，每天定期进行消毒处理，保洁工具和材料必须专项专用。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行政办公室要求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保持安静、整洁、舒适、安全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墙面、桌面无尘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窗帘干净、整洁、无污染，悬挂符合标准</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4)</w:t>
      </w:r>
      <w:r>
        <w:rPr>
          <w:rFonts w:hint="eastAsia" w:ascii="仿宋_GB2312" w:hAnsi="仿宋_GB2312" w:eastAsia="仿宋_GB2312" w:cs="仿宋_GB2312"/>
          <w:color w:val="auto"/>
          <w:szCs w:val="24"/>
          <w:highlight w:val="none"/>
          <w:lang w:val="zh-CN"/>
        </w:rPr>
        <w:t>橱柜外无积灰，抽屉外干净无污迹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5)</w:t>
      </w:r>
      <w:r>
        <w:rPr>
          <w:rFonts w:hint="eastAsia" w:ascii="仿宋_GB2312" w:hAnsi="仿宋_GB2312" w:eastAsia="仿宋_GB2312" w:cs="仿宋_GB2312"/>
          <w:color w:val="auto"/>
          <w:szCs w:val="24"/>
          <w:highlight w:val="none"/>
          <w:lang w:val="zh-CN"/>
        </w:rPr>
        <w:t>垃圾桶内外清洁，垃圾袋按标准套放</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6)</w:t>
      </w:r>
      <w:r>
        <w:rPr>
          <w:rFonts w:hint="eastAsia" w:ascii="仿宋_GB2312" w:hAnsi="仿宋_GB2312" w:eastAsia="仿宋_GB2312" w:cs="仿宋_GB2312"/>
          <w:color w:val="auto"/>
          <w:szCs w:val="24"/>
          <w:highlight w:val="none"/>
          <w:lang w:val="zh-CN"/>
        </w:rPr>
        <w:t>墙面、风口无积灰</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四角无蛛网尘埃</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8)</w:t>
      </w:r>
      <w:r>
        <w:rPr>
          <w:rFonts w:hint="eastAsia" w:ascii="仿宋_GB2312" w:hAnsi="仿宋_GB2312" w:eastAsia="仿宋_GB2312" w:cs="仿宋_GB2312"/>
          <w:color w:val="auto"/>
          <w:szCs w:val="24"/>
          <w:highlight w:val="none"/>
          <w:lang w:val="zh-CN"/>
        </w:rPr>
        <w:t>玻璃窗清洁光亮，窗台、窗轨清洁无尘</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9)</w:t>
      </w:r>
      <w:r>
        <w:rPr>
          <w:rFonts w:hint="eastAsia" w:ascii="仿宋_GB2312" w:hAnsi="仿宋_GB2312" w:eastAsia="仿宋_GB2312" w:cs="仿宋_GB2312"/>
          <w:color w:val="auto"/>
          <w:szCs w:val="24"/>
          <w:highlight w:val="none"/>
          <w:lang w:val="zh-CN"/>
        </w:rPr>
        <w:t>每月一次大检查</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10)</w:t>
      </w:r>
      <w:r>
        <w:rPr>
          <w:rFonts w:hint="eastAsia" w:ascii="仿宋_GB2312" w:hAnsi="仿宋_GB2312" w:eastAsia="仿宋_GB2312" w:cs="仿宋_GB2312"/>
          <w:color w:val="auto"/>
          <w:szCs w:val="24"/>
          <w:highlight w:val="none"/>
          <w:lang w:val="zh-CN"/>
        </w:rPr>
        <w:t>打开水，其他临时交办的任务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11)</w:t>
      </w:r>
      <w:r>
        <w:rPr>
          <w:rFonts w:hint="eastAsia" w:ascii="仿宋_GB2312" w:hAnsi="仿宋_GB2312" w:eastAsia="仿宋_GB2312" w:cs="仿宋_GB2312"/>
          <w:color w:val="auto"/>
          <w:szCs w:val="24"/>
          <w:highlight w:val="none"/>
          <w:lang w:val="zh-CN"/>
        </w:rPr>
        <w:t>日常保洁不得影响工作，保洁时间征得行政人员同意，如果遇到开会等情况，不得打搅或擅自进行保洁作业</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12)</w:t>
      </w:r>
      <w:r>
        <w:rPr>
          <w:rFonts w:hint="eastAsia" w:ascii="仿宋_GB2312" w:hAnsi="仿宋_GB2312" w:eastAsia="仿宋_GB2312" w:cs="仿宋_GB2312"/>
          <w:color w:val="auto"/>
          <w:szCs w:val="24"/>
          <w:highlight w:val="none"/>
          <w:lang w:val="zh-CN"/>
        </w:rPr>
        <w:t>不得翻阅资料，整理物品后应及时归位</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13)</w:t>
      </w:r>
      <w:r>
        <w:rPr>
          <w:rFonts w:hint="eastAsia" w:ascii="仿宋_GB2312" w:hAnsi="仿宋_GB2312" w:eastAsia="仿宋_GB2312" w:cs="仿宋_GB2312"/>
          <w:color w:val="auto"/>
          <w:szCs w:val="24"/>
          <w:highlight w:val="none"/>
          <w:lang w:val="zh-CN"/>
        </w:rPr>
        <w:t>应完成的其余工作</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（7）</w:t>
      </w:r>
      <w:r>
        <w:rPr>
          <w:rFonts w:hint="eastAsia" w:ascii="仿宋_GB2312" w:hAnsi="仿宋_GB2312" w:eastAsia="仿宋_GB2312" w:cs="仿宋_GB2312"/>
          <w:color w:val="auto"/>
          <w:szCs w:val="24"/>
          <w:highlight w:val="none"/>
          <w:lang w:val="zh-CN"/>
        </w:rPr>
        <w:t>宿舍管理服务内容及要求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打扫集体宿舍公共区域卫生，包括走廊、门窗等，定期检查各楼层房间卫生及安全规范工作，协助搞好各宿舍的维修保养工作，以确保职工宿舍的清洁和安全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维护职工宿舍正常秩序，保证宿舍安静</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（8）检验科其他要求</w:t>
      </w:r>
    </w:p>
    <w:p>
      <w:pPr>
        <w:pStyle w:val="908"/>
        <w:shd w:val="clear"/>
        <w:bidi w:val="0"/>
        <w:spacing w:line="360" w:lineRule="exact"/>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bCs/>
          <w:color w:val="auto"/>
          <w:szCs w:val="24"/>
          <w:highlight w:val="none"/>
          <w:lang w:val="en-US" w:eastAsia="zh-CN"/>
        </w:rPr>
        <w:t>1）投标人需承诺检验科服务人员需持有特种设备操作许可证（市场监督管理局颁发的高压灭菌锅操作证），提供承诺函（格式自拟）。</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6.1.2.3保洁质量与要求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门诊楼、住院楼：大厅、走廊、楼梯、电梯内、各诊室地面每日湿式清扫二次并至少半小时巡视一遍，以保持整洁；墙面、门、窗、天花板每月擦拭并保洁；内外科门诊每日至少清扫三次，有污染时随时清扫；公共厕所每日清扫二次并至少半小时巡视一遍，以保持整洁、无臭、无污垢；家具、水槽等每日擦拭一次并保持整洁；电梯厅、大厅内及候诊区域的凳子、桌子必须摆放于固定的位置并保持整洁；门诊值班室至少每周清扫一次，使用后及时保洁。</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护士站、治疗室、护士长办公室、医生办、主任办（示教室）、病区地面（包括病房内卫生间）每日湿式清扫二次，床头柜、生活柜、电视机、盥洗室内水槽、开水器、护士站吧台、卫生间洗脸盘、马桶每日擦拭；值班室（包括家具、墙面、天棚）每周清扫二次；病区墙面、门、窗（包括卫生间内）、病床、凳子、陪人床、热水瓶架每周擦拭3-4次；病区天花板、空调等每月清洁一次；出院病人整理床单位及清点物品，按要求进行终末消毒；开水房和公共卫生间每日清扫二次。有污染时随时清扫。</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3）手术室、供应室、急诊室、输液室、ICU、检验科、放射科、中西药房等科室按各相关科室的要求做好保洁工作，负责部分科室开水供应，并符合院感考核要求。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4）集体宿舍走廊、厕所、楼梯至少每日清扫一次，每周拖地三次，每月大扫除（天棚、墙面），并保洁。</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5）场外道路、绿化带、地下车库、门前三包区域白天至少半小时巡视一遍，以保持整洁、无垃圾、无烟蒂；发热门诊每日两次清扫。</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6）做好生活垃圾和医疗垃圾分类收集。垃圾收集每日二次，病房内垃圾袋视季节变化更换1-2次，特殊情况随时更换，全院生活垃圾一日二次外运及处置，</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内部垃圾存放区域每天清洗、消毒1次，每周全面清洗消毒1次。</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7）医疗垃圾交接、称重、运送、登记及暂存点、运送工具的消毒由专人负责管理，并符合院感要求。</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8）中午、晚上医院内整体保洁工作。</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6.2护工服务</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zh-CN"/>
        </w:rPr>
        <w:t>护工服务：按需对心一病区、心二病区、儿童精神病区、老年一病区、老年二病区、重症监护单元、综合科（内外科）、神经内科、焦虑障碍科及出入院中心等科室配置护工人数，</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提出的各科室基本配置，投标人必须对此</w:t>
      </w:r>
      <w:r>
        <w:rPr>
          <w:rFonts w:hint="eastAsia" w:ascii="仿宋_GB2312" w:hAnsi="仿宋_GB2312" w:eastAsia="仿宋_GB2312" w:cs="仿宋_GB2312"/>
          <w:color w:val="auto"/>
          <w:szCs w:val="24"/>
          <w:highlight w:val="none"/>
          <w:lang w:val="en-US" w:eastAsia="zh-CN"/>
        </w:rPr>
        <w:t>完全</w:t>
      </w:r>
      <w:r>
        <w:rPr>
          <w:rFonts w:hint="eastAsia" w:ascii="仿宋_GB2312" w:hAnsi="仿宋_GB2312" w:eastAsia="仿宋_GB2312" w:cs="仿宋_GB2312"/>
          <w:color w:val="auto"/>
          <w:szCs w:val="24"/>
          <w:highlight w:val="none"/>
          <w:lang w:val="zh-CN"/>
        </w:rPr>
        <w:t>响应，各科室护工人员的调配须由投标人与各科室护士长积极沟通，服从</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的安排调度。</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6.2.1病区护工工作职责：</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要求所有服务区域按照</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的标准提供护工服务，全面做好由医生、护士交办的日常生活照料、协助检查、治疗、隔离消毒等各项工作，具体服务要求如下：</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1）在护士长领导和护士指导下进行工作。</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2）提前上班，查看病区环境，清点仓库间物品，保持仓库间整齐干净。定期整理仓库间物品，做到物品安放有序，帐物清楚。</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3）协助做好并保持病房环境的清洁卫生，保持病员整洁。</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巡视病房，及时解决病人生活所需，担任病人生活护理和部分简单的基础护理工作，为病人提供主动热情的服务，确保病房工作的安全有序，及时应接病人呼唤，协助生活自理能力下降的病人进食、起床活动及递送便器。</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5）做好病人入院前的准备工作和出院后床单位的整理以及终末消毒工作。协助护士做好被服、家俱的管理。</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6、及时收集送检各种临时化验标本，护送病人做好各种辅助检查和其他外送病人工作。</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7）负责白天病区所有临时性的药房取药，负责领取病区所需的物资设备。</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xml:space="preserve">8）完成护士长交给的各项临时性任务。    </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6.2.2岗前培训：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投标人负责员工的岗前培训工作，员工培训后需经考试，合格后方可派到</w:t>
      </w:r>
      <w:r>
        <w:rPr>
          <w:rFonts w:hint="eastAsia" w:ascii="仿宋_GB2312" w:hAnsi="仿宋_GB2312" w:eastAsia="仿宋_GB2312" w:cs="仿宋_GB2312"/>
          <w:color w:val="auto"/>
          <w:szCs w:val="24"/>
          <w:highlight w:val="none"/>
          <w:lang w:val="en-US" w:eastAsia="zh-CN"/>
        </w:rPr>
        <w:t>采购人处</w:t>
      </w:r>
      <w:r>
        <w:rPr>
          <w:rFonts w:hint="eastAsia" w:ascii="仿宋_GB2312" w:hAnsi="仿宋_GB2312" w:eastAsia="仿宋_GB2312" w:cs="仿宋_GB2312"/>
          <w:color w:val="auto"/>
          <w:szCs w:val="24"/>
          <w:highlight w:val="none"/>
          <w:lang w:val="zh-CN"/>
        </w:rPr>
        <w:t>。投标人培训和考试需做记录并报</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确认，护工岗前培训初步内容具体如下：</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口头讲述的培训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着装、仪容仪表、文明用语和沟通技巧</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工作职责（见护工职责、</w:t>
      </w:r>
      <w:r>
        <w:rPr>
          <w:rFonts w:hint="eastAsia" w:ascii="仿宋_GB2312" w:hAnsi="仿宋_GB2312" w:eastAsia="仿宋_GB2312" w:cs="仿宋_GB2312"/>
          <w:color w:val="auto"/>
          <w:szCs w:val="24"/>
          <w:highlight w:val="none"/>
        </w:rPr>
        <w:t>入院准备中心护工工作职责</w:t>
      </w:r>
      <w:r>
        <w:rPr>
          <w:rFonts w:hint="eastAsia" w:ascii="仿宋_GB2312" w:hAnsi="仿宋_GB2312" w:eastAsia="仿宋_GB2312" w:cs="仿宋_GB2312"/>
          <w:color w:val="auto"/>
          <w:szCs w:val="24"/>
          <w:highlight w:val="none"/>
          <w:lang w:val="zh-CN"/>
        </w:rPr>
        <w:t>）</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（4）采购人</w:t>
      </w:r>
      <w:r>
        <w:rPr>
          <w:rFonts w:hint="eastAsia" w:ascii="仿宋_GB2312" w:hAnsi="仿宋_GB2312" w:eastAsia="仿宋_GB2312" w:cs="仿宋_GB2312"/>
          <w:color w:val="auto"/>
          <w:szCs w:val="24"/>
          <w:highlight w:val="none"/>
          <w:lang w:val="zh-CN"/>
        </w:rPr>
        <w:t>垃圾的分类管理：医疗垃圾放黄色的医疗垃圾专用袋里，生活垃圾放入分类生活垃圾袋里</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书面的培训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（6）</w:t>
      </w:r>
      <w:r>
        <w:rPr>
          <w:rFonts w:hint="eastAsia" w:ascii="仿宋_GB2312" w:hAnsi="仿宋_GB2312" w:eastAsia="仿宋_GB2312" w:cs="仿宋_GB2312"/>
          <w:color w:val="auto"/>
          <w:szCs w:val="24"/>
          <w:highlight w:val="none"/>
          <w:lang w:val="zh-CN"/>
        </w:rPr>
        <w:t>要求：三短、四送、六洁</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val="zh-CN"/>
        </w:rPr>
        <w:t>临床知识点的培训</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（8）</w:t>
      </w:r>
      <w:r>
        <w:rPr>
          <w:rFonts w:hint="eastAsia" w:ascii="仿宋_GB2312" w:hAnsi="仿宋_GB2312" w:eastAsia="仿宋_GB2312" w:cs="仿宋_GB2312"/>
          <w:color w:val="auto"/>
          <w:szCs w:val="24"/>
          <w:highlight w:val="none"/>
          <w:lang w:val="zh-CN"/>
        </w:rPr>
        <w:t>二期培训及专业培训：由临床护士长自行培训</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6.2.3入院准备中心护工工作职责</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1.在门急诊护士长和入院准备中心护士的指导下开展工作，提前15分钟到岗，完成工作区域的环境整理和物资准备，在岗在位，仪表规范，主动服务。</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2.协助护士维持入院准备中心的工作秩序，耐心解答患者及家属的咨询。</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3.协助护士做好入院患者的信息采集和护理体检，引导患者及家属及时办理患者的住院登记和入院缴费工作。</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4.负责落实患者的入院前检查检验陪检工作，并及时将完成的检查检验报告单送入病区。</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5.掌握轮椅、平车、保护性工具的使用方法，负责护送住院患者入病区，并与病区护士做好病人的交接工作。</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6.完成护士长及入院准备中心护士交给的临时任务。</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7．其他要求</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（1）</w:t>
      </w:r>
      <w:r>
        <w:rPr>
          <w:rFonts w:hint="eastAsia" w:ascii="仿宋_GB2312" w:hAnsi="仿宋_GB2312" w:eastAsia="仿宋_GB2312" w:cs="仿宋_GB2312"/>
          <w:color w:val="auto"/>
          <w:szCs w:val="24"/>
          <w:highlight w:val="none"/>
          <w:lang w:val="zh-CN"/>
        </w:rPr>
        <w:t>责任界定：</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1)人事关系：在服务期间，投标人所有服务人员仅与投标人建立劳动合同关系，且用工须符合《中华人民共和国劳动法》规定，投标人工作人员与</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无任何劳动人事关系，投标人应与其工作人员签订规范的用工合同。</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2)因投标人的劳动用工、提供服务或其服务领域发生因人身财产损害等所引发的一切纠纷责任均由投标人承担，投标人应及时妥善处理，保证不对采购人造成任何负面影响。</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3)投标人应切实保障其雇聘工作人员的全部劳动者权利，相应责任与采购人无涉。</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4)</w:t>
      </w:r>
      <w:r>
        <w:rPr>
          <w:rFonts w:hint="eastAsia" w:ascii="仿宋_GB2312" w:hAnsi="仿宋_GB2312" w:eastAsia="仿宋_GB2312" w:cs="仿宋_GB2312"/>
          <w:color w:val="auto"/>
          <w:szCs w:val="24"/>
          <w:highlight w:val="none"/>
          <w:lang w:val="zh-CN"/>
        </w:rPr>
        <w:tab/>
      </w:r>
      <w:r>
        <w:rPr>
          <w:rFonts w:hint="eastAsia" w:ascii="仿宋_GB2312" w:hAnsi="仿宋_GB2312" w:eastAsia="仿宋_GB2312" w:cs="仿宋_GB2312"/>
          <w:color w:val="auto"/>
          <w:szCs w:val="24"/>
          <w:highlight w:val="none"/>
          <w:lang w:val="zh-CN"/>
        </w:rPr>
        <w:t>除采购人对事故的发生或扩大存在过错外，投标人人员发生任何事故或与投标人发生人事、劳动争议的，均由投标人自行全权负责（如投标人应对其员工投保人身意外险</w:t>
      </w:r>
      <w:r>
        <w:rPr>
          <w:rFonts w:hint="eastAsia" w:ascii="仿宋_GB2312" w:hAnsi="仿宋_GB2312" w:eastAsia="仿宋_GB2312" w:cs="仿宋_GB2312"/>
          <w:color w:val="auto"/>
          <w:szCs w:val="24"/>
          <w:highlight w:val="none"/>
          <w:lang w:val="en-US" w:eastAsia="zh-CN"/>
        </w:rPr>
        <w:t>等险种</w:t>
      </w:r>
      <w:r>
        <w:rPr>
          <w:rFonts w:hint="eastAsia" w:ascii="仿宋_GB2312" w:hAnsi="仿宋_GB2312" w:eastAsia="仿宋_GB2312" w:cs="仿宋_GB2312"/>
          <w:color w:val="auto"/>
          <w:szCs w:val="24"/>
          <w:highlight w:val="none"/>
          <w:lang w:val="zh-CN"/>
        </w:rPr>
        <w:t>），相关责任费用由投标人自行承担，保证采购人不因此承担责任或受到损失，否则采购人有权向投标人追偿。</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5)</w:t>
      </w:r>
      <w:r>
        <w:rPr>
          <w:rFonts w:hint="eastAsia" w:ascii="仿宋_GB2312" w:hAnsi="仿宋_GB2312" w:eastAsia="仿宋_GB2312" w:cs="仿宋_GB2312"/>
          <w:color w:val="auto"/>
          <w:szCs w:val="24"/>
          <w:highlight w:val="none"/>
          <w:lang w:val="zh-CN"/>
        </w:rPr>
        <w:tab/>
      </w:r>
      <w:r>
        <w:rPr>
          <w:rFonts w:hint="eastAsia" w:ascii="仿宋_GB2312" w:hAnsi="仿宋_GB2312" w:eastAsia="仿宋_GB2312" w:cs="仿宋_GB2312"/>
          <w:color w:val="auto"/>
          <w:szCs w:val="24"/>
          <w:highlight w:val="none"/>
          <w:lang w:val="zh-CN"/>
        </w:rPr>
        <w:t>除采购人对事故的发生或扩大存在过错外，投标人应对本公司人员以及第三方的安全保障全权负责，在投标人的责任区内由于投标人原因导致自己员工或第三方的事故由投标人负责，采购人不承担任何责任。</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6)</w:t>
      </w:r>
      <w:r>
        <w:rPr>
          <w:rFonts w:hint="eastAsia" w:ascii="仿宋_GB2312" w:hAnsi="仿宋_GB2312" w:eastAsia="仿宋_GB2312" w:cs="仿宋_GB2312"/>
          <w:color w:val="auto"/>
          <w:szCs w:val="24"/>
          <w:highlight w:val="none"/>
          <w:lang w:val="zh-CN"/>
        </w:rPr>
        <w:tab/>
      </w:r>
      <w:r>
        <w:rPr>
          <w:rFonts w:hint="eastAsia" w:ascii="仿宋_GB2312" w:hAnsi="仿宋_GB2312" w:eastAsia="仿宋_GB2312" w:cs="仿宋_GB2312"/>
          <w:color w:val="auto"/>
          <w:szCs w:val="24"/>
          <w:highlight w:val="none"/>
          <w:lang w:val="zh-CN"/>
        </w:rPr>
        <w:t>在服务期内投标人应保证服务责任区域内的设施、设备良好的运营状况和环境状况，并接受采购人或其授权人员的检查，对由投标人养护不当、操作失误等引起或造成设施、设备的损坏，由投标人全额赔偿。</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（2）</w:t>
      </w:r>
      <w:r>
        <w:rPr>
          <w:rFonts w:hint="eastAsia" w:ascii="仿宋_GB2312" w:hAnsi="仿宋_GB2312" w:eastAsia="仿宋_GB2312" w:cs="仿宋_GB2312"/>
          <w:color w:val="auto"/>
          <w:szCs w:val="24"/>
          <w:highlight w:val="none"/>
          <w:lang w:val="zh-CN"/>
        </w:rPr>
        <w:t>禁止事项：</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未经采购人同意，投标人无权在承包区域中从事任何广告活动或类似宣传，不得以采购人的名义从事任何经济活动，且由此发生的一切债权、债务与采购人无关</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投标人员工不以任何形式转租、转让、抵押承包区域，在承包区域只从事采购人认可的服务工作，在承包期间，投标人的任何股份配置变动应通知</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，未经采购人书面批准，任何占有支配地位的股份转让都将视为投标人出租、转让的行为，采购人有权单方面终止合同</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投标人员工在工作时间内不得从事与本岗位无关的工作（如兼职保姆、代挂号等），不得在医疗区域内烹饪食物</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投标人不得以任何理由向采购人工作人员支付小费或馈赠实物，违者将终止合同；投标人人员也不得以任何形式向相关人员索取小费或钱物，违者按采购人有关规定处罚</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投标人不得在承包区域住宿或从事非法活动，也不得从事违反采购人制度的活动</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（6）</w:t>
      </w:r>
      <w:r>
        <w:rPr>
          <w:rFonts w:hint="eastAsia" w:ascii="仿宋_GB2312" w:hAnsi="仿宋_GB2312" w:eastAsia="仿宋_GB2312" w:cs="仿宋_GB2312"/>
          <w:color w:val="auto"/>
          <w:szCs w:val="24"/>
          <w:highlight w:val="none"/>
          <w:lang w:val="zh-CN"/>
        </w:rPr>
        <w:t>除经采购人批准进行必要的维修工程外，投标人不得损毁承包区域原有的设施和装潢，不得更改已铺设的电缆、电线等设施设备。同时，也不得安装任何可能造成电缆负载过大的电器设备，杜绝各类安全隐患</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val="zh-CN"/>
        </w:rPr>
        <w:t>未获采购人书面同意，投标人任何时候都不能在承包区域存放易燃物品，挥发性大或气味浓烈的液体等</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eastAsia="zh-CN"/>
        </w:rPr>
        <w:t>（3）</w:t>
      </w:r>
      <w:r>
        <w:rPr>
          <w:rFonts w:hint="eastAsia" w:ascii="仿宋_GB2312" w:hAnsi="仿宋_GB2312" w:eastAsia="仿宋_GB2312" w:cs="仿宋_GB2312"/>
          <w:color w:val="auto"/>
          <w:szCs w:val="24"/>
          <w:highlight w:val="none"/>
          <w:lang w:val="zh-CN"/>
        </w:rPr>
        <w:t>提供方案：</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投标人服从采购人管理，员工遵守安全规范和制度。针对采购人特点编写拟采取的保洁、护工管理方案、组织计划、人员安排、时间安排、设备安排、验收标准、考核方案等，如遇重大、紧急事项的应急措施等。管理方案具体要求如下（该方案必须在</w:t>
      </w:r>
      <w:r>
        <w:rPr>
          <w:rFonts w:hint="eastAsia" w:ascii="仿宋_GB2312" w:hAnsi="仿宋_GB2312" w:eastAsia="仿宋_GB2312" w:cs="仿宋_GB2312"/>
          <w:color w:val="auto"/>
          <w:szCs w:val="24"/>
          <w:highlight w:val="none"/>
          <w:lang w:val="en-US" w:eastAsia="zh-CN"/>
        </w:rPr>
        <w:t>投标</w:t>
      </w:r>
      <w:r>
        <w:rPr>
          <w:rFonts w:hint="eastAsia" w:ascii="仿宋_GB2312" w:hAnsi="仿宋_GB2312" w:eastAsia="仿宋_GB2312" w:cs="仿宋_GB2312"/>
          <w:color w:val="auto"/>
          <w:szCs w:val="24"/>
          <w:highlight w:val="none"/>
          <w:lang w:val="zh-CN"/>
        </w:rPr>
        <w:t>响应时提供）：</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总体方案：结合采购人实际，提供保洁服务项目的总体设计方案，包括服务理念，实现目标，经营模式，组织架构等方面。</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项目实施方案：针对本项目制订详细的实施方案，包括管理制度、实施流程、机构设置、职责分工、质量控制、绩效分配、考核反馈等，具有科学性、合理性、规范性。</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人员配置方案：提供管理人员配备和其他员工的配置方案；按照采购人的要求须明确列出各区域工作人员数量及工作职责及时间安排。</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各项保洁服务具体方案设计：包括保洁、护工管理方案等。</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耗材投入、设备配置方案：提供所需消耗品的品牌、年用量清单和设备配置方案。</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（6）</w:t>
      </w:r>
      <w:r>
        <w:rPr>
          <w:rFonts w:hint="eastAsia" w:ascii="仿宋_GB2312" w:hAnsi="仿宋_GB2312" w:eastAsia="仿宋_GB2312" w:cs="仿宋_GB2312"/>
          <w:color w:val="auto"/>
          <w:szCs w:val="24"/>
          <w:highlight w:val="none"/>
          <w:lang w:val="zh-CN"/>
        </w:rPr>
        <w:t>应急响应方案：提供针对各类检查和突发性公卫事件等临时性任务的应急响应方案，并具有可操作性。</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val="zh-CN"/>
        </w:rPr>
        <w:t>项目优化方案：提供保洁用具集中清洗消毒、勤务中心信息化管理（第一，</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免费提供服务接口；第二，如</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lang w:val="zh-CN"/>
        </w:rPr>
        <w:t>配套的信息系统要求HIS公司提供相关功能的需支付接口费用，其接口费用已包含在本次</w:t>
      </w:r>
      <w:r>
        <w:rPr>
          <w:rFonts w:hint="eastAsia" w:ascii="仿宋_GB2312" w:hAnsi="仿宋_GB2312" w:eastAsia="仿宋_GB2312" w:cs="仿宋_GB2312"/>
          <w:color w:val="auto"/>
          <w:szCs w:val="24"/>
          <w:highlight w:val="none"/>
          <w:lang w:val="en-US" w:eastAsia="zh-CN"/>
        </w:rPr>
        <w:t>投标</w:t>
      </w:r>
      <w:r>
        <w:rPr>
          <w:rFonts w:hint="eastAsia" w:ascii="仿宋_GB2312" w:hAnsi="仿宋_GB2312" w:eastAsia="仿宋_GB2312" w:cs="仿宋_GB2312"/>
          <w:color w:val="auto"/>
          <w:szCs w:val="24"/>
          <w:highlight w:val="none"/>
          <w:lang w:val="zh-CN"/>
        </w:rPr>
        <w:t>报价中）、公厕专人定时巡扫、地面保养及其他服务的优化方案。</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（8）</w:t>
      </w:r>
      <w:r>
        <w:rPr>
          <w:rFonts w:hint="eastAsia" w:ascii="仿宋_GB2312" w:hAnsi="仿宋_GB2312" w:eastAsia="仿宋_GB2312" w:cs="仿宋_GB2312"/>
          <w:color w:val="auto"/>
          <w:szCs w:val="24"/>
          <w:highlight w:val="none"/>
          <w:lang w:val="zh-CN"/>
        </w:rPr>
        <w:t>人员培训方案：提供各岗位详细的培训方案，具有针对性，可操作性。</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（9）</w:t>
      </w:r>
      <w:r>
        <w:rPr>
          <w:rFonts w:hint="eastAsia" w:ascii="仿宋_GB2312" w:hAnsi="仿宋_GB2312" w:eastAsia="仿宋_GB2312" w:cs="仿宋_GB2312"/>
          <w:color w:val="auto"/>
          <w:szCs w:val="24"/>
          <w:highlight w:val="none"/>
          <w:lang w:val="zh-CN"/>
        </w:rPr>
        <w:t>合理化建议：提供针对本项目的合理化建议及优惠承诺。</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（10）</w:t>
      </w:r>
      <w:r>
        <w:rPr>
          <w:rFonts w:hint="eastAsia" w:ascii="仿宋_GB2312" w:hAnsi="仿宋_GB2312" w:eastAsia="仿宋_GB2312" w:cs="仿宋_GB2312"/>
          <w:color w:val="auto"/>
          <w:szCs w:val="24"/>
          <w:highlight w:val="none"/>
          <w:lang w:val="zh-CN"/>
        </w:rPr>
        <w:t>质量管理及考核方案：提供切实可行的质量管理、考核计划及奖罚措施。</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（11）</w:t>
      </w:r>
      <w:r>
        <w:rPr>
          <w:rFonts w:hint="eastAsia" w:ascii="仿宋_GB2312" w:hAnsi="仿宋_GB2312" w:eastAsia="仿宋_GB2312" w:cs="仿宋_GB2312"/>
          <w:color w:val="auto"/>
          <w:szCs w:val="24"/>
          <w:highlight w:val="none"/>
          <w:lang w:val="zh-CN"/>
        </w:rPr>
        <w:t>公司资信要求：按采购文件要求提供。</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（12）</w:t>
      </w:r>
      <w:r>
        <w:rPr>
          <w:rFonts w:hint="eastAsia" w:ascii="仿宋_GB2312" w:hAnsi="仿宋_GB2312" w:eastAsia="仿宋_GB2312" w:cs="仿宋_GB2312"/>
          <w:color w:val="auto"/>
          <w:szCs w:val="24"/>
          <w:highlight w:val="none"/>
          <w:lang w:val="zh-CN"/>
        </w:rPr>
        <w:t>档案要求：采购人保洁服务档案的建立与保存；合同期内可提供给</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的文件资料清单；合同终止时，保留给</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lang w:val="zh-CN"/>
        </w:rPr>
        <w:t>的资料清单；合同终止时，各项服务的财产分割方式；</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8.考核及评价办法</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为强化管理，确保托管业务规范化运作，确保后勤服务质量不断提升，塑造良好的整体后勤形象，特制定保洁服务日常监管考核评价办法，详细细则等采购完成后双方协商实施。</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val="zh-CN"/>
        </w:rPr>
        <w:t xml:space="preserve">投标人须提供符合采购人要求的服务质量承诺书，并以此作为每月考核依据。 </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lang w:val="zh-CN"/>
        </w:rPr>
        <w:t>采购人保洁服务工作由总务科负责监管，并指定专人负责日常监管工作，各科室、病区护士长配合监管。</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val="zh-CN"/>
        </w:rPr>
        <w:t>采购人进行定期和不定期日常工作监管。每周不少于三次现场检查或到科室了解情况并将检查、了解结果及时反馈投标人进行整改，同时记录备案，作为校验整改和月度考核评价依据。每月一次由监管负责人组织相关人员（监管责任人、项目管理人员）进行保洁服务工作检查，并对检查结果进行点评、汇总作为月度考核评价依据。</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lang w:val="zh-CN"/>
        </w:rPr>
        <w:t>实行每月一次的考核评价制。考核评价采用百分制。</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lang w:val="zh-CN"/>
        </w:rPr>
        <w:t>每月的综合考核评价结果与费用支付挂钩，具体如下：</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月综合考核评价结果90以上，按合同全额支付；低于90分，每下降1分，扣款</w:t>
      </w:r>
      <w:r>
        <w:rPr>
          <w:rFonts w:hint="eastAsia" w:ascii="仿宋_GB2312" w:hAnsi="仿宋_GB2312" w:eastAsia="仿宋_GB2312" w:cs="仿宋_GB2312"/>
          <w:color w:val="auto"/>
          <w:szCs w:val="24"/>
          <w:highlight w:val="none"/>
          <w:lang w:val="en-US" w:eastAsia="zh-CN"/>
        </w:rPr>
        <w:t>10</w:t>
      </w:r>
      <w:r>
        <w:rPr>
          <w:rFonts w:hint="eastAsia" w:ascii="仿宋_GB2312" w:hAnsi="仿宋_GB2312" w:eastAsia="仿宋_GB2312" w:cs="仿宋_GB2312"/>
          <w:color w:val="auto"/>
          <w:szCs w:val="24"/>
          <w:highlight w:val="none"/>
          <w:lang w:val="zh-CN"/>
        </w:rPr>
        <w:t>00元；以此类推。如果月综合考核评价低于80分，除按规定扣罚外，予以书面警告一次，全年出现三次警告，一律终止合同，并承担违约责任的索赔。</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如果某科室或部门当月考核低于80分，即使全院综合考核评价结果高于90分，当月仍需扣款1000元。</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院感科在卫生检查中发现卫生问题，由院感科出具整改通知和罚款单，具体罚款金额在</w:t>
      </w:r>
      <w:r>
        <w:rPr>
          <w:rFonts w:hint="eastAsia" w:ascii="仿宋_GB2312" w:hAnsi="仿宋_GB2312" w:eastAsia="仿宋_GB2312" w:cs="仿宋_GB2312"/>
          <w:color w:val="auto"/>
          <w:szCs w:val="24"/>
          <w:highlight w:val="none"/>
        </w:rPr>
        <w:t>100</w:t>
      </w:r>
      <w:r>
        <w:rPr>
          <w:rFonts w:hint="eastAsia" w:ascii="仿宋_GB2312" w:hAnsi="仿宋_GB2312" w:eastAsia="仿宋_GB2312" w:cs="仿宋_GB2312"/>
          <w:color w:val="auto"/>
          <w:szCs w:val="24"/>
          <w:highlight w:val="none"/>
          <w:lang w:val="zh-CN"/>
        </w:rPr>
        <w:t>元到</w:t>
      </w:r>
      <w:r>
        <w:rPr>
          <w:rFonts w:hint="eastAsia" w:ascii="仿宋_GB2312" w:hAnsi="仿宋_GB2312" w:eastAsia="仿宋_GB2312" w:cs="仿宋_GB2312"/>
          <w:color w:val="auto"/>
          <w:szCs w:val="24"/>
          <w:highlight w:val="none"/>
        </w:rPr>
        <w:t>1000</w:t>
      </w:r>
      <w:r>
        <w:rPr>
          <w:rFonts w:hint="eastAsia" w:ascii="仿宋_GB2312" w:hAnsi="仿宋_GB2312" w:eastAsia="仿宋_GB2312" w:cs="仿宋_GB2312"/>
          <w:color w:val="auto"/>
          <w:szCs w:val="24"/>
          <w:highlight w:val="none"/>
          <w:lang w:val="zh-CN"/>
        </w:rPr>
        <w:t>元之间。</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投标人须严格按照采购人制度和相关操作流程进行服务，如服务过程未按标准执行而发生意外，应视情节轻重对投标人处罚人民币1000—2000元/例。</w:t>
      </w:r>
    </w:p>
    <w:p>
      <w:pPr>
        <w:pStyle w:val="908"/>
        <w:shd w:val="clear"/>
        <w:bidi w:val="0"/>
        <w:spacing w:line="360" w:lineRule="exact"/>
        <w:rPr>
          <w:rFonts w:hint="eastAsia" w:ascii="仿宋_GB2312" w:hAnsi="仿宋_GB2312" w:eastAsia="仿宋_GB2312" w:cs="仿宋_GB2312"/>
          <w:color w:val="auto"/>
          <w:szCs w:val="24"/>
          <w:highlight w:val="none"/>
          <w:lang w:val="zh-CN"/>
        </w:rPr>
      </w:pPr>
      <w:r>
        <w:rPr>
          <w:rFonts w:hint="eastAsia" w:ascii="仿宋_GB2312" w:hAnsi="仿宋_GB2312" w:eastAsia="仿宋_GB2312" w:cs="仿宋_GB2312"/>
          <w:color w:val="auto"/>
          <w:szCs w:val="24"/>
          <w:highlight w:val="none"/>
          <w:lang w:val="zh-CN"/>
        </w:rPr>
        <w:t>在上级行政部门检查中，因投标人原因受到上级主管部门书面通报批评或被新闻媒体曝光批评的，视情节轻重对投标人予以扣罚5000—50000元，</w:t>
      </w:r>
      <w:r>
        <w:rPr>
          <w:rFonts w:hint="eastAsia" w:ascii="仿宋_GB2312" w:hAnsi="仿宋_GB2312" w:eastAsia="仿宋_GB2312" w:cs="仿宋_GB2312"/>
          <w:color w:val="auto"/>
          <w:szCs w:val="24"/>
          <w:highlight w:val="none"/>
          <w:lang w:val="en-US" w:eastAsia="zh-CN"/>
        </w:rPr>
        <w:t>且</w:t>
      </w:r>
      <w:r>
        <w:rPr>
          <w:rFonts w:hint="eastAsia" w:ascii="仿宋_GB2312" w:hAnsi="仿宋_GB2312" w:eastAsia="仿宋_GB2312" w:cs="仿宋_GB2312"/>
          <w:color w:val="auto"/>
          <w:szCs w:val="24"/>
          <w:highlight w:val="none"/>
          <w:lang w:val="zh-CN"/>
        </w:rPr>
        <w:t>采购人可单方面终止合同。</w:t>
      </w:r>
    </w:p>
    <w:p>
      <w:pPr>
        <w:pStyle w:val="908"/>
        <w:shd w:val="clear"/>
        <w:bidi w:val="0"/>
        <w:spacing w:line="360" w:lineRule="exac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9.到岗率考核：</w:t>
      </w:r>
      <w:r>
        <w:rPr>
          <w:rFonts w:hint="eastAsia" w:ascii="仿宋_GB2312" w:hAnsi="仿宋_GB2312" w:eastAsia="仿宋_GB2312" w:cs="仿宋_GB2312"/>
          <w:color w:val="auto"/>
          <w:szCs w:val="24"/>
          <w:highlight w:val="none"/>
          <w:lang w:val="zh-CN"/>
        </w:rPr>
        <w:t>如果某科室或部门反映有缺岗情况，经核实属实的，按缺岗人员</w:t>
      </w:r>
      <w:r>
        <w:rPr>
          <w:rFonts w:hint="eastAsia" w:ascii="仿宋_GB2312" w:hAnsi="仿宋_GB2312" w:eastAsia="仿宋_GB2312" w:cs="仿宋_GB2312"/>
          <w:color w:val="auto"/>
          <w:szCs w:val="24"/>
          <w:highlight w:val="none"/>
          <w:lang w:val="zh-CN" w:eastAsia="zh-CN"/>
        </w:rPr>
        <w:t>乘以</w:t>
      </w:r>
      <w:r>
        <w:rPr>
          <w:rFonts w:hint="eastAsia" w:ascii="仿宋_GB2312" w:hAnsi="仿宋_GB2312" w:eastAsia="仿宋_GB2312" w:cs="仿宋_GB2312"/>
          <w:color w:val="auto"/>
          <w:szCs w:val="24"/>
          <w:highlight w:val="none"/>
          <w:lang w:val="zh-CN"/>
        </w:rPr>
        <w:t>缺岗天数核减相应结算费用。</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Cs w:val="24"/>
          <w:highlight w:val="none"/>
          <w:lang w:eastAsia="zh-CN"/>
        </w:rPr>
        <w:t>响应</w:t>
      </w:r>
      <w:r>
        <w:rPr>
          <w:rFonts w:hint="eastAsia" w:ascii="仿宋_GB2312" w:hAnsi="仿宋_GB2312" w:eastAsia="仿宋_GB2312" w:cs="仿宋_GB2312"/>
          <w:color w:val="auto"/>
          <w:szCs w:val="24"/>
          <w:highlight w:val="none"/>
        </w:rPr>
        <w:t>报价</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投标</w:t>
      </w:r>
      <w:r>
        <w:rPr>
          <w:rFonts w:hint="eastAsia" w:ascii="仿宋_GB2312" w:hAnsi="仿宋_GB2312" w:eastAsia="仿宋_GB2312" w:cs="仿宋_GB2312"/>
          <w:color w:val="auto"/>
          <w:szCs w:val="24"/>
          <w:highlight w:val="none"/>
          <w:lang w:eastAsia="zh-CN"/>
        </w:rPr>
        <w:t>响应</w:t>
      </w:r>
      <w:r>
        <w:rPr>
          <w:rFonts w:hint="eastAsia" w:ascii="仿宋_GB2312" w:hAnsi="仿宋_GB2312" w:eastAsia="仿宋_GB2312" w:cs="仿宋_GB2312"/>
          <w:color w:val="auto"/>
          <w:szCs w:val="24"/>
          <w:highlight w:val="none"/>
        </w:rPr>
        <w:t>报价包括员工工资福利、器械损耗、税收、管理费、保洁用品费、服装费、住宿、员工养老保险等社保费、体检费用、人身意外伤害保险费等一切费用。</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四、其他</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如有上级领导和重要嘉宾参观或检查，可根据需要提前通知</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根据</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要求进行突击性服务；如遇火警、水管爆裂、台风袭击、突发传染病等特殊情况，</w:t>
      </w:r>
      <w:r>
        <w:rPr>
          <w:rFonts w:hint="eastAsia" w:ascii="仿宋_GB2312" w:hAnsi="仿宋_GB2312" w:eastAsia="仿宋_GB2312" w:cs="仿宋_GB2312"/>
          <w:color w:val="auto"/>
          <w:szCs w:val="24"/>
          <w:highlight w:val="none"/>
          <w:lang w:val="en-US" w:eastAsia="zh-CN"/>
        </w:rPr>
        <w:t>投标人</w:t>
      </w:r>
      <w:r>
        <w:rPr>
          <w:rFonts w:hint="eastAsia" w:ascii="仿宋_GB2312" w:hAnsi="仿宋_GB2312" w:eastAsia="仿宋_GB2312" w:cs="仿宋_GB2312"/>
          <w:color w:val="auto"/>
          <w:szCs w:val="24"/>
          <w:highlight w:val="none"/>
        </w:rPr>
        <w:t>要组织突击小组配合</w:t>
      </w:r>
      <w:r>
        <w:rPr>
          <w:rFonts w:hint="eastAsia" w:ascii="仿宋_GB2312" w:hAnsi="仿宋_GB2312" w:eastAsia="仿宋_GB2312" w:cs="仿宋_GB2312"/>
          <w:color w:val="auto"/>
          <w:szCs w:val="24"/>
          <w:highlight w:val="none"/>
          <w:lang w:val="en-US" w:eastAsia="zh-CN"/>
        </w:rPr>
        <w:t>采购人</w:t>
      </w:r>
      <w:r>
        <w:rPr>
          <w:rFonts w:hint="eastAsia" w:ascii="仿宋_GB2312" w:hAnsi="仿宋_GB2312" w:eastAsia="仿宋_GB2312" w:cs="仿宋_GB2312"/>
          <w:color w:val="auto"/>
          <w:szCs w:val="24"/>
          <w:highlight w:val="none"/>
        </w:rPr>
        <w:t>搞好特殊保洁工作；医疗垃圾、生活垃圾的院内运输暂存管理；维护承包范围内院容、院貌的整洁，劝阻病人及家属在病房窗外或公共通道晾挂衣服、杂物、劝阻吸烟；冷暖气开放时，提醒病人自觉关闭窗户；清扫工作结束后，及时关闭本区域内的照明、换气扇等。</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五、本项目合同条款主要内容说明</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1.合同签订要求：</w:t>
      </w:r>
      <w:r>
        <w:rPr>
          <w:rFonts w:hint="eastAsia" w:ascii="仿宋_GB2312" w:hAnsi="仿宋_GB2312" w:eastAsia="仿宋_GB2312" w:cs="仿宋_GB2312"/>
          <w:color w:val="auto"/>
          <w:szCs w:val="24"/>
          <w:highlight w:val="none"/>
          <w:lang w:eastAsia="zh-CN"/>
        </w:rPr>
        <w:t>自成交通知书发出</w:t>
      </w:r>
      <w:r>
        <w:rPr>
          <w:rFonts w:hint="eastAsia" w:ascii="仿宋_GB2312" w:hAnsi="仿宋_GB2312" w:eastAsia="仿宋_GB2312" w:cs="仿宋_GB2312"/>
          <w:color w:val="auto"/>
          <w:szCs w:val="24"/>
          <w:highlight w:val="none"/>
          <w:lang w:val="en-US" w:eastAsia="zh-CN"/>
        </w:rPr>
        <w:t>30日内</w:t>
      </w:r>
      <w:r>
        <w:rPr>
          <w:rFonts w:hint="eastAsia" w:ascii="仿宋_GB2312" w:hAnsi="仿宋_GB2312" w:eastAsia="仿宋_GB2312" w:cs="仿宋_GB2312"/>
          <w:color w:val="auto"/>
          <w:szCs w:val="24"/>
          <w:highlight w:val="none"/>
        </w:rPr>
        <w:t>与采购人签订采购合同。</w:t>
      </w:r>
    </w:p>
    <w:p>
      <w:pPr>
        <w:pStyle w:val="908"/>
        <w:shd w:val="clear"/>
        <w:bidi w:val="0"/>
        <w:spacing w:line="360" w:lineRule="exac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2.地点：绍兴市第七人民医院</w:t>
      </w:r>
    </w:p>
    <w:p>
      <w:pPr>
        <w:pStyle w:val="908"/>
        <w:shd w:val="clear"/>
        <w:bidi w:val="0"/>
        <w:spacing w:line="360" w:lineRule="exact"/>
        <w:jc w:val="center"/>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2024年保洁服务人员设置</w:t>
      </w:r>
    </w:p>
    <w:tbl>
      <w:tblPr>
        <w:tblStyle w:val="64"/>
        <w:tblW w:w="8300" w:type="dxa"/>
        <w:jc w:val="center"/>
        <w:tblLayout w:type="fixed"/>
        <w:tblCellMar>
          <w:top w:w="0" w:type="dxa"/>
          <w:left w:w="108" w:type="dxa"/>
          <w:bottom w:w="0" w:type="dxa"/>
          <w:right w:w="108" w:type="dxa"/>
        </w:tblCellMar>
      </w:tblPr>
      <w:tblGrid>
        <w:gridCol w:w="1569"/>
        <w:gridCol w:w="825"/>
        <w:gridCol w:w="862"/>
        <w:gridCol w:w="900"/>
        <w:gridCol w:w="1638"/>
        <w:gridCol w:w="2506"/>
      </w:tblGrid>
      <w:tr>
        <w:trPr>
          <w:trHeight w:val="415" w:hRule="atLeast"/>
          <w:jc w:val="center"/>
        </w:trPr>
        <w:tc>
          <w:tcPr>
            <w:tcW w:w="156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hd w:val="clear"/>
              <w:kinsoku/>
              <w:wordWrap/>
              <w:overflowPunct/>
              <w:topLinePunct w:val="0"/>
              <w:bidi w:val="0"/>
              <w:adjustRightInd w:val="0"/>
              <w:snapToGrid w:val="0"/>
              <w:spacing w:line="360" w:lineRule="exact"/>
              <w:ind w:left="0" w:left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区域</w:t>
            </w:r>
          </w:p>
        </w:tc>
        <w:tc>
          <w:tcPr>
            <w:tcW w:w="825"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shd w:val="clear"/>
              <w:kinsoku/>
              <w:wordWrap/>
              <w:overflowPunct/>
              <w:topLinePunct w:val="0"/>
              <w:bidi w:val="0"/>
              <w:adjustRightInd w:val="0"/>
              <w:snapToGrid w:val="0"/>
              <w:spacing w:line="360" w:lineRule="exact"/>
              <w:ind w:left="0" w:leftChars="0"/>
              <w:jc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rPr>
              <w:t>保洁</w:t>
            </w:r>
            <w:r>
              <w:rPr>
                <w:rFonts w:hint="eastAsia" w:ascii="仿宋_GB2312" w:hAnsi="仿宋_GB2312" w:eastAsia="仿宋_GB2312" w:cs="仿宋_GB2312"/>
                <w:color w:val="auto"/>
                <w:kern w:val="0"/>
                <w:sz w:val="24"/>
                <w:highlight w:val="none"/>
                <w:lang w:eastAsia="zh-CN"/>
              </w:rPr>
              <w:t>（人）</w:t>
            </w:r>
          </w:p>
        </w:tc>
        <w:tc>
          <w:tcPr>
            <w:tcW w:w="862"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shd w:val="clear"/>
              <w:kinsoku/>
              <w:wordWrap/>
              <w:overflowPunct/>
              <w:topLinePunct w:val="0"/>
              <w:bidi w:val="0"/>
              <w:adjustRightInd w:val="0"/>
              <w:snapToGrid w:val="0"/>
              <w:spacing w:line="360" w:lineRule="exact"/>
              <w:ind w:left="0" w:leftChars="0"/>
              <w:jc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rPr>
              <w:t>护工</w:t>
            </w:r>
            <w:r>
              <w:rPr>
                <w:rFonts w:hint="eastAsia" w:ascii="仿宋_GB2312" w:hAnsi="仿宋_GB2312" w:eastAsia="仿宋_GB2312" w:cs="仿宋_GB2312"/>
                <w:color w:val="auto"/>
                <w:kern w:val="0"/>
                <w:sz w:val="24"/>
                <w:highlight w:val="none"/>
                <w:lang w:eastAsia="zh-CN"/>
              </w:rPr>
              <w:t>（人）</w:t>
            </w:r>
          </w:p>
        </w:tc>
        <w:tc>
          <w:tcPr>
            <w:tcW w:w="90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shd w:val="clear"/>
              <w:kinsoku/>
              <w:wordWrap/>
              <w:overflowPunct/>
              <w:topLinePunct w:val="0"/>
              <w:bidi w:val="0"/>
              <w:adjustRightInd w:val="0"/>
              <w:snapToGrid w:val="0"/>
              <w:spacing w:line="360" w:lineRule="exact"/>
              <w:ind w:left="0" w:leftChars="0"/>
              <w:jc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rPr>
              <w:t>机动岗</w:t>
            </w:r>
            <w:r>
              <w:rPr>
                <w:rFonts w:hint="eastAsia" w:ascii="仿宋_GB2312" w:hAnsi="仿宋_GB2312" w:eastAsia="仿宋_GB2312" w:cs="仿宋_GB2312"/>
                <w:color w:val="auto"/>
                <w:kern w:val="0"/>
                <w:sz w:val="24"/>
                <w:highlight w:val="none"/>
                <w:lang w:eastAsia="zh-CN"/>
              </w:rPr>
              <w:t>（人）</w:t>
            </w:r>
          </w:p>
        </w:tc>
        <w:tc>
          <w:tcPr>
            <w:tcW w:w="4144" w:type="dxa"/>
            <w:gridSpan w:val="2"/>
            <w:tcBorders>
              <w:top w:val="single" w:color="auto" w:sz="4" w:space="0"/>
              <w:left w:val="nil"/>
              <w:bottom w:val="single" w:color="auto" w:sz="4" w:space="0"/>
              <w:right w:val="single" w:color="auto" w:sz="4" w:space="0"/>
            </w:tcBorders>
            <w:noWrap/>
            <w:vAlign w:val="center"/>
          </w:tcPr>
          <w:p>
            <w:pPr>
              <w:keepNext w:val="0"/>
              <w:keepLines w:val="0"/>
              <w:pageBreakBefore w:val="0"/>
              <w:widowControl/>
              <w:shd w:val="clear"/>
              <w:kinsoku/>
              <w:wordWrap/>
              <w:overflowPunct/>
              <w:topLinePunct w:val="0"/>
              <w:bidi w:val="0"/>
              <w:adjustRightInd w:val="0"/>
              <w:snapToGrid w:val="0"/>
              <w:spacing w:line="360" w:lineRule="exact"/>
              <w:ind w:left="0" w:left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门诊楼</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restart"/>
            <w:tcBorders>
              <w:top w:val="nil"/>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rPr>
            </w:pPr>
            <w:r>
              <w:rPr>
                <w:rFonts w:hint="eastAsia" w:ascii="仿宋_GB2312" w:hAnsi="仿宋_GB2312" w:eastAsia="仿宋_GB2312" w:cs="仿宋_GB2312"/>
                <w:color w:val="auto"/>
                <w:kern w:val="0"/>
                <w:sz w:val="24"/>
                <w:szCs w:val="24"/>
                <w:highlight w:val="none"/>
                <w:lang w:val="en-US" w:eastAsia="zh-CN"/>
              </w:rPr>
              <w:t>8</w:t>
            </w: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含</w:t>
            </w:r>
            <w:r>
              <w:rPr>
                <w:rFonts w:hint="eastAsia" w:ascii="仿宋_GB2312" w:hAnsi="仿宋_GB2312" w:eastAsia="仿宋_GB2312" w:cs="仿宋_GB2312"/>
                <w:color w:val="auto"/>
                <w:kern w:val="0"/>
                <w:sz w:val="24"/>
                <w:szCs w:val="24"/>
                <w:highlight w:val="none"/>
              </w:rPr>
              <w:t>急诊、发热门诊</w:t>
            </w: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default" w:ascii="仿宋_GB2312" w:hAnsi="仿宋_GB2312" w:eastAsia="仿宋_GB2312" w:cs="仿宋_GB2312"/>
                <w:color w:val="auto"/>
                <w:kern w:val="0"/>
                <w:sz w:val="24"/>
                <w:szCs w:val="24"/>
                <w:highlight w:val="none"/>
                <w:lang w:val="en-US" w:eastAsia="zh-CN"/>
              </w:rPr>
              <w:t>7:00-11:30  13:30-17:00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出入院中心</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8:00-12:00  14:00-17:00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老二</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B班7:00-11:00 </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老年一科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B班13:00-17:00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综合科</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ICU）</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3</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含重症监护单元</w:t>
            </w:r>
            <w:r>
              <w:rPr>
                <w:rFonts w:hint="eastAsia" w:ascii="仿宋_GB2312" w:hAnsi="仿宋_GB2312" w:eastAsia="仿宋_GB2312" w:cs="仿宋_GB2312"/>
                <w:color w:val="auto"/>
                <w:kern w:val="0"/>
                <w:sz w:val="24"/>
                <w:szCs w:val="24"/>
                <w:highlight w:val="none"/>
                <w:lang w:eastAsia="zh-CN"/>
              </w:rPr>
              <w:t>，康复治疗中心</w:t>
            </w: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A班（2人）6:00-10:30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B班7:00-11:00 </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心身一科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B班13:00-17:00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心身二科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B班7:00-11:00 </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儿童精神科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A班6:00-10:30  13:30-17:00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B班13:00-17:00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手术室</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焦虑障碍</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A班6:00-10:30  13:30-17:00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B班7:00-11:00 </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神经内科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US" w:eastAsia="zh-CN"/>
              </w:rPr>
              <w:t>.5</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900" w:type="dxa"/>
            <w:vMerge w:val="continue"/>
            <w:tcBorders>
              <w:left w:val="nil"/>
              <w:right w:val="single" w:color="auto" w:sz="4" w:space="0"/>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A班6:00-10:30  13:30-17:00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B班13:00-17:00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精神一科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精神二科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single" w:color="auto" w:sz="4" w:space="0"/>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精神三科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精神四科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精神五科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精神六科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精神七科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康复病区</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3</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A班(2人）6:00-11:00  13:30-16:30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B班6:00-11:30 15:00-17:30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康复科</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6:00-11:00  13:30-16:30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重症精神科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A班5:00-10:00  14:00-17:00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B班8:30-12:00</w:t>
            </w:r>
            <w:r>
              <w:rPr>
                <w:rFonts w:hint="eastAsia" w:ascii="仿宋_GB2312" w:hAnsi="仿宋_GB2312" w:eastAsia="仿宋_GB2312" w:cs="仿宋_GB2312"/>
                <w:color w:val="auto"/>
                <w:sz w:val="24"/>
                <w:highlight w:val="none"/>
                <w:lang w:val="en-US" w:eastAsia="zh-CN"/>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13:30-18:00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行政办公楼</w:t>
            </w:r>
          </w:p>
        </w:tc>
        <w:tc>
          <w:tcPr>
            <w:tcW w:w="825"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00"/>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A班6:00-11:00  14:00-17:00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B班6:00-11:30</w:t>
            </w:r>
          </w:p>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14:30-17:00</w:t>
            </w:r>
          </w:p>
        </w:tc>
      </w:tr>
      <w:tr>
        <w:tblPrEx>
          <w:tblCellMar>
            <w:top w:w="0" w:type="dxa"/>
            <w:left w:w="108" w:type="dxa"/>
            <w:bottom w:w="0" w:type="dxa"/>
            <w:right w:w="108" w:type="dxa"/>
          </w:tblCellMar>
        </w:tblPrEx>
        <w:trPr>
          <w:trHeight w:val="2620"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全部外围</w:t>
            </w:r>
          </w:p>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（含地下室）</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rPr>
              <w:t>含地下室</w:t>
            </w:r>
            <w:r>
              <w:rPr>
                <w:rFonts w:hint="eastAsia" w:ascii="仿宋_GB2312" w:hAnsi="仿宋_GB2312" w:eastAsia="仿宋_GB2312" w:cs="仿宋_GB2312"/>
                <w:color w:val="auto"/>
                <w:kern w:val="0"/>
                <w:sz w:val="24"/>
                <w:szCs w:val="24"/>
                <w:highlight w:val="none"/>
                <w:lang w:eastAsia="zh-CN"/>
              </w:rPr>
              <w:t>，玻璃清洁，社会心理服务中心（叶家堡）</w:t>
            </w: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A班1人6:00-10:00 12:00-16:00</w:t>
            </w:r>
          </w:p>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B班1人6:30-11:30 14:00-17：00</w:t>
            </w:r>
          </w:p>
          <w:p>
            <w:pPr>
              <w:keepNext w:val="0"/>
              <w:keepLines w:val="0"/>
              <w:widowControl/>
              <w:suppressLineNumbers w:val="0"/>
              <w:shd w:val="clear"/>
              <w:spacing w:line="360" w:lineRule="exact"/>
              <w:jc w:val="left"/>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i w:val="0"/>
                <w:iCs w:val="0"/>
                <w:color w:val="auto"/>
                <w:sz w:val="24"/>
                <w:szCs w:val="24"/>
                <w:highlight w:val="none"/>
                <w:u w:val="none"/>
              </w:rPr>
              <w:t>C班1人6:30-11:30 14:00-17:00（地下室、叶家堡、玻璃清洁）</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集体宿舍</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含供应室</w:t>
            </w: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6:00-11:00   </w:t>
            </w:r>
          </w:p>
          <w:p>
            <w:pPr>
              <w:keepNext w:val="0"/>
              <w:keepLines w:val="0"/>
              <w:widowControl/>
              <w:suppressLineNumbers w:val="0"/>
              <w:shd w:val="clear"/>
              <w:spacing w:line="360" w:lineRule="exact"/>
              <w:jc w:val="both"/>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13：30-16：30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检验科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color w:val="auto"/>
                <w:kern w:val="0"/>
                <w:sz w:val="24"/>
                <w:szCs w:val="24"/>
                <w:highlight w:val="none"/>
                <w:lang w:val="en-US" w:eastAsia="zh-CN"/>
              </w:rPr>
            </w:pPr>
            <w:r>
              <w:rPr>
                <w:rFonts w:hint="default" w:ascii="仿宋_GB2312" w:hAnsi="仿宋_GB2312" w:eastAsia="仿宋_GB2312" w:cs="仿宋_GB2312"/>
                <w:color w:val="auto"/>
                <w:kern w:val="0"/>
                <w:sz w:val="24"/>
                <w:szCs w:val="24"/>
                <w:highlight w:val="none"/>
                <w:lang w:val="en-US" w:eastAsia="zh-CN"/>
              </w:rPr>
              <w:t xml:space="preserve">6:00-11:00   </w:t>
            </w:r>
          </w:p>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color w:val="auto"/>
                <w:kern w:val="0"/>
                <w:sz w:val="24"/>
                <w:szCs w:val="24"/>
                <w:highlight w:val="none"/>
                <w:lang w:val="en-US" w:eastAsia="zh-CN"/>
              </w:rPr>
            </w:pPr>
            <w:r>
              <w:rPr>
                <w:rFonts w:hint="default" w:ascii="仿宋_GB2312" w:hAnsi="仿宋_GB2312" w:eastAsia="仿宋_GB2312" w:cs="仿宋_GB2312"/>
                <w:color w:val="auto"/>
                <w:kern w:val="0"/>
                <w:sz w:val="24"/>
                <w:szCs w:val="24"/>
                <w:highlight w:val="none"/>
                <w:lang w:val="en-US" w:eastAsia="zh-CN"/>
              </w:rPr>
              <w:t>13：30-16：30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医疗垃圾工</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A班5:00-10:00  13:00-16:00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洗涤工</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7:00-15:00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理发</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7:00-10:00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总仓</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8:00-12:00  14:00-17:00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标本接收</w:t>
            </w:r>
          </w:p>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及转运</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900" w:type="dxa"/>
            <w:vMerge w:val="continue"/>
            <w:tcBorders>
              <w:left w:val="nil"/>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color w:val="auto"/>
                <w:kern w:val="0"/>
                <w:sz w:val="24"/>
                <w:szCs w:val="24"/>
                <w:highlight w:val="none"/>
                <w:lang w:val="en-US" w:eastAsia="zh-CN"/>
              </w:rPr>
            </w:pPr>
            <w:r>
              <w:rPr>
                <w:rFonts w:hint="default" w:ascii="仿宋_GB2312" w:hAnsi="仿宋_GB2312" w:eastAsia="仿宋_GB2312" w:cs="仿宋_GB2312"/>
                <w:color w:val="auto"/>
                <w:kern w:val="0"/>
                <w:sz w:val="24"/>
                <w:szCs w:val="24"/>
                <w:highlight w:val="none"/>
                <w:lang w:val="en-US" w:eastAsia="zh-CN"/>
              </w:rPr>
              <w:t>白班</w:t>
            </w:r>
            <w:r>
              <w:rPr>
                <w:rFonts w:hint="eastAsia" w:ascii="仿宋_GB2312" w:hAnsi="仿宋_GB2312" w:eastAsia="仿宋_GB2312" w:cs="仿宋_GB2312"/>
                <w:color w:val="auto"/>
                <w:kern w:val="0"/>
                <w:sz w:val="24"/>
                <w:szCs w:val="24"/>
                <w:highlight w:val="none"/>
                <w:lang w:val="en-US" w:eastAsia="zh-CN"/>
              </w:rPr>
              <w:t>和夜班轮换</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管理人员</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3</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900" w:type="dxa"/>
            <w:vMerge w:val="continue"/>
            <w:tcBorders>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widowControl/>
              <w:suppressLineNumbers w:val="0"/>
              <w:shd w:val="clear"/>
              <w:spacing w:line="36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7:30-11:30  14:00-17:00</w:t>
            </w:r>
          </w:p>
        </w:tc>
      </w:tr>
      <w:tr>
        <w:tblPrEx>
          <w:tblCellMar>
            <w:top w:w="0" w:type="dxa"/>
            <w:left w:w="108" w:type="dxa"/>
            <w:bottom w:w="0" w:type="dxa"/>
            <w:right w:w="108" w:type="dxa"/>
          </w:tblCellMar>
        </w:tblPrEx>
        <w:trPr>
          <w:trHeight w:val="283" w:hRule="atLeast"/>
          <w:jc w:val="center"/>
        </w:trPr>
        <w:tc>
          <w:tcPr>
            <w:tcW w:w="1569"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51</w:t>
            </w:r>
          </w:p>
        </w:tc>
        <w:tc>
          <w:tcPr>
            <w:tcW w:w="862" w:type="dxa"/>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14</w:t>
            </w:r>
          </w:p>
        </w:tc>
        <w:tc>
          <w:tcPr>
            <w:tcW w:w="900" w:type="dxa"/>
            <w:tcBorders>
              <w:top w:val="single" w:color="auto" w:sz="4" w:space="0"/>
              <w:left w:val="nil"/>
              <w:bottom w:val="single" w:color="auto" w:sz="4" w:space="0"/>
              <w:right w:val="single" w:color="auto" w:sz="4" w:space="0"/>
            </w:tcBorders>
            <w:shd w:val="clear" w:color="000000" w:fill="FFFFFF"/>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p>
        </w:tc>
        <w:tc>
          <w:tcPr>
            <w:tcW w:w="163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rPr>
            </w:pPr>
          </w:p>
        </w:tc>
        <w:tc>
          <w:tcPr>
            <w:tcW w:w="2506"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仿宋_GB2312" w:hAnsi="仿宋_GB2312" w:eastAsia="仿宋_GB2312" w:cs="仿宋_GB2312"/>
                <w:color w:val="auto"/>
                <w:kern w:val="0"/>
                <w:sz w:val="24"/>
                <w:szCs w:val="24"/>
                <w:highlight w:val="none"/>
                <w:lang w:val="en-US"/>
              </w:rPr>
            </w:pPr>
          </w:p>
        </w:tc>
      </w:tr>
    </w:tbl>
    <w:p>
      <w:pPr>
        <w:pStyle w:val="908"/>
        <w:shd w:val="clear"/>
        <w:bidi w:val="0"/>
        <w:spacing w:line="360" w:lineRule="exact"/>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注：1）8小时为1班，不足8小时的按8小时计算，注：A班B班保洁岗实施每日八小时工作制，每周做六休一。</w:t>
      </w:r>
    </w:p>
    <w:p>
      <w:pPr>
        <w:pStyle w:val="908"/>
        <w:numPr>
          <w:ilvl w:val="0"/>
          <w:numId w:val="0"/>
        </w:numPr>
        <w:shd w:val="clear"/>
        <w:bidi w:val="0"/>
        <w:spacing w:line="360" w:lineRule="exact"/>
        <w:ind w:firstLine="482" w:firstLineChars="200"/>
        <w:rPr>
          <w:rFonts w:hint="eastAsia"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kern w:val="2"/>
          <w:sz w:val="24"/>
          <w:szCs w:val="24"/>
          <w:highlight w:val="none"/>
          <w:lang w:val="en-US" w:eastAsia="zh-CN" w:bidi="ar-SA"/>
        </w:rPr>
        <w:t>2）</w:t>
      </w:r>
      <w:r>
        <w:rPr>
          <w:rFonts w:hint="eastAsia" w:ascii="仿宋_GB2312" w:hAnsi="仿宋_GB2312" w:eastAsia="仿宋_GB2312" w:cs="仿宋_GB2312"/>
          <w:b/>
          <w:bCs/>
          <w:color w:val="auto"/>
          <w:szCs w:val="24"/>
          <w:highlight w:val="none"/>
          <w:lang w:val="en-US" w:eastAsia="zh-CN"/>
        </w:rPr>
        <w:t>机动岗替班情况：1.机动岗： 门诊顶班 、护工岗顶班、全院楼层地面清洗、屋顶、空关房清扫、玻璃清洁、手术室临时手术、临时院内搬运物资。</w:t>
      </w:r>
    </w:p>
    <w:p>
      <w:pPr>
        <w:shd w:val="clear"/>
        <w:spacing w:line="360" w:lineRule="auto"/>
        <w:rPr>
          <w:rFonts w:ascii="仿宋_GB2312" w:eastAsia="仿宋_GB2312" w:hAnsiTheme="minorEastAsia" w:cstheme="minorEastAsia"/>
          <w:color w:val="auto"/>
          <w:sz w:val="24"/>
          <w:highlight w:val="none"/>
          <w:lang w:val="zh-CN"/>
        </w:rPr>
      </w:pPr>
    </w:p>
    <w:bookmarkEnd w:id="4"/>
    <w:p>
      <w:pPr>
        <w:pageBreakBefore/>
        <w:shd w:val="clear"/>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shd w:val="clea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hd w:val="clear"/>
        <w:spacing w:line="480" w:lineRule="auto"/>
        <w:jc w:val="center"/>
        <w:rPr>
          <w:rFonts w:ascii="仿宋_GB2312" w:hAnsi="仿宋" w:eastAsia="仿宋_GB2312" w:cs="仿宋"/>
          <w:b/>
          <w:color w:val="auto"/>
          <w:sz w:val="28"/>
          <w:szCs w:val="28"/>
          <w:highlight w:val="none"/>
        </w:rPr>
      </w:pPr>
    </w:p>
    <w:p>
      <w:pPr>
        <w:shd w:val="clear"/>
        <w:spacing w:line="480" w:lineRule="auto"/>
        <w:jc w:val="center"/>
        <w:rPr>
          <w:rFonts w:ascii="仿宋_GB2312" w:hAnsi="仿宋" w:eastAsia="仿宋_GB2312" w:cs="仿宋"/>
          <w:b/>
          <w:color w:val="auto"/>
          <w:sz w:val="24"/>
          <w:highlight w:val="none"/>
        </w:rPr>
      </w:pPr>
    </w:p>
    <w:p>
      <w:pPr>
        <w:shd w:val="clea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hd w:val="clea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1"/>
        <w:shd w:val="clear"/>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hd w:val="clear"/>
        <w:spacing w:before="120" w:line="22" w:lineRule="atLeast"/>
        <w:rPr>
          <w:rFonts w:ascii="仿宋_GB2312" w:hAnsi="仿宋" w:eastAsia="仿宋_GB2312" w:cs="仿宋"/>
          <w:color w:val="auto"/>
          <w:sz w:val="24"/>
          <w:highlight w:val="none"/>
        </w:rPr>
      </w:pPr>
    </w:p>
    <w:p>
      <w:pPr>
        <w:pStyle w:val="7"/>
        <w:numPr>
          <w:ilvl w:val="0"/>
          <w:numId w:val="0"/>
        </w:numPr>
        <w:shd w:val="clear"/>
        <w:ind w:left="992"/>
        <w:rPr>
          <w:rFonts w:cs="仿宋"/>
          <w:color w:val="auto"/>
          <w:highlight w:val="none"/>
        </w:rPr>
      </w:pPr>
    </w:p>
    <w:p>
      <w:pPr>
        <w:shd w:val="clea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hd w:val="clear"/>
        <w:spacing w:before="120" w:line="22" w:lineRule="atLeast"/>
        <w:rPr>
          <w:rFonts w:hAnsi="仿宋" w:cs="仿宋"/>
          <w:color w:val="auto"/>
          <w:szCs w:val="24"/>
          <w:highlight w:val="none"/>
        </w:rPr>
      </w:pPr>
    </w:p>
    <w:p>
      <w:pPr>
        <w:pStyle w:val="310"/>
        <w:shd w:val="clear"/>
        <w:spacing w:before="120" w:line="22" w:lineRule="atLeast"/>
        <w:rPr>
          <w:rFonts w:hAnsi="仿宋" w:cs="仿宋"/>
          <w:color w:val="auto"/>
          <w:szCs w:val="24"/>
          <w:highlight w:val="none"/>
        </w:rPr>
      </w:pPr>
    </w:p>
    <w:p>
      <w:pPr>
        <w:shd w:val="clear"/>
        <w:rPr>
          <w:rFonts w:ascii="仿宋_GB2312" w:hAnsi="仿宋" w:eastAsia="仿宋_GB2312" w:cs="仿宋"/>
          <w:color w:val="auto"/>
          <w:sz w:val="24"/>
          <w:highlight w:val="none"/>
        </w:rPr>
      </w:pPr>
    </w:p>
    <w:p>
      <w:pPr>
        <w:shd w:val="clea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hd w:val="clear"/>
        <w:spacing w:before="120" w:line="22" w:lineRule="atLeast"/>
        <w:rPr>
          <w:rFonts w:ascii="仿宋_GB2312" w:hAnsi="仿宋" w:eastAsia="仿宋_GB2312" w:cs="仿宋"/>
          <w:color w:val="auto"/>
          <w:sz w:val="24"/>
          <w:highlight w:val="none"/>
        </w:rPr>
      </w:pPr>
    </w:p>
    <w:p>
      <w:pPr>
        <w:shd w:val="clea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shd w:val="clear"/>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hd w:val="clear"/>
        <w:spacing w:line="440" w:lineRule="exact"/>
        <w:ind w:firstLine="482" w:firstLineChars="200"/>
        <w:outlineLvl w:val="0"/>
        <w:rPr>
          <w:rFonts w:ascii="仿宋_GB2312" w:hAnsi="仿宋" w:eastAsia="仿宋_GB2312" w:cs="仿宋"/>
          <w:color w:val="auto"/>
          <w:sz w:val="24"/>
          <w:highlight w:val="none"/>
        </w:rPr>
      </w:pPr>
      <w:bookmarkStart w:id="11" w:name="_Toc15367"/>
      <w:bookmarkStart w:id="12" w:name="_Toc28855"/>
      <w:bookmarkStart w:id="13" w:name="_Toc22967"/>
      <w:bookmarkStart w:id="14" w:name="_Toc20421"/>
      <w:bookmarkStart w:id="15" w:name="_Toc19273"/>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hd w:val="clear"/>
        <w:spacing w:line="440" w:lineRule="exact"/>
        <w:ind w:firstLine="482" w:firstLineChars="200"/>
        <w:outlineLvl w:val="0"/>
        <w:rPr>
          <w:rFonts w:ascii="仿宋_GB2312" w:hAnsi="仿宋" w:eastAsia="仿宋_GB2312" w:cs="仿宋"/>
          <w:b/>
          <w:color w:val="auto"/>
          <w:sz w:val="24"/>
          <w:highlight w:val="none"/>
        </w:rPr>
      </w:pPr>
      <w:bookmarkStart w:id="16" w:name="_Toc18585"/>
      <w:bookmarkStart w:id="17" w:name="_Toc22185"/>
      <w:bookmarkStart w:id="18" w:name="_Toc6773"/>
      <w:bookmarkStart w:id="19" w:name="_Toc2918"/>
      <w:bookmarkStart w:id="20" w:name="_Toc6311"/>
      <w:r>
        <w:rPr>
          <w:rFonts w:hint="eastAsia" w:ascii="仿宋_GB2312" w:hAnsi="仿宋" w:eastAsia="仿宋_GB2312" w:cs="仿宋"/>
          <w:b/>
          <w:color w:val="auto"/>
          <w:sz w:val="24"/>
          <w:highlight w:val="none"/>
        </w:rPr>
        <w:t>1.2 标的</w:t>
      </w:r>
      <w:bookmarkEnd w:id="16"/>
      <w:bookmarkEnd w:id="17"/>
      <w:bookmarkEnd w:id="18"/>
      <w:bookmarkEnd w:id="19"/>
      <w:bookmarkEnd w:id="20"/>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hd w:val="clea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2"/>
        <w:shd w:val="clear"/>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hd w:val="clear"/>
        <w:spacing w:line="440" w:lineRule="exact"/>
        <w:ind w:firstLine="480" w:firstLineChars="200"/>
        <w:rPr>
          <w:rFonts w:ascii="仿宋_GB2312" w:hAnsi="仿宋" w:eastAsia="仿宋_GB2312" w:cs="仿宋"/>
          <w:color w:val="auto"/>
          <w:sz w:val="24"/>
          <w:highlight w:val="none"/>
          <w:u w:val="single"/>
        </w:rPr>
      </w:pPr>
      <w:bookmarkStart w:id="21" w:name="_Toc5635"/>
      <w:bookmarkStart w:id="22" w:name="_Toc1386"/>
      <w:bookmarkStart w:id="23" w:name="_Toc21124"/>
      <w:bookmarkStart w:id="24" w:name="_Toc4929"/>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hd w:val="clea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hd w:val="clea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hd w:val="clea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9"/>
              <w:shd w:val="clear"/>
              <w:spacing w:line="440" w:lineRule="exact"/>
              <w:ind w:firstLine="480" w:firstLineChars="200"/>
              <w:jc w:val="center"/>
              <w:rPr>
                <w:rFonts w:ascii="仿宋_GB2312" w:hAnsi="仿宋" w:eastAsia="仿宋_GB2312" w:cs="仿宋"/>
                <w:color w:val="auto"/>
                <w:sz w:val="24"/>
                <w:szCs w:val="24"/>
                <w:highlight w:val="none"/>
              </w:rPr>
            </w:pPr>
          </w:p>
        </w:tc>
      </w:tr>
    </w:tbl>
    <w:p>
      <w:pPr>
        <w:shd w:val="clear"/>
        <w:spacing w:line="400" w:lineRule="exact"/>
        <w:ind w:firstLine="480" w:firstLineChars="200"/>
        <w:rPr>
          <w:rFonts w:ascii="仿宋_GB2312" w:hAnsi="仿宋" w:eastAsia="仿宋_GB2312" w:cs="仿宋"/>
          <w:color w:val="auto"/>
          <w:sz w:val="24"/>
          <w:highlight w:val="none"/>
        </w:rPr>
      </w:pPr>
      <w:bookmarkStart w:id="26" w:name="_Toc14993"/>
      <w:bookmarkStart w:id="27" w:name="_Toc26916"/>
      <w:bookmarkStart w:id="28" w:name="_Toc30158"/>
      <w:bookmarkStart w:id="29" w:name="_Toc30506"/>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hd w:val="clea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2"/>
        <w:shd w:val="clear"/>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22618"/>
      <w:bookmarkStart w:id="32" w:name="_Toc10340"/>
      <w:bookmarkStart w:id="33" w:name="_Toc1814"/>
      <w:bookmarkStart w:id="34" w:name="_Toc4760"/>
      <w:bookmarkStart w:id="35" w:name="_Toc3625"/>
      <w:bookmarkStart w:id="36" w:name="_Toc11108"/>
      <w:bookmarkStart w:id="37" w:name="_Toc8772"/>
      <w:bookmarkStart w:id="38" w:name="_Toc31421"/>
      <w:r>
        <w:rPr>
          <w:rFonts w:hint="eastAsia" w:ascii="仿宋_GB2312" w:hAnsi="仿宋" w:eastAsia="仿宋_GB2312" w:cs="仿宋"/>
          <w:b/>
          <w:color w:val="auto"/>
          <w:highlight w:val="none"/>
        </w:rPr>
        <w:t>1.4履约保证金</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hd w:val="clea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hd w:val="clea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hd w:val="clea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hd w:val="clear"/>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hd w:val="clear"/>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hd w:val="clea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hd w:val="clea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outlineLvl w:val="0"/>
        <w:rPr>
          <w:rFonts w:ascii="仿宋_GB2312" w:hAnsi="仿宋" w:eastAsia="仿宋_GB2312" w:cs="仿宋"/>
          <w:bCs/>
          <w:color w:val="auto"/>
          <w:sz w:val="24"/>
          <w:highlight w:val="none"/>
        </w:rPr>
      </w:pPr>
      <w:bookmarkStart w:id="39" w:name="_Toc3079"/>
      <w:bookmarkStart w:id="40" w:name="_Toc5698"/>
      <w:bookmarkStart w:id="41" w:name="_Toc8586"/>
      <w:bookmarkStart w:id="42" w:name="_Toc2375"/>
      <w:bookmarkStart w:id="43" w:name="_Toc24662"/>
      <w:r>
        <w:rPr>
          <w:rFonts w:hint="eastAsia" w:ascii="仿宋_GB2312" w:hAnsi="仿宋" w:eastAsia="仿宋_GB2312" w:cs="仿宋"/>
          <w:bCs/>
          <w:color w:val="auto"/>
          <w:sz w:val="24"/>
          <w:highlight w:val="none"/>
        </w:rPr>
        <w:t>1.7.4若服务涉及货物的，则货物的：</w:t>
      </w:r>
    </w:p>
    <w:p>
      <w:pPr>
        <w:shd w:val="clea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hd w:val="clear"/>
        <w:spacing w:line="400" w:lineRule="exact"/>
        <w:ind w:firstLine="480" w:firstLineChars="200"/>
        <w:rPr>
          <w:rFonts w:ascii="仿宋_GB2312" w:hAnsi="仿宋" w:eastAsia="仿宋_GB2312" w:cs="仿宋"/>
          <w:color w:val="auto"/>
          <w:sz w:val="24"/>
          <w:highlight w:val="none"/>
        </w:rPr>
      </w:pPr>
      <w:bookmarkStart w:id="44" w:name="_Toc18683"/>
      <w:bookmarkStart w:id="45" w:name="_Toc30329"/>
      <w:bookmarkStart w:id="46" w:name="_Toc26807"/>
      <w:bookmarkStart w:id="47" w:name="_Toc32454"/>
      <w:bookmarkStart w:id="48" w:name="_Toc949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hd w:val="clea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hd w:val="clear"/>
        <w:spacing w:line="400" w:lineRule="exact"/>
        <w:ind w:firstLine="482" w:firstLineChars="200"/>
        <w:outlineLvl w:val="0"/>
        <w:rPr>
          <w:rFonts w:ascii="仿宋_GB2312" w:hAnsi="仿宋" w:eastAsia="仿宋_GB2312" w:cs="仿宋"/>
          <w:b/>
          <w:color w:val="auto"/>
          <w:sz w:val="24"/>
          <w:highlight w:val="none"/>
        </w:rPr>
      </w:pPr>
      <w:bookmarkStart w:id="49" w:name="_Toc28375"/>
      <w:bookmarkStart w:id="50" w:name="_Toc16021"/>
      <w:bookmarkStart w:id="51" w:name="_Toc15583"/>
      <w:r>
        <w:rPr>
          <w:rFonts w:hint="eastAsia" w:ascii="仿宋_GB2312" w:hAnsi="仿宋" w:eastAsia="仿宋_GB2312" w:cs="仿宋"/>
          <w:b/>
          <w:color w:val="auto"/>
          <w:sz w:val="24"/>
          <w:highlight w:val="none"/>
        </w:rPr>
        <w:t>1.9合同争议的解决</w:t>
      </w:r>
      <w:bookmarkEnd w:id="49"/>
      <w:bookmarkEnd w:id="50"/>
      <w:bookmarkEnd w:id="51"/>
    </w:p>
    <w:p>
      <w:pPr>
        <w:shd w:val="clea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hd w:val="clear"/>
        <w:spacing w:line="400" w:lineRule="exact"/>
        <w:ind w:firstLine="482" w:firstLineChars="200"/>
        <w:outlineLvl w:val="0"/>
        <w:rPr>
          <w:rFonts w:ascii="仿宋_GB2312" w:hAnsi="仿宋" w:eastAsia="仿宋_GB2312" w:cs="仿宋"/>
          <w:b/>
          <w:color w:val="auto"/>
          <w:sz w:val="24"/>
          <w:highlight w:val="none"/>
        </w:rPr>
      </w:pPr>
      <w:bookmarkStart w:id="52" w:name="_Toc15322"/>
      <w:bookmarkStart w:id="53" w:name="_Toc7245"/>
      <w:bookmarkStart w:id="54" w:name="_Toc11173"/>
      <w:r>
        <w:rPr>
          <w:rFonts w:hint="eastAsia" w:ascii="仿宋_GB2312" w:hAnsi="仿宋" w:eastAsia="仿宋_GB2312" w:cs="仿宋"/>
          <w:b/>
          <w:color w:val="auto"/>
          <w:sz w:val="24"/>
          <w:highlight w:val="none"/>
        </w:rPr>
        <w:t>2.0 合同生效</w:t>
      </w:r>
      <w:bookmarkEnd w:id="52"/>
      <w:bookmarkEnd w:id="53"/>
      <w:bookmarkEnd w:id="54"/>
    </w:p>
    <w:p>
      <w:pPr>
        <w:shd w:val="clea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shd w:val="clea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shd w:val="clea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shd w:val="clear"/>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1"/>
        <w:shd w:val="clear"/>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hd w:val="clear"/>
        <w:spacing w:line="560" w:lineRule="exact"/>
        <w:ind w:firstLine="482" w:firstLineChars="200"/>
        <w:outlineLvl w:val="0"/>
        <w:rPr>
          <w:rFonts w:ascii="仿宋_GB2312" w:hAnsi="仿宋" w:eastAsia="仿宋_GB2312" w:cs="仿宋"/>
          <w:b/>
          <w:color w:val="auto"/>
          <w:sz w:val="24"/>
          <w:highlight w:val="none"/>
        </w:rPr>
      </w:pPr>
      <w:bookmarkStart w:id="55" w:name="_Toc31297"/>
      <w:bookmarkStart w:id="56" w:name="_Toc5228"/>
      <w:bookmarkStart w:id="57" w:name="_Toc14021"/>
      <w:bookmarkStart w:id="58" w:name="_Toc25079"/>
      <w:bookmarkStart w:id="59" w:name="_Toc19680"/>
      <w:r>
        <w:rPr>
          <w:rFonts w:hint="eastAsia" w:ascii="仿宋_GB2312" w:hAnsi="仿宋" w:eastAsia="仿宋_GB2312" w:cs="仿宋"/>
          <w:b/>
          <w:color w:val="auto"/>
          <w:sz w:val="24"/>
          <w:highlight w:val="none"/>
        </w:rPr>
        <w:t>2.1 定义</w:t>
      </w:r>
      <w:bookmarkEnd w:id="55"/>
      <w:bookmarkEnd w:id="56"/>
      <w:bookmarkEnd w:id="57"/>
      <w:bookmarkEnd w:id="58"/>
      <w:bookmarkEnd w:id="5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hd w:val="clear"/>
        <w:spacing w:line="560" w:lineRule="exact"/>
        <w:ind w:firstLine="482" w:firstLineChars="200"/>
        <w:outlineLvl w:val="0"/>
        <w:rPr>
          <w:rFonts w:ascii="仿宋_GB2312" w:hAnsi="仿宋" w:eastAsia="仿宋_GB2312" w:cs="仿宋"/>
          <w:b/>
          <w:color w:val="auto"/>
          <w:sz w:val="24"/>
          <w:highlight w:val="none"/>
        </w:rPr>
      </w:pPr>
      <w:bookmarkStart w:id="60" w:name="_Toc31402"/>
      <w:bookmarkStart w:id="61" w:name="_Toc19539"/>
      <w:bookmarkStart w:id="62" w:name="_Toc3769"/>
      <w:bookmarkStart w:id="63" w:name="_Toc23289"/>
      <w:bookmarkStart w:id="64" w:name="_Toc16752"/>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hd w:val="clear"/>
        <w:spacing w:line="560" w:lineRule="exact"/>
        <w:ind w:firstLine="482" w:firstLineChars="200"/>
        <w:outlineLvl w:val="0"/>
        <w:rPr>
          <w:rFonts w:ascii="仿宋_GB2312" w:hAnsi="仿宋" w:eastAsia="仿宋_GB2312" w:cs="仿宋"/>
          <w:b/>
          <w:color w:val="auto"/>
          <w:sz w:val="24"/>
          <w:highlight w:val="none"/>
        </w:rPr>
      </w:pPr>
      <w:bookmarkStart w:id="65" w:name="_Toc12412"/>
      <w:bookmarkStart w:id="66" w:name="_Toc27945"/>
      <w:bookmarkStart w:id="67" w:name="_Toc13673"/>
      <w:bookmarkStart w:id="68" w:name="_Toc9161"/>
      <w:bookmarkStart w:id="69" w:name="_Toc413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hd w:val="clear"/>
        <w:spacing w:line="560" w:lineRule="exact"/>
        <w:ind w:firstLine="482" w:firstLineChars="200"/>
        <w:outlineLvl w:val="0"/>
        <w:rPr>
          <w:rFonts w:ascii="仿宋_GB2312" w:hAnsi="仿宋" w:eastAsia="仿宋_GB2312" w:cs="仿宋"/>
          <w:b/>
          <w:color w:val="auto"/>
          <w:sz w:val="24"/>
          <w:highlight w:val="none"/>
        </w:rPr>
      </w:pPr>
      <w:bookmarkStart w:id="70" w:name="_Toc26555"/>
      <w:bookmarkStart w:id="71" w:name="_Toc22011"/>
      <w:bookmarkStart w:id="72" w:name="_Toc32670"/>
      <w:bookmarkStart w:id="73" w:name="_Toc15447"/>
      <w:bookmarkStart w:id="74" w:name="_Toc31233"/>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hd w:val="clear"/>
        <w:spacing w:line="560" w:lineRule="exact"/>
        <w:ind w:firstLine="482" w:firstLineChars="200"/>
        <w:outlineLvl w:val="0"/>
        <w:rPr>
          <w:rFonts w:ascii="仿宋_GB2312" w:hAnsi="仿宋" w:eastAsia="仿宋_GB2312" w:cs="仿宋"/>
          <w:b/>
          <w:color w:val="auto"/>
          <w:sz w:val="24"/>
          <w:highlight w:val="none"/>
        </w:rPr>
      </w:pPr>
      <w:bookmarkStart w:id="75" w:name="_Toc30507"/>
      <w:bookmarkStart w:id="76" w:name="_Toc18990"/>
      <w:bookmarkStart w:id="77" w:name="_Toc13467"/>
      <w:bookmarkStart w:id="78" w:name="_Toc13154"/>
      <w:bookmarkStart w:id="79" w:name="_Toc16163"/>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hd w:val="clea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hd w:val="clea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hd w:val="clea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83" w:name="_Toc23368"/>
      <w:bookmarkStart w:id="84" w:name="_Toc26689"/>
      <w:bookmarkStart w:id="85" w:name="_Toc42"/>
      <w:bookmarkStart w:id="86" w:name="_Toc10663"/>
      <w:bookmarkStart w:id="87" w:name="_Toc21830"/>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88" w:name="_Toc32494"/>
      <w:bookmarkStart w:id="89" w:name="_Toc26633"/>
      <w:bookmarkStart w:id="90" w:name="_Toc4720"/>
      <w:bookmarkStart w:id="91" w:name="_Toc14371"/>
      <w:bookmarkStart w:id="92" w:name="_Toc255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hd w:val="clear"/>
        <w:spacing w:line="560" w:lineRule="exact"/>
        <w:ind w:firstLine="482" w:firstLineChars="200"/>
        <w:outlineLvl w:val="0"/>
        <w:rPr>
          <w:rFonts w:ascii="仿宋_GB2312" w:hAnsi="仿宋" w:eastAsia="仿宋_GB2312" w:cs="仿宋"/>
          <w:b/>
          <w:color w:val="auto"/>
          <w:sz w:val="24"/>
          <w:highlight w:val="none"/>
        </w:rPr>
      </w:pPr>
      <w:bookmarkStart w:id="93" w:name="_Toc14115"/>
      <w:bookmarkStart w:id="94" w:name="_Toc24465"/>
      <w:bookmarkStart w:id="95" w:name="_Toc25783"/>
      <w:bookmarkStart w:id="96" w:name="_Toc23854"/>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hd w:val="clear"/>
        <w:spacing w:line="560" w:lineRule="exact"/>
        <w:ind w:firstLine="482" w:firstLineChars="200"/>
        <w:outlineLvl w:val="0"/>
        <w:rPr>
          <w:rFonts w:ascii="仿宋_GB2312" w:hAnsi="仿宋" w:eastAsia="仿宋_GB2312" w:cs="仿宋"/>
          <w:b/>
          <w:color w:val="auto"/>
          <w:sz w:val="24"/>
          <w:highlight w:val="none"/>
        </w:rPr>
      </w:pPr>
      <w:bookmarkStart w:id="98" w:name="_Toc7315"/>
      <w:bookmarkStart w:id="99" w:name="_Toc14814"/>
      <w:bookmarkStart w:id="100" w:name="_Toc25525"/>
      <w:bookmarkStart w:id="101" w:name="_Toc26883"/>
      <w:bookmarkStart w:id="102" w:name="_Toc3010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3" w:name="_Toc1123"/>
      <w:bookmarkStart w:id="104" w:name="_Toc23323"/>
      <w:bookmarkStart w:id="105" w:name="_Toc2016"/>
      <w:r>
        <w:rPr>
          <w:rFonts w:hint="eastAsia" w:ascii="仿宋_GB2312" w:hAnsi="仿宋" w:eastAsia="仿宋_GB2312" w:cs="仿宋"/>
          <w:b/>
          <w:color w:val="auto"/>
          <w:sz w:val="24"/>
          <w:highlight w:val="none"/>
        </w:rPr>
        <w:t>2.14 合同中止、终止</w:t>
      </w:r>
      <w:bookmarkEnd w:id="103"/>
      <w:bookmarkEnd w:id="104"/>
      <w:bookmarkEnd w:id="105"/>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7363"/>
      <w:bookmarkStart w:id="108" w:name="_Toc14525"/>
      <w:r>
        <w:rPr>
          <w:rFonts w:hint="eastAsia" w:ascii="仿宋_GB2312" w:hAnsi="仿宋" w:eastAsia="仿宋_GB2312" w:cs="仿宋"/>
          <w:b/>
          <w:color w:val="auto"/>
          <w:sz w:val="24"/>
          <w:highlight w:val="none"/>
        </w:rPr>
        <w:t>2.15 检验和验收</w:t>
      </w:r>
      <w:bookmarkEnd w:id="106"/>
      <w:bookmarkEnd w:id="107"/>
      <w:bookmarkEnd w:id="108"/>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shd w:val="clea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hd w:val="clear"/>
        <w:spacing w:line="560" w:lineRule="exact"/>
        <w:ind w:firstLine="482" w:firstLineChars="200"/>
        <w:outlineLvl w:val="0"/>
        <w:rPr>
          <w:rFonts w:ascii="仿宋_GB2312" w:hAnsi="仿宋" w:eastAsia="仿宋_GB2312" w:cs="仿宋"/>
          <w:b/>
          <w:color w:val="auto"/>
          <w:sz w:val="24"/>
          <w:highlight w:val="none"/>
        </w:rPr>
      </w:pPr>
      <w:bookmarkStart w:id="109" w:name="_Toc25198"/>
      <w:bookmarkStart w:id="110" w:name="_Toc9808"/>
      <w:bookmarkStart w:id="111" w:name="_Toc31892"/>
      <w:bookmarkStart w:id="112" w:name="_Toc2308"/>
      <w:bookmarkStart w:id="113" w:name="_Toc12666"/>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hd w:val="clea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hd w:val="clear"/>
        <w:spacing w:line="560" w:lineRule="exact"/>
        <w:ind w:firstLine="482" w:firstLineChars="200"/>
        <w:outlineLvl w:val="0"/>
        <w:rPr>
          <w:rFonts w:ascii="仿宋_GB2312" w:hAnsi="仿宋" w:eastAsia="仿宋_GB2312" w:cs="仿宋"/>
          <w:b/>
          <w:color w:val="auto"/>
          <w:sz w:val="24"/>
          <w:highlight w:val="none"/>
        </w:rPr>
      </w:pPr>
      <w:bookmarkStart w:id="116" w:name="_Toc27644"/>
      <w:bookmarkStart w:id="117" w:name="_Toc12254"/>
      <w:bookmarkStart w:id="118" w:name="_Toc20808"/>
      <w:bookmarkStart w:id="119" w:name="_Toc28906"/>
      <w:bookmarkStart w:id="120" w:name="_Toc5063"/>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hd w:val="clear"/>
        <w:spacing w:line="560" w:lineRule="exact"/>
        <w:ind w:firstLine="482" w:firstLineChars="200"/>
        <w:outlineLvl w:val="0"/>
        <w:rPr>
          <w:rFonts w:ascii="仿宋_GB2312" w:hAnsi="仿宋" w:eastAsia="仿宋_GB2312" w:cs="仿宋"/>
          <w:b/>
          <w:color w:val="auto"/>
          <w:sz w:val="24"/>
          <w:highlight w:val="none"/>
        </w:rPr>
      </w:pPr>
      <w:bookmarkStart w:id="121" w:name="_Toc4355"/>
      <w:bookmarkStart w:id="122" w:name="_Toc30599"/>
      <w:bookmarkStart w:id="123" w:name="_Toc18540"/>
      <w:r>
        <w:rPr>
          <w:rFonts w:hint="eastAsia" w:ascii="仿宋_GB2312" w:hAnsi="仿宋" w:eastAsia="仿宋_GB2312" w:cs="仿宋"/>
          <w:b/>
          <w:color w:val="auto"/>
          <w:sz w:val="24"/>
          <w:highlight w:val="none"/>
        </w:rPr>
        <w:t>2.18 计量单位</w:t>
      </w:r>
      <w:bookmarkEnd w:id="121"/>
      <w:bookmarkEnd w:id="122"/>
      <w:bookmarkEnd w:id="123"/>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hd w:val="clear"/>
        <w:spacing w:line="560" w:lineRule="exact"/>
        <w:ind w:firstLine="482" w:firstLineChars="200"/>
        <w:outlineLvl w:val="0"/>
        <w:rPr>
          <w:rFonts w:ascii="仿宋_GB2312" w:hAnsi="仿宋" w:eastAsia="仿宋_GB2312" w:cs="仿宋"/>
          <w:b/>
          <w:color w:val="auto"/>
          <w:sz w:val="24"/>
          <w:highlight w:val="none"/>
        </w:rPr>
      </w:pPr>
      <w:bookmarkStart w:id="124" w:name="_Toc259093692"/>
      <w:bookmarkStart w:id="125" w:name="_Toc487900373"/>
      <w:bookmarkStart w:id="126" w:name="_Toc18567"/>
      <w:bookmarkStart w:id="127" w:name="_Toc279701263"/>
      <w:bookmarkStart w:id="128" w:name="_Toc10330"/>
      <w:bookmarkStart w:id="129" w:name="_Toc127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hd w:val="clea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hd w:val="clea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hd w:val="clea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hd w:val="clea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hd w:val="clea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hd w:val="clea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hd w:val="clear"/>
              <w:spacing w:line="360" w:lineRule="auto"/>
              <w:rPr>
                <w:rFonts w:ascii="仿宋_GB2312" w:hAnsi="仿宋" w:eastAsia="仿宋_GB2312" w:cs="仿宋"/>
                <w:color w:val="auto"/>
                <w:sz w:val="24"/>
                <w:highlight w:val="none"/>
              </w:rPr>
            </w:pPr>
          </w:p>
        </w:tc>
      </w:tr>
    </w:tbl>
    <w:p>
      <w:pPr>
        <w:pStyle w:val="34"/>
        <w:pageBreakBefore/>
        <w:shd w:val="clear"/>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hd w:val="clea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hd w:val="clea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hd w:val="clea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hd w:val="clea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hd w:val="clea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hd w:val="clea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tbl>
      <w:tblPr>
        <w:tblStyle w:val="64"/>
        <w:tblW w:w="1034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800"/>
        <w:gridCol w:w="7103"/>
        <w:gridCol w:w="7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widowControl/>
              <w:shd w:val="clear"/>
              <w:snapToGrid w:val="0"/>
              <w:spacing w:line="440" w:lineRule="exact"/>
              <w:jc w:val="center"/>
              <w:rPr>
                <w:rFonts w:hint="eastAsia" w:ascii="仿宋_GB2312" w:hAnsi="仿宋_GB2312" w:eastAsia="仿宋_GB2312" w:cs="仿宋_GB2312"/>
                <w:color w:val="auto"/>
                <w:szCs w:val="24"/>
                <w:highlight w:val="none"/>
              </w:rPr>
            </w:pPr>
            <w:r>
              <w:rPr>
                <w:rFonts w:hint="eastAsia" w:ascii="仿宋_GB2312" w:hAnsi="仿宋" w:eastAsia="仿宋_GB2312" w:cs="仿宋"/>
                <w:b/>
                <w:bCs/>
                <w:color w:val="auto"/>
                <w:kern w:val="0"/>
                <w:sz w:val="24"/>
                <w:highlight w:val="none"/>
              </w:rPr>
              <w:t>序号</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widowControl/>
              <w:shd w:val="clear"/>
              <w:snapToGrid w:val="0"/>
              <w:spacing w:line="440" w:lineRule="exact"/>
              <w:jc w:val="center"/>
              <w:rPr>
                <w:rFonts w:hint="eastAsia" w:ascii="仿宋_GB2312" w:hAnsi="仿宋_GB2312" w:eastAsia="仿宋_GB2312" w:cs="仿宋_GB2312"/>
                <w:color w:val="auto"/>
                <w:szCs w:val="24"/>
                <w:highlight w:val="none"/>
              </w:rPr>
            </w:pPr>
            <w:r>
              <w:rPr>
                <w:rFonts w:hint="eastAsia" w:ascii="仿宋_GB2312" w:hAnsi="仿宋" w:eastAsia="仿宋_GB2312" w:cs="仿宋"/>
                <w:b/>
                <w:bCs/>
                <w:color w:val="auto"/>
                <w:kern w:val="0"/>
                <w:sz w:val="24"/>
                <w:highlight w:val="none"/>
              </w:rPr>
              <w:t>评分项</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widowControl/>
              <w:shd w:val="clear"/>
              <w:snapToGrid w:val="0"/>
              <w:spacing w:line="440" w:lineRule="exact"/>
              <w:jc w:val="center"/>
              <w:rPr>
                <w:rFonts w:hint="eastAsia" w:ascii="仿宋_GB2312" w:hAnsi="仿宋_GB2312" w:eastAsia="仿宋_GB2312" w:cs="仿宋_GB2312"/>
                <w:color w:val="auto"/>
                <w:szCs w:val="24"/>
                <w:highlight w:val="none"/>
              </w:rPr>
            </w:pPr>
            <w:r>
              <w:rPr>
                <w:rFonts w:hint="eastAsia" w:ascii="仿宋_GB2312" w:hAnsi="仿宋" w:eastAsia="仿宋_GB2312" w:cs="仿宋"/>
                <w:b/>
                <w:bCs/>
                <w:color w:val="auto"/>
                <w:kern w:val="0"/>
                <w:sz w:val="24"/>
                <w:highlight w:val="none"/>
              </w:rPr>
              <w:t>评审依据及标准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eastAsia="zh-CN"/>
              </w:rPr>
              <w:t>分值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7" w:hRule="atLeast"/>
          <w:jc w:val="center"/>
        </w:trPr>
        <w:tc>
          <w:tcPr>
            <w:tcW w:w="736" w:type="dxa"/>
            <w:tcBorders>
              <w:top w:val="single" w:color="auto" w:sz="2" w:space="0"/>
              <w:left w:val="single" w:color="auto" w:sz="2" w:space="0"/>
              <w:bottom w:val="single" w:color="auto" w:sz="4"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w:t>
            </w:r>
          </w:p>
        </w:tc>
        <w:tc>
          <w:tcPr>
            <w:tcW w:w="1800" w:type="dxa"/>
            <w:tcBorders>
              <w:top w:val="single" w:color="auto" w:sz="2" w:space="0"/>
              <w:left w:val="single" w:color="auto" w:sz="2" w:space="0"/>
              <w:bottom w:val="single" w:color="auto" w:sz="4"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管理体系认证</w:t>
            </w:r>
          </w:p>
        </w:tc>
        <w:tc>
          <w:tcPr>
            <w:tcW w:w="7103" w:type="dxa"/>
            <w:tcBorders>
              <w:top w:val="single" w:color="auto" w:sz="2" w:space="0"/>
              <w:left w:val="single" w:color="auto" w:sz="2" w:space="0"/>
              <w:bottom w:val="single" w:color="auto" w:sz="4"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根据投标人企业认证证书情况进行打分，0-</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rPr>
              <w:t>分。（提供相关证明并加盖投标人公章）</w:t>
            </w:r>
          </w:p>
        </w:tc>
        <w:tc>
          <w:tcPr>
            <w:tcW w:w="709" w:type="dxa"/>
            <w:tcBorders>
              <w:top w:val="single" w:color="auto" w:sz="2" w:space="0"/>
              <w:left w:val="single" w:color="auto" w:sz="2" w:space="0"/>
              <w:bottom w:val="single" w:color="auto" w:sz="4"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业绩案例</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lang w:eastAsia="zh-CN"/>
              </w:rPr>
              <w:t>投标人自2021年</w:t>
            </w:r>
            <w:r>
              <w:rPr>
                <w:rFonts w:hint="eastAsia" w:ascii="仿宋_GB2312" w:hAnsi="仿宋_GB2312" w:eastAsia="仿宋_GB2312" w:cs="仿宋_GB2312"/>
                <w:color w:val="auto"/>
                <w:szCs w:val="24"/>
                <w:highlight w:val="none"/>
                <w:lang w:val="en-US" w:eastAsia="zh-CN"/>
              </w:rPr>
              <w:t>7</w:t>
            </w:r>
            <w:r>
              <w:rPr>
                <w:rFonts w:hint="eastAsia" w:ascii="仿宋_GB2312" w:hAnsi="仿宋_GB2312" w:eastAsia="仿宋_GB2312" w:cs="仿宋_GB2312"/>
                <w:color w:val="auto"/>
                <w:szCs w:val="24"/>
                <w:highlight w:val="none"/>
                <w:lang w:eastAsia="zh-CN"/>
              </w:rPr>
              <w:t>月1日以来（以合同签订时间为准）完成的同类案例，每有1个得0.5分，满分</w:t>
            </w:r>
            <w:r>
              <w:rPr>
                <w:rFonts w:hint="eastAsia" w:ascii="仿宋_GB2312" w:hAnsi="仿宋_GB2312" w:eastAsia="仿宋_GB2312" w:cs="仿宋_GB2312"/>
                <w:color w:val="auto"/>
                <w:szCs w:val="24"/>
                <w:highlight w:val="none"/>
                <w:lang w:val="en-US" w:eastAsia="zh-CN"/>
              </w:rPr>
              <w:t>3</w:t>
            </w:r>
            <w:r>
              <w:rPr>
                <w:rFonts w:hint="eastAsia" w:ascii="仿宋_GB2312" w:hAnsi="仿宋_GB2312" w:eastAsia="仿宋_GB2312" w:cs="仿宋_GB2312"/>
                <w:color w:val="auto"/>
                <w:szCs w:val="24"/>
                <w:highlight w:val="none"/>
                <w:lang w:eastAsia="zh-CN"/>
              </w:rPr>
              <w:t>分。</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eastAsia="zh-CN"/>
              </w:rPr>
              <w:t>注：1.每个案例提供合同和验收报告复印件，并加盖投标人公章。</w:t>
            </w:r>
          </w:p>
        </w:tc>
        <w:tc>
          <w:tcPr>
            <w:tcW w:w="709" w:type="dxa"/>
            <w:tcBorders>
              <w:top w:val="single" w:color="auto" w:sz="4"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48"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人员配置方案</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23"/>
              <w:shd w:val="clear"/>
              <w:tabs>
                <w:tab w:val="left" w:pos="360"/>
              </w:tabs>
              <w:spacing w:line="36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1.拟派项目负责人具有本科及以上学历的得2分；</w:t>
            </w:r>
          </w:p>
          <w:p>
            <w:pPr>
              <w:pStyle w:val="23"/>
              <w:shd w:val="clear"/>
              <w:tabs>
                <w:tab w:val="left" w:pos="360"/>
              </w:tabs>
              <w:spacing w:line="36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2.拟派</w:t>
            </w:r>
            <w:r>
              <w:rPr>
                <w:rFonts w:hint="eastAsia" w:ascii="仿宋_GB2312" w:hAnsi="仿宋_GB2312" w:eastAsia="仿宋_GB2312" w:cs="仿宋_GB2312"/>
                <w:bCs/>
                <w:iCs/>
                <w:color w:val="auto"/>
                <w:sz w:val="24"/>
                <w:highlight w:val="none"/>
                <w:lang w:val="en-US" w:eastAsia="zh-CN"/>
              </w:rPr>
              <w:t>项目</w:t>
            </w:r>
            <w:r>
              <w:rPr>
                <w:rFonts w:hint="eastAsia" w:ascii="仿宋_GB2312" w:hAnsi="仿宋_GB2312" w:eastAsia="仿宋_GB2312" w:cs="仿宋_GB2312"/>
                <w:bCs/>
                <w:iCs/>
                <w:color w:val="auto"/>
                <w:sz w:val="24"/>
                <w:highlight w:val="none"/>
              </w:rPr>
              <w:t>管理团队人员（项目负责人除外）：具有大专及以上学历每有一人得1分，最高得4分。</w:t>
            </w:r>
          </w:p>
          <w:p>
            <w:pPr>
              <w:pStyle w:val="23"/>
              <w:shd w:val="clear"/>
              <w:tabs>
                <w:tab w:val="left" w:pos="360"/>
              </w:tabs>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iCs/>
                <w:color w:val="auto"/>
                <w:sz w:val="24"/>
                <w:highlight w:val="none"/>
              </w:rPr>
              <w:t>注：提供相关证书及本单位社保缴纳证明</w:t>
            </w:r>
            <w:r>
              <w:rPr>
                <w:rFonts w:hint="eastAsia" w:ascii="仿宋_GB2312" w:hAnsi="仿宋_GB2312" w:eastAsia="仿宋_GB2312" w:cs="仿宋_GB2312"/>
                <w:b/>
                <w:bCs/>
                <w:iCs/>
                <w:color w:val="auto"/>
                <w:sz w:val="24"/>
                <w:highlight w:val="none"/>
                <w:lang w:val="en-US" w:eastAsia="zh-CN"/>
              </w:rPr>
              <w:t>均</w:t>
            </w:r>
            <w:r>
              <w:rPr>
                <w:rFonts w:hint="eastAsia" w:ascii="仿宋_GB2312" w:hAnsi="仿宋_GB2312" w:eastAsia="仿宋_GB2312" w:cs="仿宋_GB2312"/>
                <w:b/>
                <w:bCs/>
                <w:iCs/>
                <w:color w:val="auto"/>
                <w:sz w:val="24"/>
                <w:highlight w:val="none"/>
              </w:rPr>
              <w:t>加盖投标人公章。</w:t>
            </w:r>
          </w:p>
        </w:tc>
        <w:tc>
          <w:tcPr>
            <w:tcW w:w="709" w:type="dxa"/>
            <w:tcBorders>
              <w:top w:val="single" w:color="auto" w:sz="4"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拟投入实施设备</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提供</w:t>
            </w:r>
            <w:r>
              <w:rPr>
                <w:rFonts w:hint="eastAsia" w:ascii="仿宋_GB2312" w:hAnsi="仿宋_GB2312" w:eastAsia="仿宋_GB2312" w:cs="仿宋_GB2312"/>
                <w:bCs/>
                <w:color w:val="auto"/>
                <w:sz w:val="24"/>
                <w:highlight w:val="none"/>
                <w:lang w:val="en-US" w:eastAsia="zh-CN"/>
              </w:rPr>
              <w:t>投标人</w:t>
            </w:r>
            <w:r>
              <w:rPr>
                <w:rFonts w:hint="eastAsia" w:ascii="仿宋_GB2312" w:hAnsi="仿宋_GB2312" w:eastAsia="仿宋_GB2312" w:cs="仿宋_GB2312"/>
                <w:bCs/>
                <w:color w:val="auto"/>
                <w:sz w:val="24"/>
                <w:highlight w:val="none"/>
              </w:rPr>
              <w:t>拟投入本项目的相关设施设备包括但不仅限于自动地面清洁机器人（消杀型）、密封式桶装垃圾车、液压式升降平台、高压冲洗车、驾驶式洗地机等</w:t>
            </w:r>
            <w:r>
              <w:rPr>
                <w:rFonts w:hint="eastAsia" w:ascii="仿宋_GB2312" w:hAnsi="仿宋_GB2312" w:eastAsia="仿宋_GB2312" w:cs="仿宋_GB2312"/>
                <w:bCs/>
                <w:color w:val="auto"/>
                <w:sz w:val="24"/>
                <w:highlight w:val="none"/>
                <w:lang w:val="en-US" w:eastAsia="zh-CN"/>
              </w:rPr>
              <w:t>明细</w:t>
            </w:r>
            <w:r>
              <w:rPr>
                <w:rFonts w:hint="eastAsia" w:ascii="仿宋_GB2312" w:hAnsi="仿宋_GB2312" w:eastAsia="仿宋_GB2312" w:cs="仿宋_GB2312"/>
                <w:bCs/>
                <w:color w:val="auto"/>
                <w:sz w:val="24"/>
                <w:highlight w:val="none"/>
              </w:rPr>
              <w:t>清单，包括名称、型号规格、数量、用途、实物照片等进行打分，0-</w:t>
            </w:r>
            <w:r>
              <w:rPr>
                <w:rFonts w:hint="eastAsia" w:ascii="仿宋_GB2312" w:hAnsi="仿宋_GB2312" w:eastAsia="仿宋_GB2312" w:cs="仿宋_GB2312"/>
                <w:bCs/>
                <w:color w:val="auto"/>
                <w:sz w:val="24"/>
                <w:highlight w:val="none"/>
                <w:lang w:val="en-US" w:eastAsia="zh-CN"/>
              </w:rPr>
              <w:t>4</w:t>
            </w:r>
            <w:r>
              <w:rPr>
                <w:rFonts w:hint="eastAsia" w:ascii="仿宋_GB2312" w:hAnsi="仿宋_GB2312" w:eastAsia="仿宋_GB2312" w:cs="仿宋_GB2312"/>
                <w:bCs/>
                <w:color w:val="auto"/>
                <w:sz w:val="24"/>
                <w:highlight w:val="none"/>
              </w:rPr>
              <w:t>分。</w:t>
            </w:r>
          </w:p>
          <w:p>
            <w:pPr>
              <w:shd w:val="clea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注：需提供设备购置发票或租赁合同复印件加盖投标人公章。</w:t>
            </w:r>
          </w:p>
        </w:tc>
        <w:tc>
          <w:tcPr>
            <w:tcW w:w="709" w:type="dxa"/>
            <w:tcBorders>
              <w:top w:val="single" w:color="auto" w:sz="4"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76"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服务方案</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根据投标人针对本项目的服务方案进行打分，每项内容得0-1.5分，最高得分7.5分，不符合或不提供的得0分。</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1.保洁、护工服务方案（服务理念、实现目标、经营模式等）；</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2.接管方案（是否程序清晰、周期明确、计划详尽等）；</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3.质量控制考核（质量管理目标、质量控制措施、质量考核方案等）；</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4.服务评价与管理（满意度调查、持续改进流程、投诉处理方案、相关表单等）。</w:t>
            </w:r>
          </w:p>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5.对院感控、重大疫情防控方案实施、承诺情况以及保证措施等。</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736" w:type="dxa"/>
            <w:tcBorders>
              <w:top w:val="single" w:color="auto" w:sz="2" w:space="0"/>
              <w:left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6</w:t>
            </w:r>
          </w:p>
        </w:tc>
        <w:tc>
          <w:tcPr>
            <w:tcW w:w="1800" w:type="dxa"/>
            <w:tcBorders>
              <w:top w:val="single" w:color="auto" w:sz="2" w:space="0"/>
              <w:left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信息化管理</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根据投标人具有针对本项目信息化管理能力（日常业务的流程化设置与管理、详情分析、数据管理、绩效分析、市场应用成熟度等）进行打分，0-5分，不符合或不提供的得0分。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7</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设备物料</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根据投标人针对本项目投入的工具类型、规格和数量，以及消耗材料等安全性、环保性进行打分，0-5分，不符合或不提供的得0分。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8</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培训管理</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根据投标人针对本项目的培训管理情况（培训管理制度、岗前和在岗培训方案、培训计划、培训质量控制管理措施等）进行打分，0-3分，不符合或不提供的得0分。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9</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应急管理</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根据投标人针对本项目可能的突发事件（人员意外伤害、冲突或纠纷、疫情政策要求响应等）的应急预案、处置流程、保障措施等进行打分，0-4.5分，不符合或不提供的得0分。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10</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服务承诺</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根据投标人针对本项目服务（在服务质量、队伍稳定性、遵守院规、风险责任控制等方面）的承诺及有关措施等进行打分，0-5分，不符合或不提供的得0分。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68"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11</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其他优惠承诺</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 w:val="24"/>
                <w:szCs w:val="24"/>
                <w:highlight w:val="none"/>
                <w:lang w:val="en-US" w:eastAsia="zh-CN"/>
              </w:rPr>
              <w:t>投标人针对本项目提供</w:t>
            </w:r>
            <w:r>
              <w:rPr>
                <w:rFonts w:hint="eastAsia" w:ascii="仿宋_GB2312" w:hAnsi="仿宋_GB2312" w:eastAsia="仿宋_GB2312" w:cs="仿宋_GB2312"/>
                <w:bCs/>
                <w:color w:val="auto"/>
                <w:sz w:val="24"/>
                <w:szCs w:val="24"/>
                <w:highlight w:val="none"/>
              </w:rPr>
              <w:t>服务承诺及优惠措施</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不包括价格优惠</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等方面进行打分，0-4分。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12</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lang w:val="en-US" w:eastAsia="zh-CN"/>
              </w:rPr>
              <w:t>责任保险</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rPr>
            </w:pPr>
            <w:r>
              <w:rPr>
                <w:rFonts w:hint="eastAsia" w:ascii="仿宋_GB2312" w:hAnsi="仿宋_GB2312" w:eastAsia="仿宋_GB2312" w:cs="仿宋_GB2312"/>
                <w:color w:val="auto"/>
                <w:szCs w:val="24"/>
                <w:highlight w:val="none"/>
                <w:lang w:val="en-US" w:eastAsia="zh-CN"/>
              </w:rPr>
              <w:t>投标人承诺中标后为本项目购买公众责任险和雇主责任险的，分别根据最高可赔付保额认定，单项保险分别达到500万得0.5分，最高得2分（即单项保险分别达到2000万），500万（不含）以下得0分。合计最高得4分。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13</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生活垃圾分类方案</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left"/>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根据投标人针对生活垃圾管理方案实施、承诺情况以及保证措施进行打分，0-5分。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14</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医疗垃圾处理方案</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pStyle w:val="4"/>
              <w:shd w:val="clear"/>
              <w:spacing w:line="360" w:lineRule="exac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根据投标人针对医疗垃圾管理方案实施、承诺情况以及保证措施进行打分，0-5分。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6"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w:t>
            </w:r>
          </w:p>
        </w:tc>
        <w:tc>
          <w:tcPr>
            <w:tcW w:w="1800" w:type="dxa"/>
            <w:tcBorders>
              <w:top w:val="single" w:color="auto" w:sz="2" w:space="0"/>
              <w:left w:val="single" w:color="auto" w:sz="2" w:space="0"/>
              <w:bottom w:val="single" w:color="auto" w:sz="2" w:space="0"/>
              <w:right w:val="single" w:color="auto" w:sz="2" w:space="0"/>
            </w:tcBorders>
            <w:noWrap w:val="0"/>
            <w:vAlign w:val="center"/>
          </w:tcPr>
          <w:p>
            <w:pPr>
              <w:shd w:val="clear"/>
              <w:spacing w:line="360" w:lineRule="exact"/>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日常保洁管理方案</w:t>
            </w:r>
          </w:p>
        </w:tc>
        <w:tc>
          <w:tcPr>
            <w:tcW w:w="7103" w:type="dxa"/>
            <w:tcBorders>
              <w:top w:val="single" w:color="auto" w:sz="2" w:space="0"/>
              <w:left w:val="single" w:color="auto" w:sz="2" w:space="0"/>
              <w:bottom w:val="single" w:color="auto" w:sz="2" w:space="0"/>
              <w:right w:val="single" w:color="auto" w:sz="2" w:space="0"/>
            </w:tcBorders>
            <w:noWrap w:val="0"/>
            <w:vAlign w:val="center"/>
          </w:tcPr>
          <w:p>
            <w:pPr>
              <w:numPr>
                <w:ilvl w:val="255"/>
                <w:numId w:val="0"/>
              </w:numPr>
              <w:shd w:val="clear"/>
              <w:spacing w:line="360" w:lineRule="exact"/>
              <w:ind w:left="0" w:leftChars="0" w:firstLine="0" w:firstLineChars="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根据我院的特点，按其提供详细的保洁管理方案包括但不限于：公共区域及设施的保洁方案；垃圾、废弃物清理公共区域及设施的保洁方案，0-5分。</w:t>
            </w:r>
          </w:p>
        </w:tc>
        <w:tc>
          <w:tcPr>
            <w:tcW w:w="709" w:type="dxa"/>
            <w:tcBorders>
              <w:top w:val="single" w:color="auto" w:sz="2" w:space="0"/>
              <w:left w:val="single" w:color="auto" w:sz="2" w:space="0"/>
              <w:bottom w:val="single" w:color="auto" w:sz="2" w:space="0"/>
              <w:right w:val="single" w:color="auto" w:sz="2" w:space="0"/>
            </w:tcBorders>
            <w:noWrap w:val="0"/>
            <w:vAlign w:val="center"/>
          </w:tcPr>
          <w:p>
            <w:pPr>
              <w:pStyle w:val="908"/>
              <w:shd w:val="clear"/>
              <w:bidi w:val="0"/>
              <w:spacing w:line="360" w:lineRule="exact"/>
              <w:ind w:left="0" w:leftChars="0" w:firstLine="0" w:firstLineChars="0"/>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5</w:t>
            </w:r>
          </w:p>
        </w:tc>
      </w:tr>
    </w:tbl>
    <w:p>
      <w:pPr>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hd w:val="clea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shd w:val="clea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hd w:val="clea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即：投标报价得分=(评标基准价／投标报价)×30</w:t>
      </w:r>
    </w:p>
    <w:p>
      <w:pPr>
        <w:shd w:val="clear"/>
        <w:snapToGrid w:val="0"/>
        <w:rPr>
          <w:rFonts w:ascii="仿宋_GB2312" w:hAnsi="宋体" w:eastAsia="仿宋_GB2312"/>
          <w:b/>
          <w:color w:val="auto"/>
          <w:sz w:val="24"/>
          <w:highlight w:val="none"/>
          <w:u w:val="single"/>
        </w:rPr>
      </w:pPr>
    </w:p>
    <w:bookmarkEnd w:id="5"/>
    <w:bookmarkEnd w:id="6"/>
    <w:bookmarkEnd w:id="7"/>
    <w:bookmarkEnd w:id="8"/>
    <w:p>
      <w:pPr>
        <w:shd w:val="clear"/>
        <w:snapToGrid w:val="0"/>
        <w:spacing w:line="360" w:lineRule="auto"/>
        <w:jc w:val="center"/>
        <w:rPr>
          <w:rFonts w:ascii="仿宋_GB2312" w:hAnsi="仿宋_GB2312" w:eastAsia="仿宋_GB2312" w:cs="仿宋_GB2312"/>
          <w:b/>
          <w:color w:val="auto"/>
          <w:sz w:val="36"/>
          <w:szCs w:val="20"/>
          <w:highlight w:val="none"/>
        </w:rPr>
      </w:pPr>
    </w:p>
    <w:p>
      <w:pPr>
        <w:shd w:val="clear"/>
        <w:snapToGrid w:val="0"/>
        <w:spacing w:line="360" w:lineRule="auto"/>
        <w:jc w:val="center"/>
        <w:rPr>
          <w:rFonts w:ascii="仿宋_GB2312" w:hAnsi="仿宋_GB2312" w:eastAsia="仿宋_GB2312" w:cs="仿宋_GB2312"/>
          <w:b/>
          <w:color w:val="auto"/>
          <w:sz w:val="36"/>
          <w:szCs w:val="20"/>
          <w:highlight w:val="none"/>
        </w:rPr>
      </w:pPr>
    </w:p>
    <w:p>
      <w:pPr>
        <w:shd w:val="clear"/>
        <w:snapToGrid w:val="0"/>
        <w:spacing w:line="360" w:lineRule="auto"/>
        <w:jc w:val="center"/>
        <w:rPr>
          <w:rFonts w:ascii="仿宋_GB2312" w:hAnsi="仿宋_GB2312" w:eastAsia="仿宋_GB2312" w:cs="仿宋_GB2312"/>
          <w:b/>
          <w:color w:val="auto"/>
          <w:sz w:val="36"/>
          <w:szCs w:val="20"/>
          <w:highlight w:val="none"/>
        </w:rPr>
      </w:pPr>
    </w:p>
    <w:p>
      <w:pPr>
        <w:shd w:val="clear"/>
        <w:snapToGrid w:val="0"/>
        <w:spacing w:line="360" w:lineRule="auto"/>
        <w:jc w:val="center"/>
        <w:rPr>
          <w:rFonts w:ascii="仿宋_GB2312" w:hAnsi="仿宋_GB2312" w:eastAsia="仿宋_GB2312" w:cs="仿宋_GB2312"/>
          <w:b/>
          <w:color w:val="auto"/>
          <w:sz w:val="36"/>
          <w:szCs w:val="20"/>
          <w:highlight w:val="none"/>
        </w:rPr>
      </w:pPr>
    </w:p>
    <w:p>
      <w:pPr>
        <w:pageBreakBefore/>
        <w:shd w:val="clear"/>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hd w:val="clear"/>
        <w:spacing w:line="360" w:lineRule="auto"/>
        <w:ind w:firstLine="480" w:firstLineChars="200"/>
        <w:outlineLvl w:val="0"/>
        <w:rPr>
          <w:rFonts w:ascii="仿宋_GB2312" w:hAnsi="仿宋_GB2312" w:eastAsia="仿宋_GB2312" w:cs="仿宋_GB2312"/>
          <w:color w:val="auto"/>
          <w:sz w:val="24"/>
          <w:highlight w:val="none"/>
        </w:rPr>
      </w:pP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hd w:val="clear"/>
        <w:adjustRightInd w:val="0"/>
        <w:spacing w:line="360" w:lineRule="auto"/>
        <w:jc w:val="center"/>
        <w:outlineLvl w:val="0"/>
        <w:rPr>
          <w:rFonts w:ascii="仿宋_GB2312" w:hAnsi="仿宋" w:eastAsia="仿宋_GB2312" w:cs="仿宋"/>
          <w:b/>
          <w:color w:val="auto"/>
          <w:kern w:val="0"/>
          <w:sz w:val="36"/>
          <w:szCs w:val="36"/>
          <w:highlight w:val="none"/>
        </w:rPr>
      </w:pP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shd w:val="clea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shd w:val="clea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hd w:val="clear"/>
        <w:spacing w:line="360" w:lineRule="auto"/>
        <w:ind w:firstLine="480" w:firstLineChars="200"/>
        <w:outlineLvl w:val="0"/>
        <w:rPr>
          <w:rFonts w:ascii="仿宋_GB2312" w:hAnsi="仿宋_GB2312" w:eastAsia="仿宋_GB2312" w:cs="仿宋_GB2312"/>
          <w:color w:val="auto"/>
          <w:sz w:val="24"/>
          <w:highlight w:val="none"/>
        </w:rPr>
      </w:pPr>
    </w:p>
    <w:p>
      <w:pPr>
        <w:pStyle w:val="3"/>
        <w:shd w:val="clear"/>
        <w:spacing w:line="800" w:lineRule="atLeast"/>
        <w:ind w:left="0" w:leftChars="0"/>
        <w:rPr>
          <w:rFonts w:ascii="仿宋_GB2312" w:hAnsi="宋体" w:eastAsia="仿宋_GB2312"/>
          <w:b/>
          <w:color w:val="auto"/>
          <w:sz w:val="36"/>
          <w:szCs w:val="36"/>
          <w:highlight w:val="none"/>
        </w:rPr>
      </w:pPr>
    </w:p>
    <w:p>
      <w:pPr>
        <w:pStyle w:val="3"/>
        <w:shd w:val="clear"/>
        <w:spacing w:line="800" w:lineRule="atLeast"/>
        <w:ind w:left="0" w:leftChars="0"/>
        <w:rPr>
          <w:rFonts w:ascii="仿宋_GB2312" w:hAnsi="宋体" w:eastAsia="仿宋_GB2312"/>
          <w:b/>
          <w:color w:val="auto"/>
          <w:sz w:val="36"/>
          <w:szCs w:val="36"/>
          <w:highlight w:val="none"/>
        </w:rPr>
      </w:pPr>
    </w:p>
    <w:p>
      <w:pPr>
        <w:shd w:val="clear"/>
        <w:rPr>
          <w:rFonts w:ascii="仿宋_GB2312" w:hAnsi="宋体" w:eastAsia="仿宋_GB2312"/>
          <w:b/>
          <w:color w:val="auto"/>
          <w:sz w:val="30"/>
          <w:szCs w:val="30"/>
          <w:highlight w:val="none"/>
        </w:rPr>
      </w:pPr>
    </w:p>
    <w:p>
      <w:pPr>
        <w:shd w:val="clear"/>
        <w:rPr>
          <w:rFonts w:ascii="仿宋_GB2312" w:hAnsi="宋体" w:eastAsia="仿宋_GB2312"/>
          <w:b/>
          <w:color w:val="auto"/>
          <w:sz w:val="30"/>
          <w:szCs w:val="30"/>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绍兴市第七人民医院</w:t>
      </w:r>
      <w:r>
        <w:rPr>
          <w:rFonts w:hint="eastAsia" w:ascii="仿宋_GB2312" w:hAnsi="仿宋" w:eastAsia="仿宋_GB2312" w:cs="仿宋"/>
          <w:color w:val="auto"/>
          <w:sz w:val="24"/>
          <w:highlight w:val="none"/>
        </w:rPr>
        <w:t>、绍兴市公共资源交易中心：</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绍兴市第七人民医院保洁服务项目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2024-10-0117</w:t>
      </w:r>
      <w:r>
        <w:rPr>
          <w:rFonts w:hint="eastAsia" w:ascii="仿宋_GB2312" w:hAnsi="仿宋" w:eastAsia="仿宋_GB2312" w:cs="仿宋"/>
          <w:color w:val="auto"/>
          <w:sz w:val="24"/>
          <w:highlight w:val="none"/>
        </w:rPr>
        <w:t>）政府采购活动，郑重承诺：</w:t>
      </w:r>
    </w:p>
    <w:p>
      <w:pPr>
        <w:shd w:val="clea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hd w:val="clea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hd w:val="clea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hd w:val="clear"/>
        <w:snapToGrid w:val="0"/>
        <w:spacing w:line="440" w:lineRule="exact"/>
        <w:rPr>
          <w:rFonts w:ascii="仿宋_GB2312" w:hAnsi="仿宋_GB2312" w:eastAsia="仿宋_GB2312" w:cs="仿宋_GB2312"/>
          <w:color w:val="auto"/>
          <w:sz w:val="24"/>
          <w:highlight w:val="none"/>
        </w:rPr>
      </w:pPr>
    </w:p>
    <w:p>
      <w:pPr>
        <w:shd w:val="clear"/>
        <w:snapToGrid w:val="0"/>
        <w:spacing w:line="440" w:lineRule="exact"/>
        <w:rPr>
          <w:rFonts w:ascii="仿宋_GB2312" w:hAnsi="仿宋_GB2312" w:eastAsia="仿宋_GB2312" w:cs="仿宋_GB2312"/>
          <w:color w:val="auto"/>
          <w:sz w:val="24"/>
          <w:highlight w:val="none"/>
        </w:rPr>
      </w:pPr>
    </w:p>
    <w:p>
      <w:pPr>
        <w:pageBreakBefore/>
        <w:widowControl/>
        <w:shd w:val="clear"/>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hd w:val="clear"/>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shd w:val="clear"/>
        <w:rPr>
          <w:color w:val="auto"/>
          <w:highlight w:val="none"/>
        </w:rPr>
      </w:pPr>
    </w:p>
    <w:p>
      <w:pPr>
        <w:shd w:val="clea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hd w:val="clear"/>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hd w:val="clea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hd w:val="clear"/>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hd w:val="clea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hd w:val="clear"/>
        <w:spacing w:line="360" w:lineRule="auto"/>
        <w:ind w:left="150"/>
        <w:jc w:val="center"/>
        <w:rPr>
          <w:rFonts w:ascii="仿宋_GB2312" w:hAnsi="仿宋" w:eastAsia="仿宋_GB2312" w:cs="仿宋"/>
          <w:b/>
          <w:color w:val="auto"/>
          <w:kern w:val="0"/>
          <w:sz w:val="32"/>
          <w:szCs w:val="32"/>
          <w:highlight w:val="none"/>
        </w:rPr>
      </w:pPr>
    </w:p>
    <w:p>
      <w:pPr>
        <w:widowControl/>
        <w:shd w:val="clear"/>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hd w:val="clear"/>
        <w:spacing w:line="336" w:lineRule="auto"/>
        <w:jc w:val="center"/>
        <w:rPr>
          <w:rFonts w:ascii="仿宋_GB2312" w:hAnsi="仿宋" w:eastAsia="仿宋_GB2312" w:cs="仿宋"/>
          <w:b/>
          <w:color w:val="auto"/>
          <w:kern w:val="0"/>
          <w:sz w:val="36"/>
          <w:szCs w:val="36"/>
          <w:highlight w:val="none"/>
        </w:rPr>
      </w:pPr>
    </w:p>
    <w:p>
      <w:pPr>
        <w:shd w:val="clear"/>
        <w:spacing w:line="336" w:lineRule="auto"/>
        <w:jc w:val="center"/>
        <w:rPr>
          <w:rFonts w:ascii="仿宋_GB2312" w:hAnsi="仿宋" w:eastAsia="仿宋_GB2312" w:cs="仿宋"/>
          <w:b/>
          <w:color w:val="auto"/>
          <w:kern w:val="0"/>
          <w:sz w:val="36"/>
          <w:szCs w:val="36"/>
          <w:highlight w:val="none"/>
        </w:rPr>
      </w:pPr>
    </w:p>
    <w:p>
      <w:pPr>
        <w:shd w:val="clea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hd w:val="clear"/>
        <w:spacing w:line="336" w:lineRule="auto"/>
        <w:jc w:val="center"/>
        <w:outlineLvl w:val="0"/>
        <w:rPr>
          <w:rFonts w:ascii="仿宋_GB2312" w:hAnsi="仿宋" w:eastAsia="仿宋_GB2312" w:cs="仿宋"/>
          <w:b/>
          <w:color w:val="auto"/>
          <w:kern w:val="0"/>
          <w:sz w:val="24"/>
          <w:highlight w:val="none"/>
        </w:rPr>
      </w:pPr>
    </w:p>
    <w:p>
      <w:pPr>
        <w:shd w:val="clea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2"/>
        <w:shd w:val="clear"/>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hd w:val="clea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hd w:val="clear"/>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绍兴市第七人民医院</w:t>
      </w:r>
      <w:r>
        <w:rPr>
          <w:rFonts w:hint="eastAsia" w:ascii="仿宋_GB2312" w:hAnsi="仿宋" w:eastAsia="仿宋_GB2312" w:cs="仿宋"/>
          <w:color w:val="auto"/>
          <w:szCs w:val="24"/>
          <w:highlight w:val="none"/>
          <w:u w:val="single"/>
        </w:rPr>
        <w:t>、绍兴市公共资源交易中心</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7"/>
        <w:shd w:val="clear"/>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7"/>
        <w:shd w:val="clear"/>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hd w:val="clea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hd w:val="clear"/>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hd w:val="clear"/>
        <w:snapToGrid w:val="0"/>
        <w:spacing w:line="336" w:lineRule="auto"/>
        <w:ind w:firstLine="480" w:firstLineChars="200"/>
        <w:jc w:val="left"/>
        <w:rPr>
          <w:rFonts w:ascii="仿宋_GB2312" w:hAnsi="仿宋" w:eastAsia="仿宋_GB2312" w:cs="仿宋"/>
          <w:color w:val="auto"/>
          <w:sz w:val="24"/>
          <w:highlight w:val="none"/>
        </w:rPr>
      </w:pPr>
    </w:p>
    <w:p>
      <w:pPr>
        <w:shd w:val="clea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hd w:val="clear"/>
        <w:snapToGrid w:val="0"/>
        <w:spacing w:line="360" w:lineRule="auto"/>
        <w:jc w:val="center"/>
        <w:rPr>
          <w:rFonts w:ascii="仿宋_GB2312" w:hAnsi="仿宋" w:eastAsia="仿宋_GB2312" w:cs="仿宋"/>
          <w:b/>
          <w:color w:val="auto"/>
          <w:kern w:val="0"/>
          <w:sz w:val="32"/>
          <w:szCs w:val="32"/>
          <w:highlight w:val="none"/>
        </w:rPr>
      </w:pPr>
    </w:p>
    <w:p>
      <w:pPr>
        <w:shd w:val="clear"/>
        <w:spacing w:line="360" w:lineRule="auto"/>
        <w:jc w:val="center"/>
        <w:rPr>
          <w:rFonts w:ascii="仿宋_GB2312" w:hAnsi="仿宋_GB2312" w:eastAsia="仿宋_GB2312" w:cs="仿宋_GB2312"/>
          <w:b/>
          <w:color w:val="auto"/>
          <w:sz w:val="24"/>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widowControl/>
        <w:shd w:val="clear"/>
        <w:jc w:val="center"/>
        <w:rPr>
          <w:rFonts w:ascii="仿宋_GB2312" w:hAnsi="仿宋" w:eastAsia="仿宋_GB2312" w:cs="仿宋"/>
          <w:b/>
          <w:color w:val="auto"/>
          <w:sz w:val="30"/>
          <w:szCs w:val="30"/>
          <w:highlight w:val="none"/>
        </w:rPr>
      </w:pPr>
    </w:p>
    <w:p>
      <w:pPr>
        <w:pageBreakBefore/>
        <w:widowControl/>
        <w:shd w:val="clear"/>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shd w:val="clear"/>
        <w:jc w:val="center"/>
        <w:rPr>
          <w:rFonts w:ascii="仿宋_GB2312" w:hAnsi="仿宋" w:eastAsia="仿宋_GB2312" w:cs="仿宋"/>
          <w:b/>
          <w:color w:val="auto"/>
          <w:sz w:val="24"/>
          <w:highlight w:val="none"/>
        </w:rPr>
      </w:pP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绍兴市第七人民医院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绍兴市第七人民医院保洁服务项目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2024-10-0117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hd w:val="clear"/>
        <w:snapToGrid w:val="0"/>
        <w:spacing w:line="600" w:lineRule="exact"/>
        <w:jc w:val="lef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hd w:val="clear"/>
        <w:spacing w:line="360" w:lineRule="exact"/>
        <w:rPr>
          <w:rFonts w:ascii="仿宋_GB2312" w:hAnsi="仿宋" w:eastAsia="仿宋_GB2312" w:cs="仿宋"/>
          <w:color w:val="auto"/>
          <w:sz w:val="24"/>
          <w:highlight w:val="none"/>
        </w:rPr>
      </w:pPr>
    </w:p>
    <w:p>
      <w:pPr>
        <w:widowControl/>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hd w:val="clear"/>
        <w:ind w:firstLine="4920" w:firstLineChars="2050"/>
        <w:jc w:val="left"/>
        <w:rPr>
          <w:rFonts w:ascii="仿宋_GB2312" w:hAnsi="仿宋" w:eastAsia="仿宋_GB2312" w:cs="仿宋"/>
          <w:color w:val="auto"/>
          <w:sz w:val="24"/>
          <w:highlight w:val="none"/>
        </w:rPr>
      </w:pPr>
    </w:p>
    <w:p>
      <w:pPr>
        <w:shd w:val="clear"/>
        <w:spacing w:line="800" w:lineRule="exact"/>
        <w:rPr>
          <w:rFonts w:ascii="仿宋_GB2312" w:hAnsi="仿宋" w:eastAsia="仿宋_GB2312" w:cs="仿宋"/>
          <w:b/>
          <w:color w:val="auto"/>
          <w:sz w:val="24"/>
          <w:highlight w:val="none"/>
        </w:rPr>
      </w:pPr>
    </w:p>
    <w:p>
      <w:pPr>
        <w:pageBreakBefore/>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shd w:val="clear"/>
        <w:jc w:val="center"/>
        <w:rPr>
          <w:rFonts w:ascii="仿宋_GB2312" w:hAnsi="仿宋" w:eastAsia="仿宋_GB2312" w:cs="仿宋"/>
          <w:b/>
          <w:color w:val="auto"/>
          <w:sz w:val="24"/>
          <w:highlight w:val="none"/>
        </w:rPr>
      </w:pP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hd w:val="clea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绍兴市第七人民医院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绍兴市第七人民医院保洁服务项目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2024-10-0117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hd w:val="clea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hd w:val="clea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hd w:val="clear"/>
        <w:snapToGrid w:val="0"/>
        <w:spacing w:line="600" w:lineRule="exact"/>
        <w:jc w:val="lef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hd w:val="clear"/>
        <w:spacing w:line="360" w:lineRule="exact"/>
        <w:rPr>
          <w:rFonts w:ascii="仿宋_GB2312" w:hAnsi="仿宋" w:eastAsia="仿宋_GB2312" w:cs="仿宋"/>
          <w:color w:val="auto"/>
          <w:sz w:val="24"/>
          <w:highlight w:val="none"/>
        </w:rPr>
      </w:pPr>
    </w:p>
    <w:p>
      <w:pPr>
        <w:widowControl/>
        <w:shd w:val="clea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hd w:val="clear"/>
        <w:spacing w:line="360" w:lineRule="exact"/>
        <w:rPr>
          <w:rFonts w:ascii="仿宋_GB2312" w:hAnsi="仿宋" w:eastAsia="仿宋_GB2312" w:cs="仿宋"/>
          <w:color w:val="auto"/>
          <w:sz w:val="24"/>
          <w:highlight w:val="none"/>
        </w:rPr>
      </w:pPr>
    </w:p>
    <w:p>
      <w:pPr>
        <w:shd w:val="clear"/>
        <w:spacing w:line="360" w:lineRule="exact"/>
        <w:rPr>
          <w:rFonts w:ascii="仿宋_GB2312" w:hAnsi="仿宋" w:eastAsia="仿宋_GB2312" w:cs="仿宋"/>
          <w:color w:val="auto"/>
          <w:sz w:val="24"/>
          <w:highlight w:val="none"/>
        </w:rPr>
      </w:pPr>
    </w:p>
    <w:p>
      <w:pPr>
        <w:shd w:val="clear"/>
        <w:jc w:val="center"/>
        <w:rPr>
          <w:rFonts w:ascii="仿宋_GB2312" w:hAnsi="仿宋" w:eastAsia="仿宋_GB2312" w:cs="仿宋"/>
          <w:b/>
          <w:color w:val="auto"/>
          <w:kern w:val="0"/>
          <w:sz w:val="32"/>
          <w:szCs w:val="32"/>
          <w:highlight w:val="none"/>
        </w:rPr>
      </w:pPr>
    </w:p>
    <w:p>
      <w:pPr>
        <w:shd w:val="clear"/>
        <w:rPr>
          <w:rFonts w:ascii="仿宋_GB2312" w:hAnsi="仿宋" w:eastAsia="仿宋_GB2312" w:cs="仿宋"/>
          <w:color w:val="auto"/>
          <w:highlight w:val="none"/>
        </w:rPr>
      </w:pP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hd w:val="clea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hd w:val="clea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hd w:val="clea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hd w:val="clea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w:t>
      </w:r>
      <w:r>
        <w:rPr>
          <w:rFonts w:hint="eastAsia" w:ascii="仿宋_GB2312" w:hAnsi="仿宋" w:eastAsia="仿宋_GB2312" w:cs="仿宋"/>
          <w:b/>
          <w:color w:val="auto"/>
          <w:sz w:val="30"/>
          <w:szCs w:val="30"/>
          <w:highlight w:val="none"/>
        </w:rPr>
        <w:t>法定代表人及其授权代表身份证复印件（正反面）</w:t>
      </w:r>
    </w:p>
    <w:p>
      <w:pPr>
        <w:shd w:val="clear"/>
        <w:spacing w:line="800" w:lineRule="exact"/>
        <w:rPr>
          <w:rFonts w:ascii="仿宋_GB2312" w:hAnsi="仿宋" w:eastAsia="仿宋_GB2312" w:cs="仿宋"/>
          <w:b/>
          <w:color w:val="auto"/>
          <w:sz w:val="24"/>
          <w:highlight w:val="none"/>
        </w:rPr>
      </w:pPr>
    </w:p>
    <w:p>
      <w:pPr>
        <w:shd w:val="clear"/>
        <w:spacing w:line="800" w:lineRule="exact"/>
        <w:rPr>
          <w:rFonts w:ascii="仿宋_GB2312" w:hAnsi="仿宋" w:eastAsia="仿宋_GB2312" w:cs="仿宋"/>
          <w:b/>
          <w:color w:val="auto"/>
          <w:sz w:val="24"/>
          <w:highlight w:val="none"/>
        </w:rPr>
      </w:pPr>
    </w:p>
    <w:p>
      <w:pPr>
        <w:shd w:val="clea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w:t>
      </w:r>
      <w:r>
        <w:rPr>
          <w:rFonts w:hint="eastAsia" w:ascii="仿宋_GB2312" w:hAnsi="仿宋" w:eastAsia="仿宋_GB2312" w:cs="仿宋"/>
          <w:b/>
          <w:color w:val="auto"/>
          <w:sz w:val="30"/>
          <w:szCs w:val="30"/>
          <w:highlight w:val="none"/>
        </w:rPr>
        <w:t>定代表人身份证明书(格式)</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hd w:val="clea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hd w:val="clear"/>
        <w:spacing w:line="440" w:lineRule="exact"/>
        <w:rPr>
          <w:rFonts w:ascii="仿宋_GB2312" w:hAnsi="仿宋" w:eastAsia="仿宋_GB2312" w:cs="仿宋"/>
          <w:color w:val="auto"/>
          <w:sz w:val="24"/>
          <w:highlight w:val="none"/>
        </w:rPr>
      </w:pPr>
    </w:p>
    <w:p>
      <w:pPr>
        <w:shd w:val="clea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hd w:val="clear"/>
        <w:spacing w:line="440" w:lineRule="exact"/>
        <w:ind w:right="480"/>
        <w:rPr>
          <w:rFonts w:ascii="仿宋_GB2312" w:hAnsi="仿宋" w:eastAsia="仿宋_GB2312" w:cs="仿宋"/>
          <w:color w:val="auto"/>
          <w:sz w:val="24"/>
          <w:highlight w:val="none"/>
        </w:rPr>
      </w:pPr>
    </w:p>
    <w:p>
      <w:pPr>
        <w:shd w:val="clea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shd w:val="clear"/>
        <w:jc w:val="center"/>
        <w:rPr>
          <w:rFonts w:ascii="仿宋_GB2312" w:hAnsi="仿宋" w:eastAsia="仿宋_GB2312" w:cs="仿宋"/>
          <w:b/>
          <w:color w:val="auto"/>
          <w:kern w:val="0"/>
          <w:sz w:val="32"/>
          <w:szCs w:val="32"/>
          <w:highlight w:val="none"/>
        </w:rPr>
      </w:pPr>
    </w:p>
    <w:p>
      <w:pPr>
        <w:shd w:val="clear"/>
        <w:rPr>
          <w:rFonts w:ascii="仿宋_GB2312" w:eastAsia="仿宋_GB2312"/>
          <w:color w:val="auto"/>
          <w:highlight w:val="none"/>
        </w:rPr>
      </w:pPr>
    </w:p>
    <w:p>
      <w:pPr>
        <w:shd w:val="clear"/>
        <w:jc w:val="center"/>
        <w:rPr>
          <w:rFonts w:ascii="仿宋_GB2312" w:hAnsi="仿宋" w:eastAsia="仿宋_GB2312" w:cs="仿宋"/>
          <w:b/>
          <w:color w:val="auto"/>
          <w:kern w:val="0"/>
          <w:sz w:val="32"/>
          <w:szCs w:val="32"/>
          <w:highlight w:val="none"/>
        </w:rPr>
      </w:pPr>
    </w:p>
    <w:p>
      <w:pPr>
        <w:shd w:val="clea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w:t>
      </w:r>
      <w:r>
        <w:rPr>
          <w:rFonts w:hint="eastAsia" w:ascii="仿宋_GB2312" w:hAnsi="仿宋" w:eastAsia="仿宋_GB2312" w:cs="仿宋"/>
          <w:b/>
          <w:color w:val="auto"/>
          <w:kern w:val="0"/>
          <w:sz w:val="32"/>
          <w:szCs w:val="32"/>
          <w:highlight w:val="none"/>
        </w:rPr>
        <w:t>商务技术偏离表</w:t>
      </w:r>
    </w:p>
    <w:p>
      <w:pPr>
        <w:shd w:val="clear"/>
        <w:jc w:val="center"/>
        <w:rPr>
          <w:rFonts w:ascii="仿宋_GB2312" w:hAnsi="仿宋" w:eastAsia="仿宋_GB2312"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shd w:val="clea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shd w:val="clear"/>
              <w:jc w:val="center"/>
              <w:rPr>
                <w:rFonts w:ascii="仿宋_GB2312" w:eastAsia="仿宋_GB2312"/>
                <w:b/>
                <w:color w:val="auto"/>
                <w:highlight w:val="none"/>
              </w:rPr>
            </w:pPr>
          </w:p>
        </w:tc>
        <w:tc>
          <w:tcPr>
            <w:tcW w:w="3514" w:type="dxa"/>
            <w:vAlign w:val="center"/>
          </w:tcPr>
          <w:p>
            <w:pPr>
              <w:shd w:val="clear"/>
              <w:jc w:val="center"/>
              <w:rPr>
                <w:rFonts w:ascii="仿宋_GB2312" w:eastAsia="仿宋_GB2312"/>
                <w:b/>
                <w:color w:val="auto"/>
                <w:highlight w:val="none"/>
              </w:rPr>
            </w:pPr>
          </w:p>
        </w:tc>
        <w:tc>
          <w:tcPr>
            <w:tcW w:w="1265" w:type="dxa"/>
            <w:vAlign w:val="center"/>
          </w:tcPr>
          <w:p>
            <w:pPr>
              <w:shd w:val="clear"/>
              <w:jc w:val="center"/>
              <w:rPr>
                <w:rFonts w:ascii="仿宋_GB2312" w:eastAsia="仿宋_GB2312"/>
                <w:b/>
                <w:color w:val="auto"/>
                <w:highlight w:val="none"/>
              </w:rPr>
            </w:pPr>
          </w:p>
        </w:tc>
      </w:tr>
    </w:tbl>
    <w:p>
      <w:pPr>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shd w:val="clear"/>
        <w:jc w:val="center"/>
        <w:rPr>
          <w:rFonts w:ascii="仿宋_GB2312" w:hAnsi="仿宋" w:eastAsia="仿宋_GB2312" w:cs="仿宋"/>
          <w:b/>
          <w:color w:val="auto"/>
          <w:kern w:val="0"/>
          <w:sz w:val="32"/>
          <w:szCs w:val="32"/>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ind w:firstLine="1911" w:firstLineChars="595"/>
        <w:rPr>
          <w:rFonts w:ascii="仿宋_GB2312" w:hAnsi="仿宋" w:eastAsia="仿宋_GB2312" w:cs="仿宋"/>
          <w:b/>
          <w:bCs/>
          <w:color w:val="auto"/>
          <w:sz w:val="32"/>
          <w:szCs w:val="32"/>
          <w:highlight w:val="none"/>
        </w:rPr>
      </w:pPr>
    </w:p>
    <w:p>
      <w:pPr>
        <w:widowControl/>
        <w:shd w:val="clea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hd w:val="clear"/>
        <w:snapToGrid w:val="0"/>
        <w:spacing w:line="360" w:lineRule="auto"/>
        <w:rPr>
          <w:rFonts w:ascii="仿宋_GB2312" w:hAnsi="仿宋" w:eastAsia="仿宋_GB2312" w:cs="仿宋"/>
          <w:color w:val="auto"/>
          <w:sz w:val="24"/>
          <w:highlight w:val="none"/>
        </w:rPr>
      </w:pP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绍兴市第七人民医院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shd w:val="clea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shd w:val="clea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shd w:val="clea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shd w:val="clea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shd w:val="clea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shd w:val="clea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jc w:val="left"/>
        <w:rPr>
          <w:rFonts w:ascii="仿宋_GB2312" w:hAnsi="仿宋" w:eastAsia="仿宋_GB2312" w:cs="仿宋"/>
          <w:color w:val="auto"/>
          <w:kern w:val="0"/>
          <w:sz w:val="24"/>
          <w:highlight w:val="none"/>
          <w:lang w:val="zh-CN"/>
        </w:rPr>
      </w:pPr>
    </w:p>
    <w:p>
      <w:pPr>
        <w:shd w:val="clea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hd w:val="clea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hd w:val="clear"/>
        <w:spacing w:line="360" w:lineRule="auto"/>
        <w:jc w:val="center"/>
        <w:rPr>
          <w:rFonts w:ascii="仿宋_GB2312" w:hAnsi="仿宋" w:eastAsia="仿宋_GB2312" w:cs="仿宋"/>
          <w:b/>
          <w:bCs/>
          <w:color w:val="auto"/>
          <w:sz w:val="24"/>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shd w:val="clear"/>
        <w:autoSpaceDE w:val="0"/>
        <w:autoSpaceDN w:val="0"/>
        <w:spacing w:line="360" w:lineRule="auto"/>
        <w:rPr>
          <w:rFonts w:ascii="仿宋_GB2312" w:hAnsi="仿宋_GB2312" w:eastAsia="仿宋_GB2312" w:cs="仿宋_GB2312"/>
          <w:b/>
          <w:color w:val="auto"/>
          <w:sz w:val="24"/>
          <w:highlight w:val="none"/>
        </w:rPr>
      </w:pPr>
    </w:p>
    <w:p>
      <w:pPr>
        <w:shd w:val="clear"/>
        <w:autoSpaceDE w:val="0"/>
        <w:autoSpaceDN w:val="0"/>
        <w:spacing w:line="360" w:lineRule="auto"/>
        <w:rPr>
          <w:rFonts w:ascii="仿宋_GB2312" w:hAnsi="仿宋_GB2312" w:eastAsia="仿宋_GB2312" w:cs="仿宋_GB2312"/>
          <w:color w:val="auto"/>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shd w:val="clear"/>
        <w:ind w:firstLine="0"/>
        <w:jc w:val="both"/>
        <w:rPr>
          <w:rFonts w:hAnsi="仿宋_GB2312" w:cs="仿宋_GB2312"/>
          <w:color w:val="auto"/>
          <w:highlight w:val="none"/>
        </w:rPr>
      </w:pP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w:t>
      </w:r>
      <w:r>
        <w:rPr>
          <w:rFonts w:hint="eastAsia" w:ascii="仿宋_GB2312" w:hAnsi="仿宋_GB2312" w:eastAsia="仿宋_GB2312" w:cs="仿宋_GB2312"/>
          <w:b/>
          <w:bCs/>
          <w:color w:val="auto"/>
          <w:sz w:val="32"/>
          <w:szCs w:val="32"/>
          <w:highlight w:val="none"/>
        </w:rPr>
        <w:t>技术解决方案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hd w:val="clear"/>
        <w:spacing w:line="360" w:lineRule="auto"/>
        <w:jc w:val="center"/>
        <w:rPr>
          <w:rFonts w:ascii="仿宋_GB2312" w:hAnsi="仿宋_GB2312" w:eastAsia="仿宋_GB2312" w:cs="仿宋_GB2312"/>
          <w:color w:val="auto"/>
          <w:sz w:val="24"/>
          <w:highlight w:val="none"/>
        </w:rPr>
      </w:pPr>
    </w:p>
    <w:p>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pPr>
              <w:shd w:val="clear"/>
              <w:spacing w:line="360" w:lineRule="auto"/>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shd w:val="clea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w:t>
      </w:r>
      <w:r>
        <w:rPr>
          <w:rFonts w:hint="eastAsia" w:ascii="仿宋_GB2312" w:hAnsi="仿宋_GB2312" w:eastAsia="仿宋_GB2312" w:cs="仿宋_GB2312"/>
          <w:b/>
          <w:bCs/>
          <w:color w:val="auto"/>
          <w:kern w:val="0"/>
          <w:sz w:val="32"/>
          <w:szCs w:val="32"/>
          <w:highlight w:val="none"/>
          <w:lang w:val="zh-CN"/>
        </w:rPr>
        <w:t>组织实施方案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shd w:val="clear"/>
        <w:rPr>
          <w:color w:val="auto"/>
          <w:highlight w:val="none"/>
        </w:rPr>
      </w:pPr>
    </w:p>
    <w:p>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2"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c>
          <w:tcPr>
            <w:tcW w:w="553" w:type="dxa"/>
          </w:tcPr>
          <w:p>
            <w:pPr>
              <w:shd w:val="clear"/>
              <w:spacing w:line="360" w:lineRule="auto"/>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color w:val="auto"/>
          <w:kern w:val="0"/>
          <w:sz w:val="24"/>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w:t>
      </w:r>
      <w:r>
        <w:rPr>
          <w:rFonts w:hint="eastAsia" w:ascii="仿宋_GB2312" w:hAnsi="仿宋_GB2312" w:eastAsia="仿宋_GB2312" w:cs="仿宋_GB2312"/>
          <w:b/>
          <w:bCs/>
          <w:color w:val="auto"/>
          <w:sz w:val="32"/>
          <w:szCs w:val="32"/>
          <w:highlight w:val="none"/>
        </w:rPr>
        <w:t>售后服务方案</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shd w:val="clear"/>
              <w:autoSpaceDE w:val="0"/>
              <w:autoSpaceDN w:val="0"/>
              <w:spacing w:line="360" w:lineRule="auto"/>
              <w:jc w:val="center"/>
              <w:rPr>
                <w:rFonts w:ascii="仿宋_GB2312" w:hAnsi="仿宋_GB2312" w:eastAsia="仿宋_GB2312" w:cs="仿宋_GB2312"/>
                <w:color w:val="auto"/>
                <w:sz w:val="24"/>
                <w:highlight w:val="none"/>
              </w:rPr>
            </w:pPr>
          </w:p>
        </w:tc>
      </w:tr>
    </w:tbl>
    <w:p>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shd w:val="clear"/>
              <w:autoSpaceDE w:val="0"/>
              <w:autoSpaceDN w:val="0"/>
              <w:spacing w:line="240" w:lineRule="exact"/>
              <w:rPr>
                <w:rFonts w:ascii="仿宋_GB2312" w:hAnsi="仿宋_GB2312" w:eastAsia="仿宋_GB2312" w:cs="仿宋_GB2312"/>
                <w:color w:val="auto"/>
                <w:sz w:val="24"/>
                <w:highlight w:val="none"/>
              </w:rPr>
            </w:pPr>
          </w:p>
        </w:tc>
      </w:tr>
    </w:tbl>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rPr>
          <w:rFonts w:ascii="仿宋_GB2312" w:hAnsi="仿宋_GB2312" w:eastAsia="仿宋_GB2312" w:cs="仿宋_GB2312"/>
          <w:b/>
          <w:color w:val="auto"/>
          <w:sz w:val="30"/>
          <w:szCs w:val="30"/>
          <w:highlight w:val="none"/>
        </w:rPr>
      </w:pPr>
    </w:p>
    <w:p>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w:t>
      </w:r>
      <w:r>
        <w:rPr>
          <w:rFonts w:hint="eastAsia" w:ascii="仿宋_GB2312" w:hAnsi="仿宋_GB2312" w:eastAsia="仿宋_GB2312" w:cs="仿宋_GB2312"/>
          <w:b/>
          <w:color w:val="auto"/>
          <w:sz w:val="30"/>
          <w:szCs w:val="30"/>
          <w:highlight w:val="none"/>
        </w:rPr>
        <w:t>投标人售后服务能力证明材料</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hd w:val="clear"/>
        <w:spacing w:line="336" w:lineRule="auto"/>
        <w:ind w:firstLine="3600" w:firstLineChars="1500"/>
        <w:rPr>
          <w:rFonts w:ascii="仿宋_GB2312" w:hAnsi="仿宋" w:eastAsia="仿宋_GB2312" w:cs="仿宋"/>
          <w:color w:val="auto"/>
          <w:sz w:val="24"/>
          <w:highlight w:val="none"/>
        </w:rPr>
      </w:pPr>
    </w:p>
    <w:p>
      <w:pPr>
        <w:pStyle w:val="141"/>
        <w:shd w:val="clear"/>
        <w:rPr>
          <w:color w:val="auto"/>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bCs/>
          <w:color w:val="auto"/>
          <w:sz w:val="32"/>
          <w:szCs w:val="32"/>
          <w:highlight w:val="none"/>
        </w:rPr>
        <w:t>项目小组人员名单</w:t>
      </w:r>
    </w:p>
    <w:p>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shd w:val="clea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shd w:val="clea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shd w:val="clear"/>
              <w:autoSpaceDE w:val="0"/>
              <w:autoSpaceDN w:val="0"/>
              <w:jc w:val="center"/>
              <w:rPr>
                <w:rFonts w:ascii="仿宋_GB2312" w:hAnsi="仿宋_GB2312" w:eastAsia="仿宋_GB2312" w:cs="仿宋_GB2312"/>
                <w:color w:val="auto"/>
                <w:sz w:val="24"/>
                <w:highlight w:val="none"/>
              </w:rPr>
            </w:pPr>
          </w:p>
        </w:tc>
      </w:tr>
    </w:tbl>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shd w:val="clear"/>
        <w:rPr>
          <w:color w:val="auto"/>
          <w:highlight w:val="none"/>
        </w:rPr>
      </w:pP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shd w:val="clear"/>
              <w:autoSpaceDE w:val="0"/>
              <w:autoSpaceDN w:val="0"/>
              <w:spacing w:line="360" w:lineRule="auto"/>
              <w:rPr>
                <w:rFonts w:ascii="仿宋_GB2312" w:hAnsi="仿宋_GB2312" w:eastAsia="仿宋_GB2312" w:cs="仿宋_GB2312"/>
                <w:color w:val="auto"/>
                <w:sz w:val="24"/>
                <w:highlight w:val="none"/>
              </w:rPr>
            </w:pPr>
          </w:p>
        </w:tc>
      </w:tr>
    </w:tbl>
    <w:p>
      <w:pPr>
        <w:shd w:val="clea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shd w:val="clear"/>
        <w:rPr>
          <w:color w:val="auto"/>
          <w:highlight w:val="none"/>
        </w:rPr>
      </w:pPr>
    </w:p>
    <w:p>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18"/>
          <w:szCs w:val="18"/>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rPr>
          <w:rFonts w:ascii="仿宋_GB2312" w:hAnsi="仿宋_GB2312" w:eastAsia="仿宋_GB2312" w:cs="仿宋_GB2312"/>
          <w:b/>
          <w:bCs/>
          <w:color w:val="auto"/>
          <w:sz w:val="18"/>
          <w:szCs w:val="18"/>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shd w:val="clear"/>
        <w:spacing w:line="360" w:lineRule="auto"/>
        <w:jc w:val="center"/>
        <w:rPr>
          <w:rFonts w:ascii="仿宋_GB2312" w:hAnsi="仿宋_GB2312" w:eastAsia="仿宋_GB2312" w:cs="仿宋_GB2312"/>
          <w:b/>
          <w:bCs/>
          <w:color w:val="auto"/>
          <w:sz w:val="32"/>
          <w:szCs w:val="32"/>
          <w:highlight w:val="none"/>
        </w:rPr>
      </w:pPr>
    </w:p>
    <w:p>
      <w:pPr>
        <w:pageBreakBefore/>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shd w:val="clea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hd w:val="clear"/>
              <w:suppressAutoHyphens/>
              <w:autoSpaceDE w:val="0"/>
              <w:autoSpaceDN w:val="0"/>
              <w:spacing w:line="360" w:lineRule="auto"/>
              <w:rPr>
                <w:rFonts w:ascii="仿宋_GB2312" w:hAnsi="仿宋_GB2312" w:eastAsia="仿宋_GB2312" w:cs="仿宋_GB2312"/>
                <w:color w:val="auto"/>
                <w:sz w:val="24"/>
                <w:highlight w:val="none"/>
              </w:rPr>
            </w:pPr>
          </w:p>
        </w:tc>
      </w:tr>
    </w:tbl>
    <w:p>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hd w:val="clear"/>
        <w:spacing w:line="360" w:lineRule="auto"/>
        <w:ind w:firstLine="480" w:firstLineChars="200"/>
        <w:rPr>
          <w:rFonts w:ascii="仿宋_GB2312" w:hAnsi="仿宋_GB2312" w:eastAsia="仿宋_GB2312" w:cs="仿宋_GB2312"/>
          <w:color w:val="auto"/>
          <w:sz w:val="24"/>
          <w:szCs w:val="20"/>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w:t>
      </w:r>
      <w:r>
        <w:rPr>
          <w:rFonts w:hint="eastAsia" w:ascii="仿宋_GB2312" w:hAnsi="仿宋_GB2312" w:eastAsia="仿宋_GB2312" w:cs="仿宋_GB2312"/>
          <w:b/>
          <w:bCs/>
          <w:color w:val="auto"/>
          <w:sz w:val="32"/>
          <w:szCs w:val="32"/>
          <w:highlight w:val="none"/>
        </w:rPr>
        <w:t>验收方案</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jc w:val="center"/>
        <w:rPr>
          <w:rFonts w:ascii="仿宋_GB2312" w:hAnsi="仿宋_GB2312" w:eastAsia="仿宋_GB2312" w:cs="仿宋_GB2312"/>
          <w:color w:val="auto"/>
          <w:sz w:val="24"/>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30"/>
          <w:szCs w:val="30"/>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bCs/>
          <w:color w:val="auto"/>
          <w:sz w:val="24"/>
          <w:highlight w:val="none"/>
        </w:rPr>
      </w:pPr>
    </w:p>
    <w:p>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hd w:val="clear"/>
        <w:spacing w:line="360" w:lineRule="auto"/>
        <w:rPr>
          <w:rFonts w:ascii="仿宋_GB2312" w:hAnsi="仿宋_GB2312" w:eastAsia="仿宋_GB2312" w:cs="仿宋_GB2312"/>
          <w:color w:val="auto"/>
          <w:sz w:val="24"/>
          <w:highlight w:val="none"/>
        </w:rPr>
      </w:pPr>
    </w:p>
    <w:p>
      <w:pPr>
        <w:pStyle w:val="141"/>
        <w:shd w:val="clear"/>
        <w:rPr>
          <w:color w:val="auto"/>
          <w:highlight w:val="none"/>
        </w:rPr>
      </w:pPr>
    </w:p>
    <w:p>
      <w:pPr>
        <w:shd w:val="clea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hd w:val="clea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shd w:val="clear"/>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hd w:val="clea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hd w:val="clea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hd w:val="clear"/>
        <w:spacing w:line="360" w:lineRule="auto"/>
        <w:jc w:val="center"/>
        <w:outlineLvl w:val="0"/>
        <w:rPr>
          <w:rFonts w:ascii="仿宋_GB2312" w:hAnsi="仿宋" w:eastAsia="仿宋_GB2312" w:cs="仿宋"/>
          <w:b/>
          <w:color w:val="auto"/>
          <w:kern w:val="0"/>
          <w:sz w:val="36"/>
          <w:szCs w:val="36"/>
          <w:highlight w:val="none"/>
        </w:rPr>
      </w:pP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jc w:val="center"/>
        <w:rPr>
          <w:rFonts w:ascii="仿宋_GB2312" w:hAnsi="仿宋" w:eastAsia="仿宋_GB2312" w:cs="仿宋"/>
          <w:b/>
          <w:color w:val="auto"/>
          <w:kern w:val="0"/>
          <w:sz w:val="32"/>
          <w:szCs w:val="32"/>
          <w:highlight w:val="none"/>
        </w:rPr>
      </w:pPr>
    </w:p>
    <w:p>
      <w:pPr>
        <w:shd w:val="clea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hd w:val="clea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绍兴市第七人民医院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hd w:val="clea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绍兴市第七人民医院保洁服务项目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2024-10-0117</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hd w:val="clea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hd w:val="clea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hd w:val="clear"/>
              <w:spacing w:line="360" w:lineRule="auto"/>
              <w:jc w:val="center"/>
              <w:rPr>
                <w:rFonts w:ascii="仿宋_GB2312" w:hAnsi="仿宋" w:eastAsia="仿宋_GB2312" w:cs="仿宋"/>
                <w:color w:val="auto"/>
                <w:sz w:val="24"/>
                <w:highlight w:val="none"/>
              </w:rPr>
            </w:pPr>
          </w:p>
        </w:tc>
        <w:tc>
          <w:tcPr>
            <w:tcW w:w="1417"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693"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2410" w:type="dxa"/>
            <w:vAlign w:val="center"/>
          </w:tcPr>
          <w:p>
            <w:pPr>
              <w:shd w:val="clear"/>
              <w:snapToGrid w:val="0"/>
              <w:spacing w:line="360" w:lineRule="auto"/>
              <w:jc w:val="center"/>
              <w:rPr>
                <w:rFonts w:ascii="仿宋_GB2312" w:hAnsi="仿宋" w:eastAsia="仿宋_GB2312" w:cs="仿宋"/>
                <w:color w:val="auto"/>
                <w:sz w:val="24"/>
                <w:highlight w:val="none"/>
              </w:rPr>
            </w:pPr>
          </w:p>
        </w:tc>
        <w:tc>
          <w:tcPr>
            <w:tcW w:w="1843" w:type="dxa"/>
            <w:vAlign w:val="center"/>
          </w:tcPr>
          <w:p>
            <w:pPr>
              <w:shd w:val="clear"/>
              <w:spacing w:line="360" w:lineRule="auto"/>
              <w:jc w:val="center"/>
              <w:rPr>
                <w:rFonts w:ascii="仿宋_GB2312" w:hAnsi="仿宋" w:eastAsia="仿宋_GB2312" w:cs="仿宋"/>
                <w:color w:val="auto"/>
                <w:sz w:val="24"/>
                <w:highlight w:val="none"/>
              </w:rPr>
            </w:pPr>
          </w:p>
        </w:tc>
        <w:tc>
          <w:tcPr>
            <w:tcW w:w="1701" w:type="dxa"/>
            <w:vAlign w:val="center"/>
          </w:tcPr>
          <w:p>
            <w:pPr>
              <w:shd w:val="clear"/>
              <w:spacing w:line="360" w:lineRule="auto"/>
              <w:jc w:val="center"/>
              <w:rPr>
                <w:rFonts w:ascii="仿宋_GB2312" w:hAnsi="仿宋" w:eastAsia="仿宋_GB2312" w:cs="仿宋"/>
                <w:color w:val="auto"/>
                <w:sz w:val="24"/>
                <w:highlight w:val="none"/>
              </w:rPr>
            </w:pPr>
          </w:p>
        </w:tc>
        <w:tc>
          <w:tcPr>
            <w:tcW w:w="2126" w:type="dxa"/>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hd w:val="clea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hd w:val="clea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hd w:val="clear"/>
              <w:spacing w:line="360" w:lineRule="auto"/>
              <w:jc w:val="center"/>
              <w:rPr>
                <w:rFonts w:ascii="仿宋_GB2312" w:hAnsi="仿宋" w:eastAsia="仿宋_GB2312" w:cs="仿宋"/>
                <w:color w:val="auto"/>
                <w:sz w:val="24"/>
                <w:highlight w:val="none"/>
              </w:rPr>
            </w:pPr>
          </w:p>
        </w:tc>
      </w:tr>
    </w:tbl>
    <w:p>
      <w:pPr>
        <w:shd w:val="clea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hd w:val="clea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hd w:val="clea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hd w:val="clea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hd w:val="clea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hd w:val="clea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9"/>
        <w:keepNext w:val="0"/>
        <w:shd w:val="clear"/>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hd w:val="clear"/>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shd w:val="clear"/>
        <w:rPr>
          <w:rFonts w:hAnsi="仿宋" w:cs="仿宋"/>
          <w:b/>
          <w:color w:val="auto"/>
          <w:highlight w:val="none"/>
        </w:rPr>
      </w:pPr>
    </w:p>
    <w:p>
      <w:pPr>
        <w:pStyle w:val="316"/>
        <w:shd w:val="clear"/>
        <w:rPr>
          <w:rFonts w:ascii="仿宋_GB2312" w:hAnsi="仿宋" w:eastAsia="仿宋_GB2312" w:cs="仿宋"/>
          <w:b/>
          <w:color w:val="auto"/>
          <w:sz w:val="24"/>
          <w:highlight w:val="none"/>
        </w:rPr>
      </w:pPr>
    </w:p>
    <w:p>
      <w:pPr>
        <w:shd w:val="clear"/>
        <w:rPr>
          <w:rFonts w:ascii="仿宋_GB2312" w:hAnsi="仿宋" w:eastAsia="仿宋_GB2312" w:cs="仿宋"/>
          <w:b/>
          <w:color w:val="auto"/>
          <w:sz w:val="24"/>
          <w:highlight w:val="none"/>
        </w:rPr>
      </w:pPr>
    </w:p>
    <w:p>
      <w:pPr>
        <w:pStyle w:val="141"/>
        <w:shd w:val="clear"/>
        <w:rPr>
          <w:rFonts w:hAnsi="仿宋" w:cs="仿宋"/>
          <w:b/>
          <w:color w:val="auto"/>
          <w:highlight w:val="none"/>
        </w:rPr>
      </w:pPr>
    </w:p>
    <w:p>
      <w:pPr>
        <w:pStyle w:val="316"/>
        <w:shd w:val="clear"/>
        <w:rPr>
          <w:rFonts w:ascii="仿宋_GB2312" w:eastAsia="仿宋_GB2312"/>
          <w:color w:val="auto"/>
          <w:highlight w:val="none"/>
        </w:rPr>
      </w:pPr>
    </w:p>
    <w:p>
      <w:pPr>
        <w:pStyle w:val="316"/>
        <w:shd w:val="clear"/>
        <w:rPr>
          <w:rFonts w:ascii="仿宋_GB2312" w:eastAsia="仿宋_GB2312"/>
          <w:color w:val="auto"/>
          <w:highlight w:val="none"/>
        </w:rPr>
      </w:pPr>
    </w:p>
    <w:p>
      <w:pPr>
        <w:widowControl/>
        <w:shd w:val="clear"/>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shd w:val="clear"/>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1"/>
        <w:widowControl/>
        <w:shd w:val="clear"/>
        <w:spacing w:line="360" w:lineRule="auto"/>
        <w:ind w:firstLine="120" w:firstLineChars="50"/>
        <w:rPr>
          <w:rFonts w:hAnsi="仿宋" w:cs="仿宋"/>
          <w:b/>
          <w:color w:val="auto"/>
          <w:highlight w:val="none"/>
        </w:rPr>
      </w:pPr>
    </w:p>
    <w:p>
      <w:pPr>
        <w:pStyle w:val="316"/>
        <w:shd w:val="clear"/>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shd w:val="clear"/>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shd w:val="clear"/>
        <w:spacing w:line="360" w:lineRule="auto"/>
        <w:ind w:right="420" w:firstLine="3614" w:firstLineChars="1000"/>
        <w:rPr>
          <w:rFonts w:ascii="仿宋_GB2312" w:hAnsi="仿宋" w:eastAsia="仿宋_GB2312" w:cs="仿宋"/>
          <w:b/>
          <w:color w:val="auto"/>
          <w:kern w:val="0"/>
          <w:sz w:val="36"/>
          <w:szCs w:val="36"/>
          <w:highlight w:val="none"/>
        </w:rPr>
      </w:pPr>
    </w:p>
    <w:p>
      <w:pPr>
        <w:pStyle w:val="6"/>
        <w:keepNext w:val="0"/>
        <w:keepLines w:val="0"/>
        <w:pageBreakBefore/>
        <w:widowControl/>
        <w:numPr>
          <w:ilvl w:val="0"/>
          <w:numId w:val="0"/>
        </w:numPr>
        <w:shd w:val="clea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hd w:val="clea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hd w:val="clea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hd w:val="clea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hd w:val="clea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hd w:val="clea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hd w:val="clear"/>
        <w:spacing w:line="360" w:lineRule="auto"/>
        <w:jc w:val="center"/>
        <w:rPr>
          <w:rFonts w:ascii="仿宋_GB2312" w:hAnsi="仿宋" w:eastAsia="仿宋_GB2312" w:cs="仿宋"/>
          <w:b/>
          <w:bCs/>
          <w:color w:val="auto"/>
          <w:sz w:val="24"/>
          <w:highlight w:val="none"/>
        </w:rPr>
      </w:pPr>
    </w:p>
    <w:p>
      <w:pPr>
        <w:shd w:val="clear"/>
        <w:spacing w:line="360" w:lineRule="auto"/>
        <w:rPr>
          <w:rFonts w:ascii="仿宋_GB2312" w:hAnsi="仿宋" w:eastAsia="仿宋_GB2312" w:cs="仿宋"/>
          <w:b/>
          <w:color w:val="auto"/>
          <w:sz w:val="24"/>
          <w:highlight w:val="none"/>
        </w:rPr>
      </w:pPr>
    </w:p>
    <w:p>
      <w:pPr>
        <w:shd w:val="clea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hd w:val="clear"/>
        <w:spacing w:line="360" w:lineRule="auto"/>
        <w:ind w:firstLine="600" w:firstLineChars="200"/>
        <w:jc w:val="left"/>
        <w:rPr>
          <w:rFonts w:ascii="仿宋_GB2312" w:hAnsi="仿宋" w:eastAsia="仿宋_GB2312" w:cs="仿宋"/>
          <w:color w:val="auto"/>
          <w:sz w:val="30"/>
          <w:szCs w:val="30"/>
          <w:highlight w:val="none"/>
        </w:rPr>
      </w:pPr>
    </w:p>
    <w:p>
      <w:pPr>
        <w:shd w:val="clear"/>
        <w:spacing w:line="360" w:lineRule="auto"/>
        <w:jc w:val="center"/>
        <w:rPr>
          <w:rFonts w:ascii="仿宋_GB2312" w:hAnsi="仿宋" w:eastAsia="仿宋_GB2312" w:cs="仿宋"/>
          <w:b/>
          <w:color w:val="auto"/>
          <w:spacing w:val="6"/>
          <w:sz w:val="32"/>
          <w:szCs w:val="32"/>
          <w:highlight w:val="none"/>
        </w:rPr>
      </w:pPr>
    </w:p>
    <w:p>
      <w:pPr>
        <w:shd w:val="clear"/>
        <w:spacing w:line="360" w:lineRule="auto"/>
        <w:jc w:val="center"/>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shd w:val="clear"/>
        <w:spacing w:line="360" w:lineRule="auto"/>
        <w:jc w:val="left"/>
        <w:rPr>
          <w:rFonts w:ascii="仿宋_GB2312" w:hAnsi="仿宋" w:eastAsia="仿宋_GB2312" w:cs="仿宋"/>
          <w:b/>
          <w:color w:val="auto"/>
          <w:spacing w:val="6"/>
          <w:sz w:val="32"/>
          <w:szCs w:val="32"/>
          <w:highlight w:val="none"/>
        </w:rPr>
      </w:pPr>
    </w:p>
    <w:p>
      <w:pPr>
        <w:pageBreakBefore/>
        <w:shd w:val="clea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hd w:val="clear"/>
        <w:spacing w:line="360" w:lineRule="auto"/>
        <w:jc w:val="center"/>
        <w:rPr>
          <w:rFonts w:ascii="仿宋_GB2312" w:hAnsi="仿宋" w:eastAsia="仿宋_GB2312" w:cs="仿宋"/>
          <w:b/>
          <w:color w:val="auto"/>
          <w:sz w:val="24"/>
          <w:highlight w:val="none"/>
        </w:rPr>
      </w:pPr>
    </w:p>
    <w:p>
      <w:pPr>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hd w:val="clea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hd w:val="clea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hd w:val="clea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hd w:val="clear"/>
        <w:spacing w:line="360" w:lineRule="auto"/>
        <w:rPr>
          <w:rFonts w:ascii="仿宋_GB2312" w:hAnsi="仿宋" w:eastAsia="仿宋_GB2312" w:cs="仿宋"/>
          <w:b/>
          <w:color w:val="auto"/>
          <w:sz w:val="24"/>
          <w:highlight w:val="none"/>
        </w:rPr>
      </w:pPr>
    </w:p>
    <w:p>
      <w:pPr>
        <w:shd w:val="clea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hd w:val="clea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hd w:val="clear"/>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hd w:val="clear"/>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hd w:val="clear"/>
        <w:spacing w:line="360" w:lineRule="auto"/>
        <w:rPr>
          <w:rFonts w:ascii="仿宋_GB2312" w:hAnsi="仿宋" w:eastAsia="仿宋_GB2312" w:cs="仿宋"/>
          <w:color w:val="auto"/>
          <w:sz w:val="24"/>
          <w:highlight w:val="none"/>
          <w:u w:val="single"/>
        </w:rPr>
      </w:pPr>
    </w:p>
    <w:p>
      <w:pPr>
        <w:shd w:val="clea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hd w:val="clear"/>
        <w:spacing w:line="360" w:lineRule="auto"/>
        <w:ind w:firstLine="494"/>
        <w:rPr>
          <w:rFonts w:ascii="仿宋_GB2312" w:hAnsi="仿宋" w:eastAsia="仿宋_GB2312" w:cs="仿宋"/>
          <w:color w:val="auto"/>
          <w:sz w:val="24"/>
          <w:highlight w:val="none"/>
        </w:rPr>
      </w:pPr>
    </w:p>
    <w:p>
      <w:pPr>
        <w:shd w:val="clear"/>
        <w:spacing w:line="360" w:lineRule="auto"/>
        <w:ind w:firstLine="494"/>
        <w:rPr>
          <w:rFonts w:ascii="仿宋_GB2312" w:hAnsi="仿宋" w:eastAsia="仿宋_GB2312" w:cs="仿宋"/>
          <w:color w:val="auto"/>
          <w:sz w:val="24"/>
          <w:highlight w:val="none"/>
        </w:rPr>
      </w:pPr>
    </w:p>
    <w:p>
      <w:pPr>
        <w:shd w:val="clear"/>
        <w:spacing w:line="360" w:lineRule="auto"/>
        <w:ind w:firstLine="494"/>
        <w:rPr>
          <w:rFonts w:ascii="仿宋_GB2312" w:hAnsi="仿宋" w:eastAsia="仿宋_GB2312" w:cs="仿宋"/>
          <w:color w:val="auto"/>
          <w:sz w:val="24"/>
          <w:highlight w:val="none"/>
        </w:rPr>
      </w:pPr>
    </w:p>
    <w:p>
      <w:pPr>
        <w:shd w:val="clea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shd w:val="clea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shd w:val="clear"/>
        <w:rPr>
          <w:color w:val="auto"/>
          <w:highlight w:val="none"/>
        </w:rPr>
      </w:pPr>
    </w:p>
    <w:p>
      <w:pPr>
        <w:shd w:val="clea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hd w:val="clea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hd w:val="clear"/>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hd w:val="clea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hd w:val="clea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hd w:val="clea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hd w:val="clea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hd w:val="clea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shd w:val="clear"/>
        <w:snapToGrid w:val="0"/>
        <w:spacing w:line="360" w:lineRule="auto"/>
        <w:jc w:val="center"/>
        <w:outlineLvl w:val="0"/>
        <w:rPr>
          <w:rFonts w:ascii="仿宋_GB2312" w:hAnsi="仿宋" w:eastAsia="仿宋_GB2312" w:cs="仿宋"/>
          <w:b/>
          <w:color w:val="auto"/>
          <w:kern w:val="0"/>
          <w:sz w:val="32"/>
          <w:szCs w:val="32"/>
          <w:highlight w:val="none"/>
        </w:rPr>
      </w:pPr>
    </w:p>
    <w:p>
      <w:pPr>
        <w:pageBreakBefore/>
        <w:shd w:val="clear"/>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hd w:val="clear"/>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hd w:val="clea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hd w:val="clea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hd w:val="clea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hd w:val="clea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hd w:val="clea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hd w:val="clea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hd w:val="clea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hd w:val="clea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hd w:val="clea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hd w:val="clea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hd w:val="clea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hd w:val="clea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hd w:val="clea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pStyle w:val="141"/>
        <w:shd w:val="clear"/>
        <w:rPr>
          <w:rFonts w:hAnsi="仿宋" w:cs="仿宋"/>
          <w:b/>
          <w:color w:val="auto"/>
          <w:spacing w:val="6"/>
          <w:sz w:val="32"/>
          <w:szCs w:val="32"/>
          <w:highlight w:val="none"/>
        </w:rPr>
      </w:pPr>
    </w:p>
    <w:p>
      <w:pPr>
        <w:pStyle w:val="316"/>
        <w:shd w:val="clear"/>
        <w:rPr>
          <w:rFonts w:ascii="仿宋_GB2312" w:hAnsi="仿宋" w:eastAsia="仿宋_GB2312" w:cs="仿宋"/>
          <w:b/>
          <w:color w:val="auto"/>
          <w:spacing w:val="6"/>
          <w:sz w:val="32"/>
          <w:szCs w:val="32"/>
          <w:highlight w:val="none"/>
        </w:rPr>
      </w:pPr>
    </w:p>
    <w:p>
      <w:pPr>
        <w:shd w:val="clear"/>
        <w:rPr>
          <w:rFonts w:ascii="仿宋_GB2312" w:hAnsi="仿宋" w:eastAsia="仿宋_GB2312" w:cs="仿宋"/>
          <w:b/>
          <w:color w:val="auto"/>
          <w:spacing w:val="6"/>
          <w:sz w:val="32"/>
          <w:szCs w:val="32"/>
          <w:highlight w:val="none"/>
        </w:rPr>
      </w:pPr>
    </w:p>
    <w:p>
      <w:pPr>
        <w:pStyle w:val="141"/>
        <w:shd w:val="clear"/>
        <w:rPr>
          <w:rFonts w:hAnsi="仿宋" w:cs="仿宋"/>
          <w:b/>
          <w:color w:val="auto"/>
          <w:spacing w:val="6"/>
          <w:sz w:val="32"/>
          <w:szCs w:val="32"/>
          <w:highlight w:val="none"/>
        </w:rPr>
      </w:pPr>
    </w:p>
    <w:p>
      <w:pPr>
        <w:pStyle w:val="316"/>
        <w:shd w:val="clear"/>
        <w:rPr>
          <w:rFonts w:ascii="仿宋_GB2312" w:eastAsia="仿宋_GB2312"/>
          <w:color w:val="auto"/>
          <w:highlight w:val="none"/>
        </w:rPr>
      </w:pPr>
    </w:p>
    <w:p>
      <w:pPr>
        <w:shd w:val="clea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hd w:val="clea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hd w:val="clear"/>
        <w:spacing w:line="360" w:lineRule="auto"/>
        <w:rPr>
          <w:rFonts w:ascii="仿宋_GB2312" w:hAnsi="仿宋" w:eastAsia="仿宋_GB2312" w:cs="仿宋"/>
          <w:b/>
          <w:color w:val="auto"/>
          <w:spacing w:val="6"/>
          <w:sz w:val="30"/>
          <w:szCs w:val="30"/>
          <w:highlight w:val="none"/>
        </w:rPr>
      </w:pP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hd w:val="clear"/>
        <w:spacing w:line="360" w:lineRule="auto"/>
        <w:ind w:firstLine="480" w:firstLineChars="200"/>
        <w:rPr>
          <w:rFonts w:ascii="仿宋_GB2312" w:hAnsi="仿宋" w:eastAsia="仿宋_GB2312" w:cs="仿宋"/>
          <w:color w:val="auto"/>
          <w:sz w:val="24"/>
          <w:highlight w:val="none"/>
        </w:rPr>
      </w:pPr>
    </w:p>
    <w:p>
      <w:pPr>
        <w:shd w:val="clear"/>
        <w:spacing w:line="360" w:lineRule="auto"/>
        <w:ind w:firstLine="480" w:firstLineChars="200"/>
        <w:rPr>
          <w:rFonts w:ascii="仿宋_GB2312" w:hAnsi="仿宋" w:eastAsia="仿宋_GB2312" w:cs="仿宋"/>
          <w:color w:val="auto"/>
          <w:sz w:val="24"/>
          <w:highlight w:val="none"/>
        </w:rPr>
      </w:pPr>
    </w:p>
    <w:p>
      <w:pPr>
        <w:shd w:val="clea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shd w:val="clea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shd w:val="clear"/>
        <w:autoSpaceDE w:val="0"/>
        <w:autoSpaceDN w:val="0"/>
        <w:jc w:val="center"/>
        <w:rPr>
          <w:rFonts w:ascii="仿宋_GB2312" w:hAnsi="仿宋" w:eastAsia="仿宋_GB2312" w:cs="仿宋"/>
          <w:b/>
          <w:color w:val="auto"/>
          <w:spacing w:val="6"/>
          <w:sz w:val="32"/>
          <w:szCs w:val="32"/>
          <w:highlight w:val="none"/>
        </w:rPr>
      </w:pPr>
    </w:p>
    <w:p>
      <w:pPr>
        <w:pageBreakBefore/>
        <w:shd w:val="clear"/>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hd w:val="clear"/>
        <w:spacing w:line="360" w:lineRule="auto"/>
        <w:jc w:val="center"/>
        <w:rPr>
          <w:rFonts w:ascii="仿宋_GB2312" w:hAnsi="仿宋" w:eastAsia="仿宋_GB2312" w:cs="仿宋"/>
          <w:color w:val="auto"/>
          <w:sz w:val="24"/>
          <w:highlight w:val="none"/>
          <w:u w:val="single"/>
        </w:rPr>
      </w:pPr>
    </w:p>
    <w:p>
      <w:pPr>
        <w:shd w:val="clea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hd w:val="clea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hd w:val="clea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hd w:val="clea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hd w:val="clea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hd w:val="clear"/>
        <w:spacing w:line="360" w:lineRule="auto"/>
        <w:ind w:firstLine="310" w:firstLineChars="147"/>
        <w:jc w:val="left"/>
        <w:rPr>
          <w:rFonts w:ascii="仿宋_GB2312" w:hAnsi="仿宋" w:eastAsia="仿宋_GB2312" w:cs="仿宋"/>
          <w:b/>
          <w:color w:val="auto"/>
          <w:szCs w:val="21"/>
          <w:highlight w:val="none"/>
        </w:rPr>
      </w:pPr>
    </w:p>
    <w:p>
      <w:pPr>
        <w:shd w:val="clea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hd w:val="clear"/>
        <w:spacing w:line="360" w:lineRule="auto"/>
        <w:ind w:right="420"/>
        <w:rPr>
          <w:rFonts w:ascii="仿宋_GB2312" w:hAnsi="仿宋" w:eastAsia="仿宋_GB2312" w:cs="仿宋"/>
          <w:color w:val="auto"/>
          <w:sz w:val="24"/>
          <w:highlight w:val="none"/>
        </w:rPr>
      </w:pPr>
    </w:p>
    <w:p>
      <w:pPr>
        <w:shd w:val="clea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hd w:val="clea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hd w:val="clea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仿宋" w:eastAsia="仿宋_GB2312" w:cs="仿宋"/>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shd w:val="clear"/>
        <w:spacing w:line="360" w:lineRule="auto"/>
        <w:jc w:val="center"/>
        <w:rPr>
          <w:rFonts w:ascii="仿宋_GB2312" w:hAnsi="宋体" w:eastAsia="仿宋_GB2312" w:cs="宋体"/>
          <w:b/>
          <w:color w:val="auto"/>
          <w:sz w:val="32"/>
          <w:szCs w:val="32"/>
          <w:highlight w:val="none"/>
        </w:rPr>
      </w:pPr>
    </w:p>
    <w:p>
      <w:pPr>
        <w:pageBreakBefore/>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4"/>
        <w:shd w:val="clear"/>
        <w:spacing w:line="240" w:lineRule="auto"/>
        <w:rPr>
          <w:rFonts w:ascii="仿宋_GB2312"/>
          <w:color w:val="auto"/>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shd w:val="clear"/>
        <w:jc w:val="left"/>
        <w:rPr>
          <w:rFonts w:ascii="仿宋_GB2312" w:hAnsi="仿宋" w:eastAsia="仿宋_GB2312" w:cs="仿宋"/>
          <w:color w:val="auto"/>
          <w:kern w:val="0"/>
          <w:sz w:val="24"/>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hd w:val="clear"/>
              <w:jc w:val="left"/>
              <w:rPr>
                <w:rFonts w:ascii="仿宋_GB2312" w:hAnsi="仿宋" w:eastAsia="仿宋_GB2312" w:cs="仿宋"/>
                <w:color w:val="auto"/>
                <w:kern w:val="0"/>
                <w:sz w:val="24"/>
                <w:highlight w:val="none"/>
              </w:rPr>
            </w:pP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shd w:val="clear"/>
        <w:jc w:val="left"/>
        <w:rPr>
          <w:rFonts w:ascii="仿宋_GB2312" w:hAnsi="仿宋" w:eastAsia="仿宋_GB2312" w:cs="仿宋"/>
          <w:color w:val="auto"/>
          <w:kern w:val="0"/>
          <w:sz w:val="24"/>
          <w:highlight w:val="none"/>
        </w:rPr>
      </w:pPr>
    </w:p>
    <w:p>
      <w:pPr>
        <w:widowControl/>
        <w:shd w:val="clear"/>
        <w:jc w:val="left"/>
        <w:rPr>
          <w:rFonts w:ascii="仿宋_GB2312" w:hAnsi="仿宋" w:eastAsia="仿宋_GB2312" w:cs="仿宋"/>
          <w:color w:val="auto"/>
          <w:kern w:val="0"/>
          <w:sz w:val="24"/>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shd w:val="clear"/>
        <w:jc w:val="left"/>
        <w:rPr>
          <w:rFonts w:ascii="仿宋_GB2312" w:hAnsi="仿宋" w:eastAsia="仿宋_GB2312" w:cs="仿宋"/>
          <w:color w:val="auto"/>
          <w:kern w:val="0"/>
          <w:sz w:val="18"/>
          <w:szCs w:val="18"/>
          <w:highlight w:val="none"/>
        </w:rPr>
      </w:pPr>
    </w:p>
    <w:p>
      <w:pPr>
        <w:widowControl/>
        <w:shd w:val="clear"/>
        <w:jc w:val="left"/>
        <w:rPr>
          <w:rFonts w:ascii="仿宋_GB2312" w:hAnsi="仿宋" w:eastAsia="仿宋_GB2312" w:cs="仿宋"/>
          <w:color w:val="auto"/>
          <w:kern w:val="0"/>
          <w:sz w:val="18"/>
          <w:szCs w:val="18"/>
          <w:highlight w:val="none"/>
        </w:rPr>
      </w:pPr>
    </w:p>
    <w:p>
      <w:pPr>
        <w:widowControl/>
        <w:shd w:val="clear"/>
        <w:jc w:val="left"/>
        <w:rPr>
          <w:rFonts w:ascii="仿宋_GB2312" w:hAnsi="仿宋" w:eastAsia="仿宋_GB2312" w:cs="仿宋"/>
          <w:color w:val="auto"/>
          <w:kern w:val="0"/>
          <w:sz w:val="18"/>
          <w:szCs w:val="18"/>
          <w:highlight w:val="none"/>
        </w:rPr>
      </w:pP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w:t>
      </w:r>
      <w:bookmarkStart w:id="137" w:name="_GoBack"/>
      <w:bookmarkEnd w:id="137"/>
      <w:r>
        <w:rPr>
          <w:rFonts w:hint="eastAsia" w:ascii="仿宋_GB2312" w:hAnsi="仿宋" w:eastAsia="仿宋_GB2312" w:cs="仿宋"/>
          <w:color w:val="auto"/>
          <w:kern w:val="0"/>
          <w:szCs w:val="21"/>
          <w:highlight w:val="none"/>
        </w:rPr>
        <w:t>营业管理部、省会（首府）城市中心支行、副省级城市中心支行会同所在省（区、市）银监局、证监局、保监局、统计局将本通知联合转发至辖内相关机构。</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pPr>
              <w:widowControl/>
              <w:shd w:val="clear"/>
              <w:jc w:val="left"/>
              <w:rPr>
                <w:rFonts w:ascii="仿宋_GB2312" w:hAnsi="仿宋" w:eastAsia="仿宋_GB2312" w:cs="仿宋"/>
                <w:color w:val="auto"/>
                <w:kern w:val="0"/>
                <w:sz w:val="24"/>
                <w:highlight w:val="none"/>
              </w:rPr>
            </w:pPr>
          </w:p>
        </w:tc>
        <w:tc>
          <w:tcPr>
            <w:tcW w:w="60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hd w:val="clea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2024-10-0117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9"/>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6"/>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11"/>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1059279E"/>
    <w:rsid w:val="3FD9443D"/>
    <w:rsid w:val="4A523CB1"/>
    <w:rsid w:val="56D92837"/>
    <w:rsid w:val="57DB7F47"/>
    <w:rsid w:val="5B952728"/>
    <w:rsid w:val="5BA16A24"/>
    <w:rsid w:val="72E87C49"/>
    <w:rsid w:val="75165DF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7">
    <w:name w:val="heading 2"/>
    <w:basedOn w:val="1"/>
    <w:next w:val="8"/>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9">
    <w:name w:val="heading 3"/>
    <w:basedOn w:val="1"/>
    <w:next w:val="8"/>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8"/>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8"/>
    <w:link w:val="87"/>
    <w:qFormat/>
    <w:uiPriority w:val="0"/>
    <w:pPr>
      <w:keepNext/>
      <w:widowControl/>
      <w:numPr>
        <w:ilvl w:val="0"/>
        <w:numId w:val="4"/>
      </w:numPr>
      <w:jc w:val="left"/>
      <w:outlineLvl w:val="4"/>
    </w:pPr>
    <w:rPr>
      <w:kern w:val="0"/>
      <w:sz w:val="24"/>
      <w:szCs w:val="20"/>
    </w:rPr>
  </w:style>
  <w:style w:type="paragraph" w:styleId="12">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32"/>
    <w:qFormat/>
    <w:uiPriority w:val="0"/>
    <w:pPr>
      <w:ind w:firstLine="420" w:firstLineChars="200"/>
    </w:pPr>
  </w:style>
  <w:style w:type="paragraph" w:styleId="3">
    <w:name w:val="Body Text Indent"/>
    <w:basedOn w:val="1"/>
    <w:next w:val="2"/>
    <w:link w:val="94"/>
    <w:qFormat/>
    <w:uiPriority w:val="0"/>
    <w:pPr>
      <w:spacing w:after="120"/>
      <w:ind w:left="420" w:leftChars="200"/>
    </w:pPr>
  </w:style>
  <w:style w:type="paragraph" w:styleId="4">
    <w:name w:val="Body Text"/>
    <w:basedOn w:val="1"/>
    <w:next w:val="5"/>
    <w:link w:val="113"/>
    <w:qFormat/>
    <w:uiPriority w:val="0"/>
    <w:pPr>
      <w:spacing w:line="360" w:lineRule="auto"/>
    </w:pPr>
    <w:rPr>
      <w:rFonts w:eastAsia="仿宋_GB2312"/>
      <w:sz w:val="28"/>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Normal Indent"/>
    <w:basedOn w:val="1"/>
    <w:link w:val="82"/>
    <w:qFormat/>
    <w:uiPriority w:val="0"/>
    <w:pPr>
      <w:ind w:firstLine="420" w:firstLineChars="200"/>
    </w:pPr>
  </w:style>
  <w:style w:type="paragraph" w:styleId="16">
    <w:name w:val="toc 7"/>
    <w:basedOn w:val="1"/>
    <w:next w:val="1"/>
    <w:qFormat/>
    <w:uiPriority w:val="0"/>
    <w:pPr>
      <w:adjustRightInd w:val="0"/>
      <w:ind w:left="2520" w:leftChars="1200"/>
    </w:p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454"/>
      </w:tabs>
      <w:spacing w:afterLines="50"/>
      <w:ind w:left="454" w:hanging="284"/>
      <w:jc w:val="left"/>
    </w:pPr>
    <w:rPr>
      <w:kern w:val="0"/>
      <w:sz w:val="24"/>
      <w:szCs w:val="20"/>
    </w:rPr>
  </w:style>
  <w:style w:type="paragraph" w:styleId="20">
    <w:name w:val="caption"/>
    <w:basedOn w:val="1"/>
    <w:next w:val="1"/>
    <w:link w:val="309"/>
    <w:qFormat/>
    <w:uiPriority w:val="0"/>
    <w:pPr>
      <w:spacing w:line="360" w:lineRule="auto"/>
      <w:jc w:val="center"/>
    </w:pPr>
    <w:rPr>
      <w:rFonts w:ascii="Calibri" w:hAnsi="Calibri"/>
      <w:sz w:val="20"/>
      <w:szCs w:val="20"/>
    </w:rPr>
  </w:style>
  <w:style w:type="paragraph" w:styleId="21">
    <w:name w:val="index 5"/>
    <w:basedOn w:val="1"/>
    <w:next w:val="1"/>
    <w:qFormat/>
    <w:uiPriority w:val="0"/>
    <w:pPr>
      <w:ind w:left="800" w:leftChars="800" w:firstLine="200" w:firstLineChars="200"/>
    </w:pPr>
  </w:style>
  <w:style w:type="paragraph" w:styleId="22">
    <w:name w:val="Document Map"/>
    <w:basedOn w:val="1"/>
    <w:link w:val="148"/>
    <w:qFormat/>
    <w:uiPriority w:val="0"/>
    <w:pPr>
      <w:shd w:val="clear" w:color="auto" w:fill="000080"/>
    </w:pPr>
  </w:style>
  <w:style w:type="paragraph" w:styleId="23">
    <w:name w:val="annotation text"/>
    <w:basedOn w:val="1"/>
    <w:link w:val="100"/>
    <w:qFormat/>
    <w:uiPriority w:val="0"/>
    <w:pPr>
      <w:jc w:val="left"/>
    </w:pPr>
  </w:style>
  <w:style w:type="paragraph" w:styleId="24">
    <w:name w:val="Salutation"/>
    <w:basedOn w:val="1"/>
    <w:next w:val="1"/>
    <w:link w:val="317"/>
    <w:qFormat/>
    <w:uiPriority w:val="0"/>
    <w:pPr>
      <w:adjustRightInd w:val="0"/>
    </w:pPr>
    <w:rPr>
      <w:rFonts w:ascii="仿宋_GB2312" w:eastAsia="仿宋_GB2312"/>
      <w:sz w:val="28"/>
      <w:szCs w:val="20"/>
    </w:rPr>
  </w:style>
  <w:style w:type="paragraph" w:styleId="25">
    <w:name w:val="Body Text 3"/>
    <w:basedOn w:val="1"/>
    <w:link w:val="318"/>
    <w:qFormat/>
    <w:uiPriority w:val="0"/>
    <w:pPr>
      <w:adjustRightInd w:val="0"/>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2"/>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5"/>
    <w:qFormat/>
    <w:uiPriority w:val="0"/>
    <w:rPr>
      <w:rFonts w:ascii="楷体_GB2312" w:eastAsia="楷体_GB2312"/>
      <w:b/>
      <w:sz w:val="28"/>
      <w:szCs w:val="20"/>
    </w:rPr>
  </w:style>
  <w:style w:type="paragraph" w:styleId="38">
    <w:name w:val="Body Text Indent 2"/>
    <w:basedOn w:val="1"/>
    <w:link w:val="109"/>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7"/>
    <w:qFormat/>
    <w:uiPriority w:val="99"/>
    <w:pPr>
      <w:tabs>
        <w:tab w:val="center" w:pos="4153"/>
        <w:tab w:val="right" w:pos="8306"/>
      </w:tabs>
      <w:snapToGrid w:val="0"/>
      <w:jc w:val="left"/>
    </w:pPr>
    <w:rPr>
      <w:sz w:val="18"/>
      <w:szCs w:val="18"/>
    </w:rPr>
  </w:style>
  <w:style w:type="paragraph" w:styleId="42">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8"/>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3"/>
    <w:next w:val="23"/>
    <w:link w:val="230"/>
    <w:qFormat/>
    <w:uiPriority w:val="0"/>
    <w:pPr>
      <w:widowControl/>
      <w:spacing w:afterLines="50"/>
    </w:pPr>
    <w:rPr>
      <w:b/>
      <w:bCs/>
      <w:kern w:val="0"/>
      <w:sz w:val="24"/>
      <w:szCs w:val="20"/>
    </w:rPr>
  </w:style>
  <w:style w:type="paragraph" w:styleId="63">
    <w:name w:val="Body Text First Indent"/>
    <w:basedOn w:val="4"/>
    <w:link w:val="231"/>
    <w:qFormat/>
    <w:uiPriority w:val="0"/>
    <w:pPr>
      <w:spacing w:after="120" w:line="240" w:lineRule="auto"/>
      <w:ind w:firstLine="420" w:firstLineChars="100"/>
    </w:pPr>
    <w:rPr>
      <w:rFonts w:eastAsia="宋体"/>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6"/>
    <w:qFormat/>
    <w:uiPriority w:val="0"/>
    <w:rPr>
      <w:rFonts w:eastAsia="仿宋_GB2312"/>
      <w:b/>
      <w:kern w:val="44"/>
      <w:sz w:val="44"/>
      <w:lang w:val="en-US" w:eastAsia="zh-CN" w:bidi="ar-SA"/>
    </w:rPr>
  </w:style>
  <w:style w:type="character" w:customStyle="1" w:styleId="82">
    <w:name w:val="正文缩进 Char"/>
    <w:link w:val="8"/>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7"/>
    <w:qFormat/>
    <w:uiPriority w:val="0"/>
    <w:rPr>
      <w:rFonts w:ascii="Arial" w:hAnsi="Arial" w:eastAsia="黑体"/>
      <w:b/>
      <w:kern w:val="2"/>
      <w:sz w:val="32"/>
      <w:lang w:val="en-US" w:eastAsia="zh-CN" w:bidi="ar-SA"/>
    </w:rPr>
  </w:style>
  <w:style w:type="character" w:customStyle="1" w:styleId="85">
    <w:name w:val="标题 3 Char"/>
    <w:link w:val="9"/>
    <w:qFormat/>
    <w:uiPriority w:val="0"/>
    <w:rPr>
      <w:rFonts w:eastAsia="仿宋_GB2312"/>
      <w:b/>
      <w:kern w:val="2"/>
      <w:sz w:val="32"/>
      <w:lang w:val="en-US" w:eastAsia="zh-CN" w:bidi="ar-SA"/>
    </w:rPr>
  </w:style>
  <w:style w:type="character" w:customStyle="1" w:styleId="86">
    <w:name w:val="标题 4 Char1"/>
    <w:link w:val="10"/>
    <w:qFormat/>
    <w:uiPriority w:val="0"/>
    <w:rPr>
      <w:rFonts w:ascii="Arial" w:hAnsi="Arial" w:eastAsia="黑体"/>
      <w:b/>
      <w:kern w:val="2"/>
      <w:sz w:val="28"/>
      <w:lang w:val="en-US" w:eastAsia="zh-CN" w:bidi="ar-SA"/>
    </w:rPr>
  </w:style>
  <w:style w:type="character" w:customStyle="1" w:styleId="87">
    <w:name w:val="标题 5 Char1"/>
    <w:link w:val="11"/>
    <w:qFormat/>
    <w:uiPriority w:val="0"/>
    <w:rPr>
      <w:rFonts w:eastAsia="宋体"/>
      <w:sz w:val="24"/>
      <w:lang w:val="en-US" w:eastAsia="zh-CN" w:bidi="ar-SA"/>
    </w:rPr>
  </w:style>
  <w:style w:type="character" w:customStyle="1" w:styleId="88">
    <w:name w:val="标题 6 Char1"/>
    <w:link w:val="12"/>
    <w:qFormat/>
    <w:uiPriority w:val="0"/>
    <w:rPr>
      <w:rFonts w:ascii="宋体" w:hAnsi="Arial" w:eastAsia="宋体"/>
      <w:sz w:val="24"/>
      <w:lang w:val="en-US" w:eastAsia="zh-CN" w:bidi="ar-SA"/>
    </w:rPr>
  </w:style>
  <w:style w:type="character" w:customStyle="1" w:styleId="89">
    <w:name w:val="标题 7 Char1"/>
    <w:link w:val="13"/>
    <w:qFormat/>
    <w:uiPriority w:val="0"/>
    <w:rPr>
      <w:rFonts w:ascii="宋体" w:hAnsi="Arial" w:eastAsia="宋体"/>
      <w:b/>
      <w:sz w:val="24"/>
      <w:lang w:val="en-US" w:eastAsia="zh-CN" w:bidi="ar-SA"/>
    </w:rPr>
  </w:style>
  <w:style w:type="character" w:customStyle="1" w:styleId="90">
    <w:name w:val="标题 8 Char1"/>
    <w:link w:val="14"/>
    <w:qFormat/>
    <w:uiPriority w:val="0"/>
    <w:rPr>
      <w:rFonts w:ascii="Arial" w:hAnsi="Arial" w:eastAsia="黑体"/>
      <w:sz w:val="24"/>
      <w:lang w:val="en-US" w:eastAsia="zh-CN" w:bidi="ar-SA"/>
    </w:rPr>
  </w:style>
  <w:style w:type="character" w:customStyle="1" w:styleId="91">
    <w:name w:val="标题 9 Char1"/>
    <w:link w:val="15"/>
    <w:qFormat/>
    <w:uiPriority w:val="0"/>
    <w:rPr>
      <w:rFonts w:ascii="Arial" w:hAnsi="Arial" w:eastAsia="黑体"/>
      <w:sz w:val="24"/>
      <w:lang w:val="en-US" w:eastAsia="zh-CN" w:bidi="ar-SA"/>
    </w:rPr>
  </w:style>
  <w:style w:type="character" w:customStyle="1" w:styleId="92">
    <w:name w:val="纯文本 Char"/>
    <w:link w:val="34"/>
    <w:qFormat/>
    <w:uiPriority w:val="0"/>
    <w:rPr>
      <w:rFonts w:ascii="宋体" w:hAnsi="Courier New" w:eastAsia="宋体"/>
      <w:kern w:val="2"/>
      <w:sz w:val="21"/>
      <w:lang w:val="en-US" w:eastAsia="zh-CN" w:bidi="ar-SA"/>
    </w:rPr>
  </w:style>
  <w:style w:type="paragraph" w:customStyle="1" w:styleId="93">
    <w:name w:val="表正文"/>
    <w:basedOn w:val="1"/>
    <w:next w:val="34"/>
    <w:qFormat/>
    <w:uiPriority w:val="0"/>
    <w:rPr>
      <w:rFonts w:ascii="宋体" w:hAnsi="Courier New"/>
      <w:szCs w:val="20"/>
    </w:rPr>
  </w:style>
  <w:style w:type="character" w:customStyle="1" w:styleId="94">
    <w:name w:val="正文文本缩进 Char"/>
    <w:link w:val="3"/>
    <w:qFormat/>
    <w:uiPriority w:val="0"/>
    <w:rPr>
      <w:rFonts w:eastAsia="宋体"/>
      <w:kern w:val="2"/>
      <w:sz w:val="21"/>
      <w:szCs w:val="24"/>
      <w:lang w:val="en-US" w:eastAsia="zh-CN" w:bidi="ar-SA"/>
    </w:rPr>
  </w:style>
  <w:style w:type="character" w:customStyle="1" w:styleId="95">
    <w:name w:val="日期 Char2"/>
    <w:link w:val="37"/>
    <w:qFormat/>
    <w:uiPriority w:val="0"/>
    <w:rPr>
      <w:rFonts w:ascii="楷体_GB2312" w:eastAsia="楷体_GB2312"/>
      <w:b/>
      <w:kern w:val="2"/>
      <w:sz w:val="28"/>
      <w:lang w:val="en-US" w:eastAsia="zh-CN" w:bidi="ar-SA"/>
    </w:rPr>
  </w:style>
  <w:style w:type="character" w:customStyle="1" w:styleId="96">
    <w:name w:val="页眉 Char1"/>
    <w:link w:val="42"/>
    <w:qFormat/>
    <w:uiPriority w:val="0"/>
    <w:rPr>
      <w:rFonts w:eastAsia="宋体"/>
      <w:kern w:val="2"/>
      <w:sz w:val="18"/>
      <w:szCs w:val="18"/>
      <w:lang w:val="en-US" w:eastAsia="zh-CN" w:bidi="ar-SA"/>
    </w:rPr>
  </w:style>
  <w:style w:type="character" w:customStyle="1" w:styleId="97">
    <w:name w:val="页脚 Char"/>
    <w:link w:val="41"/>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3"/>
    <w:qFormat/>
    <w:uiPriority w:val="0"/>
    <w:rPr>
      <w:rFonts w:eastAsia="宋体"/>
      <w:kern w:val="2"/>
      <w:sz w:val="21"/>
      <w:szCs w:val="24"/>
      <w:lang w:val="en-US" w:eastAsia="zh-CN" w:bidi="ar-SA"/>
    </w:rPr>
  </w:style>
  <w:style w:type="character" w:customStyle="1" w:styleId="101">
    <w:name w:val="正文文本 2 Char1"/>
    <w:link w:val="57"/>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8"/>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22"/>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22"/>
    <w:qFormat/>
    <w:uiPriority w:val="0"/>
    <w:rPr>
      <w:rFonts w:ascii="Tahoma" w:hAnsi="Tahoma"/>
      <w:sz w:val="24"/>
    </w:rPr>
  </w:style>
  <w:style w:type="paragraph" w:customStyle="1" w:styleId="168">
    <w:name w:val="Char Char Char"/>
    <w:basedOn w:val="22"/>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9"/>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9"/>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40"/>
    <w:qFormat/>
    <w:uiPriority w:val="0"/>
    <w:rPr>
      <w:kern w:val="2"/>
      <w:sz w:val="18"/>
      <w:szCs w:val="18"/>
    </w:rPr>
  </w:style>
  <w:style w:type="character" w:customStyle="1" w:styleId="228">
    <w:name w:val="正文文本缩进 3 Char"/>
    <w:basedOn w:val="71"/>
    <w:link w:val="54"/>
    <w:qFormat/>
    <w:uiPriority w:val="0"/>
    <w:rPr>
      <w:kern w:val="2"/>
      <w:sz w:val="16"/>
      <w:szCs w:val="16"/>
    </w:rPr>
  </w:style>
  <w:style w:type="character" w:customStyle="1" w:styleId="229">
    <w:name w:val="HTML 预设格式 Char"/>
    <w:basedOn w:val="71"/>
    <w:link w:val="59"/>
    <w:qFormat/>
    <w:uiPriority w:val="0"/>
    <w:rPr>
      <w:rFonts w:ascii="黑体" w:hAnsi="Courier New" w:eastAsia="黑体" w:cs="Courier New"/>
    </w:rPr>
  </w:style>
  <w:style w:type="character" w:customStyle="1" w:styleId="230">
    <w:name w:val="批注主题 Char"/>
    <w:basedOn w:val="197"/>
    <w:link w:val="62"/>
    <w:qFormat/>
    <w:uiPriority w:val="0"/>
    <w:rPr>
      <w:rFonts w:eastAsia="宋体"/>
      <w:b/>
      <w:bCs/>
      <w:kern w:val="2"/>
      <w:sz w:val="24"/>
      <w:szCs w:val="24"/>
      <w:lang w:val="en-US" w:eastAsia="zh-CN" w:bidi="ar-SA"/>
    </w:rPr>
  </w:style>
  <w:style w:type="character" w:customStyle="1" w:styleId="231">
    <w:name w:val="正文首行缩进 Char"/>
    <w:basedOn w:val="192"/>
    <w:link w:val="63"/>
    <w:qFormat/>
    <w:uiPriority w:val="0"/>
    <w:rPr>
      <w:rFonts w:eastAsia="仿宋_GB2312"/>
      <w:kern w:val="2"/>
      <w:sz w:val="21"/>
      <w:szCs w:val="24"/>
      <w:lang w:val="en-US" w:eastAsia="zh-CN" w:bidi="ar-SA"/>
    </w:rPr>
  </w:style>
  <w:style w:type="character" w:customStyle="1" w:styleId="232">
    <w:name w:val="正文首行缩进 2 Char"/>
    <w:basedOn w:val="94"/>
    <w:link w:val="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20"/>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4"/>
    <w:qFormat/>
    <w:uiPriority w:val="0"/>
    <w:rPr>
      <w:rFonts w:ascii="仿宋_GB2312" w:eastAsia="仿宋_GB2312"/>
      <w:kern w:val="2"/>
      <w:sz w:val="28"/>
    </w:rPr>
  </w:style>
  <w:style w:type="character" w:customStyle="1" w:styleId="318">
    <w:name w:val="正文文本 3 Char"/>
    <w:basedOn w:val="71"/>
    <w:link w:val="25"/>
    <w:qFormat/>
    <w:uiPriority w:val="0"/>
    <w:rPr>
      <w:kern w:val="2"/>
      <w:sz w:val="21"/>
    </w:rPr>
  </w:style>
  <w:style w:type="character" w:customStyle="1" w:styleId="319">
    <w:name w:val="HTML 地址 Char"/>
    <w:basedOn w:val="71"/>
    <w:link w:val="31"/>
    <w:qFormat/>
    <w:uiPriority w:val="0"/>
    <w:rPr>
      <w:rFonts w:ascii="宋体" w:hAnsi="宋体"/>
      <w:i/>
      <w:iCs/>
      <w:sz w:val="24"/>
      <w:szCs w:val="24"/>
    </w:rPr>
  </w:style>
  <w:style w:type="character" w:customStyle="1" w:styleId="320">
    <w:name w:val="尾注文本 Char"/>
    <w:basedOn w:val="71"/>
    <w:link w:val="39"/>
    <w:qFormat/>
    <w:uiPriority w:val="0"/>
    <w:rPr>
      <w:kern w:val="2"/>
      <w:sz w:val="21"/>
      <w:szCs w:val="24"/>
      <w:lang w:val="zh-CN"/>
    </w:rPr>
  </w:style>
  <w:style w:type="character" w:customStyle="1" w:styleId="321">
    <w:name w:val="签名 Char"/>
    <w:basedOn w:val="71"/>
    <w:link w:val="43"/>
    <w:qFormat/>
    <w:uiPriority w:val="0"/>
    <w:rPr>
      <w:rFonts w:eastAsia="仿宋_GB2312"/>
      <w:sz w:val="24"/>
    </w:rPr>
  </w:style>
  <w:style w:type="character" w:customStyle="1" w:styleId="322">
    <w:name w:val="副标题 Char"/>
    <w:basedOn w:val="71"/>
    <w:link w:val="48"/>
    <w:qFormat/>
    <w:uiPriority w:val="0"/>
    <w:rPr>
      <w:rFonts w:ascii="Arial" w:hAnsi="Arial" w:eastAsia="隶书"/>
      <w:b/>
      <w:bCs/>
      <w:kern w:val="28"/>
      <w:sz w:val="44"/>
      <w:szCs w:val="32"/>
    </w:rPr>
  </w:style>
  <w:style w:type="character" w:customStyle="1" w:styleId="323">
    <w:name w:val="脚注文本 Char"/>
    <w:basedOn w:val="71"/>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7"/>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9"/>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10"/>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10"/>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3"/>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10"/>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7"/>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7"/>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2"/>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7"/>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9"/>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11"/>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9"/>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7"/>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6"/>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10"/>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7"/>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3"/>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7"/>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3"/>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9"/>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7"/>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9"/>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6"/>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7"/>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10"/>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7"/>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7"/>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6"/>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6"/>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10"/>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7"/>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9"/>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20"/>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1"/>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3"/>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9"/>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6"/>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10"/>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9"/>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2"/>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9"/>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11"/>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6"/>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7"/>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7960</Words>
  <Characters>45378</Characters>
  <Lines>378</Lines>
  <Paragraphs>106</Paragraphs>
  <TotalTime>2</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amin</cp:lastModifiedBy>
  <cp:lastPrinted>2023-07-27T03:40:00Z</cp:lastPrinted>
  <dcterms:modified xsi:type="dcterms:W3CDTF">2024-10-31T02:50:39Z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