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bookmarkStart w:id="2" w:name="_GoBack"/>
      <w:bookmarkEnd w:id="2"/>
      <w:bookmarkStart w:id="0" w:name="_Toc22670590"/>
      <w:r>
        <w:rPr>
          <w:rFonts w:hint="default" w:ascii="Times New Roman" w:hAnsi="Times New Roman" w:eastAsia="楷体" w:cs="Times New Roman"/>
          <w:sz w:val="28"/>
          <w:szCs w:val="28"/>
          <w:u w:val="none"/>
          <w:lang w:val="en-US" w:eastAsia="zh-CN"/>
        </w:rPr>
        <w:t>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default" w:ascii="Times New Roman" w:hAnsi="Times New Roman" w:eastAsia="楷体" w:cs="Times New Roman"/>
          <w:b/>
          <w:bCs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28"/>
          <w:szCs w:val="28"/>
          <w:u w:val="none"/>
          <w:lang w:val="en-US" w:eastAsia="zh-CN"/>
        </w:rPr>
        <w:t>1、检定项目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根据每年的绍兴市生态环境监测要点，要求开展对农村千吨万人水源地水质进行全指标分析，1次/两年，双数年监测，规定于双数年7月完成监测。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2024年度我市共需检测11个万人千吨饮用水水源地，监测指标为《地表水环境质量标准》GB3838-2002中表1、表2以及表3项目，共计109项。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default" w:ascii="Times New Roman" w:hAnsi="Times New Roman" w:eastAsia="楷体" w:cs="Times New Roman"/>
          <w:b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 w:val="0"/>
          <w:sz w:val="28"/>
          <w:szCs w:val="28"/>
        </w:rPr>
        <w:t>2、服务时限和</w:t>
      </w:r>
      <w:r>
        <w:rPr>
          <w:rFonts w:hint="default" w:ascii="Times New Roman" w:hAnsi="Times New Roman" w:eastAsia="楷体" w:cs="Times New Roman"/>
          <w:b/>
          <w:bCs w:val="0"/>
          <w:sz w:val="28"/>
          <w:szCs w:val="28"/>
          <w:lang w:val="en-US" w:eastAsia="zh-CN"/>
        </w:rPr>
        <w:t>结算原则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该项目要求于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2024年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底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按照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点位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清单完成检测任务，</w:t>
      </w:r>
      <w:r>
        <w:rPr>
          <w:rFonts w:hint="default" w:ascii="Times New Roman" w:hAnsi="Times New Roman" w:eastAsia="楷体" w:cs="Times New Roman"/>
          <w:sz w:val="28"/>
          <w:szCs w:val="28"/>
        </w:rPr>
        <w:t>具体服务费用按中标价及</w:t>
      </w:r>
      <w:r>
        <w:rPr>
          <w:rFonts w:hint="default" w:ascii="Times New Roman" w:hAnsi="Times New Roman" w:eastAsia="楷体" w:cs="Times New Roman"/>
          <w:sz w:val="28"/>
          <w:szCs w:val="28"/>
          <w:lang w:eastAsia="zh-CN"/>
        </w:rPr>
        <w:t>合同约定</w:t>
      </w:r>
      <w:r>
        <w:rPr>
          <w:rFonts w:hint="default" w:ascii="Times New Roman" w:hAnsi="Times New Roman" w:eastAsia="楷体" w:cs="Times New Roman"/>
          <w:sz w:val="28"/>
          <w:szCs w:val="28"/>
        </w:rPr>
        <w:t>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表1  11个饮用水水源地清单</w:t>
      </w:r>
    </w:p>
    <w:bookmarkEnd w:id="0"/>
    <w:tbl>
      <w:tblPr>
        <w:tblStyle w:val="5"/>
        <w:tblpPr w:leftFromText="180" w:rightFromText="180" w:vertAnchor="text" w:horzAnchor="page" w:tblpX="1995" w:tblpY="175"/>
        <w:tblOverlap w:val="never"/>
        <w:tblW w:w="81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75"/>
        <w:gridCol w:w="4174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区县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乡镇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水源地名称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水源别名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长乐镇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曹娥江长乐镇山口村水库型水源地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剡源水库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崇仁镇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曹娥江崇仁镇横岗村水库型水源地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民胜水库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崇仁镇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曹娥江崇仁镇福安村水库型水源地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白柴爿水库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崇仁镇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曹娥江崇仁镇茶亭岗村水库型水源地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砩水水库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崇仁镇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曹娥江崇仁镇张村水库型水源地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坑东水库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黄泽镇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曹娥江黄泽镇渔溪村水库型水源地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渔溪坑水库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三界镇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曹娥江三界镇前岩村水库型水源地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前岩水库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石璜镇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曹娥江石璜镇三溪村水库型水源地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坂头水库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金庭镇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曹娥江金庭镇新合村水库型水源地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新合水库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谷来镇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东湖水库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嵊州市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甘霖镇</w:t>
            </w:r>
          </w:p>
        </w:tc>
        <w:tc>
          <w:tcPr>
            <w:tcW w:w="4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水库型水源地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凤凰窠水库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Times New Roman" w:hAnsi="Times New Roman" w:eastAsia="楷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 w:cs="Times New Roman"/>
          <w:b/>
          <w:bCs w:val="0"/>
          <w:sz w:val="28"/>
          <w:szCs w:val="28"/>
          <w:lang w:val="en-US" w:eastAsia="zh-CN"/>
        </w:rPr>
        <w:t xml:space="preserve">  3、质控要求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为保证实验室所提供数据的准确、真实、可靠，同时保证检测结果的公平、公正，中标单位需按照质控要求执行。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（1）采样质控要求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1.1采样容器材质要求：采样容器严格按照《浙江省环境监测质量保证技术规定》的相关要求执行。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1.2 样品保存要求：水样的保存严格参照《浙江省环境监测质量保证技术规定》中的相关要求执行。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1.3 相片、视频：每个断面采样的同时须拍摄照片或视频，内容应包括采样时间、位置、人员及周边的明显标志物等佐证资料。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1.4其他未尽事宜：严格按照《地表水和污水监测技术规范》HJ/T 91-2002、《水质采样技术指导》HJ494-2009、《水质采样样品的保存和管理技术规定》HJ493-2009中的相关规定执行。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（2）数据报送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在服务期内，中标单位根据要求将检测结果及时提供给采购人。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bookmarkStart w:id="1" w:name="_Toc22670595"/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3、检测</w:t>
      </w:r>
      <w:bookmarkEnd w:id="1"/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楷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  <w:t>《地表水环境质量标准》GB3838-2002及相关国家检测技术标准。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楷体" w:cs="Times New Roman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E85601"/>
    <w:multiLevelType w:val="singleLevel"/>
    <w:tmpl w:val="72E856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ThhM2YwOTgzMzEzYTU0N2QzMjdhMjJiNGQxOTQifQ=="/>
  </w:docVars>
  <w:rsids>
    <w:rsidRoot w:val="600A5C9A"/>
    <w:rsid w:val="0116312F"/>
    <w:rsid w:val="01E33422"/>
    <w:rsid w:val="06974442"/>
    <w:rsid w:val="10A31AC9"/>
    <w:rsid w:val="14DD34D5"/>
    <w:rsid w:val="1BF231BA"/>
    <w:rsid w:val="1FD727AB"/>
    <w:rsid w:val="23781D03"/>
    <w:rsid w:val="2763470F"/>
    <w:rsid w:val="29C9792C"/>
    <w:rsid w:val="2D3A1FD6"/>
    <w:rsid w:val="30BA171F"/>
    <w:rsid w:val="31B934DF"/>
    <w:rsid w:val="3785154B"/>
    <w:rsid w:val="3B7641EF"/>
    <w:rsid w:val="3E796CBE"/>
    <w:rsid w:val="41AF7637"/>
    <w:rsid w:val="433009AD"/>
    <w:rsid w:val="43D22F28"/>
    <w:rsid w:val="4CEF4FF4"/>
    <w:rsid w:val="50ED423F"/>
    <w:rsid w:val="53F024D1"/>
    <w:rsid w:val="54FD7F0D"/>
    <w:rsid w:val="56785C3A"/>
    <w:rsid w:val="5A042160"/>
    <w:rsid w:val="5DBE5856"/>
    <w:rsid w:val="600A5C9A"/>
    <w:rsid w:val="60B758BC"/>
    <w:rsid w:val="61135EB8"/>
    <w:rsid w:val="64231948"/>
    <w:rsid w:val="6CA337E1"/>
    <w:rsid w:val="71494FDF"/>
    <w:rsid w:val="750E27C7"/>
    <w:rsid w:val="77F51C0F"/>
    <w:rsid w:val="7CEE1980"/>
    <w:rsid w:val="7E2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b/>
      <w:color w:val="000000"/>
      <w:sz w:val="32"/>
    </w:rPr>
  </w:style>
  <w:style w:type="paragraph" w:styleId="3">
    <w:name w:val="heading 3"/>
    <w:basedOn w:val="1"/>
    <w:next w:val="1"/>
    <w:qFormat/>
    <w:uiPriority w:val="0"/>
    <w:pPr>
      <w:widowControl/>
      <w:autoSpaceDE w:val="0"/>
      <w:autoSpaceDN w:val="0"/>
      <w:spacing w:before="120" w:beforeLines="0" w:after="120" w:afterLines="0" w:line="300" w:lineRule="auto"/>
      <w:outlineLvl w:val="2"/>
    </w:pPr>
    <w:rPr>
      <w:sz w:val="2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段"/>
    <w:qFormat/>
    <w:uiPriority w:val="0"/>
    <w:pPr>
      <w:snapToGrid w:val="0"/>
      <w:spacing w:afterLines="50"/>
      <w:ind w:firstLine="200" w:firstLineChars="200"/>
      <w:jc w:val="both"/>
    </w:pPr>
    <w:rPr>
      <w:rFonts w:ascii="Calibri" w:hAnsi="Calibri" w:eastAsia="宋体" w:cs="Times New Roman"/>
      <w:sz w:val="24"/>
      <w:lang w:val="en-US" w:eastAsia="zh-CN" w:bidi="ar-SA"/>
    </w:rPr>
  </w:style>
  <w:style w:type="paragraph" w:customStyle="1" w:styleId="9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1173</Words>
  <Characters>1280</Characters>
  <Lines>0</Lines>
  <Paragraphs>0</Paragraphs>
  <TotalTime>2</TotalTime>
  <ScaleCrop>false</ScaleCrop>
  <LinksUpToDate>false</LinksUpToDate>
  <CharactersWithSpaces>1563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2022-06-13T02:24:00Z</dcterms:created>
  <dc:creator>徐三岁</dc:creator>
  <cp:lastModifiedBy>袁胜魁</cp:lastModifiedBy>
  <cp:lastPrinted>2022-06-13T08:34:00Z</cp:lastPrinted>
  <dcterms:modified xsi:type="dcterms:W3CDTF">2024-04-03T03:06:09Z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D5C96BC39830442CA6F6FD3D3857A64E</vt:lpwstr>
  </property>
</Properties>
</file>