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602EC">
      <w:pPr>
        <w:pStyle w:val="10"/>
        <w:spacing w:line="360" w:lineRule="auto"/>
        <w:ind w:left="0" w:leftChars="0" w:firstLine="0" w:firstLineChars="0"/>
        <w:jc w:val="center"/>
        <w:rPr>
          <w:rFonts w:hint="eastAsia" w:ascii="宋体" w:hAnsi="宋体" w:eastAsia="宋体" w:cs="宋体"/>
          <w:b/>
          <w:bCs/>
          <w:color w:val="auto"/>
          <w:sz w:val="44"/>
          <w:szCs w:val="44"/>
          <w:highlight w:val="none"/>
        </w:rPr>
      </w:pPr>
      <w:bookmarkStart w:id="103" w:name="_GoBack"/>
      <w:r>
        <w:rPr>
          <w:rFonts w:hint="eastAsia" w:ascii="宋体" w:hAnsi="宋体" w:cs="宋体"/>
          <w:b/>
          <w:bCs/>
          <w:color w:val="auto"/>
          <w:sz w:val="48"/>
          <w:szCs w:val="48"/>
          <w:highlight w:val="none"/>
          <w:lang w:eastAsia="zh-CN"/>
        </w:rPr>
        <w:t>绍兴市上虞区“十五五”研究课题及规划编制项目</w:t>
      </w:r>
    </w:p>
    <w:p w14:paraId="46BB129D">
      <w:pPr>
        <w:pStyle w:val="10"/>
        <w:spacing w:line="360" w:lineRule="auto"/>
        <w:rPr>
          <w:rFonts w:hint="eastAsia" w:ascii="宋体" w:hAnsi="宋体" w:eastAsia="宋体" w:cs="宋体"/>
          <w:b/>
          <w:bCs/>
          <w:color w:val="auto"/>
          <w:sz w:val="44"/>
          <w:szCs w:val="44"/>
          <w:highlight w:val="none"/>
        </w:rPr>
      </w:pPr>
    </w:p>
    <w:p w14:paraId="7F2600BE">
      <w:pPr>
        <w:pStyle w:val="10"/>
        <w:spacing w:line="360" w:lineRule="auto"/>
        <w:rPr>
          <w:rFonts w:hint="eastAsia" w:ascii="宋体" w:hAnsi="宋体" w:eastAsia="宋体" w:cs="宋体"/>
          <w:b/>
          <w:bCs/>
          <w:color w:val="auto"/>
          <w:sz w:val="44"/>
          <w:szCs w:val="44"/>
          <w:highlight w:val="none"/>
        </w:rPr>
      </w:pPr>
    </w:p>
    <w:p w14:paraId="4C3093FE">
      <w:pPr>
        <w:pStyle w:val="10"/>
        <w:spacing w:line="360" w:lineRule="auto"/>
        <w:rPr>
          <w:rFonts w:hint="eastAsia" w:ascii="宋体" w:hAnsi="宋体" w:eastAsia="宋体" w:cs="宋体"/>
          <w:b/>
          <w:bCs/>
          <w:color w:val="auto"/>
          <w:sz w:val="44"/>
          <w:szCs w:val="44"/>
          <w:highlight w:val="none"/>
        </w:rPr>
      </w:pPr>
    </w:p>
    <w:p w14:paraId="7A999778">
      <w:pPr>
        <w:pStyle w:val="10"/>
        <w:spacing w:line="360" w:lineRule="auto"/>
        <w:rPr>
          <w:rFonts w:hint="eastAsia" w:ascii="宋体" w:hAnsi="宋体" w:eastAsia="宋体" w:cs="宋体"/>
          <w:b/>
          <w:bCs/>
          <w:color w:val="auto"/>
          <w:sz w:val="44"/>
          <w:szCs w:val="44"/>
          <w:highlight w:val="none"/>
        </w:rPr>
      </w:pPr>
    </w:p>
    <w:p w14:paraId="0D851B1A">
      <w:pPr>
        <w:pStyle w:val="10"/>
        <w:spacing w:line="360" w:lineRule="auto"/>
        <w:rPr>
          <w:rFonts w:hint="eastAsia" w:ascii="宋体" w:hAnsi="宋体" w:eastAsia="宋体" w:cs="宋体"/>
          <w:color w:val="auto"/>
          <w:highlight w:val="none"/>
        </w:rPr>
      </w:pPr>
    </w:p>
    <w:p w14:paraId="598A58A0">
      <w:pPr>
        <w:spacing w:line="360" w:lineRule="auto"/>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竞争性磋商文件</w:t>
      </w:r>
    </w:p>
    <w:p w14:paraId="51416D21">
      <w:pPr>
        <w:spacing w:line="360" w:lineRule="auto"/>
        <w:jc w:val="center"/>
        <w:rPr>
          <w:rFonts w:hint="eastAsia" w:ascii="宋体" w:hAnsi="宋体" w:eastAsia="宋体" w:cs="宋体"/>
          <w:b/>
          <w:bCs/>
          <w:color w:val="auto"/>
          <w:sz w:val="24"/>
          <w:szCs w:val="24"/>
          <w:highlight w:val="none"/>
        </w:rPr>
      </w:pPr>
    </w:p>
    <w:p w14:paraId="05FC5AA7">
      <w:pPr>
        <w:snapToGrid w:val="0"/>
        <w:spacing w:line="360" w:lineRule="auto"/>
        <w:jc w:val="center"/>
        <w:rPr>
          <w:rFonts w:hint="default" w:ascii="宋体" w:hAnsi="宋体" w:eastAsia="宋体" w:cs="宋体"/>
          <w:color w:val="auto"/>
          <w:sz w:val="30"/>
          <w:szCs w:val="30"/>
          <w:highlight w:val="none"/>
          <w:u w:val="single"/>
          <w:lang w:val="en-US" w:eastAsia="zh-CN"/>
        </w:rPr>
      </w:pPr>
      <w:r>
        <w:rPr>
          <w:rFonts w:hint="eastAsia" w:ascii="宋体" w:hAnsi="宋体" w:eastAsia="宋体" w:cs="宋体"/>
          <w:color w:val="auto"/>
          <w:sz w:val="30"/>
          <w:szCs w:val="30"/>
          <w:highlight w:val="none"/>
        </w:rPr>
        <w:t>项目编号：FSJZCS2024052</w:t>
      </w:r>
    </w:p>
    <w:p w14:paraId="0AFD0CB0">
      <w:pPr>
        <w:snapToGrid w:val="0"/>
        <w:spacing w:line="360" w:lineRule="auto"/>
        <w:ind w:firstLine="2301" w:firstLineChars="767"/>
        <w:jc w:val="left"/>
        <w:rPr>
          <w:rFonts w:hint="eastAsia" w:ascii="宋体" w:hAnsi="宋体" w:eastAsia="宋体" w:cs="宋体"/>
          <w:color w:val="auto"/>
          <w:sz w:val="30"/>
          <w:szCs w:val="30"/>
          <w:highlight w:val="none"/>
        </w:rPr>
      </w:pPr>
    </w:p>
    <w:p w14:paraId="0785930E">
      <w:pPr>
        <w:pStyle w:val="10"/>
        <w:spacing w:line="360" w:lineRule="auto"/>
        <w:rPr>
          <w:rFonts w:hint="eastAsia" w:ascii="宋体" w:hAnsi="宋体" w:eastAsia="宋体" w:cs="宋体"/>
          <w:highlight w:val="none"/>
        </w:rPr>
      </w:pPr>
    </w:p>
    <w:p w14:paraId="27356AB5">
      <w:pPr>
        <w:spacing w:line="360" w:lineRule="auto"/>
        <w:rPr>
          <w:rFonts w:hint="eastAsia" w:ascii="宋体" w:hAnsi="宋体" w:eastAsia="宋体" w:cs="宋体"/>
          <w:color w:val="auto"/>
          <w:sz w:val="28"/>
          <w:szCs w:val="28"/>
          <w:highlight w:val="none"/>
        </w:rPr>
      </w:pPr>
    </w:p>
    <w:p w14:paraId="398592C2">
      <w:pPr>
        <w:spacing w:line="360" w:lineRule="auto"/>
        <w:jc w:val="center"/>
        <w:rPr>
          <w:rFonts w:hint="eastAsia" w:ascii="宋体" w:hAnsi="宋体" w:eastAsia="宋体" w:cs="宋体"/>
          <w:color w:val="auto"/>
          <w:sz w:val="24"/>
          <w:szCs w:val="24"/>
          <w:highlight w:val="none"/>
        </w:rPr>
      </w:pPr>
    </w:p>
    <w:p w14:paraId="699ADBED">
      <w:pPr>
        <w:spacing w:line="360" w:lineRule="auto"/>
        <w:jc w:val="center"/>
        <w:rPr>
          <w:rFonts w:hint="eastAsia" w:ascii="宋体" w:hAnsi="宋体" w:eastAsia="宋体" w:cs="宋体"/>
          <w:color w:val="auto"/>
          <w:sz w:val="24"/>
          <w:szCs w:val="24"/>
          <w:highlight w:val="none"/>
        </w:rPr>
      </w:pPr>
    </w:p>
    <w:p w14:paraId="20CBBD1C">
      <w:pPr>
        <w:spacing w:line="360" w:lineRule="auto"/>
        <w:jc w:val="center"/>
        <w:rPr>
          <w:rFonts w:hint="eastAsia" w:ascii="宋体" w:hAnsi="宋体" w:eastAsia="宋体" w:cs="宋体"/>
          <w:color w:val="auto"/>
          <w:sz w:val="24"/>
          <w:szCs w:val="24"/>
          <w:highlight w:val="none"/>
        </w:rPr>
      </w:pPr>
    </w:p>
    <w:p w14:paraId="5621CBA6">
      <w:pPr>
        <w:spacing w:line="360" w:lineRule="auto"/>
        <w:jc w:val="center"/>
        <w:rPr>
          <w:rFonts w:hint="eastAsia" w:ascii="宋体" w:hAnsi="宋体" w:eastAsia="宋体" w:cs="宋体"/>
          <w:color w:val="auto"/>
          <w:sz w:val="24"/>
          <w:szCs w:val="24"/>
          <w:highlight w:val="none"/>
        </w:rPr>
      </w:pPr>
    </w:p>
    <w:p w14:paraId="23DF109F">
      <w:pPr>
        <w:spacing w:line="360" w:lineRule="auto"/>
        <w:jc w:val="center"/>
        <w:rPr>
          <w:rFonts w:hint="eastAsia" w:ascii="宋体" w:hAnsi="宋体" w:eastAsia="宋体" w:cs="宋体"/>
          <w:color w:val="auto"/>
          <w:sz w:val="24"/>
          <w:szCs w:val="24"/>
          <w:highlight w:val="none"/>
        </w:rPr>
      </w:pPr>
    </w:p>
    <w:p w14:paraId="67DB2128">
      <w:pPr>
        <w:snapToGrid w:val="0"/>
        <w:spacing w:line="360" w:lineRule="auto"/>
        <w:ind w:firstLine="1500" w:firstLineChars="500"/>
        <w:rPr>
          <w:rFonts w:hint="eastAsia" w:ascii="宋体" w:hAnsi="宋体" w:eastAsia="宋体" w:cs="宋体"/>
          <w:color w:val="auto"/>
          <w:highlight w:val="none"/>
          <w:u w:val="single"/>
          <w:lang w:eastAsia="zh-CN"/>
        </w:rPr>
      </w:pPr>
      <w:r>
        <w:rPr>
          <w:rFonts w:hint="eastAsia" w:ascii="宋体" w:hAnsi="宋体" w:eastAsia="宋体" w:cs="宋体"/>
          <w:color w:val="auto"/>
          <w:sz w:val="30"/>
          <w:szCs w:val="30"/>
          <w:highlight w:val="none"/>
        </w:rPr>
        <w:t xml:space="preserve">采 </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 xml:space="preserve">购 </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人：</w:t>
      </w:r>
      <w:r>
        <w:rPr>
          <w:rFonts w:hint="eastAsia" w:ascii="宋体" w:hAnsi="宋体" w:cs="宋体"/>
          <w:color w:val="auto"/>
          <w:sz w:val="30"/>
          <w:szCs w:val="30"/>
          <w:highlight w:val="none"/>
          <w:lang w:eastAsia="zh-CN"/>
        </w:rPr>
        <w:t>绍兴市上虞区发展和改革局</w:t>
      </w:r>
    </w:p>
    <w:p w14:paraId="2DD704ED">
      <w:pPr>
        <w:snapToGrid w:val="0"/>
        <w:spacing w:line="360" w:lineRule="auto"/>
        <w:ind w:firstLine="1500" w:firstLineChars="500"/>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采购代理机构：</w:t>
      </w:r>
      <w:r>
        <w:rPr>
          <w:rFonts w:hint="eastAsia" w:ascii="宋体" w:hAnsi="宋体" w:eastAsia="宋体" w:cs="宋体"/>
          <w:color w:val="auto"/>
          <w:sz w:val="30"/>
          <w:szCs w:val="30"/>
          <w:highlight w:val="none"/>
          <w:lang w:val="en-US" w:eastAsia="zh-CN"/>
        </w:rPr>
        <w:t>绍兴成言工程咨询管理有限公司</w:t>
      </w:r>
    </w:p>
    <w:p w14:paraId="7DF48920">
      <w:pPr>
        <w:spacing w:line="360" w:lineRule="auto"/>
        <w:jc w:val="center"/>
        <w:rPr>
          <w:rFonts w:hint="eastAsia" w:ascii="宋体" w:hAnsi="宋体" w:eastAsia="宋体" w:cs="宋体"/>
          <w:color w:val="auto"/>
          <w:sz w:val="30"/>
          <w:szCs w:val="30"/>
          <w:highlight w:val="none"/>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auto"/>
          <w:sz w:val="30"/>
          <w:szCs w:val="30"/>
          <w:highlight w:val="none"/>
        </w:rPr>
        <w:t>二〇二</w:t>
      </w:r>
      <w:r>
        <w:rPr>
          <w:rFonts w:hint="eastAsia" w:ascii="宋体" w:hAnsi="宋体" w:eastAsia="宋体" w:cs="宋体"/>
          <w:color w:val="auto"/>
          <w:sz w:val="30"/>
          <w:szCs w:val="30"/>
          <w:highlight w:val="none"/>
          <w:lang w:val="en-US" w:eastAsia="zh-CN"/>
        </w:rPr>
        <w:t>四</w:t>
      </w:r>
      <w:r>
        <w:rPr>
          <w:rFonts w:hint="eastAsia" w:ascii="宋体" w:hAnsi="宋体" w:eastAsia="宋体" w:cs="宋体"/>
          <w:color w:val="auto"/>
          <w:sz w:val="30"/>
          <w:szCs w:val="30"/>
          <w:highlight w:val="none"/>
        </w:rPr>
        <w:t>年</w:t>
      </w:r>
      <w:r>
        <w:rPr>
          <w:rFonts w:hint="eastAsia" w:ascii="宋体" w:hAnsi="宋体" w:cs="宋体"/>
          <w:color w:val="auto"/>
          <w:sz w:val="30"/>
          <w:szCs w:val="30"/>
          <w:highlight w:val="none"/>
          <w:lang w:eastAsia="zh-CN"/>
        </w:rPr>
        <w:t>十一</w:t>
      </w:r>
      <w:r>
        <w:rPr>
          <w:rFonts w:hint="eastAsia" w:ascii="宋体" w:hAnsi="宋体" w:eastAsia="宋体" w:cs="宋体"/>
          <w:color w:val="auto"/>
          <w:sz w:val="30"/>
          <w:szCs w:val="30"/>
          <w:highlight w:val="none"/>
        </w:rPr>
        <w:t>月</w:t>
      </w:r>
    </w:p>
    <w:p w14:paraId="1779DFAF">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0337DE6A">
      <w:pPr>
        <w:pStyle w:val="20"/>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"1-3"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_Toc2223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第一部分 磋商公告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_Toc2223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314FCE09">
      <w:pPr>
        <w:pStyle w:val="20"/>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_Toc21447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第二部分 供应商须知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_Toc21447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4AA6F4D4">
      <w:pPr>
        <w:pStyle w:val="23"/>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_Toc20057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xml:space="preserve">一、 </w:t>
      </w:r>
      <w:r>
        <w:rPr>
          <w:rFonts w:hint="eastAsia" w:ascii="宋体" w:hAnsi="宋体" w:eastAsia="宋体" w:cs="宋体"/>
          <w:sz w:val="24"/>
          <w:szCs w:val="24"/>
          <w:highlight w:val="none"/>
        </w:rPr>
        <w:t>总则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_Toc20057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52FC0217">
      <w:pPr>
        <w:pStyle w:val="23"/>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_Toc25793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xml:space="preserve">二、 </w:t>
      </w:r>
      <w:r>
        <w:rPr>
          <w:rFonts w:hint="eastAsia" w:ascii="宋体" w:hAnsi="宋体" w:eastAsia="宋体" w:cs="宋体"/>
          <w:sz w:val="24"/>
          <w:szCs w:val="24"/>
          <w:highlight w:val="none"/>
        </w:rPr>
        <w:t>竞争性磋商文件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_Toc25793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43518C80">
      <w:pPr>
        <w:pStyle w:val="23"/>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_Toc538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xml:space="preserve">三、 </w:t>
      </w:r>
      <w:r>
        <w:rPr>
          <w:rFonts w:hint="eastAsia" w:ascii="宋体" w:hAnsi="宋体" w:eastAsia="宋体" w:cs="宋体"/>
          <w:sz w:val="24"/>
          <w:szCs w:val="24"/>
          <w:highlight w:val="none"/>
        </w:rPr>
        <w:t>竞争性磋商响应文件的编写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_Toc538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10</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4D1B40A5">
      <w:pPr>
        <w:pStyle w:val="23"/>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_Toc28561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xml:space="preserve">四、 </w:t>
      </w:r>
      <w:r>
        <w:rPr>
          <w:rFonts w:hint="eastAsia" w:ascii="宋体" w:hAnsi="宋体" w:eastAsia="宋体" w:cs="宋体"/>
          <w:sz w:val="24"/>
          <w:szCs w:val="24"/>
          <w:highlight w:val="none"/>
        </w:rPr>
        <w:t>响应文件的递交</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_Toc28561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14</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02AEA430">
      <w:pPr>
        <w:pStyle w:val="23"/>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_Toc24860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xml:space="preserve">五、 </w:t>
      </w:r>
      <w:r>
        <w:rPr>
          <w:rFonts w:hint="eastAsia" w:ascii="宋体" w:hAnsi="宋体" w:eastAsia="宋体" w:cs="宋体"/>
          <w:sz w:val="24"/>
          <w:szCs w:val="24"/>
          <w:highlight w:val="none"/>
        </w:rPr>
        <w:t>磋商无效的情形</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_Toc24860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14</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41CE6DBD">
      <w:pPr>
        <w:pStyle w:val="23"/>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_Toc32601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xml:space="preserve">六、 </w:t>
      </w:r>
      <w:r>
        <w:rPr>
          <w:rFonts w:hint="eastAsia" w:ascii="宋体" w:hAnsi="宋体" w:eastAsia="宋体" w:cs="宋体"/>
          <w:sz w:val="24"/>
          <w:szCs w:val="24"/>
          <w:highlight w:val="none"/>
        </w:rPr>
        <w:t>采购中止的情形</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_Toc32601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15</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2C8F0A42">
      <w:pPr>
        <w:pStyle w:val="23"/>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_Toc10742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xml:space="preserve">七、 </w:t>
      </w:r>
      <w:r>
        <w:rPr>
          <w:rFonts w:hint="eastAsia" w:ascii="宋体" w:hAnsi="宋体" w:eastAsia="宋体" w:cs="宋体"/>
          <w:sz w:val="24"/>
          <w:szCs w:val="24"/>
          <w:highlight w:val="none"/>
        </w:rPr>
        <w:t>确定成交供应商与签订合同</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_Toc10742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16</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3FFC8C73">
      <w:pPr>
        <w:pStyle w:val="20"/>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_Toc16467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第三部分 采购内容及要求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_Toc16467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18</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0AB84C8E">
      <w:pPr>
        <w:pStyle w:val="23"/>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_Toc2064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第一章 采购内容及要求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_Toc2064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18</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20D80E0E">
      <w:pPr>
        <w:pStyle w:val="23"/>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_Toc26642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 xml:space="preserve">第二章 </w:t>
      </w:r>
      <w:r>
        <w:rPr>
          <w:rFonts w:hint="eastAsia" w:ascii="宋体" w:hAnsi="宋体" w:eastAsia="宋体" w:cs="宋体"/>
          <w:sz w:val="24"/>
          <w:szCs w:val="24"/>
          <w:highlight w:val="none"/>
        </w:rPr>
        <w:t>付款方式及要求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_Toc26642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20</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296D7227">
      <w:pPr>
        <w:pStyle w:val="20"/>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_Toc23375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第四部分 磋商原则及磋商方法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_Toc23375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21</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489AD8C9">
      <w:pPr>
        <w:pStyle w:val="23"/>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_Toc23804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xml:space="preserve">一、 </w:t>
      </w:r>
      <w:r>
        <w:rPr>
          <w:rFonts w:hint="eastAsia" w:ascii="宋体" w:hAnsi="宋体" w:eastAsia="宋体" w:cs="宋体"/>
          <w:sz w:val="24"/>
          <w:szCs w:val="24"/>
          <w:highlight w:val="none"/>
        </w:rPr>
        <w:t>磋商原则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_Toc23804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21</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43B78E44">
      <w:pPr>
        <w:pStyle w:val="23"/>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_Toc17973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xml:space="preserve">二、 </w:t>
      </w:r>
      <w:r>
        <w:rPr>
          <w:rFonts w:hint="eastAsia" w:ascii="宋体" w:hAnsi="宋体" w:eastAsia="宋体" w:cs="宋体"/>
          <w:sz w:val="24"/>
          <w:szCs w:val="24"/>
          <w:highlight w:val="none"/>
        </w:rPr>
        <w:t>磋商程序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_Toc17973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22</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77901CFB">
      <w:pPr>
        <w:pStyle w:val="23"/>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_Toc32378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xml:space="preserve">三、 </w:t>
      </w:r>
      <w:r>
        <w:rPr>
          <w:rFonts w:hint="eastAsia" w:ascii="宋体" w:hAnsi="宋体" w:eastAsia="宋体" w:cs="宋体"/>
          <w:sz w:val="24"/>
          <w:szCs w:val="24"/>
          <w:highlight w:val="none"/>
        </w:rPr>
        <w:t>注意事项</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_Toc32378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25</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09CBB22D">
      <w:pPr>
        <w:pStyle w:val="23"/>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_Toc32205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xml:space="preserve">四、 </w:t>
      </w:r>
      <w:r>
        <w:rPr>
          <w:rFonts w:hint="eastAsia" w:ascii="宋体" w:hAnsi="宋体" w:eastAsia="宋体" w:cs="宋体"/>
          <w:sz w:val="24"/>
          <w:szCs w:val="24"/>
          <w:highlight w:val="none"/>
        </w:rPr>
        <w:t>评分细则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_Toc32205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26</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5C34B21D">
      <w:pPr>
        <w:pStyle w:val="20"/>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_Toc15269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第五部分 采购合同</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_Toc15269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31</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2E332EB3">
      <w:pPr>
        <w:pStyle w:val="20"/>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_Toc29205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第六部分 应提交的有关格式范例</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_Toc29205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36</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13551331">
      <w:pPr>
        <w:pStyle w:val="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p w14:paraId="1B0D2AC3">
      <w:pPr>
        <w:spacing w:line="360" w:lineRule="auto"/>
        <w:rPr>
          <w:rFonts w:hint="eastAsia" w:ascii="宋体" w:hAnsi="宋体" w:eastAsia="宋体" w:cs="宋体"/>
          <w:color w:val="auto"/>
          <w:highlight w:val="none"/>
        </w:rPr>
      </w:pPr>
    </w:p>
    <w:p w14:paraId="70F8BCA9">
      <w:pPr>
        <w:spacing w:line="360" w:lineRule="auto"/>
        <w:rPr>
          <w:rFonts w:hint="eastAsia" w:ascii="宋体" w:hAnsi="宋体" w:eastAsia="宋体" w:cs="宋体"/>
          <w:color w:val="auto"/>
          <w:highlight w:val="none"/>
        </w:rPr>
      </w:pPr>
    </w:p>
    <w:p w14:paraId="2C789949">
      <w:pPr>
        <w:spacing w:line="360" w:lineRule="auto"/>
        <w:rPr>
          <w:rFonts w:hint="eastAsia" w:ascii="宋体" w:hAnsi="宋体" w:eastAsia="宋体" w:cs="宋体"/>
          <w:color w:val="auto"/>
          <w:highlight w:val="none"/>
        </w:rPr>
      </w:pPr>
    </w:p>
    <w:p w14:paraId="1DC313FF">
      <w:pPr>
        <w:spacing w:line="360" w:lineRule="auto"/>
        <w:rPr>
          <w:rFonts w:hint="eastAsia" w:ascii="宋体" w:hAnsi="宋体" w:eastAsia="宋体" w:cs="宋体"/>
          <w:color w:val="auto"/>
          <w:highlight w:val="none"/>
        </w:rPr>
      </w:pPr>
    </w:p>
    <w:p w14:paraId="32361BB7">
      <w:pPr>
        <w:tabs>
          <w:tab w:val="left" w:pos="3148"/>
        </w:tabs>
        <w:spacing w:line="360" w:lineRule="auto"/>
        <w:jc w:val="left"/>
        <w:rPr>
          <w:rFonts w:hint="eastAsia" w:ascii="宋体" w:hAnsi="宋体" w:eastAsia="宋体" w:cs="宋体"/>
          <w:color w:val="auto"/>
          <w:highlight w:val="none"/>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color w:val="auto"/>
          <w:highlight w:val="none"/>
        </w:rPr>
        <w:tab/>
      </w:r>
    </w:p>
    <w:p w14:paraId="3ADA2CD0">
      <w:pPr>
        <w:pStyle w:val="4"/>
        <w:spacing w:line="360" w:lineRule="auto"/>
        <w:jc w:val="center"/>
        <w:rPr>
          <w:rFonts w:hint="eastAsia" w:ascii="宋体" w:hAnsi="宋体" w:eastAsia="宋体" w:cs="宋体"/>
          <w:color w:val="auto"/>
          <w:highlight w:val="none"/>
        </w:rPr>
      </w:pPr>
      <w:bookmarkStart w:id="0" w:name="_Toc31034"/>
      <w:bookmarkStart w:id="1" w:name="_Toc32199"/>
      <w:bookmarkStart w:id="2" w:name="_Toc2223"/>
      <w:bookmarkStart w:id="3" w:name="第二部分"/>
      <w:bookmarkStart w:id="4" w:name="_Toc91899870"/>
      <w:r>
        <w:rPr>
          <w:rFonts w:hint="eastAsia" w:ascii="宋体" w:hAnsi="宋体" w:eastAsia="宋体" w:cs="宋体"/>
          <w:color w:val="auto"/>
          <w:sz w:val="36"/>
          <w:szCs w:val="36"/>
          <w:highlight w:val="none"/>
        </w:rPr>
        <w:t>第一部分 磋商公告</w:t>
      </w:r>
      <w:bookmarkEnd w:id="0"/>
      <w:bookmarkEnd w:id="1"/>
      <w:bookmarkEnd w:id="2"/>
    </w:p>
    <w:p w14:paraId="4076D6A9">
      <w:pPr>
        <w:adjustRightInd w:val="0"/>
        <w:spacing w:line="360" w:lineRule="auto"/>
        <w:ind w:right="-313" w:rightChars="-1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绍兴成言工程咨询管理有限公司关于</w:t>
      </w:r>
      <w:r>
        <w:rPr>
          <w:rFonts w:hint="eastAsia" w:ascii="宋体" w:hAnsi="宋体" w:cs="宋体"/>
          <w:color w:val="auto"/>
          <w:sz w:val="24"/>
          <w:szCs w:val="24"/>
          <w:highlight w:val="none"/>
          <w:lang w:eastAsia="zh-CN"/>
        </w:rPr>
        <w:t>绍兴市上虞区发展和改革局</w:t>
      </w:r>
      <w:r>
        <w:rPr>
          <w:rFonts w:hint="eastAsia" w:ascii="宋体" w:hAnsi="宋体" w:eastAsia="宋体" w:cs="宋体"/>
          <w:color w:val="auto"/>
          <w:sz w:val="24"/>
          <w:szCs w:val="24"/>
          <w:highlight w:val="none"/>
          <w:lang w:eastAsia="zh-CN"/>
        </w:rPr>
        <w:t>绍兴市上虞区“十五五”研究课题及规划编制项目</w:t>
      </w:r>
      <w:r>
        <w:rPr>
          <w:rFonts w:hint="eastAsia" w:ascii="宋体" w:hAnsi="宋体" w:eastAsia="宋体" w:cs="宋体"/>
          <w:color w:val="auto"/>
          <w:sz w:val="24"/>
          <w:szCs w:val="24"/>
          <w:highlight w:val="none"/>
        </w:rPr>
        <w:t>的竞争性磋商公告</w:t>
      </w:r>
    </w:p>
    <w:p w14:paraId="69D75D3B">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公告日期：</w:t>
      </w:r>
      <w:r>
        <w:rPr>
          <w:rFonts w:hint="eastAsia" w:ascii="宋体" w:hAnsi="宋体" w:eastAsia="宋体" w:cs="宋体"/>
          <w:color w:val="auto"/>
          <w:sz w:val="24"/>
          <w:szCs w:val="24"/>
          <w:highlight w:val="none"/>
          <w:lang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11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4 </w:t>
      </w:r>
      <w:r>
        <w:rPr>
          <w:rFonts w:hint="eastAsia" w:ascii="宋体" w:hAnsi="宋体" w:eastAsia="宋体" w:cs="宋体"/>
          <w:color w:val="auto"/>
          <w:sz w:val="24"/>
          <w:szCs w:val="24"/>
          <w:highlight w:val="none"/>
        </w:rPr>
        <w:t>日</w:t>
      </w:r>
    </w:p>
    <w:p w14:paraId="33363ED5">
      <w:pPr>
        <w:keepNext w:val="0"/>
        <w:keepLines w:val="0"/>
        <w:pageBreakBefore w:val="0"/>
        <w:kinsoku/>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根据《中华人民共和国政府采购法》等有关规定，</w:t>
      </w:r>
      <w:r>
        <w:rPr>
          <w:rFonts w:hint="eastAsia" w:ascii="宋体" w:hAnsi="宋体" w:eastAsia="宋体" w:cs="宋体"/>
          <w:color w:val="auto"/>
          <w:sz w:val="24"/>
          <w:szCs w:val="24"/>
          <w:highlight w:val="none"/>
          <w:u w:val="single"/>
        </w:rPr>
        <w:t>绍兴成言工程咨询管理有限公司</w:t>
      </w:r>
      <w:r>
        <w:rPr>
          <w:rFonts w:hint="eastAsia" w:ascii="宋体" w:hAnsi="宋体" w:eastAsia="宋体" w:cs="宋体"/>
          <w:color w:val="auto"/>
          <w:sz w:val="24"/>
          <w:szCs w:val="24"/>
          <w:highlight w:val="none"/>
        </w:rPr>
        <w:t>受</w:t>
      </w:r>
      <w:r>
        <w:rPr>
          <w:rFonts w:hint="eastAsia" w:ascii="宋体" w:hAnsi="宋体" w:cs="宋体"/>
          <w:color w:val="auto"/>
          <w:sz w:val="24"/>
          <w:szCs w:val="24"/>
          <w:highlight w:val="none"/>
          <w:u w:val="single"/>
          <w:lang w:eastAsia="zh-CN"/>
        </w:rPr>
        <w:t>绍兴市上虞区发展和改革局</w:t>
      </w:r>
      <w:r>
        <w:rPr>
          <w:rFonts w:hint="eastAsia" w:ascii="宋体" w:hAnsi="宋体" w:eastAsia="宋体" w:cs="宋体"/>
          <w:color w:val="auto"/>
          <w:sz w:val="24"/>
          <w:szCs w:val="24"/>
          <w:highlight w:val="none"/>
        </w:rPr>
        <w:t>委托，现就</w:t>
      </w:r>
      <w:r>
        <w:rPr>
          <w:rFonts w:hint="eastAsia" w:ascii="宋体" w:hAnsi="宋体" w:eastAsia="宋体" w:cs="宋体"/>
          <w:color w:val="auto"/>
          <w:sz w:val="24"/>
          <w:szCs w:val="24"/>
          <w:highlight w:val="none"/>
          <w:u w:val="single"/>
          <w:lang w:eastAsia="zh-CN"/>
        </w:rPr>
        <w:t>绍兴市上虞区“十五五”研究课题及规划编制项目</w:t>
      </w:r>
      <w:r>
        <w:rPr>
          <w:rFonts w:hint="eastAsia" w:ascii="宋体" w:hAnsi="宋体" w:eastAsia="宋体" w:cs="宋体"/>
          <w:color w:val="auto"/>
          <w:sz w:val="24"/>
          <w:szCs w:val="24"/>
          <w:highlight w:val="none"/>
          <w:u w:val="none"/>
          <w:lang w:val="en-US" w:eastAsia="zh-CN"/>
        </w:rPr>
        <w:t>进行</w:t>
      </w:r>
      <w:r>
        <w:rPr>
          <w:rFonts w:hint="eastAsia" w:ascii="宋体" w:hAnsi="宋体" w:eastAsia="宋体" w:cs="宋体"/>
          <w:color w:val="auto"/>
          <w:sz w:val="24"/>
          <w:szCs w:val="24"/>
          <w:highlight w:val="none"/>
        </w:rPr>
        <w:t>竞争性磋商采购，欢迎国内合格的供应商参加本次采购活动。</w:t>
      </w:r>
    </w:p>
    <w:p w14:paraId="7C4B4C20">
      <w:pPr>
        <w:keepNext w:val="0"/>
        <w:keepLines w:val="0"/>
        <w:pageBreakBefore w:val="0"/>
        <w:numPr>
          <w:ilvl w:val="0"/>
          <w:numId w:val="2"/>
        </w:numPr>
        <w:kinsoku/>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磋商项目编号：</w:t>
      </w:r>
      <w:r>
        <w:rPr>
          <w:rFonts w:hint="eastAsia" w:ascii="宋体" w:hAnsi="宋体" w:cs="宋体"/>
          <w:color w:val="auto"/>
          <w:sz w:val="24"/>
          <w:szCs w:val="24"/>
          <w:highlight w:val="none"/>
          <w:u w:val="single"/>
          <w:lang w:val="en-US" w:eastAsia="zh-CN"/>
        </w:rPr>
        <w:t xml:space="preserve">  FSJZCS2024052     </w:t>
      </w:r>
      <w:r>
        <w:rPr>
          <w:rFonts w:hint="eastAsia" w:ascii="宋体" w:hAnsi="宋体" w:eastAsia="宋体" w:cs="宋体"/>
          <w:color w:val="auto"/>
          <w:sz w:val="24"/>
          <w:szCs w:val="24"/>
          <w:highlight w:val="none"/>
          <w:u w:val="single"/>
          <w:lang w:val="en-US" w:eastAsia="zh-CN"/>
        </w:rPr>
        <w:t xml:space="preserve">    </w:t>
      </w:r>
    </w:p>
    <w:p w14:paraId="0FAAD7DA">
      <w:pPr>
        <w:keepNext w:val="0"/>
        <w:keepLines w:val="0"/>
        <w:pageBreakBefore w:val="0"/>
        <w:numPr>
          <w:ilvl w:val="0"/>
          <w:numId w:val="2"/>
        </w:numPr>
        <w:kinsoku/>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采购组织类型：</w:t>
      </w:r>
      <w:r>
        <w:rPr>
          <w:rFonts w:hint="eastAsia" w:ascii="宋体" w:hAnsi="宋体" w:eastAsia="宋体" w:cs="宋体"/>
          <w:color w:val="auto"/>
          <w:sz w:val="24"/>
          <w:szCs w:val="24"/>
          <w:highlight w:val="none"/>
          <w:u w:val="single"/>
        </w:rPr>
        <w:t xml:space="preserve"> 分散采购（中介代理） </w:t>
      </w:r>
      <w:r>
        <w:rPr>
          <w:rFonts w:hint="eastAsia" w:ascii="宋体" w:hAnsi="宋体" w:eastAsia="宋体" w:cs="宋体"/>
          <w:color w:val="auto"/>
          <w:sz w:val="24"/>
          <w:szCs w:val="24"/>
          <w:highlight w:val="none"/>
        </w:rPr>
        <w:t xml:space="preserve"> </w:t>
      </w:r>
    </w:p>
    <w:p w14:paraId="034D7267">
      <w:pPr>
        <w:keepNext w:val="0"/>
        <w:keepLines w:val="0"/>
        <w:pageBreakBefore w:val="0"/>
        <w:kinsoku/>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 磋商项目概况</w:t>
      </w:r>
      <w:r>
        <w:rPr>
          <w:rFonts w:hint="eastAsia" w:ascii="宋体" w:hAnsi="宋体" w:eastAsia="宋体" w:cs="宋体"/>
          <w:color w:val="auto"/>
          <w:sz w:val="24"/>
          <w:szCs w:val="24"/>
          <w:highlight w:val="none"/>
          <w:lang w:eastAsia="zh-CN"/>
        </w:rPr>
        <w:t>：</w:t>
      </w:r>
    </w:p>
    <w:tbl>
      <w:tblPr>
        <w:tblStyle w:val="29"/>
        <w:tblW w:w="9363"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472"/>
        <w:gridCol w:w="1821"/>
        <w:gridCol w:w="650"/>
        <w:gridCol w:w="680"/>
        <w:gridCol w:w="1130"/>
        <w:gridCol w:w="2747"/>
        <w:gridCol w:w="1127"/>
        <w:gridCol w:w="736"/>
      </w:tblGrid>
      <w:tr w14:paraId="7A1AA572">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1072" w:hRule="atLeast"/>
          <w:jc w:val="center"/>
        </w:trPr>
        <w:tc>
          <w:tcPr>
            <w:tcW w:w="472" w:type="dxa"/>
            <w:tcBorders>
              <w:top w:val="single" w:color="000000" w:sz="4" w:space="0"/>
            </w:tcBorders>
            <w:vAlign w:val="center"/>
          </w:tcPr>
          <w:p w14:paraId="48ACD9A2">
            <w:pPr>
              <w:keepNext w:val="0"/>
              <w:keepLines w:val="0"/>
              <w:pageBreakBefore w:val="0"/>
              <w:suppressLineNumbers w:val="0"/>
              <w:kinsoku/>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821" w:type="dxa"/>
            <w:tcBorders>
              <w:top w:val="single" w:color="000000" w:sz="4" w:space="0"/>
            </w:tcBorders>
            <w:vAlign w:val="center"/>
          </w:tcPr>
          <w:p w14:paraId="59157412">
            <w:pPr>
              <w:keepNext w:val="0"/>
              <w:keepLines w:val="0"/>
              <w:pageBreakBefore w:val="0"/>
              <w:suppressLineNumbers w:val="0"/>
              <w:kinsoku/>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50" w:type="dxa"/>
            <w:tcBorders>
              <w:top w:val="single" w:color="000000" w:sz="4" w:space="0"/>
            </w:tcBorders>
            <w:vAlign w:val="center"/>
          </w:tcPr>
          <w:p w14:paraId="34350CA8">
            <w:pPr>
              <w:keepNext w:val="0"/>
              <w:keepLines w:val="0"/>
              <w:pageBreakBefore w:val="0"/>
              <w:suppressLineNumbers w:val="0"/>
              <w:kinsoku/>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680" w:type="dxa"/>
            <w:tcBorders>
              <w:top w:val="single" w:color="000000" w:sz="4" w:space="0"/>
            </w:tcBorders>
            <w:vAlign w:val="center"/>
          </w:tcPr>
          <w:p w14:paraId="20E3BC34">
            <w:pPr>
              <w:keepNext w:val="0"/>
              <w:keepLines w:val="0"/>
              <w:pageBreakBefore w:val="0"/>
              <w:suppressLineNumbers w:val="0"/>
              <w:kinsoku/>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130" w:type="dxa"/>
            <w:tcBorders>
              <w:top w:val="single" w:color="000000" w:sz="4" w:space="0"/>
            </w:tcBorders>
            <w:vAlign w:val="center"/>
          </w:tcPr>
          <w:p w14:paraId="4B107B35">
            <w:pPr>
              <w:keepNext w:val="0"/>
              <w:keepLines w:val="0"/>
              <w:pageBreakBefore w:val="0"/>
              <w:suppressLineNumbers w:val="0"/>
              <w:kinsoku/>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eastAsia="zh-CN"/>
              </w:rPr>
              <w:t>）</w:t>
            </w:r>
          </w:p>
        </w:tc>
        <w:tc>
          <w:tcPr>
            <w:tcW w:w="2747" w:type="dxa"/>
            <w:tcBorders>
              <w:top w:val="single" w:color="000000" w:sz="4" w:space="0"/>
            </w:tcBorders>
            <w:vAlign w:val="center"/>
          </w:tcPr>
          <w:p w14:paraId="2D457356">
            <w:pPr>
              <w:keepNext w:val="0"/>
              <w:keepLines w:val="0"/>
              <w:pageBreakBefore w:val="0"/>
              <w:suppressLineNumbers w:val="0"/>
              <w:kinsoku/>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简要规格描述或标项基本概况介绍</w:t>
            </w:r>
          </w:p>
        </w:tc>
        <w:tc>
          <w:tcPr>
            <w:tcW w:w="1127" w:type="dxa"/>
            <w:tcBorders>
              <w:top w:val="single" w:color="000000" w:sz="4" w:space="0"/>
            </w:tcBorders>
            <w:vAlign w:val="center"/>
          </w:tcPr>
          <w:p w14:paraId="22B243A5">
            <w:pPr>
              <w:keepNext w:val="0"/>
              <w:keepLines w:val="0"/>
              <w:pageBreakBefore w:val="0"/>
              <w:suppressLineNumbers w:val="0"/>
              <w:kinsoku/>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eastAsia="zh-CN"/>
              </w:rPr>
              <w:t>）</w:t>
            </w:r>
          </w:p>
        </w:tc>
        <w:tc>
          <w:tcPr>
            <w:tcW w:w="736" w:type="dxa"/>
            <w:tcBorders>
              <w:top w:val="single" w:color="000000" w:sz="4" w:space="0"/>
            </w:tcBorders>
            <w:vAlign w:val="center"/>
          </w:tcPr>
          <w:p w14:paraId="596AF67C">
            <w:pPr>
              <w:keepNext w:val="0"/>
              <w:keepLines w:val="0"/>
              <w:pageBreakBefore w:val="0"/>
              <w:suppressLineNumbers w:val="0"/>
              <w:kinsoku/>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25CB7EC">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1380" w:hRule="atLeast"/>
          <w:jc w:val="center"/>
        </w:trPr>
        <w:tc>
          <w:tcPr>
            <w:tcW w:w="472" w:type="dxa"/>
            <w:tcBorders>
              <w:bottom w:val="single" w:color="000000" w:sz="4" w:space="0"/>
            </w:tcBorders>
            <w:vAlign w:val="center"/>
          </w:tcPr>
          <w:p w14:paraId="04AE3709">
            <w:pPr>
              <w:keepNext w:val="0"/>
              <w:keepLines w:val="0"/>
              <w:pageBreakBefore w:val="0"/>
              <w:suppressLineNumbers w:val="0"/>
              <w:kinsoku/>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21" w:type="dxa"/>
            <w:tcBorders>
              <w:bottom w:val="single" w:color="000000" w:sz="4" w:space="0"/>
            </w:tcBorders>
            <w:vAlign w:val="center"/>
          </w:tcPr>
          <w:p w14:paraId="57B19940">
            <w:pPr>
              <w:pStyle w:val="15"/>
              <w:keepNext w:val="0"/>
              <w:keepLines w:val="0"/>
              <w:pageBreakBefore w:val="0"/>
              <w:suppressLineNumbers w:val="0"/>
              <w:kinsoku/>
              <w:topLinePunct w:val="0"/>
              <w:bidi w:val="0"/>
              <w:snapToGrid w:val="0"/>
              <w:spacing w:before="120" w:beforeAutospacing="0" w:after="120" w:afterAutospacing="0" w:line="36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val="en-US" w:eastAsia="zh-CN"/>
              </w:rPr>
              <w:t>绍兴市上虞区“十五五”研究课题及规划编制项目</w:t>
            </w:r>
          </w:p>
        </w:tc>
        <w:tc>
          <w:tcPr>
            <w:tcW w:w="650" w:type="dxa"/>
            <w:tcBorders>
              <w:bottom w:val="single" w:color="000000" w:sz="4" w:space="0"/>
            </w:tcBorders>
            <w:vAlign w:val="center"/>
          </w:tcPr>
          <w:p w14:paraId="0EC8079D">
            <w:pPr>
              <w:keepNext w:val="0"/>
              <w:keepLines w:val="0"/>
              <w:pageBreakBefore w:val="0"/>
              <w:suppressLineNumbers w:val="0"/>
              <w:kinsoku/>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680" w:type="dxa"/>
            <w:tcBorders>
              <w:bottom w:val="single" w:color="000000" w:sz="4" w:space="0"/>
            </w:tcBorders>
            <w:vAlign w:val="center"/>
          </w:tcPr>
          <w:p w14:paraId="12277103">
            <w:pPr>
              <w:keepNext w:val="0"/>
              <w:keepLines w:val="0"/>
              <w:pageBreakBefore w:val="0"/>
              <w:suppressLineNumbers w:val="0"/>
              <w:kinsoku/>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1130" w:type="dxa"/>
            <w:tcBorders>
              <w:bottom w:val="single" w:color="000000" w:sz="4" w:space="0"/>
            </w:tcBorders>
            <w:vAlign w:val="center"/>
          </w:tcPr>
          <w:p w14:paraId="5821F26D">
            <w:pPr>
              <w:keepNext w:val="0"/>
              <w:keepLines w:val="0"/>
              <w:pageBreakBefore w:val="0"/>
              <w:widowControl/>
              <w:suppressLineNumbers w:val="0"/>
              <w:kinsoku/>
              <w:topLinePunct w:val="0"/>
              <w:bidi w:val="0"/>
              <w:spacing w:before="100" w:beforeAutospacing="0" w:after="100" w:afterAutospacing="0" w:line="36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150</w:t>
            </w:r>
            <w:r>
              <w:rPr>
                <w:rFonts w:hint="eastAsia" w:ascii="宋体" w:hAnsi="宋体" w:eastAsia="宋体" w:cs="宋体"/>
                <w:color w:val="auto"/>
                <w:kern w:val="0"/>
                <w:sz w:val="24"/>
                <w:szCs w:val="24"/>
                <w:highlight w:val="none"/>
                <w:lang w:val="en-US" w:eastAsia="zh-CN"/>
              </w:rPr>
              <w:t>.00</w:t>
            </w:r>
          </w:p>
        </w:tc>
        <w:tc>
          <w:tcPr>
            <w:tcW w:w="2747" w:type="dxa"/>
            <w:tcBorders>
              <w:bottom w:val="single" w:color="000000" w:sz="4" w:space="0"/>
            </w:tcBorders>
            <w:vAlign w:val="center"/>
          </w:tcPr>
          <w:p w14:paraId="50596779">
            <w:pPr>
              <w:keepNext w:val="0"/>
              <w:keepLines w:val="0"/>
              <w:pageBreakBefore w:val="0"/>
              <w:widowControl w:val="0"/>
              <w:suppressLineNumbers w:val="0"/>
              <w:suppressAutoHyphens/>
              <w:kinsoku/>
              <w:wordWrap/>
              <w:overflowPunct w:val="0"/>
              <w:topLinePunct w:val="0"/>
              <w:autoSpaceDE w:val="0"/>
              <w:autoSpaceDN w:val="0"/>
              <w:bidi w:val="0"/>
              <w:adjustRightInd/>
              <w:spacing w:before="0" w:beforeAutospacing="0" w:after="0" w:afterAutospacing="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详见采购需求</w:t>
            </w:r>
          </w:p>
        </w:tc>
        <w:tc>
          <w:tcPr>
            <w:tcW w:w="1127" w:type="dxa"/>
            <w:tcBorders>
              <w:bottom w:val="single" w:color="000000" w:sz="4" w:space="0"/>
            </w:tcBorders>
            <w:vAlign w:val="center"/>
          </w:tcPr>
          <w:p w14:paraId="6FA1D786">
            <w:pPr>
              <w:keepNext w:val="0"/>
              <w:keepLines w:val="0"/>
              <w:pageBreakBefore w:val="0"/>
              <w:suppressLineNumbers w:val="0"/>
              <w:kinsoku/>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150</w:t>
            </w:r>
            <w:r>
              <w:rPr>
                <w:rFonts w:hint="eastAsia" w:ascii="宋体" w:hAnsi="宋体" w:eastAsia="宋体" w:cs="宋体"/>
                <w:color w:val="auto"/>
                <w:kern w:val="0"/>
                <w:sz w:val="24"/>
                <w:szCs w:val="24"/>
                <w:highlight w:val="none"/>
                <w:lang w:val="en-US" w:eastAsia="zh-CN"/>
              </w:rPr>
              <w:t>.00</w:t>
            </w:r>
          </w:p>
        </w:tc>
        <w:tc>
          <w:tcPr>
            <w:tcW w:w="736" w:type="dxa"/>
            <w:tcBorders>
              <w:bottom w:val="single" w:color="000000" w:sz="4" w:space="0"/>
            </w:tcBorders>
            <w:vAlign w:val="center"/>
          </w:tcPr>
          <w:p w14:paraId="2EDE880C">
            <w:pPr>
              <w:keepNext w:val="0"/>
              <w:keepLines w:val="0"/>
              <w:pageBreakBefore w:val="0"/>
              <w:suppressLineNumbers w:val="0"/>
              <w:kinsoku/>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42F4F4B9">
      <w:pPr>
        <w:keepNext w:val="0"/>
        <w:keepLines w:val="0"/>
        <w:pageBreakBefore w:val="0"/>
        <w:kinsoku/>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 合格供应商资格要求</w:t>
      </w:r>
      <w:r>
        <w:rPr>
          <w:rFonts w:hint="eastAsia" w:ascii="宋体" w:hAnsi="宋体" w:eastAsia="宋体" w:cs="宋体"/>
          <w:color w:val="auto"/>
          <w:sz w:val="24"/>
          <w:szCs w:val="24"/>
          <w:highlight w:val="none"/>
          <w:lang w:eastAsia="zh-CN"/>
        </w:rPr>
        <w:t>：</w:t>
      </w:r>
    </w:p>
    <w:p w14:paraId="71ECCAAC">
      <w:pPr>
        <w:keepNext w:val="0"/>
        <w:keepLines w:val="0"/>
        <w:pageBreakBefore w:val="0"/>
        <w:numPr>
          <w:ilvl w:val="0"/>
          <w:numId w:val="3"/>
        </w:numPr>
        <w:kinsoku/>
        <w:wordWrap w:val="0"/>
        <w:topLinePunct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符合政府采购法第二十二条，且未被“信用中国”（www.creditchina.gov.cn）、中国政府采购网（www.ccgp.gov.cn）列入失信被执行人、重大税收违法案件当事人名单、政府采购严重违法失信行为记录名单。 </w:t>
      </w:r>
    </w:p>
    <w:p w14:paraId="5C302A94">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落实政府采购政策需满足的资格要求：</w:t>
      </w:r>
      <w:r>
        <w:rPr>
          <w:rFonts w:hint="eastAsia" w:ascii="宋体" w:hAnsi="宋体" w:cs="宋体"/>
          <w:color w:val="auto"/>
          <w:sz w:val="24"/>
          <w:szCs w:val="24"/>
          <w:highlight w:val="none"/>
          <w:lang w:val="en-US" w:eastAsia="zh-CN"/>
        </w:rPr>
        <w:t>/</w:t>
      </w:r>
    </w:p>
    <w:p w14:paraId="1557B6A8">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不</w:t>
      </w:r>
      <w:r>
        <w:rPr>
          <w:rFonts w:hint="eastAsia" w:ascii="宋体" w:hAnsi="宋体" w:eastAsia="宋体" w:cs="宋体"/>
          <w:color w:val="auto"/>
          <w:sz w:val="24"/>
          <w:szCs w:val="24"/>
          <w:highlight w:val="none"/>
          <w:u w:val="single"/>
        </w:rPr>
        <w:t xml:space="preserve">接受 </w:t>
      </w:r>
      <w:r>
        <w:rPr>
          <w:rFonts w:hint="eastAsia" w:ascii="宋体" w:hAnsi="宋体" w:eastAsia="宋体" w:cs="宋体"/>
          <w:color w:val="auto"/>
          <w:sz w:val="24"/>
          <w:szCs w:val="24"/>
          <w:highlight w:val="none"/>
        </w:rPr>
        <w:t>联合体参加磋商。</w:t>
      </w:r>
    </w:p>
    <w:p w14:paraId="244FBA36">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 w:val="0"/>
          <w:color w:val="auto"/>
          <w:kern w:val="2"/>
          <w:sz w:val="24"/>
          <w:szCs w:val="24"/>
          <w:highlight w:val="none"/>
          <w:lang w:val="en-US" w:eastAsia="zh-CN" w:bidi="ar-SA"/>
        </w:rPr>
        <w:t>本项目采用资格后审的审查方式，由磋商小组负责审查。</w:t>
      </w:r>
    </w:p>
    <w:p w14:paraId="75DEB82C">
      <w:pPr>
        <w:keepNext w:val="0"/>
        <w:keepLines w:val="0"/>
        <w:pageBreakBefore w:val="0"/>
        <w:kinsoku/>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五．获取磋商文件</w:t>
      </w:r>
    </w:p>
    <w:p w14:paraId="538DCF7D">
      <w:pPr>
        <w:keepNext w:val="0"/>
        <w:keepLines w:val="0"/>
        <w:pageBreakBefore w:val="0"/>
        <w:numPr>
          <w:ilvl w:val="0"/>
          <w:numId w:val="4"/>
        </w:numPr>
        <w:kinsoku/>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bookmarkStart w:id="5" w:name="报名开始时间1"/>
      <w:r>
        <w:rPr>
          <w:rFonts w:hint="eastAsia" w:ascii="宋体" w:hAnsi="宋体" w:eastAsia="宋体" w:cs="宋体"/>
          <w:color w:val="auto"/>
          <w:sz w:val="24"/>
          <w:szCs w:val="24"/>
          <w:highlight w:val="none"/>
        </w:rPr>
        <w:t>获取磋商文件时间</w:t>
      </w:r>
      <w:r>
        <w:rPr>
          <w:rFonts w:hint="eastAsia" w:ascii="宋体" w:hAnsi="宋体" w:eastAsia="宋体" w:cs="宋体"/>
          <w:color w:val="auto"/>
          <w:sz w:val="24"/>
          <w:szCs w:val="24"/>
          <w:highlight w:val="none"/>
          <w:lang w:eastAsia="zh-CN"/>
        </w:rPr>
        <w:t>：</w:t>
      </w:r>
      <w:bookmarkEnd w:id="5"/>
      <w:r>
        <w:rPr>
          <w:rFonts w:hint="eastAsia" w:ascii="宋体" w:hAnsi="宋体" w:eastAsia="宋体" w:cs="宋体"/>
          <w:color w:val="auto"/>
          <w:sz w:val="24"/>
          <w:szCs w:val="24"/>
          <w:highlight w:val="none"/>
          <w:u w:val="single"/>
          <w:lang w:eastAsia="zh-CN"/>
        </w:rPr>
        <w:t>2024</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11</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19</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上午09:30</w:t>
      </w:r>
      <w:r>
        <w:rPr>
          <w:rFonts w:hint="eastAsia" w:ascii="宋体" w:hAnsi="宋体" w:eastAsia="宋体" w:cs="宋体"/>
          <w:color w:val="auto"/>
          <w:sz w:val="24"/>
          <w:szCs w:val="24"/>
          <w:highlight w:val="none"/>
        </w:rPr>
        <w:t>之前获取。</w:t>
      </w:r>
    </w:p>
    <w:p w14:paraId="063FD3CD">
      <w:pPr>
        <w:keepNext w:val="0"/>
        <w:keepLines w:val="0"/>
        <w:pageBreakBefore w:val="0"/>
        <w:numPr>
          <w:ilvl w:val="0"/>
          <w:numId w:val="4"/>
        </w:numPr>
        <w:kinsoku/>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获取磋商文件方式：供应商</w:t>
      </w:r>
      <w:r>
        <w:rPr>
          <w:rFonts w:hint="eastAsia" w:ascii="宋体" w:hAnsi="宋体" w:eastAsia="宋体" w:cs="宋体"/>
          <w:color w:val="auto"/>
          <w:sz w:val="24"/>
          <w:szCs w:val="24"/>
          <w:highlight w:val="none"/>
          <w:lang w:eastAsia="zh-CN"/>
        </w:rPr>
        <w:t>登录</w:t>
      </w:r>
      <w:r>
        <w:rPr>
          <w:rFonts w:hint="eastAsia" w:ascii="宋体" w:hAnsi="宋体" w:eastAsia="宋体" w:cs="宋体"/>
          <w:color w:val="auto"/>
          <w:sz w:val="24"/>
          <w:szCs w:val="24"/>
          <w:highlight w:val="none"/>
        </w:rPr>
        <w:t>政采云平台http://www.zcygov.cn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在线申请获取磋商文件（进入“项目采购”应用，在获取采购文件菜单中选择项目，申请获取采购文件）。</w:t>
      </w:r>
    </w:p>
    <w:p w14:paraId="36CC92EA">
      <w:pPr>
        <w:keepNext w:val="0"/>
        <w:keepLines w:val="0"/>
        <w:pageBreakBefore w:val="0"/>
        <w:widowControl w:val="0"/>
        <w:numPr>
          <w:ilvl w:val="0"/>
          <w:numId w:val="4"/>
        </w:numPr>
        <w:kinsoku/>
        <w:overflowPunct/>
        <w:topLinePunct w:val="0"/>
        <w:bidi w:val="0"/>
        <w:adjustRightInd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提示：</w:t>
      </w:r>
    </w:p>
    <w:p w14:paraId="071B5A2B">
      <w:pPr>
        <w:keepNext w:val="0"/>
        <w:keepLines w:val="0"/>
        <w:pageBreakBefore w:val="0"/>
        <w:widowControl w:val="0"/>
        <w:numPr>
          <w:ilvl w:val="0"/>
          <w:numId w:val="5"/>
        </w:numPr>
        <w:kinsoku/>
        <w:overflowPunct/>
        <w:topLinePunct w:val="0"/>
        <w:bidi w:val="0"/>
        <w:adjustRightInd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将拒绝接受未获取磋商文件供应商的响应文件。</w:t>
      </w:r>
    </w:p>
    <w:p w14:paraId="487197E2">
      <w:pPr>
        <w:keepNext w:val="0"/>
        <w:keepLines w:val="0"/>
        <w:pageBreakBefore w:val="0"/>
        <w:widowControl w:val="0"/>
        <w:numPr>
          <w:ilvl w:val="0"/>
          <w:numId w:val="5"/>
        </w:numPr>
        <w:kinsoku/>
        <w:overflowPunct/>
        <w:topLinePunct w:val="0"/>
        <w:bidi w:val="0"/>
        <w:adjustRightInd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磋商文件及更正补充公告请自行登录浙江政府采购网或绍兴市上虞区公共资源交易中心网站，在采购公告页面中下载。</w:t>
      </w:r>
    </w:p>
    <w:p w14:paraId="510002A2">
      <w:pPr>
        <w:keepNext w:val="0"/>
        <w:keepLines w:val="0"/>
        <w:pageBreakBefore w:val="0"/>
        <w:widowControl w:val="0"/>
        <w:kinsoku/>
        <w:overflowPunct/>
        <w:topLinePunct w:val="0"/>
        <w:bidi w:val="0"/>
        <w:adjustRightInd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六．投标与开标注意事项：</w:t>
      </w:r>
    </w:p>
    <w:p w14:paraId="6ADC4529">
      <w:pPr>
        <w:keepNext w:val="0"/>
        <w:keepLines w:val="0"/>
        <w:pageBreakBefore w:val="0"/>
        <w:widowControl w:val="0"/>
        <w:numPr>
          <w:ilvl w:val="0"/>
          <w:numId w:val="6"/>
        </w:numPr>
        <w:kinsoku/>
        <w:overflowPunct/>
        <w:topLinePunct w:val="0"/>
        <w:bidi w:val="0"/>
        <w:adjustRightInd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本项目实行</w:t>
      </w:r>
      <w:r>
        <w:rPr>
          <w:rFonts w:hint="eastAsia" w:ascii="宋体" w:hAnsi="宋体" w:eastAsia="宋体" w:cs="宋体"/>
          <w:b w:val="0"/>
          <w:bCs w:val="0"/>
          <w:color w:val="auto"/>
          <w:sz w:val="24"/>
          <w:szCs w:val="24"/>
          <w:highlight w:val="none"/>
        </w:rPr>
        <w:t>网上投标</w:t>
      </w:r>
      <w:r>
        <w:rPr>
          <w:rFonts w:hint="eastAsia" w:ascii="宋体" w:hAnsi="宋体" w:eastAsia="宋体" w:cs="宋体"/>
          <w:color w:val="auto"/>
          <w:sz w:val="24"/>
          <w:szCs w:val="24"/>
          <w:highlight w:val="none"/>
        </w:rPr>
        <w:t>，采用电子投标文件，若供应商参与投标，自行承担投标一切费用。</w:t>
      </w:r>
    </w:p>
    <w:p w14:paraId="7B7ACFB2">
      <w:pPr>
        <w:keepNext w:val="0"/>
        <w:keepLines w:val="0"/>
        <w:pageBreakBefore w:val="0"/>
        <w:widowControl w:val="0"/>
        <w:numPr>
          <w:ilvl w:val="0"/>
          <w:numId w:val="6"/>
        </w:numPr>
        <w:kinsoku/>
        <w:wordWrap w:val="0"/>
        <w:overflowPunct/>
        <w:topLinePunct w:val="0"/>
        <w:bidi w:val="0"/>
        <w:adjustRightInd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标前准备：各供应商应在开标前应确保成为浙江省政府采购网正式注册入库供应商，并完成CA数字证书办理。因未注册入库、未办理CA数字证书等原因造成无法投标或投标失败等后果由供应商自行承担。</w:t>
      </w:r>
    </w:p>
    <w:p w14:paraId="0E05F626">
      <w:pPr>
        <w:keepNext w:val="0"/>
        <w:keepLines w:val="0"/>
        <w:pageBreakBefore w:val="0"/>
        <w:widowControl w:val="0"/>
        <w:kinsoku/>
        <w:overflowPunct/>
        <w:topLinePunct w:val="0"/>
        <w:autoSpaceDE w:val="0"/>
        <w:autoSpaceDN w:val="0"/>
        <w:bidi w:val="0"/>
        <w:snapToGrid/>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供应商将政采云电子交易客户端下载、安装完成后，可通过账号密码或CA登录客户端进行投标文件制作。在使用政采云投标客户端时，建议使用WIN7及以上操作系统。</w:t>
      </w:r>
    </w:p>
    <w:p w14:paraId="1BF0C1A4">
      <w:pPr>
        <w:keepNext w:val="0"/>
        <w:keepLines w:val="0"/>
        <w:pageBreakBefore w:val="0"/>
        <w:widowControl w:val="0"/>
        <w:kinsoku/>
        <w:overflowPunct/>
        <w:topLinePunct w:val="0"/>
        <w:autoSpaceDE w:val="0"/>
        <w:autoSpaceDN w:val="0"/>
        <w:bidi w:val="0"/>
        <w:snapToGrid/>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注：供应商先要申领CA，取得CA后需要在政采云平台进行绑定，CA相关操作可参考《CA管理学习专题》。完成CA数字证书办理在资料齐全的情况下预计7个工作日左右，建议供应商获取招标文件后立即办理。</w:t>
      </w:r>
    </w:p>
    <w:p w14:paraId="343F31B6">
      <w:pPr>
        <w:keepNext w:val="0"/>
        <w:keepLines w:val="0"/>
        <w:pageBreakBefore w:val="0"/>
        <w:widowControl w:val="0"/>
        <w:kinsoku/>
        <w:overflowPunct/>
        <w:topLinePunct w:val="0"/>
        <w:bidi w:val="0"/>
        <w:adjustRightInd w:val="0"/>
        <w:snapToGrid/>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《CA管理学习专题》：</w:t>
      </w:r>
    </w:p>
    <w:p w14:paraId="40CB03B7">
      <w:pPr>
        <w:keepNext w:val="0"/>
        <w:keepLines w:val="0"/>
        <w:pageBreakBefore w:val="0"/>
        <w:widowControl w:val="0"/>
        <w:kinsoku/>
        <w:overflowPunct/>
        <w:topLinePunct w:val="0"/>
        <w:bidi w:val="0"/>
        <w:adjustRightInd w:val="0"/>
        <w:snapToGrid/>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https://edu.zcygov.cn/luban/ca?utm=web-government-front.380aac0a.0.0.fc2b6aa0b6e211ebbdb0dd007730dd44</w:t>
      </w:r>
    </w:p>
    <w:p w14:paraId="6F4950A6">
      <w:pPr>
        <w:keepNext w:val="0"/>
        <w:keepLines w:val="0"/>
        <w:pageBreakBefore w:val="0"/>
        <w:widowControl w:val="0"/>
        <w:kinsoku/>
        <w:overflowPunct/>
        <w:topLinePunct w:val="0"/>
        <w:bidi w:val="0"/>
        <w:adjustRightInd w:val="0"/>
        <w:snapToGrid/>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《CA驱动和申领流程》:</w:t>
      </w:r>
    </w:p>
    <w:p w14:paraId="30E11256">
      <w:pPr>
        <w:keepNext w:val="0"/>
        <w:keepLines w:val="0"/>
        <w:pageBreakBefore w:val="0"/>
        <w:widowControl w:val="0"/>
        <w:kinsoku/>
        <w:overflowPunct/>
        <w:topLinePunct w:val="0"/>
        <w:bidi w:val="0"/>
        <w:adjustRightInd w:val="0"/>
        <w:snapToGrid/>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"http://zfcg.czt.zj.gov.cn/bidClientTemplate/2019-05-27/12945.html"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http://zfcg.czt.zj.gov.cn/bidClientTemplate/2019-05-27/12945.html</w:t>
      </w:r>
      <w:r>
        <w:rPr>
          <w:rFonts w:hint="eastAsia" w:ascii="宋体" w:hAnsi="宋体" w:eastAsia="宋体" w:cs="宋体"/>
          <w:color w:val="auto"/>
          <w:sz w:val="24"/>
          <w:szCs w:val="24"/>
          <w:highlight w:val="none"/>
        </w:rPr>
        <w:fldChar w:fldCharType="end"/>
      </w:r>
    </w:p>
    <w:p w14:paraId="4CB7F1CB">
      <w:pPr>
        <w:keepNext w:val="0"/>
        <w:keepLines w:val="0"/>
        <w:pageBreakBefore w:val="0"/>
        <w:widowControl w:val="0"/>
        <w:numPr>
          <w:ilvl w:val="0"/>
          <w:numId w:val="6"/>
        </w:numPr>
        <w:kinsoku/>
        <w:overflowPunct/>
        <w:topLinePunct w:val="0"/>
        <w:bidi w:val="0"/>
        <w:adjustRightInd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投标文件制作：</w:t>
      </w:r>
    </w:p>
    <w:p w14:paraId="5409548D">
      <w:pPr>
        <w:keepNext w:val="0"/>
        <w:keepLines w:val="0"/>
        <w:pageBreakBefore w:val="0"/>
        <w:widowControl w:val="0"/>
        <w:numPr>
          <w:ilvl w:val="0"/>
          <w:numId w:val="7"/>
        </w:numPr>
        <w:kinsoku/>
        <w:overflowPunct/>
        <w:topLinePunct w:val="0"/>
        <w:bidi w:val="0"/>
        <w:adjustRightInd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应按照本项目招标文件和政采云平台的要求编制、加密并递交投标文件。供应商在使用系统进行投标的过程中遇到涉及平台使用的任何问题，可致电政采云平台技术支持热线咨询，联系方式：</w:t>
      </w:r>
      <w:r>
        <w:rPr>
          <w:rFonts w:hint="eastAsia" w:ascii="宋体" w:hAnsi="宋体" w:eastAsia="宋体" w:cs="宋体"/>
          <w:color w:val="auto"/>
          <w:sz w:val="24"/>
          <w:szCs w:val="24"/>
          <w:highlight w:val="none"/>
          <w:lang w:val="en-US" w:eastAsia="zh-CN"/>
        </w:rPr>
        <w:t>95763</w:t>
      </w:r>
      <w:r>
        <w:rPr>
          <w:rFonts w:hint="eastAsia" w:ascii="宋体" w:hAnsi="宋体" w:eastAsia="宋体" w:cs="宋体"/>
          <w:color w:val="auto"/>
          <w:sz w:val="24"/>
          <w:szCs w:val="24"/>
          <w:highlight w:val="none"/>
        </w:rPr>
        <w:t>。</w:t>
      </w:r>
    </w:p>
    <w:p w14:paraId="3E95ADC5">
      <w:pPr>
        <w:keepNext w:val="0"/>
        <w:keepLines w:val="0"/>
        <w:pageBreakBefore w:val="0"/>
        <w:widowControl w:val="0"/>
        <w:numPr>
          <w:ilvl w:val="0"/>
          <w:numId w:val="7"/>
        </w:numPr>
        <w:kinsoku/>
        <w:wordWrap w:val="0"/>
        <w:overflowPunct/>
        <w:topLinePunct w:val="0"/>
        <w:bidi w:val="0"/>
        <w:adjustRightInd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投标人通过“政采云”平台电子投标工具制作投标文件。</w:t>
      </w:r>
    </w:p>
    <w:p w14:paraId="08E9E44E">
      <w:pPr>
        <w:keepNext w:val="0"/>
        <w:keepLines w:val="0"/>
        <w:pageBreakBefore w:val="0"/>
        <w:widowControl w:val="0"/>
        <w:kinsoku/>
        <w:overflowPunct/>
        <w:topLinePunct w:val="0"/>
        <w:bidi w:val="0"/>
        <w:adjustRightInd w:val="0"/>
        <w:snapToGrid/>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《电子投标工具》：</w:t>
      </w:r>
    </w:p>
    <w:p w14:paraId="306BDEA8">
      <w:pPr>
        <w:keepNext w:val="0"/>
        <w:keepLines w:val="0"/>
        <w:pageBreakBefore w:val="0"/>
        <w:widowControl w:val="0"/>
        <w:kinsoku/>
        <w:overflowPunct/>
        <w:topLinePunct w:val="0"/>
        <w:bidi w:val="0"/>
        <w:adjustRightInd w:val="0"/>
        <w:snapToGrid/>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"http://zfcg.czt.zj.gov.cn/bidClientTemplate/2019-09-24/12975.html"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http://zfcg.czt.zj.gov.cn/bidClientTemplate/2019-09-24/12975.html</w:t>
      </w:r>
      <w:r>
        <w:rPr>
          <w:rFonts w:hint="eastAsia" w:ascii="宋体" w:hAnsi="宋体" w:eastAsia="宋体" w:cs="宋体"/>
          <w:color w:val="auto"/>
          <w:sz w:val="24"/>
          <w:szCs w:val="24"/>
          <w:highlight w:val="none"/>
        </w:rPr>
        <w:fldChar w:fldCharType="end"/>
      </w:r>
    </w:p>
    <w:p w14:paraId="799DCD51">
      <w:pPr>
        <w:keepNext w:val="0"/>
        <w:keepLines w:val="0"/>
        <w:pageBreakBefore w:val="0"/>
        <w:widowControl w:val="0"/>
        <w:kinsoku/>
        <w:overflowPunct/>
        <w:topLinePunct w:val="0"/>
        <w:bidi w:val="0"/>
        <w:adjustRightInd w:val="0"/>
        <w:snapToGrid/>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政府采购项目电子交易操作指南》：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需登录账号后查看</w:t>
      </w:r>
      <w:r>
        <w:rPr>
          <w:rFonts w:hint="eastAsia" w:ascii="宋体" w:hAnsi="宋体" w:eastAsia="宋体" w:cs="宋体"/>
          <w:color w:val="auto"/>
          <w:sz w:val="24"/>
          <w:szCs w:val="24"/>
          <w:highlight w:val="none"/>
          <w:lang w:eastAsia="zh-CN"/>
        </w:rPr>
        <w:t>）</w:t>
      </w:r>
    </w:p>
    <w:p w14:paraId="2A87DCA9">
      <w:pPr>
        <w:keepNext w:val="0"/>
        <w:keepLines w:val="0"/>
        <w:pageBreakBefore w:val="0"/>
        <w:widowControl w:val="0"/>
        <w:kinsoku/>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"https://service.zcygov.cn/" \l "/knowledges/tree?tag=AG1DtGwBFdiHxlNdhY0r"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https://service.zcygov.cn/#/knowledges/tree?tag=AG1DtGwBFdiHxlNdhY0r</w:t>
      </w:r>
      <w:r>
        <w:rPr>
          <w:rFonts w:hint="eastAsia" w:ascii="宋体" w:hAnsi="宋体" w:eastAsia="宋体" w:cs="宋体"/>
          <w:color w:val="auto"/>
          <w:sz w:val="24"/>
          <w:szCs w:val="24"/>
          <w:highlight w:val="none"/>
        </w:rPr>
        <w:fldChar w:fldCharType="end"/>
      </w:r>
    </w:p>
    <w:p w14:paraId="6AA6FBF2">
      <w:pPr>
        <w:keepNext w:val="0"/>
        <w:keepLines w:val="0"/>
        <w:pageBreakBefore w:val="0"/>
        <w:widowControl w:val="0"/>
        <w:numPr>
          <w:ilvl w:val="0"/>
          <w:numId w:val="6"/>
        </w:numPr>
        <w:tabs>
          <w:tab w:val="left" w:pos="204"/>
        </w:tabs>
        <w:kinsoku/>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供应商在法定质疑期内应一次性提出针对同一采购程序环节的质疑。</w:t>
      </w:r>
    </w:p>
    <w:p w14:paraId="0C8597A1">
      <w:pPr>
        <w:keepNext w:val="0"/>
        <w:keepLines w:val="0"/>
        <w:pageBreakBefore w:val="0"/>
        <w:widowControl w:val="0"/>
        <w:numPr>
          <w:ilvl w:val="0"/>
          <w:numId w:val="6"/>
        </w:numPr>
        <w:kinsoku/>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投标人可指派授权代表递交备份文件，授权代表递交备份文件需携带法定代表人授权书原件，于投标截止时间前到达开标地点递交。</w:t>
      </w:r>
    </w:p>
    <w:p w14:paraId="3ECB95A2">
      <w:pPr>
        <w:keepNext w:val="0"/>
        <w:keepLines w:val="0"/>
        <w:pageBreakBefore w:val="0"/>
        <w:widowControl w:val="0"/>
        <w:kinsoku/>
        <w:overflowPunct/>
        <w:topLinePunct w:val="0"/>
        <w:autoSpaceDE/>
        <w:autoSpaceDN/>
        <w:bidi w:val="0"/>
        <w:adjustRightInd w:val="0"/>
        <w:snapToGrid/>
        <w:spacing w:line="360" w:lineRule="auto"/>
        <w:ind w:left="420" w:lef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6.特别提醒</w:t>
      </w:r>
    </w:p>
    <w:p w14:paraId="753435BF">
      <w:pPr>
        <w:keepNext w:val="0"/>
        <w:keepLines w:val="0"/>
        <w:pageBreakBefore w:val="0"/>
        <w:widowControl w:val="0"/>
        <w:numPr>
          <w:ilvl w:val="0"/>
          <w:numId w:val="8"/>
        </w:numPr>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单位负责人为同一人或者存在直接控股、管理关系的不同供应商，不得参加同一合同项下的政府采购活动。</w:t>
      </w:r>
    </w:p>
    <w:p w14:paraId="02AF4A90">
      <w:pPr>
        <w:keepNext w:val="0"/>
        <w:keepLines w:val="0"/>
        <w:pageBreakBefore w:val="0"/>
        <w:widowControl w:val="0"/>
        <w:numPr>
          <w:ilvl w:val="0"/>
          <w:numId w:val="8"/>
        </w:numPr>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除单一来源采购项目外，为采购项目提供整体设计、规范编制或者项目管理、监理、检测等服务的供应商，不得再参加该采购项目的其他采购活动。</w:t>
      </w:r>
    </w:p>
    <w:p w14:paraId="7CA9F60B">
      <w:pPr>
        <w:keepNext w:val="0"/>
        <w:keepLines w:val="0"/>
        <w:pageBreakBefore w:val="0"/>
        <w:widowControl w:val="0"/>
        <w:kinsoku/>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七．磋商响应截止时间及要求：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2024</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11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19</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 上午</w:t>
      </w:r>
      <w:r>
        <w:rPr>
          <w:rFonts w:hint="eastAsia" w:ascii="宋体" w:hAnsi="宋体" w:eastAsia="宋体" w:cs="宋体"/>
          <w:color w:val="auto"/>
          <w:sz w:val="24"/>
          <w:szCs w:val="24"/>
          <w:highlight w:val="none"/>
          <w:u w:val="single"/>
        </w:rPr>
        <w:t xml:space="preserve"> 09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30 </w:t>
      </w:r>
      <w:r>
        <w:rPr>
          <w:rFonts w:hint="eastAsia" w:ascii="宋体" w:hAnsi="宋体" w:eastAsia="宋体" w:cs="宋体"/>
          <w:color w:val="auto"/>
          <w:sz w:val="24"/>
          <w:szCs w:val="24"/>
          <w:highlight w:val="none"/>
        </w:rPr>
        <w:t>分整</w:t>
      </w:r>
      <w:r>
        <w:rPr>
          <w:rFonts w:hint="eastAsia" w:ascii="宋体" w:hAnsi="宋体" w:eastAsia="宋体" w:cs="宋体"/>
          <w:color w:val="auto"/>
          <w:kern w:val="0"/>
          <w:sz w:val="24"/>
          <w:szCs w:val="24"/>
          <w:highlight w:val="none"/>
        </w:rPr>
        <w:t>之前将电子磋商响应文件上传到“政采云”平台。</w:t>
      </w:r>
    </w:p>
    <w:p w14:paraId="3CEBAB1F">
      <w:pPr>
        <w:keepNext w:val="0"/>
        <w:keepLines w:val="0"/>
        <w:pageBreakBefore w:val="0"/>
        <w:widowControl w:val="0"/>
        <w:kinsoku/>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八．递交首次响应文件时间及地点：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2024</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11</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19</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 上午</w:t>
      </w:r>
      <w:r>
        <w:rPr>
          <w:rFonts w:hint="eastAsia" w:ascii="宋体" w:hAnsi="宋体" w:eastAsia="宋体" w:cs="宋体"/>
          <w:color w:val="auto"/>
          <w:sz w:val="24"/>
          <w:szCs w:val="24"/>
          <w:highlight w:val="none"/>
          <w:u w:val="single"/>
        </w:rPr>
        <w:t xml:space="preserve"> 09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30  </w:t>
      </w:r>
      <w:r>
        <w:rPr>
          <w:rFonts w:hint="eastAsia" w:ascii="宋体" w:hAnsi="宋体" w:eastAsia="宋体" w:cs="宋体"/>
          <w:color w:val="auto"/>
          <w:sz w:val="24"/>
          <w:szCs w:val="24"/>
          <w:highlight w:val="none"/>
        </w:rPr>
        <w:t>分</w:t>
      </w:r>
      <w:bookmarkStart w:id="6" w:name="B30_开标地点"/>
      <w:r>
        <w:rPr>
          <w:rFonts w:hint="eastAsia" w:ascii="宋体" w:hAnsi="宋体" w:eastAsia="宋体" w:cs="宋体"/>
          <w:color w:val="auto"/>
          <w:sz w:val="24"/>
          <w:szCs w:val="24"/>
          <w:highlight w:val="none"/>
        </w:rPr>
        <w:t>整在</w:t>
      </w:r>
      <w:bookmarkEnd w:id="6"/>
      <w:r>
        <w:rPr>
          <w:rFonts w:hint="eastAsia" w:ascii="宋体" w:hAnsi="宋体" w:cs="宋体"/>
          <w:sz w:val="24"/>
          <w:highlight w:val="none"/>
        </w:rPr>
        <w:t>绍兴市上虞区公共资源交易中心三楼</w:t>
      </w:r>
      <w:r>
        <w:rPr>
          <w:rFonts w:hint="eastAsia" w:ascii="宋体" w:hAnsi="宋体" w:cs="宋体"/>
          <w:sz w:val="24"/>
          <w:highlight w:val="none"/>
          <w:u w:val="single"/>
        </w:rPr>
        <w:t xml:space="preserve">357 </w:t>
      </w:r>
      <w:r>
        <w:rPr>
          <w:rFonts w:hint="eastAsia" w:ascii="宋体" w:hAnsi="宋体" w:cs="宋体"/>
          <w:sz w:val="24"/>
          <w:highlight w:val="none"/>
        </w:rPr>
        <w:t>开标室开标。</w:t>
      </w:r>
    </w:p>
    <w:p w14:paraId="27B054E6">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开标时间后30分钟内（</w:t>
      </w:r>
      <w:r>
        <w:rPr>
          <w:rFonts w:hint="eastAsia" w:ascii="宋体" w:hAnsi="宋体" w:eastAsia="宋体" w:cs="宋体"/>
          <w:color w:val="auto"/>
          <w:sz w:val="24"/>
          <w:szCs w:val="24"/>
          <w:highlight w:val="none"/>
          <w:lang w:eastAsia="zh-CN"/>
        </w:rPr>
        <w:t>2024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 10 : 00 前）供应商可以登录“政采云”平台，用“项目采购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开标评标”功能进行解密响应文件。若供应商在规定时间内（</w:t>
      </w:r>
      <w:r>
        <w:rPr>
          <w:rFonts w:hint="eastAsia" w:ascii="宋体" w:hAnsi="宋体" w:eastAsia="宋体" w:cs="宋体"/>
          <w:color w:val="auto"/>
          <w:sz w:val="24"/>
          <w:szCs w:val="24"/>
          <w:highlight w:val="none"/>
          <w:lang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 10 : 00 前）解密失败，则由采购代理机构工作人员上传供应商提供的备份文件。备份文件（后缀名为.bfbs）须存储在U盘中，与上传的电子磋商响应文件一致，用信封进行密封并盖章</w:t>
      </w:r>
      <w:r>
        <w:rPr>
          <w:rFonts w:hint="eastAsia" w:ascii="宋体" w:hAnsi="宋体" w:eastAsia="宋体" w:cs="宋体"/>
          <w:b/>
          <w:bCs/>
          <w:color w:val="auto"/>
          <w:sz w:val="24"/>
          <w:szCs w:val="24"/>
          <w:highlight w:val="none"/>
        </w:rPr>
        <w:t>（信封内仅需放入存储备份文件的U盘）</w:t>
      </w:r>
      <w:r>
        <w:rPr>
          <w:rFonts w:hint="eastAsia" w:ascii="宋体" w:hAnsi="宋体" w:eastAsia="宋体" w:cs="宋体"/>
          <w:color w:val="auto"/>
          <w:sz w:val="24"/>
          <w:szCs w:val="24"/>
          <w:highlight w:val="none"/>
        </w:rPr>
        <w:t>，由授权代表在磋商响应截止时间前递交至开标地点。若电子磋商响应文件正常解锁，则U盘退还给供应商；若解锁失败，则由采购代理机构将U盘中的备份文件上传，该U盘将由采购代理机构保存。</w:t>
      </w:r>
    </w:p>
    <w:p w14:paraId="00905884">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本次开标不提供现场视频。</w:t>
      </w:r>
    </w:p>
    <w:p w14:paraId="064216D4">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九．磋商保证金：无</w:t>
      </w:r>
    </w:p>
    <w:p w14:paraId="74804A9A">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十．公告期限：</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个工作日</w:t>
      </w:r>
    </w:p>
    <w:p w14:paraId="6044620C">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十一．联系方式：</w:t>
      </w:r>
    </w:p>
    <w:p w14:paraId="77539C9C">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1．采购代理机构名称：绍兴成言工程咨询管理有限公司</w:t>
      </w:r>
    </w:p>
    <w:p w14:paraId="3342B68E">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lang w:val="en-US" w:eastAsia="zh-CN"/>
        </w:rPr>
        <w:t>周吉</w:t>
      </w:r>
      <w:r>
        <w:rPr>
          <w:rFonts w:hint="eastAsia" w:ascii="宋体" w:hAnsi="宋体" w:eastAsia="宋体" w:cs="宋体"/>
          <w:color w:val="auto"/>
          <w:sz w:val="24"/>
          <w:szCs w:val="24"/>
          <w:highlight w:val="none"/>
        </w:rPr>
        <w:t xml:space="preserve">               </w:t>
      </w:r>
    </w:p>
    <w:p w14:paraId="1F65A736">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项目联系方式（询问）：</w:t>
      </w:r>
      <w:r>
        <w:rPr>
          <w:rFonts w:hint="eastAsia" w:ascii="宋体" w:hAnsi="宋体" w:eastAsia="宋体" w:cs="宋体"/>
          <w:color w:val="auto"/>
          <w:sz w:val="24"/>
          <w:szCs w:val="24"/>
          <w:highlight w:val="none"/>
          <w:lang w:val="en-US" w:eastAsia="zh-CN"/>
        </w:rPr>
        <w:t>18757549398</w:t>
      </w:r>
      <w:r>
        <w:rPr>
          <w:rFonts w:hint="eastAsia" w:ascii="宋体" w:hAnsi="宋体" w:eastAsia="宋体" w:cs="宋体"/>
          <w:color w:val="auto"/>
          <w:sz w:val="24"/>
          <w:szCs w:val="24"/>
          <w:highlight w:val="none"/>
        </w:rPr>
        <w:t xml:space="preserve">          </w:t>
      </w:r>
    </w:p>
    <w:p w14:paraId="26439C38">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w:t>
      </w:r>
      <w:r>
        <w:rPr>
          <w:rFonts w:hint="eastAsia" w:ascii="宋体" w:hAnsi="宋体" w:eastAsia="宋体" w:cs="宋体"/>
          <w:color w:val="auto"/>
          <w:sz w:val="24"/>
          <w:szCs w:val="24"/>
          <w:highlight w:val="none"/>
          <w:lang w:val="en-US" w:eastAsia="zh-CN"/>
        </w:rPr>
        <w:t>章女士</w:t>
      </w:r>
      <w:r>
        <w:rPr>
          <w:rFonts w:hint="eastAsia" w:ascii="宋体" w:hAnsi="宋体" w:eastAsia="宋体" w:cs="宋体"/>
          <w:color w:val="auto"/>
          <w:sz w:val="24"/>
          <w:szCs w:val="24"/>
          <w:highlight w:val="none"/>
        </w:rPr>
        <w:t xml:space="preserve">             </w:t>
      </w:r>
    </w:p>
    <w:p w14:paraId="3686F30D">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w:t>
      </w:r>
      <w:r>
        <w:rPr>
          <w:rFonts w:hint="eastAsia" w:ascii="宋体" w:hAnsi="宋体" w:eastAsia="宋体" w:cs="宋体"/>
          <w:color w:val="auto"/>
          <w:sz w:val="24"/>
          <w:szCs w:val="24"/>
          <w:highlight w:val="none"/>
          <w:lang w:val="en-US" w:eastAsia="zh-CN"/>
        </w:rPr>
        <w:t>15925899100</w:t>
      </w:r>
      <w:r>
        <w:rPr>
          <w:rFonts w:hint="eastAsia" w:ascii="宋体" w:hAnsi="宋体" w:eastAsia="宋体" w:cs="宋体"/>
          <w:color w:val="auto"/>
          <w:sz w:val="24"/>
          <w:szCs w:val="24"/>
          <w:highlight w:val="none"/>
        </w:rPr>
        <w:t xml:space="preserve">       </w:t>
      </w:r>
    </w:p>
    <w:p w14:paraId="5E56244B">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地址：绍兴市上虞区百官街道</w:t>
      </w:r>
      <w:r>
        <w:rPr>
          <w:rFonts w:hint="eastAsia" w:ascii="宋体" w:hAnsi="宋体" w:cs="宋体"/>
          <w:color w:val="auto"/>
          <w:sz w:val="24"/>
          <w:szCs w:val="24"/>
          <w:highlight w:val="none"/>
          <w:lang w:val="en-US" w:eastAsia="zh-CN"/>
        </w:rPr>
        <w:t>梁祝大道2385号万金大厦24楼</w:t>
      </w:r>
      <w:r>
        <w:rPr>
          <w:rFonts w:hint="eastAsia" w:ascii="宋体" w:hAnsi="宋体" w:eastAsia="宋体" w:cs="宋体"/>
          <w:color w:val="auto"/>
          <w:sz w:val="24"/>
          <w:szCs w:val="24"/>
          <w:highlight w:val="none"/>
        </w:rPr>
        <w:t xml:space="preserve"> </w:t>
      </w:r>
    </w:p>
    <w:p w14:paraId="1FB51A99">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2．采购人名称：</w:t>
      </w:r>
      <w:r>
        <w:rPr>
          <w:rFonts w:hint="eastAsia" w:ascii="宋体" w:hAnsi="宋体" w:cs="宋体"/>
          <w:color w:val="auto"/>
          <w:sz w:val="24"/>
          <w:szCs w:val="24"/>
          <w:highlight w:val="none"/>
          <w:lang w:eastAsia="zh-CN"/>
        </w:rPr>
        <w:t>绍兴市上虞区发展和改革局</w:t>
      </w:r>
    </w:p>
    <w:p w14:paraId="44FAF611">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吕女士</w:t>
      </w:r>
    </w:p>
    <w:p w14:paraId="6EF64C5D">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 xml:space="preserve"> 0575-82191277</w:t>
      </w:r>
    </w:p>
    <w:p w14:paraId="09F20F84">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 xml:space="preserve"> 徐女士</w:t>
      </w:r>
    </w:p>
    <w:p w14:paraId="42FA9434">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质疑联系方式：</w:t>
      </w:r>
      <w:r>
        <w:rPr>
          <w:rFonts w:hint="eastAsia" w:ascii="宋体" w:hAnsi="宋体" w:cs="宋体"/>
          <w:color w:val="auto"/>
          <w:sz w:val="24"/>
          <w:highlight w:val="none"/>
          <w:lang w:val="en-US" w:eastAsia="zh-CN"/>
        </w:rPr>
        <w:t xml:space="preserve"> 0575-82214516</w:t>
      </w:r>
    </w:p>
    <w:p w14:paraId="74B25D40">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地址：</w:t>
      </w:r>
      <w:r>
        <w:rPr>
          <w:rFonts w:hint="eastAsia" w:ascii="宋体" w:hAnsi="宋体" w:eastAsia="宋体" w:cs="宋体"/>
          <w:sz w:val="24"/>
          <w:highlight w:val="none"/>
          <w:lang w:eastAsia="zh-CN"/>
        </w:rPr>
        <w:t>绍兴市</w:t>
      </w:r>
      <w:r>
        <w:rPr>
          <w:rFonts w:hint="eastAsia" w:ascii="宋体" w:hAnsi="宋体" w:eastAsia="宋体" w:cs="宋体"/>
          <w:sz w:val="24"/>
          <w:highlight w:val="none"/>
          <w:lang w:val="en-US" w:eastAsia="zh-CN"/>
        </w:rPr>
        <w:t>上虞区百官街道</w:t>
      </w:r>
      <w:r>
        <w:rPr>
          <w:rFonts w:hint="eastAsia" w:ascii="宋体" w:hAnsi="宋体" w:cs="宋体"/>
          <w:sz w:val="24"/>
          <w:highlight w:val="none"/>
          <w:lang w:val="en-US" w:eastAsia="zh-CN"/>
        </w:rPr>
        <w:t>市民大道987号</w:t>
      </w:r>
    </w:p>
    <w:p w14:paraId="74B5C21B">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3．同级政府采购监督管理部门名称：上虞区财政局政府采购监管科</w:t>
      </w:r>
    </w:p>
    <w:p w14:paraId="4B64C44E">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联系人：谷先生</w:t>
      </w:r>
    </w:p>
    <w:p w14:paraId="399424AA">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监督投诉电话：0575-82130212</w:t>
      </w:r>
    </w:p>
    <w:p w14:paraId="1CAF7A08">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sz w:val="24"/>
          <w:szCs w:val="24"/>
          <w:highlight w:val="none"/>
        </w:rPr>
        <w:t>0575-821</w:t>
      </w:r>
      <w:r>
        <w:rPr>
          <w:rFonts w:hint="eastAsia" w:ascii="宋体" w:hAnsi="宋体" w:eastAsia="宋体" w:cs="宋体"/>
          <w:sz w:val="24"/>
          <w:szCs w:val="24"/>
          <w:highlight w:val="none"/>
          <w:lang w:val="en-US" w:eastAsia="zh-CN"/>
        </w:rPr>
        <w:t>54859</w:t>
      </w:r>
    </w:p>
    <w:p w14:paraId="7445230C">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地址：绍兴市上虞区体育场路18号</w:t>
      </w:r>
    </w:p>
    <w:p w14:paraId="6134A6E3">
      <w:pPr>
        <w:keepNext w:val="0"/>
        <w:keepLines w:val="0"/>
        <w:pageBreakBefore w:val="0"/>
        <w:widowControl w:val="0"/>
        <w:kinsoku/>
        <w:overflowPunct/>
        <w:topLinePunct w:val="0"/>
        <w:autoSpaceDE/>
        <w:autoSpaceDN/>
        <w:bidi w:val="0"/>
        <w:snapToGrid/>
        <w:spacing w:line="360" w:lineRule="auto"/>
        <w:jc w:val="both"/>
        <w:textAlignment w:val="auto"/>
        <w:outlineLvl w:val="0"/>
        <w:rPr>
          <w:rStyle w:val="46"/>
          <w:rFonts w:hint="eastAsia" w:ascii="宋体" w:hAnsi="宋体" w:eastAsia="宋体" w:cs="宋体"/>
          <w:color w:val="auto"/>
          <w:sz w:val="36"/>
          <w:szCs w:val="36"/>
          <w:highlight w:val="none"/>
        </w:rPr>
      </w:pPr>
      <w:bookmarkStart w:id="7" w:name="_Toc546"/>
      <w:bookmarkStart w:id="8" w:name="_Toc29834"/>
      <w:bookmarkStart w:id="9" w:name="_Toc21447"/>
    </w:p>
    <w:p w14:paraId="42815D2A">
      <w:pPr>
        <w:keepNext w:val="0"/>
        <w:keepLines w:val="0"/>
        <w:pageBreakBefore w:val="0"/>
        <w:widowControl w:val="0"/>
        <w:kinsoku/>
        <w:overflowPunct/>
        <w:topLinePunct w:val="0"/>
        <w:autoSpaceDE/>
        <w:autoSpaceDN/>
        <w:bidi w:val="0"/>
        <w:snapToGrid/>
        <w:spacing w:line="360" w:lineRule="auto"/>
        <w:jc w:val="both"/>
        <w:textAlignment w:val="auto"/>
        <w:outlineLvl w:val="0"/>
        <w:rPr>
          <w:rStyle w:val="46"/>
          <w:rFonts w:hint="eastAsia" w:ascii="宋体" w:hAnsi="宋体" w:eastAsia="宋体" w:cs="宋体"/>
          <w:color w:val="auto"/>
          <w:sz w:val="36"/>
          <w:szCs w:val="36"/>
          <w:highlight w:val="none"/>
        </w:rPr>
      </w:pPr>
    </w:p>
    <w:p w14:paraId="39223B6E">
      <w:pPr>
        <w:keepNext w:val="0"/>
        <w:keepLines w:val="0"/>
        <w:pageBreakBefore w:val="0"/>
        <w:widowControl w:val="0"/>
        <w:kinsoku/>
        <w:overflowPunct/>
        <w:topLinePunct w:val="0"/>
        <w:autoSpaceDE/>
        <w:autoSpaceDN/>
        <w:bidi w:val="0"/>
        <w:snapToGrid/>
        <w:spacing w:line="360" w:lineRule="auto"/>
        <w:jc w:val="both"/>
        <w:textAlignment w:val="auto"/>
        <w:outlineLvl w:val="0"/>
        <w:rPr>
          <w:rStyle w:val="46"/>
          <w:rFonts w:hint="eastAsia" w:ascii="宋体" w:hAnsi="宋体" w:eastAsia="宋体" w:cs="宋体"/>
          <w:color w:val="auto"/>
          <w:sz w:val="36"/>
          <w:szCs w:val="36"/>
          <w:highlight w:val="none"/>
        </w:rPr>
      </w:pPr>
    </w:p>
    <w:p w14:paraId="5F1A76FF">
      <w:pPr>
        <w:keepNext w:val="0"/>
        <w:keepLines w:val="0"/>
        <w:pageBreakBefore w:val="0"/>
        <w:widowControl w:val="0"/>
        <w:kinsoku/>
        <w:overflowPunct/>
        <w:topLinePunct w:val="0"/>
        <w:autoSpaceDE/>
        <w:autoSpaceDN/>
        <w:bidi w:val="0"/>
        <w:snapToGrid/>
        <w:spacing w:line="360" w:lineRule="auto"/>
        <w:jc w:val="both"/>
        <w:textAlignment w:val="auto"/>
        <w:outlineLvl w:val="0"/>
        <w:rPr>
          <w:rStyle w:val="46"/>
          <w:rFonts w:hint="eastAsia" w:ascii="宋体" w:hAnsi="宋体" w:eastAsia="宋体" w:cs="宋体"/>
          <w:color w:val="auto"/>
          <w:sz w:val="36"/>
          <w:szCs w:val="36"/>
          <w:highlight w:val="none"/>
        </w:rPr>
      </w:pPr>
    </w:p>
    <w:p w14:paraId="22F3E9CA">
      <w:pPr>
        <w:keepNext w:val="0"/>
        <w:keepLines w:val="0"/>
        <w:pageBreakBefore w:val="0"/>
        <w:widowControl w:val="0"/>
        <w:kinsoku/>
        <w:overflowPunct/>
        <w:topLinePunct w:val="0"/>
        <w:autoSpaceDE/>
        <w:autoSpaceDN/>
        <w:bidi w:val="0"/>
        <w:snapToGrid/>
        <w:spacing w:line="360" w:lineRule="auto"/>
        <w:jc w:val="both"/>
        <w:textAlignment w:val="auto"/>
        <w:outlineLvl w:val="0"/>
        <w:rPr>
          <w:rStyle w:val="46"/>
          <w:rFonts w:hint="eastAsia" w:ascii="宋体" w:hAnsi="宋体" w:eastAsia="宋体" w:cs="宋体"/>
          <w:color w:val="auto"/>
          <w:sz w:val="36"/>
          <w:szCs w:val="36"/>
          <w:highlight w:val="none"/>
        </w:rPr>
      </w:pPr>
    </w:p>
    <w:p w14:paraId="585BCF98">
      <w:pPr>
        <w:keepNext w:val="0"/>
        <w:keepLines w:val="0"/>
        <w:pageBreakBefore w:val="0"/>
        <w:widowControl w:val="0"/>
        <w:kinsoku/>
        <w:overflowPunct/>
        <w:topLinePunct w:val="0"/>
        <w:autoSpaceDE/>
        <w:autoSpaceDN/>
        <w:bidi w:val="0"/>
        <w:snapToGrid/>
        <w:spacing w:line="360" w:lineRule="auto"/>
        <w:jc w:val="both"/>
        <w:textAlignment w:val="auto"/>
        <w:outlineLvl w:val="0"/>
        <w:rPr>
          <w:rStyle w:val="46"/>
          <w:rFonts w:hint="eastAsia" w:ascii="宋体" w:hAnsi="宋体" w:eastAsia="宋体" w:cs="宋体"/>
          <w:color w:val="auto"/>
          <w:sz w:val="36"/>
          <w:szCs w:val="36"/>
          <w:highlight w:val="none"/>
        </w:rPr>
      </w:pPr>
    </w:p>
    <w:p w14:paraId="362FB244">
      <w:pPr>
        <w:keepNext w:val="0"/>
        <w:keepLines w:val="0"/>
        <w:pageBreakBefore w:val="0"/>
        <w:widowControl w:val="0"/>
        <w:kinsoku/>
        <w:overflowPunct/>
        <w:topLinePunct w:val="0"/>
        <w:autoSpaceDE/>
        <w:autoSpaceDN/>
        <w:bidi w:val="0"/>
        <w:snapToGrid/>
        <w:spacing w:line="360" w:lineRule="auto"/>
        <w:jc w:val="both"/>
        <w:textAlignment w:val="auto"/>
        <w:outlineLvl w:val="0"/>
        <w:rPr>
          <w:rStyle w:val="46"/>
          <w:rFonts w:hint="eastAsia" w:ascii="宋体" w:hAnsi="宋体" w:eastAsia="宋体" w:cs="宋体"/>
          <w:color w:val="auto"/>
          <w:sz w:val="36"/>
          <w:szCs w:val="36"/>
          <w:highlight w:val="none"/>
        </w:rPr>
      </w:pPr>
    </w:p>
    <w:p w14:paraId="0A57D67A">
      <w:pPr>
        <w:keepNext w:val="0"/>
        <w:keepLines w:val="0"/>
        <w:pageBreakBefore w:val="0"/>
        <w:widowControl w:val="0"/>
        <w:kinsoku/>
        <w:overflowPunct/>
        <w:topLinePunct w:val="0"/>
        <w:autoSpaceDE/>
        <w:autoSpaceDN/>
        <w:bidi w:val="0"/>
        <w:snapToGrid/>
        <w:spacing w:line="360" w:lineRule="auto"/>
        <w:jc w:val="both"/>
        <w:textAlignment w:val="auto"/>
        <w:outlineLvl w:val="0"/>
        <w:rPr>
          <w:rStyle w:val="46"/>
          <w:rFonts w:hint="eastAsia" w:ascii="宋体" w:hAnsi="宋体" w:eastAsia="宋体" w:cs="宋体"/>
          <w:color w:val="auto"/>
          <w:sz w:val="36"/>
          <w:szCs w:val="36"/>
          <w:highlight w:val="none"/>
        </w:rPr>
      </w:pPr>
    </w:p>
    <w:p w14:paraId="22771326">
      <w:pPr>
        <w:keepNext w:val="0"/>
        <w:keepLines w:val="0"/>
        <w:pageBreakBefore w:val="0"/>
        <w:widowControl w:val="0"/>
        <w:kinsoku/>
        <w:overflowPunct/>
        <w:topLinePunct w:val="0"/>
        <w:autoSpaceDE/>
        <w:autoSpaceDN/>
        <w:bidi w:val="0"/>
        <w:snapToGrid/>
        <w:spacing w:line="360" w:lineRule="auto"/>
        <w:jc w:val="both"/>
        <w:textAlignment w:val="auto"/>
        <w:outlineLvl w:val="0"/>
        <w:rPr>
          <w:rStyle w:val="46"/>
          <w:rFonts w:hint="eastAsia" w:ascii="宋体" w:hAnsi="宋体" w:eastAsia="宋体" w:cs="宋体"/>
          <w:color w:val="auto"/>
          <w:sz w:val="36"/>
          <w:szCs w:val="36"/>
          <w:highlight w:val="none"/>
        </w:rPr>
      </w:pPr>
    </w:p>
    <w:p w14:paraId="43C1A9FB">
      <w:pPr>
        <w:keepNext w:val="0"/>
        <w:keepLines w:val="0"/>
        <w:pageBreakBefore w:val="0"/>
        <w:widowControl w:val="0"/>
        <w:kinsoku/>
        <w:overflowPunct/>
        <w:topLinePunct w:val="0"/>
        <w:autoSpaceDE/>
        <w:autoSpaceDN/>
        <w:bidi w:val="0"/>
        <w:snapToGrid/>
        <w:spacing w:line="360" w:lineRule="auto"/>
        <w:jc w:val="both"/>
        <w:textAlignment w:val="auto"/>
        <w:outlineLvl w:val="0"/>
        <w:rPr>
          <w:rStyle w:val="46"/>
          <w:rFonts w:hint="eastAsia" w:ascii="宋体" w:hAnsi="宋体" w:eastAsia="宋体" w:cs="宋体"/>
          <w:color w:val="auto"/>
          <w:sz w:val="36"/>
          <w:szCs w:val="36"/>
          <w:highlight w:val="none"/>
        </w:rPr>
      </w:pPr>
    </w:p>
    <w:p w14:paraId="26EA7ACF">
      <w:pPr>
        <w:keepNext w:val="0"/>
        <w:keepLines w:val="0"/>
        <w:pageBreakBefore w:val="0"/>
        <w:widowControl w:val="0"/>
        <w:kinsoku/>
        <w:overflowPunct/>
        <w:topLinePunct w:val="0"/>
        <w:autoSpaceDE/>
        <w:autoSpaceDN/>
        <w:bidi w:val="0"/>
        <w:snapToGrid/>
        <w:spacing w:line="360" w:lineRule="auto"/>
        <w:jc w:val="both"/>
        <w:textAlignment w:val="auto"/>
        <w:outlineLvl w:val="0"/>
        <w:rPr>
          <w:rStyle w:val="46"/>
          <w:rFonts w:hint="eastAsia" w:ascii="宋体" w:hAnsi="宋体" w:eastAsia="宋体" w:cs="宋体"/>
          <w:color w:val="auto"/>
          <w:sz w:val="36"/>
          <w:szCs w:val="36"/>
          <w:highlight w:val="none"/>
        </w:rPr>
      </w:pPr>
    </w:p>
    <w:p w14:paraId="26837B30">
      <w:pPr>
        <w:keepNext w:val="0"/>
        <w:keepLines w:val="0"/>
        <w:pageBreakBefore w:val="0"/>
        <w:widowControl w:val="0"/>
        <w:kinsoku/>
        <w:overflowPunct/>
        <w:topLinePunct w:val="0"/>
        <w:autoSpaceDE/>
        <w:autoSpaceDN/>
        <w:bidi w:val="0"/>
        <w:snapToGrid/>
        <w:spacing w:line="360" w:lineRule="auto"/>
        <w:jc w:val="center"/>
        <w:textAlignment w:val="auto"/>
        <w:outlineLvl w:val="0"/>
        <w:rPr>
          <w:rFonts w:hint="eastAsia" w:ascii="宋体" w:hAnsi="宋体" w:eastAsia="宋体" w:cs="宋体"/>
          <w:b/>
          <w:bCs/>
          <w:color w:val="auto"/>
          <w:sz w:val="36"/>
          <w:szCs w:val="36"/>
          <w:highlight w:val="none"/>
        </w:rPr>
      </w:pPr>
      <w:r>
        <w:rPr>
          <w:rStyle w:val="46"/>
          <w:rFonts w:hint="eastAsia" w:ascii="宋体" w:hAnsi="宋体" w:eastAsia="宋体" w:cs="宋体"/>
          <w:color w:val="auto"/>
          <w:sz w:val="36"/>
          <w:szCs w:val="36"/>
          <w:highlight w:val="none"/>
        </w:rPr>
        <w:t>第二部分</w:t>
      </w:r>
      <w:bookmarkEnd w:id="3"/>
      <w:r>
        <w:rPr>
          <w:rStyle w:val="46"/>
          <w:rFonts w:hint="eastAsia" w:ascii="宋体" w:hAnsi="宋体" w:eastAsia="宋体" w:cs="宋体"/>
          <w:color w:val="auto"/>
          <w:sz w:val="36"/>
          <w:szCs w:val="36"/>
          <w:highlight w:val="none"/>
        </w:rPr>
        <w:t xml:space="preserve"> </w:t>
      </w:r>
      <w:bookmarkEnd w:id="4"/>
      <w:r>
        <w:rPr>
          <w:rStyle w:val="46"/>
          <w:rFonts w:hint="eastAsia" w:ascii="宋体" w:hAnsi="宋体" w:eastAsia="宋体" w:cs="宋体"/>
          <w:color w:val="auto"/>
          <w:sz w:val="36"/>
          <w:szCs w:val="36"/>
          <w:highlight w:val="none"/>
        </w:rPr>
        <w:t>供应商须知</w:t>
      </w:r>
      <w:bookmarkEnd w:id="7"/>
      <w:bookmarkEnd w:id="8"/>
      <w:bookmarkEnd w:id="9"/>
    </w:p>
    <w:p w14:paraId="557745B4">
      <w:pPr>
        <w:widowControl/>
        <w:adjustRightInd w:val="0"/>
        <w:snapToGrid w:val="0"/>
        <w:spacing w:line="360" w:lineRule="auto"/>
        <w:jc w:val="center"/>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供应商须知前附表</w:t>
      </w:r>
    </w:p>
    <w:tbl>
      <w:tblPr>
        <w:tblStyle w:val="29"/>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14:paraId="22EEF6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tcBorders>
              <w:top w:val="double" w:color="auto" w:sz="4" w:space="0"/>
            </w:tcBorders>
            <w:vAlign w:val="center"/>
          </w:tcPr>
          <w:p w14:paraId="29EEA27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序号</w:t>
            </w:r>
          </w:p>
        </w:tc>
        <w:tc>
          <w:tcPr>
            <w:tcW w:w="1800" w:type="dxa"/>
            <w:tcBorders>
              <w:top w:val="double" w:color="auto" w:sz="4" w:space="0"/>
            </w:tcBorders>
            <w:vAlign w:val="center"/>
          </w:tcPr>
          <w:p w14:paraId="5A39E9F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项目</w:t>
            </w:r>
          </w:p>
        </w:tc>
        <w:tc>
          <w:tcPr>
            <w:tcW w:w="6682" w:type="dxa"/>
            <w:tcBorders>
              <w:top w:val="double" w:color="auto" w:sz="4" w:space="0"/>
            </w:tcBorders>
            <w:vAlign w:val="center"/>
          </w:tcPr>
          <w:p w14:paraId="5F39411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内容</w:t>
            </w:r>
          </w:p>
        </w:tc>
      </w:tr>
      <w:tr w14:paraId="3C5B02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8" w:type="dxa"/>
            <w:vAlign w:val="center"/>
          </w:tcPr>
          <w:p w14:paraId="24314C2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p>
        </w:tc>
        <w:tc>
          <w:tcPr>
            <w:tcW w:w="1800" w:type="dxa"/>
            <w:vAlign w:val="center"/>
          </w:tcPr>
          <w:p w14:paraId="1B64DAD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项目名称</w:t>
            </w:r>
          </w:p>
        </w:tc>
        <w:tc>
          <w:tcPr>
            <w:tcW w:w="6682" w:type="dxa"/>
            <w:vAlign w:val="center"/>
          </w:tcPr>
          <w:p w14:paraId="5F8AE76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eastAsia="zh-CN"/>
              </w:rPr>
              <w:t>绍兴市上虞区“十五五”研究课题及规划编制项目</w:t>
            </w:r>
          </w:p>
        </w:tc>
      </w:tr>
      <w:tr w14:paraId="02E131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648" w:type="dxa"/>
            <w:vAlign w:val="center"/>
          </w:tcPr>
          <w:p w14:paraId="3FF97B3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p>
        </w:tc>
        <w:tc>
          <w:tcPr>
            <w:tcW w:w="1800" w:type="dxa"/>
            <w:vAlign w:val="center"/>
          </w:tcPr>
          <w:p w14:paraId="5682F81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服务周期</w:t>
            </w:r>
          </w:p>
        </w:tc>
        <w:tc>
          <w:tcPr>
            <w:tcW w:w="6682" w:type="dxa"/>
            <w:vAlign w:val="center"/>
          </w:tcPr>
          <w:p w14:paraId="10C60782">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rPr>
              <w:t>自合同签订之日起至合同履行完毕</w:t>
            </w:r>
          </w:p>
        </w:tc>
      </w:tr>
      <w:tr w14:paraId="600C76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vAlign w:val="center"/>
          </w:tcPr>
          <w:p w14:paraId="30AB9C2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p>
        </w:tc>
        <w:tc>
          <w:tcPr>
            <w:tcW w:w="1800" w:type="dxa"/>
            <w:vAlign w:val="center"/>
          </w:tcPr>
          <w:p w14:paraId="41A2FBE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最高限价</w:t>
            </w:r>
          </w:p>
        </w:tc>
        <w:tc>
          <w:tcPr>
            <w:tcW w:w="6682" w:type="dxa"/>
            <w:vAlign w:val="center"/>
          </w:tcPr>
          <w:p w14:paraId="7040988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color w:val="auto"/>
                <w:sz w:val="24"/>
                <w:szCs w:val="24"/>
                <w:highlight w:val="none"/>
              </w:rPr>
              <w:t>本项目最高限价</w:t>
            </w:r>
            <w:r>
              <w:rPr>
                <w:rFonts w:hint="eastAsia" w:ascii="宋体" w:hAnsi="宋体" w:eastAsia="宋体" w:cs="宋体"/>
                <w:color w:val="auto"/>
                <w:sz w:val="24"/>
                <w:szCs w:val="24"/>
                <w:highlight w:val="none"/>
                <w:lang w:val="en-US" w:eastAsia="zh-CN"/>
              </w:rPr>
              <w:t>为</w:t>
            </w:r>
            <w:r>
              <w:rPr>
                <w:rFonts w:hint="eastAsia" w:ascii="宋体" w:hAnsi="宋体" w:eastAsia="宋体" w:cs="宋体"/>
                <w:color w:val="auto"/>
                <w:sz w:val="24"/>
                <w:szCs w:val="24"/>
                <w:highlight w:val="none"/>
              </w:rPr>
              <w:t>人民币</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150</w:t>
            </w:r>
            <w:r>
              <w:rPr>
                <w:rFonts w:hint="eastAsia" w:ascii="宋体" w:hAnsi="宋体" w:eastAsia="宋体" w:cs="宋体"/>
                <w:color w:val="auto"/>
                <w:sz w:val="24"/>
                <w:szCs w:val="24"/>
                <w:highlight w:val="none"/>
              </w:rPr>
              <w:t>万元。</w:t>
            </w:r>
          </w:p>
        </w:tc>
      </w:tr>
      <w:tr w14:paraId="68A0AC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2" w:hRule="atLeast"/>
          <w:jc w:val="center"/>
        </w:trPr>
        <w:tc>
          <w:tcPr>
            <w:tcW w:w="648" w:type="dxa"/>
            <w:vAlign w:val="center"/>
          </w:tcPr>
          <w:p w14:paraId="19FABF4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w:t>
            </w:r>
          </w:p>
        </w:tc>
        <w:tc>
          <w:tcPr>
            <w:tcW w:w="1800" w:type="dxa"/>
            <w:vAlign w:val="center"/>
          </w:tcPr>
          <w:p w14:paraId="4901713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资格审查方式</w:t>
            </w:r>
          </w:p>
        </w:tc>
        <w:tc>
          <w:tcPr>
            <w:tcW w:w="6682" w:type="dxa"/>
            <w:vAlign w:val="center"/>
          </w:tcPr>
          <w:p w14:paraId="5F8AC1F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资格审查是指开标后，磋商小组将依据法律法规和磋商文件的规定对供应商的资格进行审查。</w:t>
            </w:r>
          </w:p>
        </w:tc>
      </w:tr>
      <w:tr w14:paraId="3BBDFE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648" w:type="dxa"/>
            <w:vAlign w:val="center"/>
          </w:tcPr>
          <w:p w14:paraId="0BC4B8E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w:t>
            </w:r>
          </w:p>
        </w:tc>
        <w:tc>
          <w:tcPr>
            <w:tcW w:w="1800" w:type="dxa"/>
            <w:vAlign w:val="center"/>
          </w:tcPr>
          <w:p w14:paraId="22A71D2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踏勘现场</w:t>
            </w:r>
          </w:p>
        </w:tc>
        <w:tc>
          <w:tcPr>
            <w:tcW w:w="6682" w:type="dxa"/>
            <w:vAlign w:val="center"/>
          </w:tcPr>
          <w:p w14:paraId="495785D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2"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本项目不组织现场踏勘</w:t>
            </w:r>
          </w:p>
        </w:tc>
      </w:tr>
      <w:tr w14:paraId="3D37B8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31" w:hRule="atLeast"/>
          <w:jc w:val="center"/>
        </w:trPr>
        <w:tc>
          <w:tcPr>
            <w:tcW w:w="648" w:type="dxa"/>
            <w:vAlign w:val="center"/>
          </w:tcPr>
          <w:p w14:paraId="5BED82C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w:t>
            </w:r>
          </w:p>
        </w:tc>
        <w:tc>
          <w:tcPr>
            <w:tcW w:w="1800" w:type="dxa"/>
            <w:vAlign w:val="center"/>
          </w:tcPr>
          <w:p w14:paraId="15544E4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询问</w:t>
            </w:r>
          </w:p>
        </w:tc>
        <w:tc>
          <w:tcPr>
            <w:tcW w:w="6682" w:type="dxa"/>
            <w:vAlign w:val="center"/>
          </w:tcPr>
          <w:p w14:paraId="101874D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供应商对政府采购活动事项有疑问的，可以向采购机构提出询问，采购人或者招标代理机构应当在3个工作日内对供应商依法提出的询问作出答复，但答复的内容不得涉及商业秘密。</w:t>
            </w:r>
          </w:p>
        </w:tc>
      </w:tr>
      <w:tr w14:paraId="6B3AFF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44" w:hRule="atLeast"/>
          <w:jc w:val="center"/>
        </w:trPr>
        <w:tc>
          <w:tcPr>
            <w:tcW w:w="648" w:type="dxa"/>
            <w:vAlign w:val="center"/>
          </w:tcPr>
          <w:p w14:paraId="5C91518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w:t>
            </w:r>
          </w:p>
        </w:tc>
        <w:tc>
          <w:tcPr>
            <w:tcW w:w="1800" w:type="dxa"/>
            <w:vAlign w:val="center"/>
          </w:tcPr>
          <w:p w14:paraId="5E9A6F0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磋商文件的澄清与修改</w:t>
            </w:r>
          </w:p>
        </w:tc>
        <w:tc>
          <w:tcPr>
            <w:tcW w:w="6682" w:type="dxa"/>
            <w:vAlign w:val="center"/>
          </w:tcPr>
          <w:p w14:paraId="60316C6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采购</w:t>
            </w:r>
            <w:r>
              <w:rPr>
                <w:rFonts w:hint="eastAsia" w:ascii="宋体" w:hAnsi="宋体" w:cs="宋体"/>
                <w:snapToGrid w:val="0"/>
                <w:color w:val="auto"/>
                <w:kern w:val="0"/>
                <w:sz w:val="24"/>
                <w:szCs w:val="24"/>
                <w:highlight w:val="none"/>
                <w:lang w:val="en-US" w:eastAsia="zh-CN"/>
              </w:rPr>
              <w:t>人</w:t>
            </w:r>
            <w:r>
              <w:rPr>
                <w:rFonts w:hint="eastAsia" w:ascii="宋体" w:hAnsi="宋体" w:eastAsia="宋体" w:cs="宋体"/>
                <w:snapToGrid w:val="0"/>
                <w:color w:val="auto"/>
                <w:kern w:val="0"/>
                <w:sz w:val="24"/>
                <w:szCs w:val="24"/>
                <w:highlight w:val="none"/>
              </w:rPr>
              <w:t>可以对已发出的磋商文件进行必要澄清或者修改，澄清或者修改的内容可能影响磋商响应文件编制的，应当在磋商文件要求提交磋商响应文件截止时间五日前，在招标公告发布的媒体上发布更正公告，该澄清或者修改的内容为磋商文件的组成部分。本项目磋商文件和补充（答疑、澄清）、修改文件等请自行登录浙江政府采购网或绍兴市上虞区公共资源交易中心网站查看。</w:t>
            </w:r>
          </w:p>
        </w:tc>
      </w:tr>
      <w:tr w14:paraId="16C50B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2" w:hRule="atLeast"/>
          <w:jc w:val="center"/>
        </w:trPr>
        <w:tc>
          <w:tcPr>
            <w:tcW w:w="648" w:type="dxa"/>
            <w:vAlign w:val="center"/>
          </w:tcPr>
          <w:p w14:paraId="4B26D58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w:t>
            </w:r>
          </w:p>
        </w:tc>
        <w:tc>
          <w:tcPr>
            <w:tcW w:w="1800" w:type="dxa"/>
            <w:vAlign w:val="center"/>
          </w:tcPr>
          <w:p w14:paraId="162B2E9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磋商响应文件组成</w:t>
            </w:r>
          </w:p>
        </w:tc>
        <w:tc>
          <w:tcPr>
            <w:tcW w:w="6682" w:type="dxa"/>
            <w:vAlign w:val="center"/>
          </w:tcPr>
          <w:p w14:paraId="313FBC4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供应商向采购人递交的响应文件由资格文件、商务技术文件、报价文件三部分组成。</w:t>
            </w:r>
          </w:p>
        </w:tc>
      </w:tr>
      <w:tr w14:paraId="754D57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648" w:type="dxa"/>
            <w:vAlign w:val="center"/>
          </w:tcPr>
          <w:p w14:paraId="3568F45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9</w:t>
            </w:r>
          </w:p>
        </w:tc>
        <w:tc>
          <w:tcPr>
            <w:tcW w:w="1800" w:type="dxa"/>
            <w:vAlign w:val="center"/>
          </w:tcPr>
          <w:p w14:paraId="1FA448A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评标办法</w:t>
            </w:r>
          </w:p>
        </w:tc>
        <w:tc>
          <w:tcPr>
            <w:tcW w:w="6682" w:type="dxa"/>
            <w:vAlign w:val="center"/>
          </w:tcPr>
          <w:p w14:paraId="094B69B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综合评分法</w:t>
            </w:r>
          </w:p>
        </w:tc>
      </w:tr>
      <w:tr w14:paraId="3D0A6C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04DC98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w:t>
            </w:r>
          </w:p>
        </w:tc>
        <w:tc>
          <w:tcPr>
            <w:tcW w:w="1800" w:type="dxa"/>
            <w:vAlign w:val="center"/>
          </w:tcPr>
          <w:p w14:paraId="1F19741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磋商响应文件递交地址及截止时间</w:t>
            </w:r>
          </w:p>
        </w:tc>
        <w:tc>
          <w:tcPr>
            <w:tcW w:w="6682" w:type="dxa"/>
            <w:vAlign w:val="center"/>
          </w:tcPr>
          <w:p w14:paraId="0BB6118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snapToGrid w:val="0"/>
                <w:color w:val="auto"/>
                <w:kern w:val="0"/>
                <w:sz w:val="24"/>
                <w:szCs w:val="24"/>
                <w:highlight w:val="none"/>
              </w:rPr>
              <w:t>详见磋商公告</w:t>
            </w:r>
          </w:p>
        </w:tc>
      </w:tr>
      <w:tr w14:paraId="1F1DBF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C79165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w:t>
            </w:r>
          </w:p>
        </w:tc>
        <w:tc>
          <w:tcPr>
            <w:tcW w:w="1800" w:type="dxa"/>
            <w:vAlign w:val="center"/>
          </w:tcPr>
          <w:p w14:paraId="43D89DC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开标时间、地点</w:t>
            </w:r>
          </w:p>
        </w:tc>
        <w:tc>
          <w:tcPr>
            <w:tcW w:w="6682" w:type="dxa"/>
            <w:vAlign w:val="center"/>
          </w:tcPr>
          <w:p w14:paraId="168616C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开标时间：</w:t>
            </w:r>
            <w:r>
              <w:rPr>
                <w:rFonts w:hint="eastAsia" w:ascii="宋体" w:hAnsi="宋体" w:eastAsia="宋体" w:cs="宋体"/>
                <w:color w:val="auto"/>
                <w:kern w:val="0"/>
                <w:sz w:val="24"/>
                <w:szCs w:val="24"/>
                <w:highlight w:val="none"/>
              </w:rPr>
              <w:t>详见磋商公告</w:t>
            </w:r>
          </w:p>
          <w:p w14:paraId="0ED9E9A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snapToGrid w:val="0"/>
                <w:color w:val="auto"/>
                <w:kern w:val="0"/>
                <w:sz w:val="24"/>
                <w:szCs w:val="24"/>
                <w:highlight w:val="none"/>
              </w:rPr>
              <w:t>开标地点：</w:t>
            </w:r>
            <w:r>
              <w:rPr>
                <w:rFonts w:hint="eastAsia" w:ascii="宋体" w:hAnsi="宋体" w:eastAsia="宋体" w:cs="宋体"/>
                <w:color w:val="auto"/>
                <w:kern w:val="0"/>
                <w:sz w:val="24"/>
                <w:szCs w:val="24"/>
                <w:highlight w:val="none"/>
              </w:rPr>
              <w:t>详见磋商公告</w:t>
            </w:r>
          </w:p>
        </w:tc>
      </w:tr>
      <w:tr w14:paraId="7B8EAD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1EABA1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w:t>
            </w:r>
          </w:p>
        </w:tc>
        <w:tc>
          <w:tcPr>
            <w:tcW w:w="1800" w:type="dxa"/>
            <w:vAlign w:val="center"/>
          </w:tcPr>
          <w:p w14:paraId="1EB8C54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磋商响应文件有效期</w:t>
            </w:r>
          </w:p>
        </w:tc>
        <w:tc>
          <w:tcPr>
            <w:tcW w:w="6682" w:type="dxa"/>
            <w:vAlign w:val="center"/>
          </w:tcPr>
          <w:p w14:paraId="3C3254A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响应文件有效期为从提交响应文件的截止之日起90天。供应商的</w:t>
            </w:r>
            <w:r>
              <w:rPr>
                <w:rFonts w:hint="eastAsia" w:ascii="宋体" w:hAnsi="宋体" w:eastAsia="宋体" w:cs="宋体"/>
                <w:snapToGrid w:val="0"/>
                <w:color w:val="auto"/>
                <w:kern w:val="0"/>
                <w:sz w:val="24"/>
                <w:szCs w:val="24"/>
                <w:highlight w:val="none"/>
                <w:lang w:val="en-US" w:eastAsia="zh-CN"/>
              </w:rPr>
              <w:t>磋商</w:t>
            </w:r>
            <w:r>
              <w:rPr>
                <w:rFonts w:hint="eastAsia" w:ascii="宋体" w:hAnsi="宋体" w:eastAsia="宋体" w:cs="宋体"/>
                <w:snapToGrid w:val="0"/>
                <w:color w:val="auto"/>
                <w:kern w:val="0"/>
                <w:sz w:val="24"/>
                <w:szCs w:val="24"/>
                <w:highlight w:val="none"/>
              </w:rPr>
              <w:t>响应文件中承诺的响应文件有效期少于磋商文件中载明的响应文件有效期的，磋商无效。</w:t>
            </w:r>
          </w:p>
        </w:tc>
      </w:tr>
      <w:tr w14:paraId="4172C0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6" w:hRule="atLeast"/>
          <w:jc w:val="center"/>
        </w:trPr>
        <w:tc>
          <w:tcPr>
            <w:tcW w:w="648" w:type="dxa"/>
            <w:vAlign w:val="center"/>
          </w:tcPr>
          <w:p w14:paraId="343C186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C00000"/>
                <w:kern w:val="0"/>
                <w:sz w:val="24"/>
                <w:szCs w:val="24"/>
                <w:highlight w:val="none"/>
              </w:rPr>
            </w:pPr>
            <w:r>
              <w:rPr>
                <w:rFonts w:hint="eastAsia" w:ascii="宋体" w:hAnsi="宋体" w:eastAsia="宋体" w:cs="宋体"/>
                <w:snapToGrid w:val="0"/>
                <w:color w:val="auto"/>
                <w:kern w:val="0"/>
                <w:sz w:val="24"/>
                <w:szCs w:val="24"/>
                <w:highlight w:val="none"/>
              </w:rPr>
              <w:t>13</w:t>
            </w:r>
          </w:p>
        </w:tc>
        <w:tc>
          <w:tcPr>
            <w:tcW w:w="1800" w:type="dxa"/>
            <w:vAlign w:val="center"/>
          </w:tcPr>
          <w:p w14:paraId="6C48F2F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履约保证金</w:t>
            </w:r>
          </w:p>
        </w:tc>
        <w:tc>
          <w:tcPr>
            <w:tcW w:w="6682" w:type="dxa"/>
            <w:vAlign w:val="center"/>
          </w:tcPr>
          <w:p w14:paraId="72DDC2D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Cs/>
                <w:sz w:val="24"/>
                <w:szCs w:val="24"/>
                <w:highlight w:val="none"/>
                <w:lang w:val="en-US" w:eastAsia="zh-CN"/>
              </w:rPr>
              <w:t>本项目不设置履约保证金。</w:t>
            </w:r>
          </w:p>
        </w:tc>
      </w:tr>
      <w:tr w14:paraId="137BB7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18CABB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14</w:t>
            </w:r>
          </w:p>
        </w:tc>
        <w:tc>
          <w:tcPr>
            <w:tcW w:w="1800" w:type="dxa"/>
            <w:vAlign w:val="center"/>
          </w:tcPr>
          <w:p w14:paraId="4103B0D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磋商公告及成交结果公告发布媒体</w:t>
            </w:r>
          </w:p>
        </w:tc>
        <w:tc>
          <w:tcPr>
            <w:tcW w:w="6682" w:type="dxa"/>
            <w:vAlign w:val="center"/>
          </w:tcPr>
          <w:p w14:paraId="7507FCC8">
            <w:pPr>
              <w:pStyle w:val="15"/>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浙江省政府采购网、绍兴市上虞区公共资源交易中心网站</w:t>
            </w:r>
          </w:p>
        </w:tc>
      </w:tr>
      <w:tr w14:paraId="1065D4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767A23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800" w:type="dxa"/>
            <w:vAlign w:val="center"/>
          </w:tcPr>
          <w:p w14:paraId="17B8503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质疑</w:t>
            </w:r>
          </w:p>
        </w:tc>
        <w:tc>
          <w:tcPr>
            <w:tcW w:w="6682" w:type="dxa"/>
            <w:vAlign w:val="center"/>
          </w:tcPr>
          <w:p w14:paraId="6B7B8DCC">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根据《中华人民共和国政府采购法》第五十二条、《中华人民共和国政府采购法实施条例》第五十三条、《浙江省政府采购供应商质疑处理办法》的规定：</w:t>
            </w:r>
          </w:p>
          <w:p w14:paraId="6A5AFDF9">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磋商文件使自己的权益受到损害的，可以在磋商文件公告期限届满之日起7个工作日内，以书面形式向采购人和采购代理机构提出质疑。供应商在法定质疑期内应一次性提出针对同一采购程序环节的质疑。</w:t>
            </w:r>
            <w:r>
              <w:rPr>
                <w:rFonts w:hint="eastAsia" w:ascii="宋体" w:hAnsi="宋体" w:eastAsia="宋体" w:cs="宋体"/>
                <w:color w:val="auto"/>
                <w:sz w:val="24"/>
                <w:szCs w:val="24"/>
                <w:highlight w:val="none"/>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在法定质疑期内应一次性提出针对同一采购程序环节的质疑。</w:t>
            </w:r>
          </w:p>
          <w:p w14:paraId="3401400B">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供应商如认为采购过程使自身的合法权益受到损害的，应于各采购程序环节结束之日起七个工作日内以书面形式向采购机构提出质疑；</w:t>
            </w:r>
          </w:p>
          <w:p w14:paraId="1B98E4E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供应商如认为中标结果使自身的合法权益受到损害的，应于中标或者成交结果公告期限届满之日起七个工作日内以书面形式向采购机构提出质疑</w:t>
            </w:r>
            <w:r>
              <w:rPr>
                <w:rFonts w:hint="eastAsia" w:ascii="宋体" w:hAnsi="宋体" w:eastAsia="宋体" w:cs="宋体"/>
                <w:snapToGrid w:val="0"/>
                <w:color w:val="auto"/>
                <w:kern w:val="0"/>
                <w:sz w:val="24"/>
                <w:szCs w:val="24"/>
                <w:highlight w:val="none"/>
              </w:rPr>
              <w:t>。</w:t>
            </w:r>
          </w:p>
        </w:tc>
      </w:tr>
      <w:tr w14:paraId="2D9765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46" w:hRule="atLeast"/>
          <w:jc w:val="center"/>
        </w:trPr>
        <w:tc>
          <w:tcPr>
            <w:tcW w:w="648" w:type="dxa"/>
            <w:vAlign w:val="center"/>
          </w:tcPr>
          <w:p w14:paraId="289C552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16</w:t>
            </w:r>
          </w:p>
        </w:tc>
        <w:tc>
          <w:tcPr>
            <w:tcW w:w="1800" w:type="dxa"/>
            <w:vAlign w:val="center"/>
          </w:tcPr>
          <w:p w14:paraId="65FC3EA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投诉</w:t>
            </w:r>
          </w:p>
        </w:tc>
        <w:tc>
          <w:tcPr>
            <w:tcW w:w="6682" w:type="dxa"/>
            <w:vAlign w:val="center"/>
          </w:tcPr>
          <w:p w14:paraId="4C50669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根据《中华人民共和国政府采购法》第五十五条的规定，质疑供应商对采购人、招标代理机构的答复不满意或者采购人、招标代理机构未在规定的时间内作出答复的，可以在答复期满后十五个工作日内向同级政府采购监督管理部门投诉。</w:t>
            </w:r>
          </w:p>
        </w:tc>
      </w:tr>
      <w:tr w14:paraId="1DCA00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90BA90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17</w:t>
            </w:r>
          </w:p>
        </w:tc>
        <w:tc>
          <w:tcPr>
            <w:tcW w:w="1800" w:type="dxa"/>
            <w:vAlign w:val="center"/>
          </w:tcPr>
          <w:p w14:paraId="4EFDD9B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特别说明</w:t>
            </w:r>
          </w:p>
        </w:tc>
        <w:tc>
          <w:tcPr>
            <w:tcW w:w="6682" w:type="dxa"/>
            <w:vAlign w:val="center"/>
          </w:tcPr>
          <w:p w14:paraId="61ADA4B1">
            <w:pPr>
              <w:pStyle w:val="15"/>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供应商应无条件</w:t>
            </w:r>
            <w:r>
              <w:rPr>
                <w:rFonts w:hint="eastAsia" w:hAnsi="宋体" w:cs="宋体"/>
                <w:color w:val="auto"/>
                <w:kern w:val="0"/>
                <w:sz w:val="24"/>
                <w:szCs w:val="24"/>
                <w:highlight w:val="none"/>
                <w:lang w:eastAsia="zh-CN"/>
              </w:rPr>
              <w:t>地</w:t>
            </w:r>
            <w:r>
              <w:rPr>
                <w:rFonts w:hint="eastAsia" w:ascii="宋体" w:hAnsi="宋体" w:eastAsia="宋体" w:cs="宋体"/>
                <w:color w:val="auto"/>
                <w:kern w:val="0"/>
                <w:sz w:val="24"/>
                <w:szCs w:val="24"/>
                <w:highlight w:val="none"/>
              </w:rPr>
              <w:t>、认真仔细</w:t>
            </w:r>
            <w:r>
              <w:rPr>
                <w:rFonts w:hint="eastAsia" w:hAnsi="宋体" w:cs="宋体"/>
                <w:color w:val="auto"/>
                <w:kern w:val="0"/>
                <w:sz w:val="24"/>
                <w:szCs w:val="24"/>
                <w:highlight w:val="none"/>
                <w:lang w:eastAsia="zh-CN"/>
              </w:rPr>
              <w:t>地</w:t>
            </w:r>
            <w:r>
              <w:rPr>
                <w:rFonts w:hint="eastAsia" w:ascii="宋体" w:hAnsi="宋体" w:eastAsia="宋体" w:cs="宋体"/>
                <w:color w:val="auto"/>
                <w:kern w:val="0"/>
                <w:sz w:val="24"/>
                <w:szCs w:val="24"/>
                <w:highlight w:val="none"/>
              </w:rPr>
              <w:t>阅读本磋商文件及其澄清答疑、修改答复的补充文件，严格按照磋商文件及补充文件的规定和要求编制</w:t>
            </w:r>
            <w:r>
              <w:rPr>
                <w:rFonts w:hint="eastAsia" w:ascii="宋体" w:hAnsi="宋体" w:eastAsia="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响应文件。在编制</w:t>
            </w:r>
            <w:r>
              <w:rPr>
                <w:rFonts w:hint="eastAsia" w:ascii="宋体" w:hAnsi="宋体" w:eastAsia="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响应文件过程中，应严格遵循实事求是、诚信投标的原则，针对磋商文件中的采购需求、合同条款等各项内容进行确认，如有偏离，应如实填写响应偏离表。</w:t>
            </w:r>
          </w:p>
          <w:p w14:paraId="1BD0EBC9">
            <w:pPr>
              <w:pStyle w:val="15"/>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该项目结果公告期间，供应商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1B07A839">
            <w:pPr>
              <w:pStyle w:val="15"/>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磋商文件中凡标注“</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”的条款均为实质性要求，不响应的</w:t>
            </w:r>
            <w:r>
              <w:rPr>
                <w:rFonts w:hint="eastAsia" w:ascii="宋体" w:hAnsi="宋体" w:eastAsia="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响应文件将作无效标处理。</w:t>
            </w:r>
          </w:p>
        </w:tc>
      </w:tr>
      <w:tr w14:paraId="0AF675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648" w:type="dxa"/>
            <w:vAlign w:val="center"/>
          </w:tcPr>
          <w:p w14:paraId="0CAA4AC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18</w:t>
            </w:r>
          </w:p>
        </w:tc>
        <w:tc>
          <w:tcPr>
            <w:tcW w:w="1800" w:type="dxa"/>
            <w:vAlign w:val="center"/>
          </w:tcPr>
          <w:p w14:paraId="026EAEB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w:t>
            </w:r>
          </w:p>
          <w:p w14:paraId="5A3E15B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持</w:t>
            </w:r>
          </w:p>
          <w:p w14:paraId="47F83EE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w:t>
            </w:r>
          </w:p>
          <w:p w14:paraId="4BA9E03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w:t>
            </w:r>
          </w:p>
          <w:p w14:paraId="55E8C7F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w:t>
            </w:r>
          </w:p>
          <w:p w14:paraId="77853C9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w:t>
            </w:r>
          </w:p>
          <w:p w14:paraId="662FDC7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p>
        </w:tc>
        <w:tc>
          <w:tcPr>
            <w:tcW w:w="6682" w:type="dxa"/>
            <w:vAlign w:val="center"/>
          </w:tcPr>
          <w:p w14:paraId="3C553C64">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小微企业是指在中华人民共和国境内依法设立，依据国务院批准的中小企业划分标准确定的小型企业和微型企业，但与大企业的负责人为同一人，或者与大企业存在直接控股、管理关系的除外。</w:t>
            </w:r>
          </w:p>
          <w:p w14:paraId="3B52AFF4">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符合中小企业划分标准的个体工商户，在政府采购活动中视同中小企业。</w:t>
            </w:r>
          </w:p>
          <w:p w14:paraId="199AEA93">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在货物采购项目中，货物由小微企业制造，即货物由小微企业生产且使用该小微企业商号或者注册商标。供应商提供的货物既有中小企业制造货物，也有大型企业制造货物的，不享受中小企业扶持政策。</w:t>
            </w:r>
          </w:p>
          <w:p w14:paraId="7115EBCA">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在服务采购项目中，服务由小微企业承接，即提供服务的人员为小微企业依照《中华人民共和国劳动合同法》订立劳动合同的从业人员。</w:t>
            </w:r>
          </w:p>
          <w:p w14:paraId="1B43EA6D">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联合体各方均为小型、微型企业的，联合体视同为小型、微型企业。</w:t>
            </w:r>
          </w:p>
          <w:p w14:paraId="62EE886B">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符合上述条件的中小微型企业应按照</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文件附件的格式要求提供《中小企业声明函》。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9775DBB">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w:t>
            </w:r>
          </w:p>
          <w:p w14:paraId="5713DB64">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组成联合体或者接受分包的小微企业与联合体内其他企业、分包企业之间存在直接控股、管理关系的，不享受价格扣除优惠政策</w:t>
            </w:r>
            <w:r>
              <w:rPr>
                <w:rFonts w:hint="eastAsia" w:ascii="宋体" w:hAnsi="宋体" w:eastAsia="宋体" w:cs="宋体"/>
                <w:color w:val="auto"/>
                <w:sz w:val="24"/>
                <w:szCs w:val="24"/>
                <w:highlight w:val="none"/>
              </w:rPr>
              <w:t>。</w:t>
            </w:r>
          </w:p>
        </w:tc>
      </w:tr>
      <w:tr w14:paraId="69242F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5ADA071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19</w:t>
            </w:r>
          </w:p>
        </w:tc>
        <w:tc>
          <w:tcPr>
            <w:tcW w:w="1800" w:type="dxa"/>
            <w:vAlign w:val="center"/>
          </w:tcPr>
          <w:p w14:paraId="24C2CA3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招标代理服务费</w:t>
            </w:r>
          </w:p>
        </w:tc>
        <w:tc>
          <w:tcPr>
            <w:tcW w:w="6682" w:type="dxa"/>
            <w:vAlign w:val="center"/>
          </w:tcPr>
          <w:p w14:paraId="6BE87843">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color w:val="auto"/>
                <w:sz w:val="24"/>
                <w:szCs w:val="24"/>
                <w:highlight w:val="none"/>
              </w:rPr>
            </w:pPr>
          </w:p>
          <w:p w14:paraId="44160CE5">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代理服务费用收取标准：</w:t>
            </w:r>
          </w:p>
          <w:tbl>
            <w:tblPr>
              <w:tblStyle w:val="29"/>
              <w:tblW w:w="6103"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10"/>
              <w:gridCol w:w="1008"/>
              <w:gridCol w:w="1008"/>
              <w:gridCol w:w="977"/>
            </w:tblGrid>
            <w:tr w14:paraId="78E6E85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14:paraId="756C279C">
                  <w:pPr>
                    <w:keepNext w:val="0"/>
                    <w:keepLines w:val="0"/>
                    <w:pageBreakBefore w:val="0"/>
                    <w:suppressLineNumbers w:val="0"/>
                    <w:kinsoku/>
                    <w:wordWrap/>
                    <w:overflowPunct/>
                    <w:topLinePunct w:val="0"/>
                    <w:autoSpaceDE/>
                    <w:bidi w:val="0"/>
                    <w:adjustRightInd/>
                    <w:spacing w:before="0" w:beforeAutospacing="0" w:after="0" w:afterAutospacing="0" w:line="288" w:lineRule="auto"/>
                    <w:ind w:left="0" w:right="0"/>
                    <w:jc w:val="center"/>
                    <w:textAlignment w:val="auto"/>
                    <w:rPr>
                      <w:rFonts w:hint="eastAsia" w:ascii="宋体" w:hAnsi="宋体" w:cs="宋体"/>
                      <w:highlight w:val="none"/>
                    </w:rPr>
                  </w:pPr>
                  <w:r>
                    <w:rPr>
                      <w:rFonts w:hint="eastAsia" w:ascii="宋体" w:hAnsi="宋体" w:cs="宋体"/>
                      <w:highlight w:val="none"/>
                    </w:rPr>
                    <w:t>服务类型 中标金额（万元）</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35CF1F08">
                  <w:pPr>
                    <w:pStyle w:val="26"/>
                    <w:keepNext w:val="0"/>
                    <w:keepLines w:val="0"/>
                    <w:pageBreakBefore w:val="0"/>
                    <w:suppressLineNumbers w:val="0"/>
                    <w:kinsoku/>
                    <w:wordWrap/>
                    <w:overflowPunct/>
                    <w:topLinePunct w:val="0"/>
                    <w:autoSpaceDE/>
                    <w:bidi w:val="0"/>
                    <w:adjustRightInd/>
                    <w:spacing w:line="288" w:lineRule="auto"/>
                    <w:ind w:left="0" w:right="0"/>
                    <w:jc w:val="center"/>
                    <w:textAlignment w:val="auto"/>
                    <w:rPr>
                      <w:rFonts w:hint="eastAsia"/>
                      <w:sz w:val="21"/>
                      <w:szCs w:val="21"/>
                      <w:highlight w:val="none"/>
                    </w:rPr>
                  </w:pPr>
                  <w:r>
                    <w:rPr>
                      <w:rFonts w:hint="eastAsia"/>
                      <w:sz w:val="21"/>
                      <w:szCs w:val="21"/>
                      <w:highlight w:val="none"/>
                    </w:rPr>
                    <w:t>货物招标</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6063B29C">
                  <w:pPr>
                    <w:keepNext w:val="0"/>
                    <w:keepLines w:val="0"/>
                    <w:pageBreakBefore w:val="0"/>
                    <w:suppressLineNumbers w:val="0"/>
                    <w:kinsoku/>
                    <w:wordWrap/>
                    <w:overflowPunct/>
                    <w:topLinePunct w:val="0"/>
                    <w:autoSpaceDE/>
                    <w:bidi w:val="0"/>
                    <w:adjustRightInd/>
                    <w:spacing w:before="0" w:beforeAutospacing="0" w:after="0" w:afterAutospacing="0" w:line="288" w:lineRule="auto"/>
                    <w:ind w:left="0" w:right="0"/>
                    <w:jc w:val="center"/>
                    <w:textAlignment w:val="auto"/>
                    <w:rPr>
                      <w:rFonts w:hint="eastAsia" w:ascii="宋体" w:hAnsi="宋体" w:cs="宋体"/>
                      <w:highlight w:val="none"/>
                    </w:rPr>
                  </w:pPr>
                  <w:r>
                    <w:rPr>
                      <w:rFonts w:hint="eastAsia" w:ascii="宋体" w:hAnsi="宋体" w:cs="宋体"/>
                      <w:highlight w:val="none"/>
                    </w:rPr>
                    <w:t>服务招标</w:t>
                  </w:r>
                </w:p>
              </w:tc>
              <w:tc>
                <w:tcPr>
                  <w:tcW w:w="977" w:type="dxa"/>
                  <w:tcBorders>
                    <w:top w:val="outset" w:color="auto" w:sz="6" w:space="0"/>
                    <w:left w:val="outset" w:color="auto" w:sz="6" w:space="0"/>
                    <w:bottom w:val="outset" w:color="auto" w:sz="6" w:space="0"/>
                    <w:right w:val="outset" w:color="auto" w:sz="6" w:space="0"/>
                  </w:tcBorders>
                  <w:noWrap w:val="0"/>
                  <w:vAlign w:val="center"/>
                </w:tcPr>
                <w:p w14:paraId="6B148381">
                  <w:pPr>
                    <w:keepNext w:val="0"/>
                    <w:keepLines w:val="0"/>
                    <w:pageBreakBefore w:val="0"/>
                    <w:suppressLineNumbers w:val="0"/>
                    <w:kinsoku/>
                    <w:wordWrap/>
                    <w:overflowPunct/>
                    <w:topLinePunct w:val="0"/>
                    <w:autoSpaceDE/>
                    <w:bidi w:val="0"/>
                    <w:adjustRightInd/>
                    <w:spacing w:before="0" w:beforeAutospacing="0" w:after="0" w:afterAutospacing="0" w:line="288" w:lineRule="auto"/>
                    <w:ind w:left="0" w:right="0"/>
                    <w:jc w:val="center"/>
                    <w:textAlignment w:val="auto"/>
                    <w:rPr>
                      <w:rFonts w:hint="eastAsia" w:ascii="宋体" w:hAnsi="宋体" w:cs="宋体"/>
                      <w:highlight w:val="none"/>
                    </w:rPr>
                  </w:pPr>
                  <w:r>
                    <w:rPr>
                      <w:rFonts w:hint="eastAsia" w:ascii="宋体" w:hAnsi="宋体" w:cs="宋体"/>
                      <w:highlight w:val="none"/>
                    </w:rPr>
                    <w:t>工程招标</w:t>
                  </w:r>
                </w:p>
              </w:tc>
            </w:tr>
            <w:tr w14:paraId="2577124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14:paraId="30370EAC">
                  <w:pPr>
                    <w:keepNext w:val="0"/>
                    <w:keepLines w:val="0"/>
                    <w:pageBreakBefore w:val="0"/>
                    <w:suppressLineNumbers w:val="0"/>
                    <w:kinsoku/>
                    <w:wordWrap/>
                    <w:overflowPunct/>
                    <w:topLinePunct w:val="0"/>
                    <w:autoSpaceDE/>
                    <w:bidi w:val="0"/>
                    <w:adjustRightInd/>
                    <w:spacing w:before="0" w:beforeAutospacing="0" w:after="0" w:afterAutospacing="0" w:line="288" w:lineRule="auto"/>
                    <w:ind w:left="0" w:right="0"/>
                    <w:jc w:val="center"/>
                    <w:textAlignment w:val="auto"/>
                    <w:rPr>
                      <w:rFonts w:hint="eastAsia" w:ascii="宋体" w:hAnsi="宋体" w:cs="宋体"/>
                      <w:highlight w:val="none"/>
                    </w:rPr>
                  </w:pPr>
                  <w:r>
                    <w:rPr>
                      <w:rFonts w:hint="eastAsia" w:ascii="宋体" w:hAnsi="宋体" w:cs="宋体"/>
                      <w:highlight w:val="none"/>
                    </w:rPr>
                    <w:t>100以下</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7E374B7B">
                  <w:pPr>
                    <w:keepNext w:val="0"/>
                    <w:keepLines w:val="0"/>
                    <w:pageBreakBefore w:val="0"/>
                    <w:suppressLineNumbers w:val="0"/>
                    <w:kinsoku/>
                    <w:wordWrap/>
                    <w:overflowPunct/>
                    <w:topLinePunct w:val="0"/>
                    <w:autoSpaceDE/>
                    <w:bidi w:val="0"/>
                    <w:adjustRightInd/>
                    <w:spacing w:before="0" w:beforeAutospacing="0" w:after="0" w:afterAutospacing="0" w:line="288" w:lineRule="auto"/>
                    <w:ind w:left="0" w:right="0"/>
                    <w:jc w:val="center"/>
                    <w:textAlignment w:val="auto"/>
                    <w:rPr>
                      <w:rFonts w:hint="eastAsia" w:ascii="宋体" w:hAnsi="宋体" w:cs="宋体"/>
                      <w:highlight w:val="none"/>
                    </w:rPr>
                  </w:pPr>
                  <w:r>
                    <w:rPr>
                      <w:rFonts w:hint="eastAsia" w:ascii="宋体" w:hAnsi="宋体" w:cs="宋体"/>
                      <w:highlight w:val="none"/>
                    </w:rPr>
                    <w:t>1.5％</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3BFC703C">
                  <w:pPr>
                    <w:keepNext w:val="0"/>
                    <w:keepLines w:val="0"/>
                    <w:pageBreakBefore w:val="0"/>
                    <w:suppressLineNumbers w:val="0"/>
                    <w:kinsoku/>
                    <w:wordWrap/>
                    <w:overflowPunct/>
                    <w:topLinePunct w:val="0"/>
                    <w:autoSpaceDE/>
                    <w:bidi w:val="0"/>
                    <w:adjustRightInd/>
                    <w:spacing w:before="0" w:beforeAutospacing="0" w:after="0" w:afterAutospacing="0" w:line="288" w:lineRule="auto"/>
                    <w:ind w:left="0" w:right="0"/>
                    <w:jc w:val="center"/>
                    <w:textAlignment w:val="auto"/>
                    <w:rPr>
                      <w:rFonts w:hint="eastAsia" w:ascii="宋体" w:hAnsi="宋体" w:cs="宋体"/>
                      <w:highlight w:val="none"/>
                    </w:rPr>
                  </w:pPr>
                  <w:r>
                    <w:rPr>
                      <w:rFonts w:hint="eastAsia" w:ascii="宋体" w:hAnsi="宋体" w:cs="宋体"/>
                      <w:highlight w:val="none"/>
                    </w:rPr>
                    <w:t>1.5％</w:t>
                  </w:r>
                </w:p>
              </w:tc>
              <w:tc>
                <w:tcPr>
                  <w:tcW w:w="977" w:type="dxa"/>
                  <w:tcBorders>
                    <w:top w:val="outset" w:color="auto" w:sz="6" w:space="0"/>
                    <w:left w:val="outset" w:color="auto" w:sz="6" w:space="0"/>
                    <w:bottom w:val="outset" w:color="auto" w:sz="6" w:space="0"/>
                    <w:right w:val="outset" w:color="auto" w:sz="6" w:space="0"/>
                  </w:tcBorders>
                  <w:noWrap w:val="0"/>
                  <w:vAlign w:val="center"/>
                </w:tcPr>
                <w:p w14:paraId="49AD2B1A">
                  <w:pPr>
                    <w:keepNext w:val="0"/>
                    <w:keepLines w:val="0"/>
                    <w:pageBreakBefore w:val="0"/>
                    <w:suppressLineNumbers w:val="0"/>
                    <w:kinsoku/>
                    <w:wordWrap/>
                    <w:overflowPunct/>
                    <w:topLinePunct w:val="0"/>
                    <w:autoSpaceDE/>
                    <w:bidi w:val="0"/>
                    <w:adjustRightInd/>
                    <w:spacing w:before="0" w:beforeAutospacing="0" w:after="0" w:afterAutospacing="0" w:line="288" w:lineRule="auto"/>
                    <w:ind w:left="0" w:right="0"/>
                    <w:jc w:val="center"/>
                    <w:textAlignment w:val="auto"/>
                    <w:rPr>
                      <w:rFonts w:hint="eastAsia" w:ascii="宋体" w:hAnsi="宋体" w:cs="宋体"/>
                      <w:highlight w:val="none"/>
                    </w:rPr>
                  </w:pPr>
                  <w:r>
                    <w:rPr>
                      <w:rFonts w:hint="eastAsia" w:ascii="宋体" w:hAnsi="宋体" w:cs="宋体"/>
                      <w:highlight w:val="none"/>
                    </w:rPr>
                    <w:t>1.0％</w:t>
                  </w:r>
                </w:p>
              </w:tc>
            </w:tr>
            <w:tr w14:paraId="16C78FE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14:paraId="65119505">
                  <w:pPr>
                    <w:keepNext w:val="0"/>
                    <w:keepLines w:val="0"/>
                    <w:pageBreakBefore w:val="0"/>
                    <w:suppressLineNumbers w:val="0"/>
                    <w:kinsoku/>
                    <w:wordWrap/>
                    <w:overflowPunct/>
                    <w:topLinePunct w:val="0"/>
                    <w:autoSpaceDE/>
                    <w:bidi w:val="0"/>
                    <w:adjustRightInd/>
                    <w:spacing w:before="0" w:beforeAutospacing="0" w:after="0" w:afterAutospacing="0" w:line="288" w:lineRule="auto"/>
                    <w:ind w:left="0" w:right="0"/>
                    <w:jc w:val="center"/>
                    <w:textAlignment w:val="auto"/>
                    <w:rPr>
                      <w:rFonts w:hint="eastAsia" w:ascii="宋体" w:hAnsi="宋体" w:cs="宋体"/>
                      <w:highlight w:val="none"/>
                    </w:rPr>
                  </w:pPr>
                  <w:r>
                    <w:rPr>
                      <w:rFonts w:hint="eastAsia" w:ascii="宋体" w:hAnsi="宋体" w:cs="宋体"/>
                      <w:highlight w:val="none"/>
                    </w:rPr>
                    <w:t>100—500</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0F7EB05C">
                  <w:pPr>
                    <w:keepNext w:val="0"/>
                    <w:keepLines w:val="0"/>
                    <w:pageBreakBefore w:val="0"/>
                    <w:suppressLineNumbers w:val="0"/>
                    <w:kinsoku/>
                    <w:wordWrap/>
                    <w:overflowPunct/>
                    <w:topLinePunct w:val="0"/>
                    <w:autoSpaceDE/>
                    <w:bidi w:val="0"/>
                    <w:adjustRightInd/>
                    <w:spacing w:before="0" w:beforeAutospacing="0" w:after="0" w:afterAutospacing="0" w:line="288" w:lineRule="auto"/>
                    <w:ind w:left="0" w:right="0"/>
                    <w:jc w:val="center"/>
                    <w:textAlignment w:val="auto"/>
                    <w:rPr>
                      <w:rFonts w:hint="eastAsia" w:ascii="宋体" w:hAnsi="宋体" w:cs="宋体"/>
                      <w:highlight w:val="none"/>
                    </w:rPr>
                  </w:pPr>
                  <w:r>
                    <w:rPr>
                      <w:rFonts w:hint="eastAsia" w:ascii="宋体" w:hAnsi="宋体" w:cs="宋体"/>
                      <w:highlight w:val="none"/>
                    </w:rPr>
                    <w:t>1.1％</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3767AB42">
                  <w:pPr>
                    <w:keepNext w:val="0"/>
                    <w:keepLines w:val="0"/>
                    <w:pageBreakBefore w:val="0"/>
                    <w:suppressLineNumbers w:val="0"/>
                    <w:kinsoku/>
                    <w:wordWrap/>
                    <w:overflowPunct/>
                    <w:topLinePunct w:val="0"/>
                    <w:autoSpaceDE/>
                    <w:bidi w:val="0"/>
                    <w:adjustRightInd/>
                    <w:spacing w:before="0" w:beforeAutospacing="0" w:after="0" w:afterAutospacing="0" w:line="288" w:lineRule="auto"/>
                    <w:ind w:left="0" w:right="0"/>
                    <w:jc w:val="center"/>
                    <w:textAlignment w:val="auto"/>
                    <w:rPr>
                      <w:rFonts w:hint="eastAsia" w:ascii="宋体" w:hAnsi="宋体" w:cs="宋体"/>
                      <w:highlight w:val="none"/>
                    </w:rPr>
                  </w:pPr>
                  <w:r>
                    <w:rPr>
                      <w:rFonts w:hint="eastAsia" w:ascii="宋体" w:hAnsi="宋体" w:cs="宋体"/>
                      <w:highlight w:val="none"/>
                    </w:rPr>
                    <w:t>0.8％</w:t>
                  </w:r>
                </w:p>
              </w:tc>
              <w:tc>
                <w:tcPr>
                  <w:tcW w:w="977" w:type="dxa"/>
                  <w:tcBorders>
                    <w:top w:val="outset" w:color="auto" w:sz="6" w:space="0"/>
                    <w:left w:val="outset" w:color="auto" w:sz="6" w:space="0"/>
                    <w:bottom w:val="outset" w:color="auto" w:sz="6" w:space="0"/>
                    <w:right w:val="outset" w:color="auto" w:sz="6" w:space="0"/>
                  </w:tcBorders>
                  <w:noWrap w:val="0"/>
                  <w:vAlign w:val="center"/>
                </w:tcPr>
                <w:p w14:paraId="26C7A211">
                  <w:pPr>
                    <w:keepNext w:val="0"/>
                    <w:keepLines w:val="0"/>
                    <w:pageBreakBefore w:val="0"/>
                    <w:suppressLineNumbers w:val="0"/>
                    <w:kinsoku/>
                    <w:wordWrap/>
                    <w:overflowPunct/>
                    <w:topLinePunct w:val="0"/>
                    <w:autoSpaceDE/>
                    <w:bidi w:val="0"/>
                    <w:adjustRightInd/>
                    <w:spacing w:before="0" w:beforeAutospacing="0" w:after="0" w:afterAutospacing="0" w:line="288" w:lineRule="auto"/>
                    <w:ind w:left="0" w:right="0"/>
                    <w:jc w:val="center"/>
                    <w:textAlignment w:val="auto"/>
                    <w:rPr>
                      <w:rFonts w:hint="eastAsia" w:ascii="宋体" w:hAnsi="宋体" w:cs="宋体"/>
                      <w:highlight w:val="none"/>
                    </w:rPr>
                  </w:pPr>
                  <w:r>
                    <w:rPr>
                      <w:rFonts w:hint="eastAsia" w:ascii="宋体" w:hAnsi="宋体" w:cs="宋体"/>
                      <w:highlight w:val="none"/>
                    </w:rPr>
                    <w:t>0.7％</w:t>
                  </w:r>
                </w:p>
              </w:tc>
            </w:tr>
          </w:tbl>
          <w:p w14:paraId="7E70C4C4">
            <w:pPr>
              <w:pStyle w:val="28"/>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eastAsia"/>
                <w:highlight w:val="none"/>
              </w:rPr>
            </w:pPr>
          </w:p>
          <w:p w14:paraId="6DB9FFD1">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结算方式及时间为：在领取中标通知书前由成交供应商一次性向采购代理机构付清。</w:t>
            </w:r>
          </w:p>
        </w:tc>
      </w:tr>
      <w:tr w14:paraId="32FAFA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250B82A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20</w:t>
            </w:r>
          </w:p>
        </w:tc>
        <w:tc>
          <w:tcPr>
            <w:tcW w:w="1800" w:type="dxa"/>
            <w:vAlign w:val="center"/>
          </w:tcPr>
          <w:p w14:paraId="25D62CF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是否允许分包</w:t>
            </w:r>
          </w:p>
        </w:tc>
        <w:tc>
          <w:tcPr>
            <w:tcW w:w="6682" w:type="dxa"/>
            <w:vAlign w:val="center"/>
          </w:tcPr>
          <w:p w14:paraId="4BFB3820">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u w:val="single"/>
              </w:rPr>
              <w:t>不允许</w:t>
            </w:r>
            <w:r>
              <w:rPr>
                <w:rFonts w:hint="eastAsia" w:ascii="宋体" w:hAnsi="宋体" w:eastAsia="宋体" w:cs="宋体"/>
                <w:color w:val="auto"/>
                <w:sz w:val="24"/>
                <w:szCs w:val="24"/>
                <w:highlight w:val="none"/>
              </w:rPr>
              <w:t>分包</w:t>
            </w:r>
          </w:p>
        </w:tc>
      </w:tr>
      <w:tr w14:paraId="221F7E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Align w:val="center"/>
          </w:tcPr>
          <w:p w14:paraId="71783BA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21</w:t>
            </w:r>
          </w:p>
        </w:tc>
        <w:tc>
          <w:tcPr>
            <w:tcW w:w="1800" w:type="dxa"/>
            <w:tcBorders>
              <w:top w:val="single" w:color="auto" w:sz="4" w:space="0"/>
            </w:tcBorders>
            <w:vAlign w:val="center"/>
          </w:tcPr>
          <w:p w14:paraId="1068870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是否提供演示</w:t>
            </w:r>
          </w:p>
        </w:tc>
        <w:tc>
          <w:tcPr>
            <w:tcW w:w="6682" w:type="dxa"/>
            <w:tcBorders>
              <w:top w:val="single" w:color="auto" w:sz="4" w:space="0"/>
            </w:tcBorders>
            <w:vAlign w:val="center"/>
          </w:tcPr>
          <w:p w14:paraId="421A6973">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u w:val="single"/>
              </w:rPr>
              <w:t>不需要</w:t>
            </w:r>
            <w:r>
              <w:rPr>
                <w:rFonts w:hint="eastAsia" w:ascii="宋体" w:hAnsi="宋体" w:eastAsia="宋体" w:cs="宋体"/>
                <w:color w:val="auto"/>
                <w:sz w:val="24"/>
                <w:szCs w:val="24"/>
                <w:highlight w:val="none"/>
              </w:rPr>
              <w:t>提供演示。</w:t>
            </w:r>
          </w:p>
        </w:tc>
      </w:tr>
      <w:tr w14:paraId="253736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Merge w:val="restart"/>
            <w:vAlign w:val="center"/>
          </w:tcPr>
          <w:p w14:paraId="0079D47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highlight w:val="none"/>
                <w:lang w:val="en-US" w:eastAsia="zh-CN"/>
              </w:rPr>
            </w:pPr>
            <w:r>
              <w:rPr>
                <w:rFonts w:hint="eastAsia" w:ascii="宋体" w:hAnsi="宋体" w:eastAsia="宋体" w:cs="宋体"/>
                <w:snapToGrid w:val="0"/>
                <w:color w:val="auto"/>
                <w:kern w:val="0"/>
                <w:highlight w:val="none"/>
                <w:lang w:val="en-US" w:eastAsia="zh-CN"/>
              </w:rPr>
              <w:t>22</w:t>
            </w:r>
          </w:p>
        </w:tc>
        <w:tc>
          <w:tcPr>
            <w:tcW w:w="1800" w:type="dxa"/>
            <w:vMerge w:val="restart"/>
            <w:tcBorders>
              <w:top w:val="single" w:color="auto" w:sz="4" w:space="0"/>
            </w:tcBorders>
            <w:vAlign w:val="center"/>
          </w:tcPr>
          <w:p w14:paraId="7F24583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预付款</w:t>
            </w:r>
          </w:p>
          <w:p w14:paraId="1C4F45E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p>
        </w:tc>
        <w:tc>
          <w:tcPr>
            <w:tcW w:w="6682" w:type="dxa"/>
            <w:tcBorders>
              <w:top w:val="single" w:color="auto" w:sz="4" w:space="0"/>
            </w:tcBorders>
            <w:vAlign w:val="center"/>
          </w:tcPr>
          <w:p w14:paraId="4E489977">
            <w:pPr>
              <w:keepNext w:val="0"/>
              <w:keepLines w:val="0"/>
              <w:pageBreakBefore w:val="0"/>
              <w:suppressLineNumbers w:val="0"/>
              <w:tabs>
                <w:tab w:val="left" w:pos="256"/>
              </w:tabs>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color w:val="0000FF"/>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本项目</w:t>
            </w:r>
            <w:r>
              <w:rPr>
                <w:rFonts w:hint="eastAsia" w:ascii="宋体" w:hAnsi="宋体" w:cs="宋体"/>
                <w:color w:val="auto"/>
                <w:sz w:val="24"/>
                <w:szCs w:val="24"/>
                <w:highlight w:val="none"/>
                <w:lang w:val="en-US" w:eastAsia="zh-CN"/>
              </w:rPr>
              <w:t>不设置预付款。</w:t>
            </w:r>
          </w:p>
        </w:tc>
      </w:tr>
      <w:tr w14:paraId="0CF54A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Merge w:val="continue"/>
            <w:vAlign w:val="center"/>
          </w:tcPr>
          <w:p w14:paraId="70D3B2B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highlight w:val="none"/>
              </w:rPr>
            </w:pPr>
          </w:p>
        </w:tc>
        <w:tc>
          <w:tcPr>
            <w:tcW w:w="1800" w:type="dxa"/>
            <w:vMerge w:val="continue"/>
            <w:vAlign w:val="center"/>
          </w:tcPr>
          <w:p w14:paraId="0EA916F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p>
        </w:tc>
        <w:tc>
          <w:tcPr>
            <w:tcW w:w="6682" w:type="dxa"/>
            <w:tcBorders>
              <w:top w:val="single" w:color="auto" w:sz="4" w:space="0"/>
            </w:tcBorders>
            <w:vAlign w:val="center"/>
          </w:tcPr>
          <w:p w14:paraId="3B45E316">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根据《浙江省财政厅关于进一步发挥政府采购政策功能全力推动经济稳进提质的通知》[浙财采监(2022）3号]文件第二条第五点关于“进一步提高政府采购预付款比例”的规定：</w:t>
            </w:r>
          </w:p>
          <w:p w14:paraId="77D82688">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1、采购单位应当在政府采购合同中约定预付款；</w:t>
            </w:r>
          </w:p>
          <w:p w14:paraId="54752D09">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涉及中小企业合同预付款的，合同签订后，采购人可以根据项目特点、供应商诚信等因素要求中标人提交银行、保险公司等金融机构出具的预付款保函或其他担保措施，采购人在合同生效以及具备实施条件后7个工作日内向中标人支付40%—70%的合同款作为预付款（项目为分年安排预算的，预付款按年度计划支付资金额的上述比例执行）；项目如以人工投入为主，采购人在合同生效以及具备实施条件后7个工作日内向中标人支付20%—70%的合同款作为预付款。</w:t>
            </w:r>
          </w:p>
          <w:p w14:paraId="217FF946">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3、本项目涉及投标人为大型企业，或者以人工投入为主且实行按月定期结算支付款项的，预付款可低于上述比例或者不约定预付款（相应字样应在合同中体现）。</w:t>
            </w:r>
          </w:p>
          <w:p w14:paraId="4D5DFD9A">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color w:val="0000FF"/>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4、在签订合同时，中标人明确表示无需预付款或者主动要求降低预付款比例的，应提交相应申请函经采购人确认后，可不适用前述规定。</w:t>
            </w:r>
          </w:p>
        </w:tc>
      </w:tr>
      <w:tr w14:paraId="517D7E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D02145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2</w:t>
            </w:r>
            <w:r>
              <w:rPr>
                <w:rFonts w:hint="eastAsia" w:ascii="宋体" w:hAnsi="宋体" w:eastAsia="宋体" w:cs="宋体"/>
                <w:snapToGrid w:val="0"/>
                <w:color w:val="auto"/>
                <w:kern w:val="0"/>
                <w:highlight w:val="none"/>
                <w:lang w:val="en-US" w:eastAsia="zh-CN"/>
              </w:rPr>
              <w:t>3</w:t>
            </w:r>
          </w:p>
        </w:tc>
        <w:tc>
          <w:tcPr>
            <w:tcW w:w="1800" w:type="dxa"/>
            <w:vAlign w:val="center"/>
          </w:tcPr>
          <w:p w14:paraId="4FD3D87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供应商信用信息查询渠道及截止时点、信用信息查询记录和证据留存的具体方式、信用信息的使用规则</w:t>
            </w:r>
          </w:p>
        </w:tc>
        <w:tc>
          <w:tcPr>
            <w:tcW w:w="6682" w:type="dxa"/>
            <w:vAlign w:val="center"/>
          </w:tcPr>
          <w:p w14:paraId="484B5889">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1、查询渠道：信用中国（网址：http://www.creditchina.gov.cn）、中国政府采购网(网址：http://www.ccgp.gov.cn）。</w:t>
            </w:r>
          </w:p>
          <w:p w14:paraId="6DA4D5FA">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2、截止时点：开标后评标前。</w:t>
            </w:r>
          </w:p>
          <w:p w14:paraId="2C95915F">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3、信用信息查询记录和证据留存的具体方式：由采购组织机构在规定查询时间内打印信用信息查询记录并归入项目档案。</w:t>
            </w:r>
          </w:p>
          <w:p w14:paraId="3BDEBD7A">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40C6C6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BC53C3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2</w:t>
            </w:r>
            <w:r>
              <w:rPr>
                <w:rFonts w:hint="eastAsia" w:ascii="宋体" w:hAnsi="宋体" w:eastAsia="宋体" w:cs="宋体"/>
                <w:snapToGrid w:val="0"/>
                <w:color w:val="auto"/>
                <w:kern w:val="0"/>
                <w:highlight w:val="none"/>
                <w:lang w:val="en-US" w:eastAsia="zh-CN"/>
              </w:rPr>
              <w:t>4</w:t>
            </w:r>
          </w:p>
        </w:tc>
        <w:tc>
          <w:tcPr>
            <w:tcW w:w="1800" w:type="dxa"/>
            <w:vAlign w:val="center"/>
          </w:tcPr>
          <w:p w14:paraId="015E45A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金融支持</w:t>
            </w:r>
          </w:p>
        </w:tc>
        <w:tc>
          <w:tcPr>
            <w:tcW w:w="6682" w:type="dxa"/>
            <w:vAlign w:val="center"/>
          </w:tcPr>
          <w:p w14:paraId="0E2A4FBB">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为支持和促进中小企业发展，进一步发挥政府采购政策功能，企业若有融资意向，可</w:t>
            </w:r>
            <w:r>
              <w:rPr>
                <w:rFonts w:hint="eastAsia" w:ascii="宋体" w:hAnsi="宋体" w:eastAsia="宋体" w:cs="宋体"/>
                <w:color w:val="auto"/>
                <w:sz w:val="24"/>
                <w:szCs w:val="24"/>
                <w:highlight w:val="none"/>
                <w:lang w:eastAsia="zh-CN"/>
              </w:rPr>
              <w:t>登录</w:t>
            </w:r>
            <w:r>
              <w:rPr>
                <w:rFonts w:hint="eastAsia" w:ascii="宋体" w:hAnsi="宋体" w:eastAsia="宋体" w:cs="宋体"/>
                <w:color w:val="auto"/>
                <w:sz w:val="24"/>
                <w:szCs w:val="24"/>
                <w:highlight w:val="none"/>
              </w:rPr>
              <w:t>政采云平台融资服务（https://jinrong.zcygov.cn/），查看相应融资政策文件及各相关银行服务方案。</w:t>
            </w:r>
          </w:p>
        </w:tc>
      </w:tr>
      <w:tr w14:paraId="5A336A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tcBorders>
              <w:bottom w:val="double" w:color="auto" w:sz="4" w:space="0"/>
            </w:tcBorders>
            <w:vAlign w:val="center"/>
          </w:tcPr>
          <w:p w14:paraId="01ADFB5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2</w:t>
            </w:r>
            <w:r>
              <w:rPr>
                <w:rFonts w:hint="eastAsia" w:ascii="宋体" w:hAnsi="宋体" w:eastAsia="宋体" w:cs="宋体"/>
                <w:snapToGrid w:val="0"/>
                <w:color w:val="auto"/>
                <w:kern w:val="0"/>
                <w:highlight w:val="none"/>
                <w:lang w:val="en-US" w:eastAsia="zh-CN"/>
              </w:rPr>
              <w:t>5</w:t>
            </w:r>
          </w:p>
        </w:tc>
        <w:tc>
          <w:tcPr>
            <w:tcW w:w="1800" w:type="dxa"/>
            <w:tcBorders>
              <w:bottom w:val="double" w:color="auto" w:sz="4" w:space="0"/>
            </w:tcBorders>
            <w:vAlign w:val="center"/>
          </w:tcPr>
          <w:p w14:paraId="7C1F49B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6682" w:type="dxa"/>
            <w:tcBorders>
              <w:bottom w:val="double" w:color="auto" w:sz="4" w:space="0"/>
            </w:tcBorders>
            <w:vAlign w:val="center"/>
          </w:tcPr>
          <w:p w14:paraId="0EC09004">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本磋商文件要求提供的身份证复印件皆需提供正反面，否则按不提供处理。</w:t>
            </w:r>
          </w:p>
          <w:p w14:paraId="40E69595">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2、本项目货物如涉及柴油动力移动源，柴油动力移动源应当符合低排放要求。</w:t>
            </w:r>
          </w:p>
        </w:tc>
      </w:tr>
    </w:tbl>
    <w:p w14:paraId="7E6CDE62">
      <w:pPr>
        <w:pStyle w:val="10"/>
        <w:spacing w:line="360" w:lineRule="auto"/>
        <w:rPr>
          <w:rFonts w:hint="eastAsia" w:ascii="宋体" w:hAnsi="宋体" w:eastAsia="宋体" w:cs="宋体"/>
          <w:color w:val="auto"/>
          <w:highlight w:val="none"/>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color w:val="auto"/>
          <w:sz w:val="24"/>
          <w:szCs w:val="24"/>
          <w:highlight w:val="none"/>
        </w:rPr>
        <w:t>注：以上内容如有变化将另行通知。如通知其中某一内容发生变化，其余未提及的将不作变动。</w:t>
      </w:r>
    </w:p>
    <w:p w14:paraId="4FA0C70C">
      <w:pPr>
        <w:pStyle w:val="5"/>
        <w:numPr>
          <w:ilvl w:val="0"/>
          <w:numId w:val="9"/>
        </w:num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10" w:name="_Toc20057"/>
      <w:bookmarkStart w:id="11" w:name="_Toc25187"/>
      <w:r>
        <w:rPr>
          <w:rFonts w:hint="eastAsia" w:ascii="宋体" w:hAnsi="宋体" w:eastAsia="宋体" w:cs="宋体"/>
          <w:color w:val="auto"/>
          <w:sz w:val="24"/>
          <w:szCs w:val="24"/>
          <w:highlight w:val="none"/>
        </w:rPr>
        <w:t>总则</w:t>
      </w:r>
      <w:bookmarkEnd w:id="10"/>
      <w:bookmarkEnd w:id="11"/>
    </w:p>
    <w:p w14:paraId="4597463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本次招标工作是按照《中华人民共和国政府采购法》《中华人民共和国政府采购法实施条例》《政府采购竞争性磋商采购方式管理暂行办法》等相关法律、组织和实施，并由政府采购管理部门指导和监督。</w:t>
      </w:r>
    </w:p>
    <w:p w14:paraId="44BCB599">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1、适用范围</w:t>
      </w:r>
    </w:p>
    <w:p w14:paraId="7F06065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1.1本次磋商工作仅适用于</w:t>
      </w:r>
      <w:r>
        <w:rPr>
          <w:rFonts w:hint="eastAsia" w:ascii="宋体" w:hAnsi="宋体" w:cs="宋体"/>
          <w:color w:val="auto"/>
          <w:sz w:val="24"/>
          <w:szCs w:val="24"/>
          <w:highlight w:val="none"/>
          <w:u w:val="single"/>
          <w:lang w:eastAsia="zh-CN"/>
        </w:rPr>
        <w:t>绍兴市上虞区“十五五”研究课题及规划编制项目</w:t>
      </w:r>
      <w:r>
        <w:rPr>
          <w:rFonts w:hint="eastAsia" w:ascii="宋体" w:hAnsi="宋体" w:eastAsia="宋体" w:cs="宋体"/>
          <w:color w:val="auto"/>
          <w:sz w:val="24"/>
          <w:szCs w:val="24"/>
          <w:highlight w:val="none"/>
        </w:rPr>
        <w:t>。</w:t>
      </w:r>
    </w:p>
    <w:p w14:paraId="653ADCE7">
      <w:pPr>
        <w:pStyle w:val="2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1.2本项目采购方式采用竞争性磋商方式。</w:t>
      </w:r>
    </w:p>
    <w:p w14:paraId="60F46C30">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2、定义</w:t>
      </w:r>
    </w:p>
    <w:p w14:paraId="5824CD0F">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zh-CN"/>
        </w:rPr>
        <w:t>采购人”系指</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绍兴市上虞区发展和改革局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。采购人委托</w:t>
      </w:r>
      <w:r>
        <w:rPr>
          <w:rFonts w:hint="eastAsia" w:ascii="宋体" w:hAnsi="宋体" w:eastAsia="宋体" w:cs="宋体"/>
          <w:color w:val="auto"/>
          <w:sz w:val="24"/>
          <w:szCs w:val="24"/>
          <w:highlight w:val="none"/>
          <w:u w:val="single"/>
        </w:rPr>
        <w:t xml:space="preserve">绍兴成言工程咨询管理有限公司 </w:t>
      </w:r>
      <w:r>
        <w:rPr>
          <w:rFonts w:hint="eastAsia" w:ascii="宋体" w:hAnsi="宋体" w:eastAsia="宋体" w:cs="宋体"/>
          <w:color w:val="auto"/>
          <w:sz w:val="24"/>
          <w:szCs w:val="24"/>
          <w:highlight w:val="none"/>
        </w:rPr>
        <w:t>为本项目采购代理机构。</w:t>
      </w:r>
    </w:p>
    <w:p w14:paraId="2BC6BE4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2.2“供应商”系指响应本次采购，参加本次竞争性磋商的供应商。</w:t>
      </w:r>
    </w:p>
    <w:p w14:paraId="1428A1BB">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zh-CN"/>
        </w:rPr>
        <w:t>“服务”系指</w:t>
      </w:r>
      <w:r>
        <w:rPr>
          <w:rFonts w:hint="eastAsia" w:ascii="宋体" w:hAnsi="宋体" w:eastAsia="宋体" w:cs="宋体"/>
          <w:color w:val="auto"/>
          <w:sz w:val="24"/>
          <w:szCs w:val="24"/>
          <w:highlight w:val="none"/>
        </w:rPr>
        <w:t>磋商供应商按合同规定，须承担的服务的义务</w:t>
      </w:r>
      <w:r>
        <w:rPr>
          <w:rFonts w:hint="eastAsia" w:ascii="宋体" w:hAnsi="宋体" w:eastAsia="宋体" w:cs="宋体"/>
          <w:color w:val="auto"/>
          <w:sz w:val="24"/>
          <w:szCs w:val="24"/>
          <w:highlight w:val="none"/>
          <w:lang w:val="zh-CN"/>
        </w:rPr>
        <w:t>。</w:t>
      </w:r>
    </w:p>
    <w:p w14:paraId="11337B12">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3、采购项目概况</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ab/>
      </w:r>
    </w:p>
    <w:p w14:paraId="6511489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详见竞争性磋商公告相关内容，主要要求参见本文件第</w:t>
      </w:r>
      <w:r>
        <w:rPr>
          <w:rFonts w:hint="eastAsia" w:ascii="宋体" w:hAnsi="宋体" w:eastAsia="宋体" w:cs="宋体"/>
          <w:color w:val="auto"/>
          <w:sz w:val="24"/>
          <w:szCs w:val="24"/>
          <w:highlight w:val="none"/>
          <w:u w:val="single"/>
        </w:rPr>
        <w:t xml:space="preserve"> 三 </w:t>
      </w:r>
      <w:r>
        <w:rPr>
          <w:rFonts w:hint="eastAsia" w:ascii="宋体" w:hAnsi="宋体" w:eastAsia="宋体" w:cs="宋体"/>
          <w:color w:val="auto"/>
          <w:sz w:val="24"/>
          <w:szCs w:val="24"/>
          <w:highlight w:val="none"/>
        </w:rPr>
        <w:t>部分。</w:t>
      </w:r>
    </w:p>
    <w:p w14:paraId="4939C199">
      <w:pPr>
        <w:adjustRightIn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4、合格的磋商供应商</w:t>
      </w:r>
    </w:p>
    <w:p w14:paraId="016D2260">
      <w:pPr>
        <w:spacing w:line="360" w:lineRule="auto"/>
        <w:ind w:firstLine="480" w:firstLineChars="200"/>
        <w:rPr>
          <w:rFonts w:hint="eastAsia" w:ascii="宋体" w:hAnsi="宋体" w:eastAsia="宋体" w:cs="宋体"/>
          <w:color w:val="auto"/>
          <w:sz w:val="24"/>
          <w:szCs w:val="24"/>
          <w:highlight w:val="none"/>
        </w:rPr>
      </w:pPr>
      <w:bookmarkStart w:id="12" w:name="_Toc197156227"/>
      <w:bookmarkStart w:id="13" w:name="_Toc197053926"/>
      <w:bookmarkStart w:id="14" w:name="_Toc193538208"/>
      <w:bookmarkStart w:id="15" w:name="_Toc204683265"/>
      <w:bookmarkStart w:id="16" w:name="_Toc208287611"/>
      <w:bookmarkStart w:id="17" w:name="_Toc208913145"/>
      <w:bookmarkStart w:id="18" w:name="_Toc197163261"/>
      <w:bookmarkStart w:id="19" w:name="_Toc197657950"/>
      <w:bookmarkStart w:id="20" w:name="_Toc193523219"/>
      <w:bookmarkStart w:id="21" w:name="_Toc209435242"/>
      <w:bookmarkStart w:id="22" w:name="_Toc209520993"/>
      <w:bookmarkStart w:id="23" w:name="_Toc207946571"/>
      <w:bookmarkStart w:id="24" w:name="_Toc211412066"/>
      <w:bookmarkStart w:id="25" w:name="_Toc209504018"/>
      <w:r>
        <w:rPr>
          <w:rFonts w:hint="eastAsia" w:ascii="宋体" w:hAnsi="宋体" w:eastAsia="宋体" w:cs="宋体"/>
          <w:color w:val="auto"/>
          <w:sz w:val="24"/>
          <w:szCs w:val="24"/>
          <w:highlight w:val="none"/>
        </w:rPr>
        <w:t>详见竞争性磋商采购公告磋商供应商的资格要求规定。</w:t>
      </w:r>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7D5B13F3">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5、磋商费用</w:t>
      </w:r>
    </w:p>
    <w:p w14:paraId="6506A1D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磋商供应商应承担其参加磋商所涉及的一切费用，不管结果如何，采购人对上述费用不负任何责任。</w:t>
      </w:r>
    </w:p>
    <w:p w14:paraId="43E96223">
      <w:pPr>
        <w:pStyle w:val="5"/>
        <w:numPr>
          <w:ilvl w:val="0"/>
          <w:numId w:val="9"/>
        </w:numPr>
        <w:spacing w:line="360" w:lineRule="auto"/>
        <w:jc w:val="center"/>
        <w:rPr>
          <w:rFonts w:hint="eastAsia" w:ascii="宋体" w:hAnsi="宋体" w:eastAsia="宋体" w:cs="宋体"/>
          <w:color w:val="auto"/>
          <w:sz w:val="24"/>
          <w:szCs w:val="24"/>
          <w:highlight w:val="none"/>
        </w:rPr>
      </w:pPr>
      <w:bookmarkStart w:id="26" w:name="_Toc416992151"/>
      <w:bookmarkStart w:id="27" w:name="_Toc25923"/>
      <w:bookmarkStart w:id="28" w:name="_Toc32689"/>
      <w:r>
        <w:rPr>
          <w:rFonts w:hint="eastAsia" w:ascii="宋体" w:hAnsi="宋体" w:eastAsia="宋体" w:cs="宋体"/>
          <w:color w:val="auto"/>
          <w:sz w:val="24"/>
          <w:szCs w:val="24"/>
          <w:highlight w:val="none"/>
        </w:rPr>
        <w:t xml:space="preserve"> </w:t>
      </w:r>
      <w:bookmarkStart w:id="29" w:name="_Toc25793"/>
      <w:bookmarkStart w:id="30" w:name="_Toc11814"/>
      <w:r>
        <w:rPr>
          <w:rFonts w:hint="eastAsia" w:ascii="宋体" w:hAnsi="宋体" w:eastAsia="宋体" w:cs="宋体"/>
          <w:color w:val="auto"/>
          <w:sz w:val="24"/>
          <w:szCs w:val="24"/>
          <w:highlight w:val="none"/>
        </w:rPr>
        <w:t>竞争性磋商文件</w:t>
      </w:r>
      <w:bookmarkEnd w:id="26"/>
      <w:bookmarkEnd w:id="27"/>
      <w:bookmarkEnd w:id="28"/>
      <w:bookmarkEnd w:id="29"/>
      <w:bookmarkEnd w:id="30"/>
    </w:p>
    <w:p w14:paraId="626EBDBF">
      <w:pPr>
        <w:adjustRightIn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6、磋商文件的组成</w:t>
      </w:r>
    </w:p>
    <w:p w14:paraId="53F46E55">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6.1本磋商文件包括目录所示内容及所有按本须知发出的补充资料（如果有）。</w:t>
      </w:r>
    </w:p>
    <w:p w14:paraId="16F52F01">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6.2除上述所列内容外，采购人及采购代理机构的任何工作人员对磋商供应商所作的任何口头解释、介绍、答复，只能供磋商供应商参考，对采购人和磋商供应商无任何约束力。</w:t>
      </w:r>
    </w:p>
    <w:p w14:paraId="094F4474">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6.3磋商供应商应仔细阅读磋商文件的所有内容，按照文件要求提交响应文件，并保证所提交的全部资料的真实性。不按磋商文件的要求提供的响应文件和资料，可能导致磋商被拒绝。</w:t>
      </w:r>
    </w:p>
    <w:p w14:paraId="14A443E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14:paraId="3C505566">
      <w:pPr>
        <w:adjustRightInd w:val="0"/>
        <w:spacing w:line="360" w:lineRule="auto"/>
        <w:ind w:firstLine="472" w:firstLineChars="1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7、磋商文件的澄清与修改</w:t>
      </w:r>
    </w:p>
    <w:p w14:paraId="7AFAC41D">
      <w:pPr>
        <w:pStyle w:val="12"/>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7.1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14:paraId="0E30AE28">
      <w:pPr>
        <w:pStyle w:val="12"/>
        <w:spacing w:line="360" w:lineRule="auto"/>
        <w:ind w:right="-252" w:rightChars="-12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7.2磋商供应商要求解释或澄清的问题应以书面形式，并加盖公章、写明日期。</w:t>
      </w:r>
    </w:p>
    <w:p w14:paraId="1B754B66">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7.3提交响应文件截止之日前，采购人、采购代理机构或者磋商小组可以对已发出的磋商文件进行必要的澄清或者修改，澄清或者修改的内容作为磋商文件的组成部分。</w:t>
      </w:r>
    </w:p>
    <w:p w14:paraId="2E30721B">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7.4竞争性磋商文件的澄清修改文件及更正补充公告，请自行登录浙江政府采购网或绍兴市上虞区公共资源交易中心网站，在采购公告页面中下载。</w:t>
      </w:r>
    </w:p>
    <w:p w14:paraId="5D1045DB">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澄清或者修改的内容可能影响响应文件编制的，采购人、采购代理机构将在提交响应文件截止时间至少5日前，以公告形式通知所有获取磋商文件的供应商；不足5日的，采购人、采购代理机构可能会顺延提交首次响应文件截止时间。澄清或者修改的内容未对原磋商文件作出重大修改或不会影响响应文件编制的，递交首次响应文件截止时间不变。</w:t>
      </w:r>
    </w:p>
    <w:p w14:paraId="090CC7D3">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7.6竞争性磋商文件澄清、答复、修改、补充的内容为竞争性磋商文件的组成部分。</w:t>
      </w:r>
    </w:p>
    <w:p w14:paraId="605F9D83">
      <w:pPr>
        <w:pStyle w:val="1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7.7磋商文件发售截止日后，经采购人同意后购买磋商文件的磋商供应商不得对磋商文件和补充文件提出答疑或质疑。</w:t>
      </w:r>
    </w:p>
    <w:p w14:paraId="3C61A780">
      <w:pPr>
        <w:pStyle w:val="5"/>
        <w:numPr>
          <w:ilvl w:val="0"/>
          <w:numId w:val="9"/>
        </w:numPr>
        <w:spacing w:line="360" w:lineRule="auto"/>
        <w:jc w:val="center"/>
        <w:rPr>
          <w:rFonts w:hint="eastAsia" w:ascii="宋体" w:hAnsi="宋体" w:eastAsia="宋体" w:cs="宋体"/>
          <w:color w:val="auto"/>
          <w:sz w:val="24"/>
          <w:szCs w:val="24"/>
          <w:highlight w:val="none"/>
        </w:rPr>
      </w:pPr>
      <w:bookmarkStart w:id="31" w:name="_Toc23975"/>
      <w:bookmarkStart w:id="32" w:name="_Toc11093"/>
      <w:bookmarkStart w:id="33" w:name="_Toc6273"/>
      <w:bookmarkStart w:id="34" w:name="_Toc10669"/>
      <w:bookmarkStart w:id="35" w:name="_Toc1828"/>
      <w:bookmarkStart w:id="36" w:name="_Toc14650"/>
      <w:bookmarkStart w:id="37" w:name="_Toc31748"/>
      <w:bookmarkStart w:id="38" w:name="_Toc11669"/>
      <w:bookmarkStart w:id="39" w:name="_Toc8860"/>
      <w:bookmarkStart w:id="40" w:name="_Toc24622"/>
      <w:bookmarkStart w:id="41" w:name="_Toc23135"/>
      <w:bookmarkStart w:id="42" w:name="_Toc6457"/>
      <w:bookmarkStart w:id="43" w:name="_Toc10810"/>
      <w:bookmarkStart w:id="44" w:name="_Toc391298957"/>
      <w:bookmarkStart w:id="45" w:name="_Toc1729"/>
      <w:bookmarkStart w:id="46" w:name="_Toc6079"/>
      <w:bookmarkStart w:id="47" w:name="_Toc18702"/>
      <w:bookmarkStart w:id="48" w:name="_Toc26027"/>
      <w:bookmarkStart w:id="49" w:name="_Toc7126"/>
      <w:bookmarkStart w:id="50" w:name="_Toc26603"/>
      <w:bookmarkStart w:id="51" w:name="_Toc1202"/>
      <w:bookmarkStart w:id="52" w:name="_Toc11692"/>
      <w:r>
        <w:rPr>
          <w:rFonts w:hint="eastAsia" w:ascii="宋体" w:hAnsi="宋体" w:eastAsia="宋体" w:cs="宋体"/>
          <w:color w:val="auto"/>
          <w:sz w:val="24"/>
          <w:szCs w:val="24"/>
          <w:highlight w:val="none"/>
        </w:rPr>
        <w:t xml:space="preserve"> </w:t>
      </w:r>
      <w:bookmarkStart w:id="53" w:name="_Toc538"/>
      <w:bookmarkStart w:id="54" w:name="_Toc11515"/>
      <w:r>
        <w:rPr>
          <w:rFonts w:hint="eastAsia" w:ascii="宋体" w:hAnsi="宋体" w:eastAsia="宋体" w:cs="宋体"/>
          <w:color w:val="auto"/>
          <w:sz w:val="24"/>
          <w:szCs w:val="24"/>
          <w:highlight w:val="none"/>
        </w:rPr>
        <w:t>竞争性磋商响应文件的编写</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33320DD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8、要求</w:t>
      </w:r>
    </w:p>
    <w:p w14:paraId="725D87A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供应商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14:paraId="6D52C09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8.2报价</w:t>
      </w:r>
    </w:p>
    <w:p w14:paraId="61AC8E9F">
      <w:pPr>
        <w:spacing w:line="360" w:lineRule="auto"/>
        <w:ind w:firstLine="480" w:firstLineChars="200"/>
        <w:rPr>
          <w:rFonts w:hint="eastAsia" w:ascii="宋体" w:hAnsi="宋体" w:eastAsia="宋体" w:cs="宋体"/>
          <w:b/>
          <w:bCs/>
          <w:color w:val="auto"/>
          <w:sz w:val="24"/>
          <w:szCs w:val="24"/>
          <w:highlight w:val="none"/>
          <w:shd w:val="clear" w:color="FFFFFF" w:fill="D9D9D9"/>
        </w:rPr>
      </w:pPr>
      <w:r>
        <w:rPr>
          <w:rFonts w:hint="eastAsia" w:ascii="宋体" w:hAnsi="宋体" w:eastAsia="宋体" w:cs="宋体"/>
          <w:color w:val="auto"/>
          <w:sz w:val="24"/>
          <w:szCs w:val="24"/>
          <w:highlight w:val="none"/>
        </w:rPr>
        <w:t>8.2.1本次报价非一次性报价，报价币种为人民币。在磋商后根据磋商情况（包括细化采购方案和要求，增补部分采购内容等），供应商须二次报价（最终报价），</w:t>
      </w:r>
      <w:r>
        <w:rPr>
          <w:rFonts w:hint="eastAsia" w:ascii="宋体" w:hAnsi="宋体" w:eastAsia="宋体" w:cs="宋体"/>
          <w:b/>
          <w:bCs/>
          <w:color w:val="auto"/>
          <w:sz w:val="24"/>
          <w:szCs w:val="24"/>
          <w:highlight w:val="none"/>
        </w:rPr>
        <w:t>如果供应商在规定时间30分钟内未提交第二次报价，视该供应商放弃本次投标，作无效标处理</w:t>
      </w:r>
      <w:r>
        <w:rPr>
          <w:rFonts w:hint="eastAsia" w:ascii="宋体" w:hAnsi="宋体" w:eastAsia="宋体" w:cs="宋体"/>
          <w:color w:val="auto"/>
          <w:sz w:val="24"/>
          <w:szCs w:val="24"/>
          <w:highlight w:val="none"/>
        </w:rPr>
        <w:t>。</w:t>
      </w:r>
    </w:p>
    <w:p w14:paraId="26D6C2C4">
      <w:pPr>
        <w:spacing w:line="360" w:lineRule="auto"/>
        <w:ind w:firstLine="482" w:firstLineChars="200"/>
        <w:rPr>
          <w:rFonts w:hint="eastAsia" w:ascii="宋体" w:hAnsi="宋体" w:eastAsia="宋体" w:cs="宋体"/>
          <w:color w:val="auto"/>
          <w:highlight w:val="none"/>
          <w:u w:val="single"/>
        </w:rPr>
      </w:pPr>
      <w:r>
        <w:rPr>
          <w:rFonts w:hint="eastAsia" w:ascii="宋体" w:hAnsi="宋体" w:eastAsia="宋体" w:cs="宋体"/>
          <w:b/>
          <w:bCs/>
          <w:color w:val="auto"/>
          <w:sz w:val="24"/>
          <w:szCs w:val="32"/>
          <w:highlight w:val="none"/>
        </w:rPr>
        <w:t>8.2.2本次报价应包含项目所需全部服务，不得缺漏，是履行合同的最终价格，</w:t>
      </w:r>
      <w:r>
        <w:rPr>
          <w:rFonts w:hint="eastAsia" w:ascii="宋体" w:hAnsi="宋体" w:eastAsia="宋体" w:cs="宋体"/>
          <w:b/>
          <w:bCs/>
          <w:color w:val="auto"/>
          <w:sz w:val="24"/>
          <w:szCs w:val="32"/>
          <w:highlight w:val="none"/>
          <w:lang w:eastAsia="zh-CN"/>
        </w:rPr>
        <w:t>包括但不限于日常运营服务费、人工费、管理费、税金、风险、代理服务费等完成本项目的全部费用。凡乙方在报价中未列明但又为本次采购所必备的项目或遗漏项目，甲方将一律视为已包括在合同价中，在合同执行中将不予考虑。</w:t>
      </w:r>
    </w:p>
    <w:p w14:paraId="4BA4ADE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投标报价固定是指供应商所填写的投标报价在合同实施期间不因市场因素而变动，供应商在计算报价时可考虑一定的风险系数（由供应商自行考虑）。</w:t>
      </w:r>
    </w:p>
    <w:p w14:paraId="398490B8">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8.2.3供应商的报价作为供应商计算单价或总价的依据，</w:t>
      </w:r>
      <w:r>
        <w:rPr>
          <w:rFonts w:hint="eastAsia" w:ascii="宋体" w:hAnsi="宋体" w:cs="宋体"/>
          <w:color w:val="auto"/>
          <w:sz w:val="24"/>
          <w:szCs w:val="24"/>
          <w:highlight w:val="none"/>
          <w:lang w:eastAsia="zh-CN"/>
        </w:rPr>
        <w:t>应</w:t>
      </w:r>
      <w:r>
        <w:rPr>
          <w:rFonts w:hint="eastAsia" w:ascii="宋体" w:hAnsi="宋体" w:eastAsia="宋体" w:cs="宋体"/>
          <w:color w:val="auto"/>
          <w:sz w:val="24"/>
          <w:szCs w:val="24"/>
          <w:highlight w:val="none"/>
        </w:rPr>
        <w:t>完成技术文件中的所有要求，不得以任何理由予以重复，供应商对报价若有说明应在报价一览表备注处注明。任何有选择的报价方案及价格将不予接受。</w:t>
      </w:r>
    </w:p>
    <w:p w14:paraId="0ADF501A">
      <w:pPr>
        <w:pStyle w:val="15"/>
        <w:spacing w:line="360" w:lineRule="auto"/>
        <w:ind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9、响应文件的组成</w:t>
      </w:r>
      <w:r>
        <w:rPr>
          <w:rFonts w:hint="eastAsia" w:ascii="宋体" w:hAnsi="宋体" w:eastAsia="宋体" w:cs="宋体"/>
          <w:b/>
          <w:bCs/>
          <w:color w:val="auto"/>
          <w:sz w:val="24"/>
          <w:szCs w:val="24"/>
          <w:highlight w:val="none"/>
          <w:u w:val="single"/>
        </w:rPr>
        <w:t>（供应商应根据采购文件的要求提供相应的内容且设置关联定位，供应商可查看《供应商</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政府采购项目电子交易操作指南》进行操作：https://help.zcygov.cn/web/site_2/2018/12-28/2573.html）</w:t>
      </w:r>
    </w:p>
    <w:p w14:paraId="1F3B83EB">
      <w:pPr>
        <w:pStyle w:val="62"/>
        <w:tabs>
          <w:tab w:val="left" w:pos="0"/>
        </w:tabs>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响应文件应当包括以下主要内容：资格文件、商务技术文件、报价文件。</w:t>
      </w:r>
    </w:p>
    <w:p w14:paraId="2F691DDD">
      <w:pPr>
        <w:pStyle w:val="62"/>
        <w:numPr>
          <w:ilvl w:val="0"/>
          <w:numId w:val="10"/>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资格文件包括以下内容：</w:t>
      </w:r>
    </w:p>
    <w:p w14:paraId="4A786605">
      <w:pPr>
        <w:pStyle w:val="62"/>
        <w:numPr>
          <w:ilvl w:val="0"/>
          <w:numId w:val="11"/>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法定代表人授权书（格式见附件）；如法定代表人直接参加投标并对相应文件签字的（签字是指线下签字扫描后上传或者线上进行电子签章），只需提供其身份证复印件，否则则应提供授权代表身份证复印件；</w:t>
      </w:r>
    </w:p>
    <w:p w14:paraId="360BFA00">
      <w:pPr>
        <w:pStyle w:val="62"/>
        <w:numPr>
          <w:ilvl w:val="0"/>
          <w:numId w:val="11"/>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营业执照</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或事业法人登记证或其他工商等登记证明材料</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复印件、税务登记证</w:t>
      </w:r>
      <w:r>
        <w:rPr>
          <w:rFonts w:hint="eastAsia" w:ascii="宋体" w:hAnsi="宋体" w:eastAsia="宋体" w:cs="宋体"/>
          <w:color w:val="auto"/>
          <w:highlight w:val="none"/>
          <w:lang w:eastAsia="zh-CN"/>
        </w:rPr>
        <w:t>（</w:t>
      </w:r>
      <w:r>
        <w:rPr>
          <w:rFonts w:hint="eastAsia" w:ascii="宋体" w:hAnsi="宋体" w:cs="宋体"/>
          <w:color w:val="auto"/>
          <w:highlight w:val="none"/>
          <w:lang w:eastAsia="zh-CN"/>
        </w:rPr>
        <w:t>或其他</w:t>
      </w:r>
      <w:r>
        <w:rPr>
          <w:rFonts w:hint="eastAsia" w:ascii="宋体" w:hAnsi="宋体" w:eastAsia="宋体" w:cs="宋体"/>
          <w:color w:val="auto"/>
          <w:highlight w:val="none"/>
        </w:rPr>
        <w:t>缴纳证明材料</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复印件、社保登记证（</w:t>
      </w:r>
      <w:r>
        <w:rPr>
          <w:rFonts w:hint="eastAsia" w:ascii="宋体" w:hAnsi="宋体" w:cs="宋体"/>
          <w:color w:val="auto"/>
          <w:highlight w:val="none"/>
          <w:lang w:eastAsia="zh-CN"/>
        </w:rPr>
        <w:t>或其他</w:t>
      </w:r>
      <w:r>
        <w:rPr>
          <w:rFonts w:hint="eastAsia" w:ascii="宋体" w:hAnsi="宋体" w:eastAsia="宋体" w:cs="宋体"/>
          <w:color w:val="auto"/>
          <w:highlight w:val="none"/>
        </w:rPr>
        <w:t>缴纳证明材料）复印件；实施“五证合一、一照一码”登记制度改革的，只需提供改革后取得的营业执照复印件；事业单位的，则提供有效的《事业单位法人证书》副本复印件并加盖单位公章；</w:t>
      </w:r>
    </w:p>
    <w:p w14:paraId="6B589133">
      <w:pPr>
        <w:pStyle w:val="62"/>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289E154B">
      <w:pPr>
        <w:pStyle w:val="62"/>
        <w:numPr>
          <w:ilvl w:val="0"/>
          <w:numId w:val="11"/>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具有履行合同所必需的产品和专业技术能力的承诺函；</w:t>
      </w:r>
    </w:p>
    <w:p w14:paraId="54B13D4E">
      <w:pPr>
        <w:pStyle w:val="62"/>
        <w:numPr>
          <w:ilvl w:val="0"/>
          <w:numId w:val="11"/>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投标人承诺函（格式见附件）。</w:t>
      </w:r>
    </w:p>
    <w:p w14:paraId="35035FAE">
      <w:pPr>
        <w:pStyle w:val="62"/>
        <w:numPr>
          <w:ilvl w:val="0"/>
          <w:numId w:val="10"/>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商务技术文件，本次磋商需要供应商提供以下项所列的技术文件：</w:t>
      </w:r>
    </w:p>
    <w:p w14:paraId="14EE26F2">
      <w:pPr>
        <w:pStyle w:val="62"/>
        <w:numPr>
          <w:ilvl w:val="0"/>
          <w:numId w:val="12"/>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评分对应表（格式见附件</w:t>
      </w:r>
      <w:r>
        <w:rPr>
          <w:rFonts w:hint="eastAsia" w:ascii="宋体" w:hAnsi="宋体" w:eastAsia="宋体" w:cs="宋体"/>
          <w:color w:val="auto"/>
          <w:highlight w:val="none"/>
          <w:lang w:eastAsia="zh-CN"/>
        </w:rPr>
        <w:t>，主要用于评委对应评分内容</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p>
    <w:p w14:paraId="5EC39513">
      <w:pPr>
        <w:pStyle w:val="62"/>
        <w:numPr>
          <w:ilvl w:val="0"/>
          <w:numId w:val="12"/>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供应商商务技术文件中资信分自评表（格式见附件）；</w:t>
      </w:r>
    </w:p>
    <w:p w14:paraId="13175640">
      <w:pPr>
        <w:pStyle w:val="62"/>
        <w:numPr>
          <w:ilvl w:val="0"/>
          <w:numId w:val="12"/>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磋商项目明细清单（格式见附件）；</w:t>
      </w:r>
    </w:p>
    <w:p w14:paraId="5F61A681">
      <w:pPr>
        <w:pStyle w:val="62"/>
        <w:numPr>
          <w:ilvl w:val="0"/>
          <w:numId w:val="12"/>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技术响应及建议表（格式见附件）；</w:t>
      </w:r>
    </w:p>
    <w:p w14:paraId="1C542A3D">
      <w:pPr>
        <w:pStyle w:val="62"/>
        <w:numPr>
          <w:ilvl w:val="0"/>
          <w:numId w:val="12"/>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商务响应表（格式见附件）；</w:t>
      </w:r>
    </w:p>
    <w:p w14:paraId="02BFA588">
      <w:pPr>
        <w:pStyle w:val="62"/>
        <w:numPr>
          <w:ilvl w:val="0"/>
          <w:numId w:val="12"/>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项目理解；</w:t>
      </w:r>
    </w:p>
    <w:p w14:paraId="053CA316">
      <w:pPr>
        <w:pStyle w:val="62"/>
        <w:numPr>
          <w:ilvl w:val="0"/>
          <w:numId w:val="12"/>
        </w:numPr>
        <w:spacing w:before="0" w:line="360" w:lineRule="auto"/>
        <w:ind w:firstLine="48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重难点分析</w:t>
      </w:r>
      <w:r>
        <w:rPr>
          <w:rFonts w:hint="eastAsia" w:ascii="宋体" w:hAnsi="宋体" w:eastAsia="宋体" w:cs="宋体"/>
          <w:color w:val="auto"/>
          <w:highlight w:val="none"/>
          <w:lang w:val="en-US" w:eastAsia="zh-CN"/>
        </w:rPr>
        <w:t>；</w:t>
      </w:r>
    </w:p>
    <w:p w14:paraId="620E6EFC">
      <w:pPr>
        <w:pStyle w:val="62"/>
        <w:numPr>
          <w:ilvl w:val="0"/>
          <w:numId w:val="12"/>
        </w:numPr>
        <w:spacing w:before="0" w:line="360" w:lineRule="auto"/>
        <w:ind w:firstLine="480"/>
        <w:rPr>
          <w:rFonts w:hint="eastAsia" w:ascii="宋体" w:hAnsi="宋体" w:eastAsia="宋体" w:cs="宋体"/>
          <w:highlight w:val="none"/>
        </w:rPr>
      </w:pPr>
      <w:r>
        <w:rPr>
          <w:rFonts w:hint="eastAsia" w:ascii="宋体" w:hAnsi="宋体" w:cs="宋体"/>
          <w:highlight w:val="none"/>
          <w:lang w:val="en-US" w:eastAsia="zh-CN"/>
        </w:rPr>
        <w:t>发展基础</w:t>
      </w:r>
      <w:r>
        <w:rPr>
          <w:rFonts w:hint="eastAsia" w:ascii="宋体" w:hAnsi="宋体" w:eastAsia="宋体" w:cs="宋体"/>
          <w:highlight w:val="none"/>
        </w:rPr>
        <w:t>；</w:t>
      </w:r>
    </w:p>
    <w:p w14:paraId="5623343A">
      <w:pPr>
        <w:pStyle w:val="62"/>
        <w:numPr>
          <w:ilvl w:val="0"/>
          <w:numId w:val="12"/>
        </w:numPr>
        <w:spacing w:before="0" w:line="360" w:lineRule="auto"/>
        <w:ind w:firstLine="480"/>
        <w:rPr>
          <w:rFonts w:hint="eastAsia" w:ascii="宋体" w:hAnsi="宋体" w:eastAsia="宋体" w:cs="宋体"/>
          <w:highlight w:val="none"/>
        </w:rPr>
      </w:pPr>
      <w:r>
        <w:rPr>
          <w:rFonts w:hint="eastAsia" w:ascii="宋体" w:hAnsi="宋体" w:cs="宋体"/>
          <w:highlight w:val="none"/>
          <w:lang w:val="en-US" w:eastAsia="zh-CN"/>
        </w:rPr>
        <w:t>形势判断；</w:t>
      </w:r>
    </w:p>
    <w:p w14:paraId="5D0BF4D3">
      <w:pPr>
        <w:pStyle w:val="62"/>
        <w:numPr>
          <w:ilvl w:val="0"/>
          <w:numId w:val="12"/>
        </w:numPr>
        <w:spacing w:before="0" w:line="360" w:lineRule="auto"/>
        <w:ind w:firstLine="480"/>
        <w:rPr>
          <w:rFonts w:hint="eastAsia" w:ascii="宋体" w:hAnsi="宋体" w:eastAsia="宋体" w:cs="宋体"/>
          <w:highlight w:val="none"/>
        </w:rPr>
      </w:pPr>
      <w:r>
        <w:rPr>
          <w:rFonts w:hint="eastAsia" w:ascii="宋体" w:hAnsi="宋体" w:cs="宋体"/>
          <w:highlight w:val="none"/>
          <w:lang w:val="en-US" w:eastAsia="zh-CN"/>
        </w:rPr>
        <w:t>对比分析；</w:t>
      </w:r>
    </w:p>
    <w:p w14:paraId="17802375">
      <w:pPr>
        <w:pStyle w:val="62"/>
        <w:numPr>
          <w:ilvl w:val="0"/>
          <w:numId w:val="12"/>
        </w:numPr>
        <w:spacing w:before="0" w:line="360" w:lineRule="auto"/>
        <w:ind w:firstLine="480"/>
        <w:rPr>
          <w:rFonts w:hint="eastAsia" w:ascii="宋体" w:hAnsi="宋体" w:eastAsia="宋体" w:cs="宋体"/>
          <w:highlight w:val="none"/>
        </w:rPr>
      </w:pPr>
      <w:r>
        <w:rPr>
          <w:rFonts w:hint="eastAsia" w:ascii="宋体" w:hAnsi="宋体" w:cs="宋体"/>
          <w:highlight w:val="none"/>
          <w:lang w:val="en-US" w:eastAsia="zh-CN"/>
        </w:rPr>
        <w:t>项目研究方法；</w:t>
      </w:r>
    </w:p>
    <w:p w14:paraId="6193498E">
      <w:pPr>
        <w:pStyle w:val="62"/>
        <w:numPr>
          <w:ilvl w:val="0"/>
          <w:numId w:val="12"/>
        </w:numPr>
        <w:spacing w:before="0" w:line="360" w:lineRule="auto"/>
        <w:ind w:firstLine="480"/>
        <w:rPr>
          <w:rFonts w:hint="eastAsia" w:ascii="宋体" w:hAnsi="宋体" w:eastAsia="宋体" w:cs="宋体"/>
          <w:color w:val="auto"/>
          <w:highlight w:val="none"/>
          <w:lang w:val="en-US" w:eastAsia="zh-CN"/>
        </w:rPr>
      </w:pPr>
      <w:r>
        <w:rPr>
          <w:rFonts w:hint="eastAsia" w:ascii="宋体" w:hAnsi="宋体" w:cs="宋体"/>
          <w:highlight w:val="none"/>
          <w:lang w:val="en-US" w:eastAsia="zh-CN"/>
        </w:rPr>
        <w:t>拟投入人员；</w:t>
      </w:r>
    </w:p>
    <w:p w14:paraId="2FF2ECC8">
      <w:pPr>
        <w:pStyle w:val="62"/>
        <w:numPr>
          <w:ilvl w:val="0"/>
          <w:numId w:val="12"/>
        </w:numPr>
        <w:spacing w:before="0" w:line="360" w:lineRule="auto"/>
        <w:ind w:firstLine="48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进度计划</w:t>
      </w:r>
      <w:r>
        <w:rPr>
          <w:rFonts w:hint="eastAsia" w:ascii="宋体" w:hAnsi="宋体" w:eastAsia="宋体" w:cs="宋体"/>
          <w:color w:val="auto"/>
          <w:highlight w:val="none"/>
          <w:lang w:val="en-US" w:eastAsia="zh-CN"/>
        </w:rPr>
        <w:t>；</w:t>
      </w:r>
    </w:p>
    <w:p w14:paraId="68290A4F">
      <w:pPr>
        <w:pStyle w:val="62"/>
        <w:numPr>
          <w:ilvl w:val="0"/>
          <w:numId w:val="12"/>
        </w:numPr>
        <w:spacing w:before="0" w:line="360" w:lineRule="auto"/>
        <w:ind w:firstLine="48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拟提交成果报告框架设计</w:t>
      </w:r>
      <w:r>
        <w:rPr>
          <w:rFonts w:hint="eastAsia" w:ascii="宋体" w:hAnsi="宋体" w:eastAsia="宋体" w:cs="宋体"/>
          <w:color w:val="auto"/>
          <w:highlight w:val="none"/>
          <w:lang w:val="en-US" w:eastAsia="zh-CN"/>
        </w:rPr>
        <w:t>；</w:t>
      </w:r>
    </w:p>
    <w:p w14:paraId="61A16BF6">
      <w:pPr>
        <w:pStyle w:val="62"/>
        <w:numPr>
          <w:ilvl w:val="0"/>
          <w:numId w:val="12"/>
        </w:numPr>
        <w:spacing w:before="0" w:line="360" w:lineRule="auto"/>
        <w:ind w:firstLine="48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质量保证措施</w:t>
      </w:r>
      <w:r>
        <w:rPr>
          <w:rFonts w:hint="eastAsia" w:ascii="宋体" w:hAnsi="宋体" w:eastAsia="宋体" w:cs="宋体"/>
          <w:color w:val="auto"/>
          <w:highlight w:val="none"/>
          <w:lang w:val="en-US" w:eastAsia="zh-CN"/>
        </w:rPr>
        <w:t>；</w:t>
      </w:r>
    </w:p>
    <w:p w14:paraId="0F5BD76C">
      <w:pPr>
        <w:pStyle w:val="62"/>
        <w:numPr>
          <w:ilvl w:val="0"/>
          <w:numId w:val="12"/>
        </w:numPr>
        <w:spacing w:before="0" w:line="360" w:lineRule="auto"/>
        <w:ind w:firstLine="48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保密措施</w:t>
      </w:r>
      <w:r>
        <w:rPr>
          <w:rFonts w:hint="eastAsia" w:ascii="宋体" w:hAnsi="宋体" w:eastAsia="宋体" w:cs="宋体"/>
          <w:color w:val="auto"/>
          <w:highlight w:val="none"/>
          <w:lang w:val="en-US" w:eastAsia="zh-CN"/>
        </w:rPr>
        <w:t>；</w:t>
      </w:r>
    </w:p>
    <w:p w14:paraId="14A045DC">
      <w:pPr>
        <w:pStyle w:val="62"/>
        <w:numPr>
          <w:ilvl w:val="0"/>
          <w:numId w:val="12"/>
        </w:numPr>
        <w:spacing w:before="0" w:line="360" w:lineRule="auto"/>
        <w:ind w:firstLine="480"/>
        <w:rPr>
          <w:rFonts w:hint="eastAsia" w:ascii="宋体" w:hAnsi="宋体" w:eastAsia="宋体" w:cs="宋体"/>
          <w:color w:val="auto"/>
          <w:highlight w:val="none"/>
        </w:rPr>
      </w:pPr>
      <w:r>
        <w:rPr>
          <w:rFonts w:hint="eastAsia" w:ascii="宋体" w:hAnsi="宋体" w:cs="宋体"/>
          <w:color w:val="auto"/>
          <w:highlight w:val="none"/>
          <w:lang w:val="en-US" w:eastAsia="zh-CN"/>
        </w:rPr>
        <w:t>服务承诺</w:t>
      </w:r>
      <w:r>
        <w:rPr>
          <w:rFonts w:hint="eastAsia" w:ascii="宋体" w:hAnsi="宋体" w:eastAsia="宋体" w:cs="宋体"/>
          <w:color w:val="auto"/>
          <w:highlight w:val="none"/>
          <w:lang w:val="en-US" w:eastAsia="zh-CN"/>
        </w:rPr>
        <w:t>；</w:t>
      </w:r>
    </w:p>
    <w:p w14:paraId="4AE0800B">
      <w:pPr>
        <w:pStyle w:val="62"/>
        <w:numPr>
          <w:ilvl w:val="0"/>
          <w:numId w:val="12"/>
        </w:numPr>
        <w:spacing w:before="0" w:line="360" w:lineRule="auto"/>
        <w:ind w:firstLine="480"/>
        <w:rPr>
          <w:rFonts w:hint="eastAsia" w:ascii="宋体" w:hAnsi="宋体" w:eastAsia="宋体" w:cs="宋体"/>
          <w:color w:val="auto"/>
          <w:highlight w:val="none"/>
        </w:rPr>
      </w:pPr>
      <w:r>
        <w:rPr>
          <w:rFonts w:hint="eastAsia" w:ascii="宋体" w:hAnsi="宋体" w:cs="宋体"/>
          <w:color w:val="auto"/>
          <w:highlight w:val="none"/>
          <w:lang w:val="en-US" w:eastAsia="zh-CN"/>
        </w:rPr>
        <w:t>人员证书；</w:t>
      </w:r>
    </w:p>
    <w:p w14:paraId="7510A3F1">
      <w:pPr>
        <w:pStyle w:val="62"/>
        <w:numPr>
          <w:ilvl w:val="0"/>
          <w:numId w:val="12"/>
        </w:numPr>
        <w:spacing w:before="0" w:line="360" w:lineRule="auto"/>
        <w:ind w:firstLine="480"/>
        <w:rPr>
          <w:rFonts w:hint="eastAsia" w:ascii="宋体" w:hAnsi="宋体" w:eastAsia="宋体" w:cs="宋体"/>
          <w:color w:val="auto"/>
          <w:highlight w:val="none"/>
        </w:rPr>
      </w:pPr>
      <w:r>
        <w:rPr>
          <w:rFonts w:hint="eastAsia" w:ascii="宋体" w:hAnsi="宋体" w:cs="宋体"/>
          <w:color w:val="auto"/>
          <w:highlight w:val="none"/>
          <w:lang w:val="en-US" w:eastAsia="zh-CN"/>
        </w:rPr>
        <w:t>认证证书；</w:t>
      </w:r>
    </w:p>
    <w:p w14:paraId="72099051">
      <w:pPr>
        <w:pStyle w:val="62"/>
        <w:numPr>
          <w:ilvl w:val="0"/>
          <w:numId w:val="12"/>
        </w:numPr>
        <w:spacing w:before="0" w:line="360" w:lineRule="auto"/>
        <w:ind w:firstLine="480"/>
        <w:rPr>
          <w:rFonts w:hint="eastAsia" w:ascii="宋体" w:hAnsi="宋体" w:eastAsia="宋体" w:cs="宋体"/>
          <w:color w:val="auto"/>
          <w:highlight w:val="none"/>
        </w:rPr>
      </w:pPr>
      <w:r>
        <w:rPr>
          <w:rFonts w:hint="eastAsia" w:ascii="宋体" w:hAnsi="宋体" w:cs="宋体"/>
          <w:color w:val="auto"/>
          <w:highlight w:val="none"/>
          <w:lang w:eastAsia="zh-CN"/>
        </w:rPr>
        <w:t>类似业绩；</w:t>
      </w:r>
    </w:p>
    <w:p w14:paraId="3B2F291C">
      <w:pPr>
        <w:pStyle w:val="62"/>
        <w:numPr>
          <w:ilvl w:val="0"/>
          <w:numId w:val="12"/>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供应商认为需要的其他文件资料。 </w:t>
      </w:r>
    </w:p>
    <w:p w14:paraId="702D8F43">
      <w:pPr>
        <w:pStyle w:val="62"/>
        <w:tabs>
          <w:tab w:val="left" w:pos="0"/>
        </w:tabs>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注：以上内容应与评标办法中内容具有一致性。</w:t>
      </w:r>
    </w:p>
    <w:p w14:paraId="11A569AB">
      <w:pPr>
        <w:pStyle w:val="62"/>
        <w:tabs>
          <w:tab w:val="left" w:pos="0"/>
        </w:tabs>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如果本项目涉及软件采购，还需提供相关完整配置方案（软件名称、品牌、规格型号、数量、主要技术参数等），提供主要磋商产品的技术参数证明材料（如官网截图、产品彩页、技术说明等），明确表示该项指标所涉及的软件是标准配置还是选择配置。</w:t>
      </w:r>
    </w:p>
    <w:p w14:paraId="4C964E88">
      <w:pPr>
        <w:pStyle w:val="62"/>
        <w:tabs>
          <w:tab w:val="left" w:pos="0"/>
        </w:tabs>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w:t>
      </w:r>
      <w:r>
        <w:rPr>
          <w:rFonts w:hint="eastAsia" w:ascii="宋体" w:hAnsi="宋体" w:eastAsia="宋体" w:cs="宋体"/>
          <w:b/>
          <w:bCs/>
          <w:color w:val="auto"/>
          <w:highlight w:val="none"/>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14:paraId="59F95E3F">
      <w:pPr>
        <w:pStyle w:val="62"/>
        <w:numPr>
          <w:ilvl w:val="0"/>
          <w:numId w:val="10"/>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报价文件包括以下内容：</w:t>
      </w:r>
    </w:p>
    <w:p w14:paraId="4543F1AA">
      <w:pPr>
        <w:pStyle w:val="62"/>
        <w:numPr>
          <w:ilvl w:val="0"/>
          <w:numId w:val="13"/>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磋商函（格式见附件）；</w:t>
      </w:r>
    </w:p>
    <w:p w14:paraId="0B5EF1F7">
      <w:pPr>
        <w:pStyle w:val="62"/>
        <w:numPr>
          <w:ilvl w:val="0"/>
          <w:numId w:val="13"/>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报价一览表（格式见附件）；</w:t>
      </w:r>
    </w:p>
    <w:p w14:paraId="254FF6B3">
      <w:pPr>
        <w:pStyle w:val="62"/>
        <w:numPr>
          <w:ilvl w:val="0"/>
          <w:numId w:val="13"/>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磋商报价明细表（格式见附件）</w:t>
      </w:r>
      <w:r>
        <w:rPr>
          <w:rFonts w:hint="eastAsia" w:ascii="宋体" w:hAnsi="宋体" w:eastAsia="宋体" w:cs="宋体"/>
          <w:color w:val="auto"/>
          <w:highlight w:val="none"/>
          <w:lang w:eastAsia="zh-CN"/>
        </w:rPr>
        <w:t>；</w:t>
      </w:r>
    </w:p>
    <w:p w14:paraId="1DA49662">
      <w:pPr>
        <w:pStyle w:val="62"/>
        <w:numPr>
          <w:ilvl w:val="0"/>
          <w:numId w:val="13"/>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中小企业声明函（如有）（格式见附件）；</w:t>
      </w:r>
    </w:p>
    <w:p w14:paraId="4DADEB9F">
      <w:pPr>
        <w:pStyle w:val="62"/>
        <w:numPr>
          <w:ilvl w:val="0"/>
          <w:numId w:val="13"/>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残疾人福利性单位声明函（如有）（格式见附件）；</w:t>
      </w:r>
    </w:p>
    <w:p w14:paraId="74AFC081">
      <w:pPr>
        <w:pStyle w:val="62"/>
        <w:numPr>
          <w:ilvl w:val="0"/>
          <w:numId w:val="13"/>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监狱企业证明文件（如有）（格式见附件）。</w:t>
      </w:r>
    </w:p>
    <w:p w14:paraId="52B80D1D">
      <w:pPr>
        <w:pStyle w:val="62"/>
        <w:spacing w:before="0" w:line="360" w:lineRule="auto"/>
        <w:ind w:firstLine="241" w:firstLineChars="1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注：“资格文件</w:t>
      </w:r>
      <w:r>
        <w:rPr>
          <w:rFonts w:hint="eastAsia" w:ascii="宋体" w:hAnsi="宋体" w:eastAsia="宋体" w:cs="宋体"/>
          <w:b/>
          <w:bCs/>
          <w:color w:val="auto"/>
          <w:highlight w:val="none"/>
          <w:u w:val="single"/>
          <w:lang w:eastAsia="zh-CN"/>
        </w:rPr>
        <w:t>”“</w:t>
      </w:r>
      <w:r>
        <w:rPr>
          <w:rFonts w:hint="eastAsia" w:ascii="宋体" w:hAnsi="宋体" w:eastAsia="宋体" w:cs="宋体"/>
          <w:b/>
          <w:bCs/>
          <w:color w:val="auto"/>
          <w:highlight w:val="none"/>
          <w:u w:val="single"/>
        </w:rPr>
        <w:t>商务技术文件</w:t>
      </w:r>
      <w:r>
        <w:rPr>
          <w:rFonts w:hint="eastAsia" w:ascii="宋体" w:hAnsi="宋体" w:eastAsia="宋体" w:cs="宋体"/>
          <w:b/>
          <w:bCs/>
          <w:color w:val="auto"/>
          <w:highlight w:val="none"/>
          <w:u w:val="single"/>
          <w:lang w:eastAsia="zh-CN"/>
        </w:rPr>
        <w:t>”“</w:t>
      </w:r>
      <w:r>
        <w:rPr>
          <w:rFonts w:hint="eastAsia" w:ascii="宋体" w:hAnsi="宋体" w:eastAsia="宋体" w:cs="宋体"/>
          <w:b/>
          <w:bCs/>
          <w:color w:val="auto"/>
          <w:highlight w:val="none"/>
          <w:u w:val="single"/>
        </w:rPr>
        <w:t>报价文件”须分3个PDF格式分别导入。</w:t>
      </w:r>
    </w:p>
    <w:p w14:paraId="0C34E847">
      <w:pPr>
        <w:pStyle w:val="62"/>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10、响应文件有效期</w:t>
      </w:r>
    </w:p>
    <w:p w14:paraId="645B0C07">
      <w:pPr>
        <w:pStyle w:val="62"/>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10.1 响应文件未在磋商响应截止时间前完成传输的或者未按时解密的，视为放弃磋商；响应文件解密失败后未提供备份文件或者备份文件也出现异常情况无法进行评审的，亦视为放弃磋商。</w:t>
      </w:r>
    </w:p>
    <w:p w14:paraId="49129E70">
      <w:pPr>
        <w:pStyle w:val="62"/>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10.2 响应文件上传后，自磋商响应截止日期起，在前附表所列的磋商响应文件有效期内有效。</w:t>
      </w:r>
    </w:p>
    <w:p w14:paraId="6B15DFB3">
      <w:pPr>
        <w:pStyle w:val="62"/>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10.3 在原定有效期满之前，如果出现特殊情况，采购代理机构可以以书面形式向磋商供应商提出延长磋商有效期的要求，磋商供应商对此须以书面形式予以答复。</w:t>
      </w:r>
    </w:p>
    <w:p w14:paraId="6F2286FA">
      <w:pPr>
        <w:pStyle w:val="62"/>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11、供应商如有下列情况之一者列入不良行为记录：</w:t>
      </w:r>
    </w:p>
    <w:p w14:paraId="46B5F0CE">
      <w:pPr>
        <w:pStyle w:val="62"/>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11.1 供应商在磋商响应文件有效期内撤回投标的；</w:t>
      </w:r>
    </w:p>
    <w:p w14:paraId="3428C528">
      <w:pPr>
        <w:pStyle w:val="62"/>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11.2 供应商或中标候选人放弃中标或中标候选人资格的；</w:t>
      </w:r>
    </w:p>
    <w:p w14:paraId="7DEB3D9E">
      <w:pPr>
        <w:pStyle w:val="62"/>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11.3 擅自修改或拒绝接受已经确认的条款；</w:t>
      </w:r>
    </w:p>
    <w:p w14:paraId="5B1B9A26">
      <w:pPr>
        <w:pStyle w:val="62"/>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11.4 成交供应商未按规定与采购人签订合同；</w:t>
      </w:r>
    </w:p>
    <w:p w14:paraId="4B7D51C8">
      <w:pPr>
        <w:pStyle w:val="62"/>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11.5 供应商采取提供虚假资料等不正当手段的；</w:t>
      </w:r>
    </w:p>
    <w:p w14:paraId="03A0ED15">
      <w:pPr>
        <w:pStyle w:val="62"/>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11.6 供应商在投标过程中串通投标的。</w:t>
      </w:r>
    </w:p>
    <w:p w14:paraId="4B407410">
      <w:pPr>
        <w:pStyle w:val="62"/>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12、响应文件的编制和签署</w:t>
      </w:r>
    </w:p>
    <w:p w14:paraId="1550E9C9">
      <w:pPr>
        <w:pStyle w:val="62"/>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12.1 按磋商文件9.1条、9.2条、9.3条要求提供的各种文件，响应文件分为资格文件、商务技术文件和报价文件三部分。</w:t>
      </w:r>
    </w:p>
    <w:p w14:paraId="1D1A9E5D">
      <w:pPr>
        <w:pStyle w:val="62"/>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12.2 响应文件须按附件格式要求进行电子签章，供应商应写全称。（电子磋商响应文件中所</w:t>
      </w:r>
      <w:r>
        <w:rPr>
          <w:rFonts w:hint="eastAsia" w:ascii="宋体" w:hAnsi="宋体" w:cs="宋体"/>
          <w:color w:val="auto"/>
          <w:highlight w:val="none"/>
          <w:lang w:eastAsia="zh-CN"/>
        </w:rPr>
        <w:t>需</w:t>
      </w:r>
      <w:r>
        <w:rPr>
          <w:rFonts w:hint="eastAsia" w:ascii="宋体" w:hAnsi="宋体" w:eastAsia="宋体" w:cs="宋体"/>
          <w:color w:val="auto"/>
          <w:highlight w:val="none"/>
        </w:rPr>
        <w:t>加盖公章部分均应采用电子签章）</w:t>
      </w:r>
    </w:p>
    <w:p w14:paraId="5D1050F3">
      <w:pPr>
        <w:pStyle w:val="62"/>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12.3 全套响应文件应无涂改和行间插字，除非这些删改是根据采购代理机构要求进行，或者是供应商造成的必须修改的错误。所修改处应由法定代表人或其授权代表签字盖章予以确认。</w:t>
      </w:r>
    </w:p>
    <w:p w14:paraId="5CE44365">
      <w:pPr>
        <w:pStyle w:val="62"/>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12.4 由于字迹模糊或表达不清引起的后果由供应商负责。</w:t>
      </w:r>
    </w:p>
    <w:p w14:paraId="1F0963E1">
      <w:pPr>
        <w:pStyle w:val="62"/>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13、响应文件的形式</w:t>
      </w:r>
    </w:p>
    <w:p w14:paraId="7D5A8592">
      <w:pPr>
        <w:pStyle w:val="62"/>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响应文件为电子磋商响应文件，电子磋商响应文件按“政采云供应商项目采购</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电子招投标操作指南”及本磋商文件要求制作、加密传输。</w:t>
      </w:r>
    </w:p>
    <w:p w14:paraId="35D21780">
      <w:pPr>
        <w:pStyle w:val="5"/>
        <w:numPr>
          <w:ilvl w:val="0"/>
          <w:numId w:val="9"/>
        </w:numPr>
        <w:spacing w:line="360" w:lineRule="auto"/>
        <w:jc w:val="center"/>
        <w:rPr>
          <w:rFonts w:hint="eastAsia" w:ascii="宋体" w:hAnsi="宋体" w:eastAsia="宋体" w:cs="宋体"/>
          <w:color w:val="auto"/>
          <w:sz w:val="24"/>
          <w:szCs w:val="24"/>
          <w:highlight w:val="none"/>
        </w:rPr>
      </w:pPr>
      <w:bookmarkStart w:id="55" w:name="_Toc1420"/>
      <w:r>
        <w:rPr>
          <w:rFonts w:hint="eastAsia" w:ascii="宋体" w:hAnsi="宋体" w:eastAsia="宋体" w:cs="宋体"/>
          <w:color w:val="auto"/>
          <w:sz w:val="24"/>
          <w:szCs w:val="24"/>
          <w:highlight w:val="none"/>
        </w:rPr>
        <w:t xml:space="preserve"> </w:t>
      </w:r>
      <w:bookmarkStart w:id="56" w:name="_Toc21266"/>
      <w:bookmarkStart w:id="57" w:name="_Toc28561"/>
      <w:r>
        <w:rPr>
          <w:rFonts w:hint="eastAsia" w:ascii="宋体" w:hAnsi="宋体" w:eastAsia="宋体" w:cs="宋体"/>
          <w:color w:val="auto"/>
          <w:sz w:val="24"/>
          <w:szCs w:val="24"/>
          <w:highlight w:val="none"/>
        </w:rPr>
        <w:t>响应文件的递交</w:t>
      </w:r>
      <w:bookmarkEnd w:id="55"/>
      <w:bookmarkEnd w:id="56"/>
      <w:bookmarkEnd w:id="57"/>
    </w:p>
    <w:p w14:paraId="6E0C06F5">
      <w:pPr>
        <w:pStyle w:val="15"/>
        <w:spacing w:line="360" w:lineRule="auto"/>
        <w:ind w:left="420" w:left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14、磋商响应截止期</w:t>
      </w:r>
    </w:p>
    <w:p w14:paraId="759A07C0">
      <w:pPr>
        <w:pStyle w:val="62"/>
        <w:numPr>
          <w:ilvl w:val="0"/>
          <w:numId w:val="14"/>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14:paraId="143FA413">
      <w:pPr>
        <w:pStyle w:val="62"/>
        <w:numPr>
          <w:ilvl w:val="0"/>
          <w:numId w:val="14"/>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采购人因故推迟磋商响应截止时间，将以公告形式通知。在这种情况下，采购人和供应商的权利和义务将受到新的截止时间的约束。</w:t>
      </w:r>
    </w:p>
    <w:p w14:paraId="5E4A99B7">
      <w:pPr>
        <w:pStyle w:val="15"/>
        <w:spacing w:line="360" w:lineRule="auto"/>
        <w:ind w:left="420" w:left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15、响应文件的修改、撤销</w:t>
      </w:r>
    </w:p>
    <w:p w14:paraId="3195F2ED">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当在磋商响应截止时间前完成电子交易文件的传输递交，磋商响应截止时间前可以补充、修改或者撤回电子交易文件。补充或者修改电子交易文件的，应当先行撤回原文件，补充、修改后重新传输递交。磋商响应截止时间前未完成传输的，视为响应文件撤回。</w:t>
      </w:r>
    </w:p>
    <w:p w14:paraId="1DD0A369">
      <w:pPr>
        <w:pStyle w:val="5"/>
        <w:numPr>
          <w:ilvl w:val="0"/>
          <w:numId w:val="9"/>
        </w:num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58" w:name="_Toc24860"/>
      <w:bookmarkStart w:id="59" w:name="_Toc24120"/>
      <w:r>
        <w:rPr>
          <w:rFonts w:hint="eastAsia" w:ascii="宋体" w:hAnsi="宋体" w:eastAsia="宋体" w:cs="宋体"/>
          <w:color w:val="auto"/>
          <w:sz w:val="24"/>
          <w:szCs w:val="24"/>
          <w:highlight w:val="none"/>
        </w:rPr>
        <w:t>磋商无效的情形</w:t>
      </w:r>
      <w:bookmarkEnd w:id="58"/>
      <w:bookmarkEnd w:id="59"/>
    </w:p>
    <w:p w14:paraId="5C129E05">
      <w:pPr>
        <w:pStyle w:val="15"/>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16、无效响应</w:t>
      </w:r>
    </w:p>
    <w:p w14:paraId="2CBA90BA">
      <w:pPr>
        <w:pStyle w:val="15"/>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经过审查，凡不符合有关规定，不响应磋商文件的实质性条款，存在以下重大偏离之一的，经磋商小组认定，并由采购人报采购办、监督办备案，将因未通过资格性或符合性审查而被作为无效响应处理：</w:t>
      </w:r>
    </w:p>
    <w:p w14:paraId="4D2DCB47">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16.1未按照磋商文件规定要求签署、盖章的；</w:t>
      </w:r>
    </w:p>
    <w:p w14:paraId="51A217B5">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16.2《法定代表人授权书》填写不全、错误、未加盖供应商公章（公章和签字或盖章缺一不可）； </w:t>
      </w:r>
    </w:p>
    <w:p w14:paraId="0309A84D">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16.3个体工商户的身份证明与营业执照不一致的；</w:t>
      </w:r>
    </w:p>
    <w:p w14:paraId="57D63666">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16.4响应文件中的磋商函未加盖供应商的企业公章或填写不全的；</w:t>
      </w:r>
    </w:p>
    <w:p w14:paraId="37ACB1E6">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16.5报价一经涂改，未在涂改处加盖投标单位公章或者未经法定代表人或其授权代表签字或盖章的；</w:t>
      </w:r>
    </w:p>
    <w:p w14:paraId="4A8E39CC">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16.6因未按规定的格式填写，内容不全或主要实质性内容字迹模糊辨认不清</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经评标委员会认定为无法评审的；</w:t>
      </w:r>
    </w:p>
    <w:p w14:paraId="21CE3D55">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16.7出现同一标的物或本次采购产品</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服务</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内的主要产品</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重要组成部分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出现技术、商务描述不一致或前后描述不一致，经评标委员会认定后为无法评审的；</w:t>
      </w:r>
    </w:p>
    <w:p w14:paraId="16D9EB64">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16.8响应详细配置清单响应表不真实填写或弄虚作假的；改变磋商文件提供的清单中的计量单位、工程数量；</w:t>
      </w:r>
    </w:p>
    <w:p w14:paraId="6451D8C4">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16.9对采购产品技术规格未详细应答，致使其技术文件无法评审的；</w:t>
      </w:r>
    </w:p>
    <w:p w14:paraId="736E3360">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16.10响应文件有采购方不能接受的条件；</w:t>
      </w:r>
    </w:p>
    <w:p w14:paraId="70602E28">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16.11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14:paraId="60AC9D84">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16.12磋商报价超过预算金额或最高限价的；</w:t>
      </w:r>
    </w:p>
    <w:p w14:paraId="75A15834">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16.13响应文件“商务技术文件资料”部分中出现《报价一览表》或《磋商报价明细表》相关内容的；</w:t>
      </w:r>
    </w:p>
    <w:p w14:paraId="2148F844">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16.14评标委员会认定有重大偏差或实质性不响应磋商文件要求的，即“★”的关键性指标及技术参数要求负偏离或缺漏；</w:t>
      </w:r>
    </w:p>
    <w:p w14:paraId="08617A82">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16.15供应商拒绝按磋商文件规定的修正原则对响应文件进行修改的；</w:t>
      </w:r>
    </w:p>
    <w:p w14:paraId="1B37A257">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16.16有下列情形之一的，视为供应商串通投标，其投标无效：</w:t>
      </w:r>
    </w:p>
    <w:p w14:paraId="138BE5D0">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16.16.1不同供应商的响应文件由同一单位或者个人编制；</w:t>
      </w:r>
    </w:p>
    <w:p w14:paraId="1469C4CD">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16.16.2不同供应商委托同一单位或者个人办理投标事宜；</w:t>
      </w:r>
    </w:p>
    <w:p w14:paraId="7D6685C7">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16.16.3不同供应商的响应文件载明的项目管理成员或者联系人员为同一人；</w:t>
      </w:r>
    </w:p>
    <w:p w14:paraId="6482BDAF">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16.16.4不同供应商的响应文件异常一致或者投标报价呈规律性差异；</w:t>
      </w:r>
    </w:p>
    <w:p w14:paraId="1B90C5AB">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16.16.5不同供应商提供的响应文件出自同一终端设备的，或在相同Internet主机分配地址（相同IP地址）报名或网上投标的，且经询标澄清供应商无令人信服的理由和可靠证据证明其合理性的，经评标委员会半数以上成员确认有串通投标嫌疑的。</w:t>
      </w:r>
    </w:p>
    <w:p w14:paraId="782F854A">
      <w:pPr>
        <w:tabs>
          <w:tab w:val="left" w:pos="3870"/>
          <w:tab w:val="left" w:pos="4085"/>
        </w:tabs>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 xml:space="preserve"> 其他违反</w:t>
      </w:r>
      <w:r>
        <w:rPr>
          <w:rFonts w:hint="eastAsia" w:ascii="宋体" w:hAnsi="宋体" w:eastAsia="宋体" w:cs="宋体"/>
          <w:b/>
          <w:bCs/>
          <w:color w:val="auto"/>
          <w:sz w:val="24"/>
          <w:szCs w:val="24"/>
          <w:highlight w:val="none"/>
          <w:lang w:eastAsia="zh-CN"/>
        </w:rPr>
        <w:t>法律法规</w:t>
      </w:r>
      <w:r>
        <w:rPr>
          <w:rFonts w:hint="eastAsia" w:ascii="宋体" w:hAnsi="宋体" w:eastAsia="宋体" w:cs="宋体"/>
          <w:b/>
          <w:bCs/>
          <w:color w:val="auto"/>
          <w:sz w:val="24"/>
          <w:szCs w:val="24"/>
          <w:highlight w:val="none"/>
        </w:rPr>
        <w:t>的情形。</w:t>
      </w:r>
    </w:p>
    <w:p w14:paraId="79269EF5">
      <w:pPr>
        <w:pStyle w:val="5"/>
        <w:numPr>
          <w:ilvl w:val="0"/>
          <w:numId w:val="9"/>
        </w:num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60" w:name="_Toc21752"/>
      <w:bookmarkStart w:id="61" w:name="_Toc32601"/>
      <w:r>
        <w:rPr>
          <w:rFonts w:hint="eastAsia" w:ascii="宋体" w:hAnsi="宋体" w:eastAsia="宋体" w:cs="宋体"/>
          <w:color w:val="auto"/>
          <w:sz w:val="24"/>
          <w:szCs w:val="24"/>
          <w:highlight w:val="none"/>
        </w:rPr>
        <w:t>采购中止的情形</w:t>
      </w:r>
      <w:bookmarkEnd w:id="60"/>
      <w:bookmarkEnd w:id="61"/>
    </w:p>
    <w:p w14:paraId="209F5A0B">
      <w:pPr>
        <w:pStyle w:val="15"/>
        <w:spacing w:line="360" w:lineRule="auto"/>
        <w:ind w:left="420" w:left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w:t>
      </w:r>
      <w:r>
        <w:rPr>
          <w:rFonts w:hint="eastAsia" w:ascii="宋体" w:hAnsi="宋体" w:eastAsia="宋体" w:cs="宋体"/>
          <w:b/>
          <w:bCs/>
          <w:color w:val="auto"/>
          <w:sz w:val="24"/>
          <w:szCs w:val="24"/>
          <w:highlight w:val="none"/>
          <w:lang w:val="zh-CN"/>
        </w:rPr>
        <w:t>中止电子交易活动和</w:t>
      </w:r>
      <w:r>
        <w:rPr>
          <w:rFonts w:hint="eastAsia" w:ascii="宋体" w:hAnsi="宋体" w:eastAsia="宋体" w:cs="宋体"/>
          <w:b/>
          <w:bCs/>
          <w:color w:val="auto"/>
          <w:sz w:val="24"/>
          <w:szCs w:val="24"/>
          <w:highlight w:val="none"/>
        </w:rPr>
        <w:t>重新组织采购</w:t>
      </w:r>
    </w:p>
    <w:p w14:paraId="49A9296C">
      <w:pPr>
        <w:pStyle w:val="62"/>
        <w:tabs>
          <w:tab w:val="left" w:pos="0"/>
        </w:tabs>
        <w:spacing w:before="0" w:line="360" w:lineRule="auto"/>
        <w:ind w:left="420" w:leftChars="200" w:firstLine="0" w:firstLineChars="0"/>
        <w:rPr>
          <w:rFonts w:hint="eastAsia" w:ascii="宋体" w:hAnsi="宋体" w:eastAsia="宋体" w:cs="宋体"/>
          <w:color w:val="auto"/>
          <w:highlight w:val="none"/>
          <w:lang w:val="zh-CN"/>
        </w:rPr>
      </w:pPr>
      <w:r>
        <w:rPr>
          <w:rFonts w:hint="eastAsia" w:ascii="宋体" w:hAnsi="宋体" w:eastAsia="宋体" w:cs="宋体"/>
          <w:color w:val="auto"/>
          <w:highlight w:val="none"/>
        </w:rPr>
        <w:t>17.1</w:t>
      </w:r>
      <w:r>
        <w:rPr>
          <w:rFonts w:hint="eastAsia" w:ascii="宋体" w:hAnsi="宋体" w:eastAsia="宋体" w:cs="宋体"/>
          <w:color w:val="auto"/>
          <w:highlight w:val="none"/>
          <w:lang w:val="zh-CN"/>
        </w:rPr>
        <w:t>采购过程中出现以下情形，导致电子交易平台无法正常运行，或者无法保证电子交易的公平、公正和安全时，采购组织机构可中止电子交易活动：</w:t>
      </w:r>
    </w:p>
    <w:p w14:paraId="02657734">
      <w:pPr>
        <w:numPr>
          <w:ilvl w:val="0"/>
          <w:numId w:val="15"/>
        </w:num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电子交易平台发生故障而无法登录访问的； </w:t>
      </w:r>
    </w:p>
    <w:p w14:paraId="62FD6AD6">
      <w:pPr>
        <w:numPr>
          <w:ilvl w:val="0"/>
          <w:numId w:val="15"/>
        </w:num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电子交易平台应用或数据库出现错误，不能进行正常操作的；</w:t>
      </w:r>
    </w:p>
    <w:p w14:paraId="542A5E12">
      <w:pPr>
        <w:numPr>
          <w:ilvl w:val="0"/>
          <w:numId w:val="15"/>
        </w:num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电子交易平台发现严重安全漏洞，有潜在泄密危险的；</w:t>
      </w:r>
    </w:p>
    <w:p w14:paraId="62F24E4B">
      <w:pPr>
        <w:numPr>
          <w:ilvl w:val="0"/>
          <w:numId w:val="15"/>
        </w:num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病毒发作导致不能进行正常操作的； </w:t>
      </w:r>
    </w:p>
    <w:p w14:paraId="214D83EF">
      <w:pPr>
        <w:numPr>
          <w:ilvl w:val="0"/>
          <w:numId w:val="15"/>
        </w:num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其他无法保证电子交易的公平、公正和安全的情况。</w:t>
      </w:r>
    </w:p>
    <w:p w14:paraId="31D1D2BD">
      <w:pPr>
        <w:pStyle w:val="62"/>
        <w:tabs>
          <w:tab w:val="left" w:pos="0"/>
        </w:tabs>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17.2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14:paraId="6C002E99">
      <w:pPr>
        <w:pStyle w:val="5"/>
        <w:numPr>
          <w:ilvl w:val="0"/>
          <w:numId w:val="9"/>
        </w:num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62" w:name="_Toc10742"/>
      <w:bookmarkStart w:id="63" w:name="_Toc14029"/>
      <w:r>
        <w:rPr>
          <w:rFonts w:hint="eastAsia" w:ascii="宋体" w:hAnsi="宋体" w:eastAsia="宋体" w:cs="宋体"/>
          <w:color w:val="auto"/>
          <w:sz w:val="24"/>
          <w:szCs w:val="24"/>
          <w:highlight w:val="none"/>
        </w:rPr>
        <w:t>确定成交供应商与签订合同</w:t>
      </w:r>
      <w:bookmarkEnd w:id="62"/>
      <w:bookmarkEnd w:id="63"/>
    </w:p>
    <w:p w14:paraId="556CB075">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18、推荐成交候选供应商</w:t>
      </w:r>
    </w:p>
    <w:p w14:paraId="1EC36CE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磋商小组应当根据综合评分情况，按照评审得分由高到低顺序推荐1名或以上成交候选供应商，并编写评审报告。评审得分相同的，按照最后报价由低到高的顺序推荐。评审得分且最后报价相同的，按照技术指标优劣顺序推荐。</w:t>
      </w:r>
    </w:p>
    <w:p w14:paraId="768D7DC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 采购代理机构应当在评审结束后2个工作日内将评审报告送采购人确认。</w:t>
      </w:r>
    </w:p>
    <w:p w14:paraId="2AC01080">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19、确定成交供应商</w:t>
      </w:r>
    </w:p>
    <w:p w14:paraId="3BD6EBD1">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4C1884D">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19.2采购人或者采购代理机构应当在成交供应商确定后2个工作日内，在省级以上财政部门指定的政府采购信息发布媒体上公告成交结果，同时向成交供应商发出成交通知书。</w:t>
      </w:r>
    </w:p>
    <w:p w14:paraId="63058FC6">
      <w:pPr>
        <w:adjustRightIn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20、签订合同</w:t>
      </w:r>
    </w:p>
    <w:p w14:paraId="41210DC9">
      <w:pPr>
        <w:pStyle w:val="62"/>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20.1. 采购人与成交供应商应当在成交通知书发出之日起30日内，按照磋商文件确定的合同文本以及采购标的、规格型号、采购金额、采购数量、技术和服务要求等事项签订政府采购合同。</w:t>
      </w:r>
    </w:p>
    <w:p w14:paraId="1E16469F">
      <w:pPr>
        <w:pStyle w:val="62"/>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20.2. 成交供应商拒绝签订政府采购合同的，采购人可以按照《政府采购竞争性磋商采购方式管理暂行办法》（财库〔2014〕214号）第二十八条第二款规定的原则确定其他供应商作为成交供应商并签订政府采购合同，也可以重新开展采购活动。拒绝签订政府采购合同的成交供应商不得参加对该项目重新开展的采购活动。</w:t>
      </w:r>
    </w:p>
    <w:p w14:paraId="07CBE8C4">
      <w:pPr>
        <w:adjustRightInd w:val="0"/>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21、解释权</w:t>
      </w:r>
    </w:p>
    <w:p w14:paraId="29CEE657">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磋商文件的解释权均属于</w:t>
      </w:r>
      <w:r>
        <w:rPr>
          <w:rFonts w:hint="eastAsia" w:ascii="宋体" w:hAnsi="宋体" w:cs="宋体"/>
          <w:color w:val="auto"/>
          <w:sz w:val="24"/>
          <w:szCs w:val="24"/>
          <w:highlight w:val="none"/>
          <w:u w:val="single"/>
          <w:lang w:eastAsia="zh-CN"/>
        </w:rPr>
        <w:t>绍兴市上虞区发展和改革局</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u w:val="single"/>
        </w:rPr>
        <w:t xml:space="preserve"> 绍兴成言工程咨询管理有限公司 </w:t>
      </w:r>
      <w:r>
        <w:rPr>
          <w:rFonts w:hint="eastAsia" w:ascii="宋体" w:hAnsi="宋体" w:eastAsia="宋体" w:cs="宋体"/>
          <w:color w:val="auto"/>
          <w:sz w:val="24"/>
          <w:szCs w:val="24"/>
          <w:highlight w:val="none"/>
        </w:rPr>
        <w:t>。</w:t>
      </w:r>
    </w:p>
    <w:p w14:paraId="03F51947">
      <w:pPr>
        <w:pStyle w:val="4"/>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bookmarkStart w:id="64" w:name="_Toc16467"/>
      <w:bookmarkStart w:id="65" w:name="_Toc21248"/>
      <w:r>
        <w:rPr>
          <w:rFonts w:hint="eastAsia" w:ascii="宋体" w:hAnsi="宋体" w:eastAsia="宋体" w:cs="宋体"/>
          <w:color w:val="auto"/>
          <w:sz w:val="36"/>
          <w:szCs w:val="36"/>
          <w:highlight w:val="none"/>
        </w:rPr>
        <w:t>第三部分 采购内容及要求</w:t>
      </w:r>
      <w:bookmarkEnd w:id="64"/>
      <w:bookmarkEnd w:id="65"/>
    </w:p>
    <w:p w14:paraId="6060A21E">
      <w:pPr>
        <w:pStyle w:val="5"/>
        <w:spacing w:line="360" w:lineRule="auto"/>
        <w:jc w:val="center"/>
        <w:rPr>
          <w:rFonts w:hint="eastAsia" w:ascii="宋体" w:hAnsi="宋体" w:eastAsia="宋体" w:cs="宋体"/>
          <w:color w:val="auto"/>
          <w:highlight w:val="none"/>
          <w:lang w:val="en-US" w:eastAsia="zh-CN"/>
        </w:rPr>
      </w:pPr>
      <w:bookmarkStart w:id="66" w:name="_Toc25073"/>
      <w:bookmarkStart w:id="67" w:name="_Toc2064"/>
      <w:bookmarkStart w:id="68" w:name="_Toc15284"/>
      <w:r>
        <w:rPr>
          <w:rFonts w:hint="eastAsia" w:ascii="宋体" w:hAnsi="宋体" w:eastAsia="宋体" w:cs="宋体"/>
          <w:color w:val="auto"/>
          <w:highlight w:val="none"/>
        </w:rPr>
        <w:t xml:space="preserve">第一章 </w:t>
      </w:r>
      <w:bookmarkStart w:id="69" w:name="_Toc506107120"/>
      <w:r>
        <w:rPr>
          <w:rFonts w:hint="eastAsia" w:ascii="宋体" w:hAnsi="宋体" w:eastAsia="宋体" w:cs="宋体"/>
          <w:color w:val="auto"/>
          <w:highlight w:val="none"/>
        </w:rPr>
        <w:t>采购内容及要求</w:t>
      </w:r>
      <w:bookmarkEnd w:id="66"/>
      <w:bookmarkEnd w:id="67"/>
      <w:bookmarkEnd w:id="69"/>
    </w:p>
    <w:p w14:paraId="6A4CBCF0">
      <w:pPr>
        <w:pageBreakBefore w:val="0"/>
        <w:kinsoku/>
        <w:overflowPunct/>
        <w:topLinePunct w:val="0"/>
        <w:bidi w:val="0"/>
        <w:snapToGrid/>
        <w:spacing w:line="360" w:lineRule="auto"/>
        <w:jc w:val="left"/>
        <w:textAlignment w:val="auto"/>
        <w:rPr>
          <w:rFonts w:hint="eastAsia"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一、</w:t>
      </w:r>
      <w:r>
        <w:rPr>
          <w:rFonts w:hint="eastAsia" w:ascii="宋体" w:hAnsi="宋体" w:eastAsia="宋体" w:cs="宋体"/>
          <w:b/>
          <w:sz w:val="24"/>
          <w:szCs w:val="24"/>
          <w:highlight w:val="none"/>
        </w:rPr>
        <w:t>项目</w:t>
      </w:r>
      <w:r>
        <w:rPr>
          <w:rFonts w:hint="eastAsia" w:ascii="宋体" w:hAnsi="宋体" w:eastAsia="宋体" w:cs="宋体"/>
          <w:b/>
          <w:sz w:val="24"/>
          <w:szCs w:val="24"/>
          <w:highlight w:val="none"/>
          <w:lang w:val="en-US" w:eastAsia="zh-CN"/>
        </w:rPr>
        <w:t>背景</w:t>
      </w:r>
    </w:p>
    <w:p w14:paraId="2902221B">
      <w:pPr>
        <w:pStyle w:val="4"/>
        <w:keepNext/>
        <w:keepLines/>
        <w:pageBreakBefore w:val="0"/>
        <w:widowControl w:val="0"/>
        <w:tabs>
          <w:tab w:val="left" w:pos="0"/>
        </w:tabs>
        <w:kinsoku/>
        <w:wordWrap/>
        <w:overflowPunct/>
        <w:topLinePunct w:val="0"/>
        <w:autoSpaceDE/>
        <w:autoSpaceDN/>
        <w:bidi w:val="0"/>
        <w:adjustRightInd w:val="0"/>
        <w:snapToGrid/>
        <w:spacing w:before="0" w:after="0" w:line="360" w:lineRule="auto"/>
        <w:ind w:firstLine="480" w:firstLineChars="200"/>
        <w:jc w:val="left"/>
        <w:textAlignment w:val="auto"/>
        <w:rPr>
          <w:rFonts w:hint="eastAsia" w:ascii="宋体" w:hAnsi="宋体" w:eastAsia="宋体" w:cs="宋体"/>
          <w:b w:val="0"/>
          <w:bCs w:val="0"/>
          <w:sz w:val="24"/>
          <w:szCs w:val="24"/>
          <w:highlight w:val="none"/>
        </w:rPr>
      </w:pPr>
      <w:bookmarkStart w:id="70" w:name="_Toc30777"/>
      <w:r>
        <w:rPr>
          <w:rFonts w:hint="eastAsia" w:ascii="宋体" w:hAnsi="宋体" w:eastAsia="宋体" w:cs="宋体"/>
          <w:b w:val="0"/>
          <w:bCs w:val="0"/>
          <w:sz w:val="24"/>
          <w:szCs w:val="24"/>
          <w:highlight w:val="none"/>
        </w:rPr>
        <w:t>2025年将进入“十五五”规划编制，科学开展规划研究和编制，推进国民经济和社会发展的现代化，对于上虞区意义非常重大。为此，特开展上虞区“十五五”基本思路研究和规划编制工作，重点旨在全面分析上虞区面临的国内外环境和阶段性特征，以更高的视角、更宽的视野来谋划未来发展，力求主动适应新变化、谋划新思路、开创新举措、实现新突破。</w:t>
      </w:r>
    </w:p>
    <w:p w14:paraId="2340B174">
      <w:pPr>
        <w:spacing w:line="400" w:lineRule="exact"/>
        <w:ind w:firstLine="489" w:firstLineChars="204"/>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color w:val="000000"/>
          <w:sz w:val="24"/>
          <w:szCs w:val="24"/>
          <w:highlight w:val="none"/>
        </w:rPr>
        <w:t>本次规划期限为2026-2030年，规划空间范围：</w:t>
      </w:r>
      <w:r>
        <w:rPr>
          <w:rFonts w:hint="eastAsia" w:ascii="宋体" w:hAnsi="宋体" w:eastAsia="宋体" w:cs="宋体"/>
          <w:color w:val="000000"/>
          <w:sz w:val="24"/>
          <w:szCs w:val="24"/>
          <w:highlight w:val="none"/>
          <w:lang w:val="en-US" w:eastAsia="zh-CN"/>
        </w:rPr>
        <w:t>上虞区</w:t>
      </w:r>
      <w:r>
        <w:rPr>
          <w:rFonts w:hint="eastAsia" w:ascii="宋体" w:hAnsi="宋体" w:eastAsia="宋体" w:cs="宋体"/>
          <w:color w:val="000000"/>
          <w:sz w:val="24"/>
          <w:szCs w:val="24"/>
          <w:highlight w:val="none"/>
        </w:rPr>
        <w:t>。</w:t>
      </w:r>
    </w:p>
    <w:p w14:paraId="357C9B35">
      <w:pPr>
        <w:pStyle w:val="4"/>
        <w:keepNext/>
        <w:keepLines/>
        <w:pageBreakBefore w:val="0"/>
        <w:widowControl w:val="0"/>
        <w:tabs>
          <w:tab w:val="left" w:pos="0"/>
        </w:tabs>
        <w:kinsoku/>
        <w:wordWrap/>
        <w:overflowPunct/>
        <w:topLinePunct w:val="0"/>
        <w:autoSpaceDE/>
        <w:autoSpaceDN/>
        <w:bidi w:val="0"/>
        <w:adjustRightInd w:val="0"/>
        <w:snapToGrid/>
        <w:spacing w:before="0" w:after="0" w:line="360" w:lineRule="auto"/>
        <w:ind w:left="442" w:hanging="442"/>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二、</w:t>
      </w:r>
      <w:bookmarkEnd w:id="70"/>
      <w:r>
        <w:rPr>
          <w:rFonts w:hint="eastAsia" w:ascii="宋体" w:hAnsi="宋体" w:eastAsia="宋体" w:cs="宋体"/>
          <w:sz w:val="24"/>
          <w:szCs w:val="24"/>
          <w:highlight w:val="none"/>
        </w:rPr>
        <w:t>项目编制内容及要求</w:t>
      </w:r>
    </w:p>
    <w:p w14:paraId="51D84AFF">
      <w:pPr>
        <w:pageBreakBefore w:val="0"/>
        <w:kinsoku/>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1.项目编制内容：</w:t>
      </w:r>
    </w:p>
    <w:p w14:paraId="76B86A5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面分析上虞区“十四五”时期经济社会发展回顾总结，综合判断国内外发展环境变化特征对上虞经济社会发展的影响，根据国家、省、市总体发展要求及上虞的发展现实基础和对当前新环境的把握，合理定位下阶段经济社会发展的阶段、宏观走势及政策取向，研究提出上虞区“十五五”发展的总体思路、目标体系、重点产业、重点任务、保障措施和政策建议等。</w:t>
      </w:r>
    </w:p>
    <w:p w14:paraId="6BE41371">
      <w:pPr>
        <w:pageBreakBefore w:val="0"/>
        <w:kinsoku/>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2.研究内容：</w:t>
      </w:r>
    </w:p>
    <w:p w14:paraId="368256EC">
      <w:pPr>
        <w:pageBreakBefore w:val="0"/>
        <w:kinsoku/>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（1）“十四五”发展现状和问题：“十四五”发展历程、主要成绩、存在的问题。</w:t>
      </w:r>
    </w:p>
    <w:p w14:paraId="504E88C8">
      <w:pPr>
        <w:pageBreakBefore w:val="0"/>
        <w:kinsoku/>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（2）“十五五”发展面临的形势和发展趋势：分析国内外环境形势和发展趋势，概括提出上虞区“十五五”发展的阶段性特征。</w:t>
      </w:r>
    </w:p>
    <w:p w14:paraId="4F70600D">
      <w:pPr>
        <w:pageBreakBefore w:val="0"/>
        <w:kinsoku/>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（3）“十五五”总体思路：在参考“十四五”期末现状基础上，研究提出上虞区“十五五”时期的发展战略和定位，明确城市、产业、社会、生态文明等方面的发展目标指标。</w:t>
      </w:r>
    </w:p>
    <w:p w14:paraId="5B07E747">
      <w:pPr>
        <w:pageBreakBefore w:val="0"/>
        <w:kinsoku/>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（4）重点发展领域和重点任务：围绕产业、创新、空间、城市、民生、治理等领域，研究提出上虞区的重点任务和工作路径。</w:t>
      </w:r>
    </w:p>
    <w:p w14:paraId="66D1F595">
      <w:pPr>
        <w:pageBreakBefore w:val="0"/>
        <w:kinsoku/>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（5）若干建议和措施：围绕重大政策、重大平台、重大项目、重大改革等方面，提出“十五五”时期关系全区发展大局的若干政策建议和推进措施思考。</w:t>
      </w:r>
    </w:p>
    <w:p w14:paraId="34A8EFEE">
      <w:pPr>
        <w:pageBreakBefore w:val="0"/>
        <w:kinsoku/>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3.提交成果要求：</w:t>
      </w:r>
    </w:p>
    <w:p w14:paraId="464AAB0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项目成果归采购人所有，供应商提供的项目成果所涉及到的内容不得侵犯任何第三人的合法权利，否则由供应商承担相应的法律责任。供应商须向采购人提供如下研究成果：</w:t>
      </w:r>
    </w:p>
    <w:p w14:paraId="1474E3B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1.《绍兴市上虞区国民经济和社会发展“十五五”规划基本思路》文本1份；</w:t>
      </w:r>
    </w:p>
    <w:p w14:paraId="3EB43D0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2.《“十五五”时期绍兴市上虞区扩大有效投资重点领域和增强投资内生动力研究》文本1份；</w:t>
      </w:r>
    </w:p>
    <w:p w14:paraId="1795E35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3.《“十五五”时期绍兴市上虞区低空产业发展研究》文本1份；</w:t>
      </w:r>
    </w:p>
    <w:p w14:paraId="7D80D8A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4.《绍兴市上虞区国民经济和社会发展第十五个五年规划</w:t>
      </w:r>
      <w:r>
        <w:rPr>
          <w:rFonts w:hint="eastAsia" w:ascii="宋体" w:hAnsi="宋体" w:cs="宋体"/>
          <w:sz w:val="24"/>
          <w:szCs w:val="24"/>
          <w:highlight w:val="none"/>
          <w:lang w:eastAsia="zh-CN"/>
        </w:rPr>
        <w:t>纲要</w:t>
      </w:r>
      <w:r>
        <w:rPr>
          <w:rFonts w:hint="eastAsia" w:ascii="宋体" w:hAnsi="宋体" w:eastAsia="宋体" w:cs="宋体"/>
          <w:sz w:val="24"/>
          <w:szCs w:val="24"/>
          <w:highlight w:val="none"/>
        </w:rPr>
        <w:t>》文本、演示文稿及相关图件。</w:t>
      </w:r>
    </w:p>
    <w:p w14:paraId="44EA5D99">
      <w:pPr>
        <w:pageBreakBefore w:val="0"/>
        <w:kinsoku/>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三</w:t>
      </w:r>
      <w:r>
        <w:rPr>
          <w:rFonts w:hint="eastAsia" w:ascii="宋体" w:hAnsi="宋体" w:eastAsia="宋体" w:cs="宋体"/>
          <w:sz w:val="24"/>
          <w:szCs w:val="24"/>
          <w:highlight w:val="none"/>
        </w:rPr>
        <w:t>、服务期限:</w:t>
      </w:r>
    </w:p>
    <w:p w14:paraId="7F8ACE8B">
      <w:pPr>
        <w:pageBreakBefore w:val="0"/>
        <w:kinsoku/>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2024年</w:t>
      </w:r>
      <w:r>
        <w:rPr>
          <w:rFonts w:hint="eastAsia" w:ascii="宋体" w:hAnsi="宋体" w:cs="宋体"/>
          <w:sz w:val="24"/>
          <w:szCs w:val="24"/>
          <w:highlight w:val="none"/>
          <w:lang w:val="en-US" w:eastAsia="zh-CN"/>
        </w:rPr>
        <w:t>11</w:t>
      </w:r>
      <w:r>
        <w:rPr>
          <w:rFonts w:hint="eastAsia" w:ascii="宋体" w:hAnsi="宋体" w:eastAsia="宋体" w:cs="宋体"/>
          <w:sz w:val="24"/>
          <w:szCs w:val="24"/>
          <w:highlight w:val="none"/>
        </w:rPr>
        <w:t>月至202</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月</w:t>
      </w:r>
    </w:p>
    <w:p w14:paraId="6BC35B1D">
      <w:pPr>
        <w:pageBreakBefore w:val="0"/>
        <w:kinsoku/>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四</w:t>
      </w:r>
      <w:r>
        <w:rPr>
          <w:rFonts w:hint="eastAsia" w:ascii="宋体" w:hAnsi="宋体" w:eastAsia="宋体" w:cs="宋体"/>
          <w:sz w:val="24"/>
          <w:szCs w:val="24"/>
          <w:highlight w:val="none"/>
        </w:rPr>
        <w:t>、项目进度要求</w:t>
      </w:r>
    </w:p>
    <w:p w14:paraId="1DA0950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2024年</w:t>
      </w:r>
      <w:r>
        <w:rPr>
          <w:rFonts w:hint="eastAsia" w:ascii="宋体" w:hAnsi="宋体" w:cs="宋体"/>
          <w:sz w:val="24"/>
          <w:szCs w:val="24"/>
          <w:highlight w:val="none"/>
          <w:lang w:val="en-US" w:eastAsia="zh-CN"/>
        </w:rPr>
        <w:t>11</w:t>
      </w:r>
      <w:r>
        <w:rPr>
          <w:rFonts w:hint="eastAsia" w:ascii="宋体" w:hAnsi="宋体" w:eastAsia="宋体" w:cs="宋体"/>
          <w:sz w:val="24"/>
          <w:szCs w:val="24"/>
          <w:highlight w:val="none"/>
        </w:rPr>
        <w:t>月30日前形成《“十五五”时期绍兴市上虞区低空产业发展研究》</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《绍兴市上虞区国民经济和社会发展“十五五”规划基本思路》《“十五五”时期绍兴市上虞区扩大有效投资重点领域和增强投资内生动力研究》初步成果；</w:t>
      </w:r>
    </w:p>
    <w:p w14:paraId="2114A08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2025年10月30日前形成《绍兴市上虞区国民经济和社会发展第十五个五年规划纲要》初步成果。</w:t>
      </w:r>
    </w:p>
    <w:p w14:paraId="3B78048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2026年1月30日前交付《绍兴市上虞区国民经济和社会发展第十五个五年规划纲要》最终成果稿。</w:t>
      </w:r>
    </w:p>
    <w:p w14:paraId="44C0E3B7">
      <w:pPr>
        <w:pageBreakBefore w:val="0"/>
        <w:kinsoku/>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五</w:t>
      </w:r>
      <w:r>
        <w:rPr>
          <w:rFonts w:hint="eastAsia" w:ascii="宋体" w:hAnsi="宋体" w:eastAsia="宋体" w:cs="宋体"/>
          <w:sz w:val="24"/>
          <w:szCs w:val="24"/>
          <w:highlight w:val="none"/>
        </w:rPr>
        <w:t>、实施方案要求</w:t>
      </w:r>
    </w:p>
    <w:p w14:paraId="0715190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服务要求：成交供应商在履行合同义务期间，应遵守国家有关法律、法规、维护采购人的合法权益；成交供应商应组建能够满足本项目服务需要的项目编制小组，按照工作范围和内容完成规划设计工作，并按约定向采购人汇报工作进展；最终研究、规划及相关成果须通过委托方验收。在项目成果通过验收并实施过程中，成交供应商应按照项目实际需求，配合采购人进一步完善细节。</w:t>
      </w:r>
    </w:p>
    <w:p w14:paraId="2CEE95F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保密要求：成交供应商参与本项目研究的资料、成果等知识产权归采购人，有关的信息未经采购人同意不得向第三方泄露。成交供应商有责任对涉及项目的重要信息进行保密；成交供应商如因为项目的开展需要向第三方提供资料,必须提前得到采购人批准。若成交供应商违反保密要求的约定，应当承担违约责任。</w:t>
      </w:r>
    </w:p>
    <w:p w14:paraId="6CDC3BDF">
      <w:pPr>
        <w:pStyle w:val="5"/>
        <w:numPr>
          <w:ilvl w:val="0"/>
          <w:numId w:val="0"/>
        </w:numPr>
        <w:bidi w:val="0"/>
        <w:spacing w:line="360" w:lineRule="auto"/>
        <w:ind w:leftChars="0"/>
        <w:jc w:val="center"/>
        <w:rPr>
          <w:rFonts w:hint="eastAsia" w:ascii="宋体" w:hAnsi="宋体" w:eastAsia="宋体" w:cs="宋体"/>
          <w:color w:val="auto"/>
          <w:highlight w:val="none"/>
          <w:lang w:val="en-US" w:eastAsia="zh-CN"/>
        </w:rPr>
      </w:pPr>
      <w:bookmarkStart w:id="71" w:name="_Toc506107121"/>
      <w:bookmarkStart w:id="72" w:name="_Toc26642"/>
      <w:bookmarkStart w:id="73" w:name="_Toc22912"/>
      <w:bookmarkStart w:id="74" w:name="_Toc21027"/>
      <w:bookmarkStart w:id="75" w:name="_Toc12256"/>
      <w:r>
        <w:rPr>
          <w:rFonts w:hint="eastAsia" w:ascii="宋体" w:hAnsi="宋体" w:eastAsia="宋体" w:cs="宋体"/>
          <w:color w:val="auto"/>
          <w:highlight w:val="none"/>
          <w:lang w:val="en-US" w:eastAsia="zh-CN"/>
        </w:rPr>
        <w:t xml:space="preserve">第二章 </w:t>
      </w:r>
      <w:r>
        <w:rPr>
          <w:rFonts w:hint="eastAsia" w:ascii="宋体" w:hAnsi="宋体" w:eastAsia="宋体" w:cs="宋体"/>
          <w:color w:val="auto"/>
          <w:highlight w:val="none"/>
        </w:rPr>
        <w:t>付款方式及要求</w:t>
      </w:r>
      <w:bookmarkEnd w:id="71"/>
      <w:bookmarkEnd w:id="72"/>
      <w:bookmarkEnd w:id="73"/>
      <w:bookmarkEnd w:id="74"/>
      <w:bookmarkEnd w:id="75"/>
    </w:p>
    <w:p w14:paraId="3DC210B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一、付款方式：</w:t>
      </w:r>
    </w:p>
    <w:p w14:paraId="2B58D614">
      <w:pPr>
        <w:pStyle w:val="35"/>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highlight w:val="none"/>
        </w:rPr>
      </w:pPr>
      <w:r>
        <w:rPr>
          <w:rFonts w:hint="eastAsia"/>
          <w:highlight w:val="none"/>
          <w:lang w:val="en-US" w:eastAsia="zh-CN"/>
        </w:rPr>
        <w:t>1、</w:t>
      </w:r>
      <w:r>
        <w:rPr>
          <w:rFonts w:hint="eastAsia"/>
          <w:highlight w:val="none"/>
        </w:rPr>
        <w:t>完成《“十五五”时期绍兴市上虞区低空产业发展研究》</w:t>
      </w:r>
      <w:r>
        <w:rPr>
          <w:rFonts w:hint="eastAsia"/>
          <w:highlight w:val="none"/>
          <w:lang w:eastAsia="zh-CN"/>
        </w:rPr>
        <w:t>、</w:t>
      </w:r>
      <w:r>
        <w:rPr>
          <w:rFonts w:hint="eastAsia"/>
          <w:highlight w:val="none"/>
        </w:rPr>
        <w:t>《“十五五”时期绍兴市上虞区扩大有效投资重点领域和增强投资内生动力研究》和《绍兴市上虞区国民经济和社会发展“十五五”规划基本思路》初稿后7个工作日内支付合同总价的</w:t>
      </w:r>
      <w:r>
        <w:rPr>
          <w:rFonts w:hint="eastAsia"/>
          <w:highlight w:val="none"/>
          <w:lang w:val="en-US" w:eastAsia="zh-CN"/>
        </w:rPr>
        <w:t>60</w:t>
      </w:r>
      <w:r>
        <w:rPr>
          <w:rFonts w:hint="eastAsia"/>
          <w:highlight w:val="none"/>
        </w:rPr>
        <w:t>%；</w:t>
      </w:r>
    </w:p>
    <w:p w14:paraId="5742EC3C">
      <w:pPr>
        <w:pStyle w:val="35"/>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highlight w:val="none"/>
        </w:rPr>
      </w:pPr>
      <w:r>
        <w:rPr>
          <w:rFonts w:hint="eastAsia"/>
          <w:highlight w:val="none"/>
          <w:lang w:val="en-US" w:eastAsia="zh-CN"/>
        </w:rPr>
        <w:t>2、</w:t>
      </w:r>
      <w:r>
        <w:rPr>
          <w:rFonts w:hint="eastAsia"/>
          <w:highlight w:val="none"/>
        </w:rPr>
        <w:t>完成《绍兴市上虞区国民经济和社会发展第十五个五年规划纲要》初稿后7个工作日内支付合同总价的</w:t>
      </w:r>
      <w:r>
        <w:rPr>
          <w:rFonts w:hint="eastAsia"/>
          <w:highlight w:val="none"/>
          <w:lang w:val="en-US" w:eastAsia="zh-CN"/>
        </w:rPr>
        <w:t>20</w:t>
      </w:r>
      <w:r>
        <w:rPr>
          <w:rFonts w:hint="eastAsia"/>
          <w:highlight w:val="none"/>
        </w:rPr>
        <w:t>%；</w:t>
      </w:r>
    </w:p>
    <w:p w14:paraId="4E0F0A29">
      <w:pPr>
        <w:pStyle w:val="35"/>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highlight w:val="none"/>
        </w:rPr>
      </w:pP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项目</w:t>
      </w:r>
      <w:r>
        <w:rPr>
          <w:rFonts w:hint="eastAsia" w:ascii="宋体" w:hAnsi="宋体" w:cs="宋体"/>
          <w:color w:val="auto"/>
          <w:sz w:val="24"/>
          <w:szCs w:val="24"/>
          <w:highlight w:val="none"/>
          <w:lang w:val="en-US" w:eastAsia="zh-CN"/>
        </w:rPr>
        <w:t>最终</w:t>
      </w:r>
      <w:r>
        <w:rPr>
          <w:rFonts w:hint="eastAsia" w:ascii="宋体" w:hAnsi="宋体" w:eastAsia="宋体" w:cs="宋体"/>
          <w:color w:val="auto"/>
          <w:sz w:val="24"/>
          <w:szCs w:val="24"/>
          <w:highlight w:val="none"/>
          <w:lang w:val="en-US" w:eastAsia="zh-CN"/>
        </w:rPr>
        <w:t>成果</w:t>
      </w:r>
      <w:r>
        <w:rPr>
          <w:rFonts w:hint="eastAsia" w:ascii="宋体" w:hAnsi="宋体" w:cs="宋体"/>
          <w:color w:val="auto"/>
          <w:sz w:val="24"/>
          <w:szCs w:val="24"/>
          <w:highlight w:val="none"/>
          <w:lang w:val="en-US" w:eastAsia="zh-CN"/>
        </w:rPr>
        <w:t>稿</w:t>
      </w:r>
      <w:r>
        <w:rPr>
          <w:rFonts w:hint="eastAsia" w:ascii="宋体" w:hAnsi="宋体" w:eastAsia="宋体" w:cs="宋体"/>
          <w:color w:val="auto"/>
          <w:sz w:val="24"/>
          <w:szCs w:val="24"/>
          <w:highlight w:val="none"/>
          <w:lang w:val="en-US" w:eastAsia="zh-CN"/>
        </w:rPr>
        <w:t>经验收通过后7个工作日内支付剩余合同价款</w:t>
      </w:r>
      <w:r>
        <w:rPr>
          <w:rFonts w:hint="eastAsia" w:hAnsi="宋体" w:cs="宋体"/>
          <w:color w:val="auto"/>
          <w:sz w:val="24"/>
          <w:szCs w:val="24"/>
          <w:highlight w:val="none"/>
          <w:lang w:val="en-US" w:eastAsia="zh-CN"/>
        </w:rPr>
        <w:t>。</w:t>
      </w:r>
    </w:p>
    <w:p w14:paraId="015C4B4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lang w:val="en-US" w:eastAsia="zh-CN"/>
        </w:rPr>
        <w:t>二、付款要求：</w:t>
      </w:r>
    </w:p>
    <w:p w14:paraId="31F1DD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000000"/>
          <w:sz w:val="24"/>
          <w:highlight w:val="none"/>
          <w:lang w:val="en-US" w:eastAsia="zh-CN"/>
        </w:rPr>
        <w:t>中标人在收款之前，应向采购人提供等额、合法、有效的发票，采购人凭发票付款。如中标人未按约定提供发票的，采购人有权拒绝付款，直至收到中标人提交的相应发票为止，在此情况下，采购人不承担逾期付款违约责任</w:t>
      </w:r>
      <w:r>
        <w:rPr>
          <w:rFonts w:hint="eastAsia" w:ascii="宋体" w:hAnsi="宋体" w:eastAsia="宋体" w:cs="宋体"/>
          <w:color w:val="auto"/>
          <w:kern w:val="0"/>
          <w:sz w:val="24"/>
          <w:highlight w:val="none"/>
          <w:lang w:eastAsia="zh-CN"/>
        </w:rPr>
        <w:t>。</w:t>
      </w:r>
    </w:p>
    <w:p w14:paraId="2C08B2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lang w:val="en-US" w:eastAsia="zh-CN"/>
        </w:rPr>
        <w:sectPr>
          <w:pgSz w:w="11906" w:h="16838"/>
          <w:pgMar w:top="1417" w:right="1417" w:bottom="1417" w:left="1587" w:header="851" w:footer="992" w:gutter="0"/>
          <w:cols w:space="720" w:num="1"/>
          <w:docGrid w:type="lines" w:linePitch="312" w:charSpace="0"/>
        </w:sectPr>
      </w:pPr>
      <w:r>
        <w:rPr>
          <w:rFonts w:hint="eastAsia" w:ascii="宋体" w:hAnsi="宋体" w:eastAsia="宋体" w:cs="宋体"/>
          <w:sz w:val="24"/>
          <w:highlight w:val="none"/>
        </w:rPr>
        <w:br w:type="page"/>
      </w:r>
    </w:p>
    <w:p w14:paraId="633F5F10">
      <w:pPr>
        <w:pStyle w:val="4"/>
        <w:spacing w:line="360" w:lineRule="auto"/>
        <w:jc w:val="center"/>
        <w:rPr>
          <w:rFonts w:hint="eastAsia" w:ascii="宋体" w:hAnsi="宋体" w:eastAsia="宋体" w:cs="宋体"/>
          <w:color w:val="auto"/>
          <w:sz w:val="36"/>
          <w:szCs w:val="36"/>
          <w:highlight w:val="none"/>
        </w:rPr>
      </w:pPr>
      <w:bookmarkStart w:id="76" w:name="_Toc23375"/>
      <w:r>
        <w:rPr>
          <w:rFonts w:hint="eastAsia" w:ascii="宋体" w:hAnsi="宋体" w:eastAsia="宋体" w:cs="宋体"/>
          <w:color w:val="auto"/>
          <w:sz w:val="36"/>
          <w:szCs w:val="36"/>
          <w:highlight w:val="none"/>
        </w:rPr>
        <w:t>第四部分 磋商原则及磋商方法</w:t>
      </w:r>
      <w:bookmarkEnd w:id="68"/>
      <w:bookmarkEnd w:id="76"/>
    </w:p>
    <w:p w14:paraId="0770BD45">
      <w:pPr>
        <w:pStyle w:val="5"/>
        <w:numPr>
          <w:ilvl w:val="0"/>
          <w:numId w:val="16"/>
        </w:numPr>
        <w:spacing w:line="360" w:lineRule="auto"/>
        <w:jc w:val="center"/>
        <w:rPr>
          <w:rFonts w:hint="eastAsia" w:ascii="宋体" w:hAnsi="宋体" w:eastAsia="宋体" w:cs="宋体"/>
          <w:color w:val="auto"/>
          <w:highlight w:val="none"/>
        </w:rPr>
      </w:pPr>
      <w:bookmarkStart w:id="77" w:name="_Toc1265"/>
      <w:r>
        <w:rPr>
          <w:rFonts w:hint="eastAsia" w:ascii="宋体" w:hAnsi="宋体" w:eastAsia="宋体" w:cs="宋体"/>
          <w:color w:val="auto"/>
          <w:highlight w:val="none"/>
        </w:rPr>
        <w:t xml:space="preserve"> </w:t>
      </w:r>
      <w:bookmarkStart w:id="78" w:name="_Toc23804"/>
      <w:r>
        <w:rPr>
          <w:rFonts w:hint="eastAsia" w:ascii="宋体" w:hAnsi="宋体" w:eastAsia="宋体" w:cs="宋体"/>
          <w:color w:val="auto"/>
          <w:highlight w:val="none"/>
        </w:rPr>
        <w:t>磋商原则</w:t>
      </w:r>
      <w:bookmarkEnd w:id="77"/>
      <w:bookmarkEnd w:id="78"/>
    </w:p>
    <w:p w14:paraId="62D0321E">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1、本次竞争性磋商本着公平、公正、科学、择优的原则，邀请各磋商方参加报价。</w:t>
      </w:r>
    </w:p>
    <w:p w14:paraId="6E84BD06">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2、磋商小组将严格按照竞争性磋商文件的要求，对供应商的响应性文件进行认真评审；磋商小组对响应性文件的评审仅依据响应性文件本身，而不依据响应性文件以外的任何因素。</w:t>
      </w:r>
    </w:p>
    <w:p w14:paraId="1B932DD9">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3、磋商小组按照统一的磋商原则和磋商方法，用同一标准对所有响应性文件进行评审。</w:t>
      </w:r>
    </w:p>
    <w:p w14:paraId="0EC7C492">
      <w:pPr>
        <w:pStyle w:val="15"/>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4、评审</w:t>
      </w:r>
    </w:p>
    <w:p w14:paraId="7F85EECB">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4.1在磋商响应截止时间前按规定提交响应文件的供应商在三家（含）以上的，由采购人或采购代理机构组织进行开标。</w:t>
      </w:r>
    </w:p>
    <w:p w14:paraId="7CEE9FE4">
      <w:pPr>
        <w:pStyle w:val="15"/>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4.2供应商登录政采云平台，用“项目采购-开标评标”功能对电子磋商响应文件进行在线解密。在线解密电子磋商响应文件时间为开标时间起30分钟内。若电子磋商响应文件解密失败，则由采购代理机构工作人员上传供应商提供的备份文件。</w:t>
      </w:r>
      <w:r>
        <w:rPr>
          <w:rFonts w:hint="eastAsia" w:ascii="宋体" w:hAnsi="宋体" w:eastAsia="宋体" w:cs="宋体"/>
          <w:color w:val="auto"/>
          <w:sz w:val="24"/>
          <w:szCs w:val="24"/>
          <w:highlight w:val="none"/>
        </w:rPr>
        <w:t>备份文件（后缀名为.bfbs）须存储在U盘中，与上传的电子磋商响应文件一致，用信封进行密封并盖章</w:t>
      </w:r>
      <w:r>
        <w:rPr>
          <w:rFonts w:hint="eastAsia" w:ascii="宋体" w:hAnsi="宋体" w:eastAsia="宋体" w:cs="宋体"/>
          <w:b/>
          <w:bCs/>
          <w:color w:val="auto"/>
          <w:sz w:val="24"/>
          <w:szCs w:val="24"/>
          <w:highlight w:val="none"/>
        </w:rPr>
        <w:t>（信封内仅需放入存储备份文件的U盘）</w:t>
      </w:r>
      <w:r>
        <w:rPr>
          <w:rFonts w:hint="eastAsia" w:ascii="宋体" w:hAnsi="宋体" w:eastAsia="宋体" w:cs="宋体"/>
          <w:color w:val="auto"/>
          <w:sz w:val="24"/>
          <w:szCs w:val="24"/>
          <w:highlight w:val="none"/>
        </w:rPr>
        <w:t>，由授权代表在磋商响应截止时间前递交至开标地点。</w:t>
      </w:r>
    </w:p>
    <w:p w14:paraId="6AE07B66">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4.3采购人按磋商文件规定的时间、地点公开开标。开标仪式由采购人或采购代理机构主持及有关人员参加。</w:t>
      </w:r>
    </w:p>
    <w:p w14:paraId="2B08DF61">
      <w:pPr>
        <w:pStyle w:val="62"/>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4.4本项目为电子投标项目，供应商一般不需要参加现场投标和开标，若供应商需要指派授权代表递交备份文件，则授权代表应随身携带法定代表人授权书原件于磋商响应截止时间前到达开标地点递交备份文件。若电子磋商响应文件正常解锁，则U盘退还给供应商；若解锁失败，则由采购代理机构将U盘中的备份文件上传，该U盘将由采购代理机构保存。</w:t>
      </w:r>
    </w:p>
    <w:p w14:paraId="568187ED">
      <w:pPr>
        <w:pStyle w:val="62"/>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4.5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768763D">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5、组建磋商小组</w:t>
      </w:r>
    </w:p>
    <w:p w14:paraId="7E720F7B">
      <w:pPr>
        <w:pStyle w:val="62"/>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5.1磋商小组由采购人代表和评审专家共3人或以上单数组成，其中评审专家人数不少于磋商小组成员总数的2/3。</w:t>
      </w:r>
    </w:p>
    <w:p w14:paraId="62ECB331">
      <w:pPr>
        <w:pStyle w:val="62"/>
        <w:tabs>
          <w:tab w:val="left" w:pos="0"/>
        </w:tabs>
        <w:spacing w:before="0" w:line="360" w:lineRule="auto"/>
        <w:ind w:firstLine="480"/>
        <w:rPr>
          <w:rFonts w:hint="eastAsia" w:ascii="宋体" w:hAnsi="宋体" w:eastAsia="宋体" w:cs="宋体"/>
          <w:color w:val="auto"/>
          <w:highlight w:val="none"/>
          <w:lang w:val="zh-CN"/>
        </w:rPr>
      </w:pPr>
      <w:r>
        <w:rPr>
          <w:rFonts w:hint="eastAsia" w:ascii="宋体" w:hAnsi="宋体" w:eastAsia="宋体" w:cs="宋体"/>
          <w:color w:val="auto"/>
          <w:highlight w:val="none"/>
        </w:rPr>
        <w:t>5.2</w:t>
      </w:r>
      <w:r>
        <w:rPr>
          <w:rFonts w:hint="eastAsia" w:ascii="宋体" w:hAnsi="宋体" w:eastAsia="宋体" w:cs="宋体"/>
          <w:color w:val="auto"/>
          <w:highlight w:val="none"/>
          <w:lang w:val="zh-CN"/>
        </w:rPr>
        <w:t>评标工作由评标委员会负责，并推选产生的组长主持；</w:t>
      </w:r>
    </w:p>
    <w:p w14:paraId="68A57700">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w:t>
      </w:r>
      <w:r>
        <w:rPr>
          <w:rFonts w:hint="eastAsia" w:ascii="宋体" w:hAnsi="宋体" w:eastAsia="宋体" w:cs="宋体"/>
          <w:color w:val="auto"/>
          <w:sz w:val="24"/>
          <w:szCs w:val="24"/>
          <w:highlight w:val="none"/>
          <w:lang w:val="zh-CN"/>
        </w:rPr>
        <w:t>本次评标为在线评标。</w:t>
      </w:r>
    </w:p>
    <w:p w14:paraId="69650E6E">
      <w:pPr>
        <w:pStyle w:val="5"/>
        <w:numPr>
          <w:ilvl w:val="0"/>
          <w:numId w:val="16"/>
        </w:num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79" w:name="_Toc10093"/>
      <w:bookmarkStart w:id="80" w:name="_Toc17973"/>
      <w:r>
        <w:rPr>
          <w:rFonts w:hint="eastAsia" w:ascii="宋体" w:hAnsi="宋体" w:eastAsia="宋体" w:cs="宋体"/>
          <w:color w:val="auto"/>
          <w:highlight w:val="none"/>
        </w:rPr>
        <w:t>磋商程序</w:t>
      </w:r>
      <w:bookmarkEnd w:id="79"/>
      <w:bookmarkEnd w:id="80"/>
    </w:p>
    <w:p w14:paraId="3143B5D7">
      <w:pPr>
        <w:snapToGrid w:val="0"/>
        <w:spacing w:line="360" w:lineRule="auto"/>
        <w:ind w:firstLine="4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1、对所有响应文件的初审</w:t>
      </w:r>
    </w:p>
    <w:p w14:paraId="2F6F78DD">
      <w:pPr>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1.1资格审查</w:t>
      </w:r>
    </w:p>
    <w:p w14:paraId="345EE02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（1）开标后，磋商小组将依法对供应商的资格进行审查。</w:t>
      </w:r>
    </w:p>
    <w:p w14:paraId="5A1DEB0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（2）磋商小组依据法律法规和磋商文件的规定，对供应商的基本资格条件、特定资格条件进行审查。</w:t>
      </w:r>
    </w:p>
    <w:p w14:paraId="1F6C583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（3）供应商未按照磋商文件要求提供与基本资格条件、特定资格条件相应的有效资格证明材料的，视为供应商不具备磋商文件中规定的资格要求，其磋商无效。并将无效原由告知相关供应商.</w:t>
      </w:r>
    </w:p>
    <w:p w14:paraId="3E69700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（4）采购人或采购代理机构将通过“信用中国”网站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www.creditchina.gov.cn)、中国政府采购网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www.ccgp.gov.cn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渠道查询供应商磋商开标后评标前的信用记录，经查询供应商列入失信被执行人名单、重大税收违法案件当事人名单、政府采购严重违法失信行为记录名单的，其磋商无效。</w:t>
      </w:r>
    </w:p>
    <w:p w14:paraId="6476121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（5）磋商小组出具《供应商资格审查意见表》，供应商未按照磋商文件要求提供与基本资格条件、特定资格条件相应的有效资格证明材料的，视为供应商不具备磋商文件中规定的资格要求，其磋商无效。</w:t>
      </w:r>
    </w:p>
    <w:p w14:paraId="2164DD39">
      <w:pPr>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1.2符合性审查：磋商小组依据磋商文件的规定，从响应文件的有效性、完整性和对磋商文件的响应程度进行审查，以确定是否对磋商文件的要求作出实质性响应。出现以下情况的，视为符合性不通过，磋商无效。</w:t>
      </w:r>
    </w:p>
    <w:p w14:paraId="7C6F187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（1）响应文件无法定代表人或其委托授权代表签名或盖章。</w:t>
      </w:r>
    </w:p>
    <w:p w14:paraId="1C7FD5B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（2）响应文件内容虚假的。</w:t>
      </w:r>
    </w:p>
    <w:p w14:paraId="7EF3969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（3）响应文件有采购人不能接受的附加条件的。</w:t>
      </w:r>
    </w:p>
    <w:p w14:paraId="1DFCEA8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（4）磋商有效期、服务期等商务条款不能满足磋商文件要求的。</w:t>
      </w:r>
    </w:p>
    <w:p w14:paraId="70443498">
      <w:pPr>
        <w:widowControl/>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（5）投标价格超出预算或最高限价，导致采购单位无法支付的。</w:t>
      </w:r>
    </w:p>
    <w:p w14:paraId="21DA6359">
      <w:pPr>
        <w:widowControl/>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（6）磋商文件明确规定的其他无效条款的。</w:t>
      </w:r>
    </w:p>
    <w:p w14:paraId="4898B46C">
      <w:pPr>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7D30F71">
      <w:pPr>
        <w:pStyle w:val="62"/>
        <w:tabs>
          <w:tab w:val="left" w:pos="0"/>
        </w:tabs>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1.4磋商小组要求供应商澄清、说明或者更正响应文件应当以书面形式发出。供应商的澄清、说明或者更正应当由法定代表人或其授权代表签字或者加盖公章。由授权代表签字的，应当附法定代表人授权书。</w:t>
      </w:r>
    </w:p>
    <w:p w14:paraId="3E7B003C">
      <w:pPr>
        <w:snapToGrid w:val="0"/>
        <w:spacing w:line="360" w:lineRule="auto"/>
        <w:ind w:firstLine="48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zh-CN"/>
        </w:rPr>
        <w:t>、磋商</w:t>
      </w:r>
    </w:p>
    <w:p w14:paraId="427C5AC0">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初审合格的供应商进入下一步的磋商活动。</w:t>
      </w:r>
    </w:p>
    <w:p w14:paraId="7F236544">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磋商小组所有成员应当集中与单一供应商分别进行磋商，并给予所有参加磋商的供应商平等的磋商机会。</w:t>
      </w:r>
    </w:p>
    <w:p w14:paraId="2A6D379F">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 以递交响应文件的时间先后决定磋商顺序。磋商时先听取由供应商拟派的项目负责人就项目采购的重点内容进行磋商，磋商过程中由磋商小组成员提出相关问题，并由供应商拟派项目负责人进行回复与承诺。 </w:t>
      </w:r>
    </w:p>
    <w:p w14:paraId="0102BCC5">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在磋商过程中，磋商小组可以根据磋商文件和磋商情况实质性变动采购需求中的技术、服务要求以及合同草案条款。实质性变动的内容，须经采购人代表确认。</w:t>
      </w:r>
    </w:p>
    <w:p w14:paraId="62C006C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磋商文件作出的实质性变动是磋商文件的有效组成部分，磋商小组应当及时以书面形式同时通知所有参加磋商的供应商。</w:t>
      </w:r>
    </w:p>
    <w:p w14:paraId="17FE3C2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4C70505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符合《政府采购竞争性磋商采购方式管理暂行办法》（财库〔2014〕214号）第三条第四项即“市场竞争不充分的科研项目，以及需要扶持的科技成果转化项目”情形的，提交最后报价的供应商可以为2家。</w:t>
      </w:r>
    </w:p>
    <w:p w14:paraId="2A05140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 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1BA6DA4F">
      <w:pPr>
        <w:snapToGrid w:val="0"/>
        <w:spacing w:line="360" w:lineRule="auto"/>
        <w:ind w:firstLine="48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zh-CN"/>
        </w:rPr>
        <w:t>、最后报价</w:t>
      </w:r>
    </w:p>
    <w:p w14:paraId="63DBE92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3.1商务技术汇总后，供应商开启报价文件，磋商小组应当要求所有实质性响应的供应商在规定时间内提交最后报价。</w:t>
      </w:r>
    </w:p>
    <w:p w14:paraId="3342D96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3.2最后报价是供应商响应文件的有效组成部分，若最后报价高于响应</w:t>
      </w:r>
      <w:r>
        <w:rPr>
          <w:rFonts w:hint="eastAsia" w:ascii="宋体" w:hAnsi="宋体" w:cs="宋体"/>
          <w:color w:val="auto"/>
          <w:sz w:val="24"/>
          <w:szCs w:val="24"/>
          <w:highlight w:val="none"/>
          <w:lang w:eastAsia="zh-CN"/>
        </w:rPr>
        <w:t>文件报价</w:t>
      </w:r>
      <w:r>
        <w:rPr>
          <w:rFonts w:hint="eastAsia" w:ascii="宋体" w:hAnsi="宋体" w:eastAsia="宋体" w:cs="宋体"/>
          <w:color w:val="auto"/>
          <w:sz w:val="24"/>
          <w:szCs w:val="24"/>
          <w:highlight w:val="none"/>
        </w:rPr>
        <w:t>，则以第一次报价计入评分。</w:t>
      </w:r>
    </w:p>
    <w:p w14:paraId="05924D2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3.3已提交响应文件的供应商，在提交最后报价之前，若因磋商文件实质性变动导致供应商无法满足采购需求的，允许供应商退出磋商。</w:t>
      </w:r>
    </w:p>
    <w:p w14:paraId="35479E7F">
      <w:pPr>
        <w:pStyle w:val="1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4、电子评标</w:t>
      </w:r>
    </w:p>
    <w:p w14:paraId="504EE89C">
      <w:pPr>
        <w:pStyle w:val="10"/>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4.1磋商活动由采购代理机构主持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磋商响应截止时间后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供应商登录政采云平台对电子响应文件进行在线解密；</w:t>
      </w:r>
    </w:p>
    <w:p w14:paraId="19F507DA">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4.2响应文件解密结束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开启响应文件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磋商小组对资格和商务技术响应文件进行资格审查和符合性审查；</w:t>
      </w:r>
    </w:p>
    <w:p w14:paraId="0CF1900E">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4.3供应商按递交磋商响应文件的前后顺序决定磋商的顺序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就价格、服务等认为需要磋商的内容进行磋商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供应商逐家回答磋商小组的提问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供应商作出最终承诺；</w:t>
      </w:r>
    </w:p>
    <w:p w14:paraId="49D22DC5">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4.4磋商小组对商务技术响应文件进行评审；</w:t>
      </w:r>
    </w:p>
    <w:p w14:paraId="71316FA0">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4.5商务技术汇总后，供应商开启报价文件，进行磋商二次报价（最终报价），</w:t>
      </w:r>
      <w:r>
        <w:rPr>
          <w:rFonts w:hint="eastAsia" w:ascii="宋体" w:hAnsi="宋体" w:eastAsia="宋体" w:cs="宋体"/>
          <w:b/>
          <w:bCs/>
          <w:color w:val="auto"/>
          <w:sz w:val="24"/>
          <w:szCs w:val="24"/>
          <w:highlight w:val="none"/>
        </w:rPr>
        <w:t>如果供应商在规定时间30分钟内未提交第二次报价，视该供应商放弃本次投标，作无效标处理</w:t>
      </w:r>
      <w:r>
        <w:rPr>
          <w:rFonts w:hint="eastAsia" w:ascii="宋体" w:hAnsi="宋体" w:eastAsia="宋体" w:cs="宋体"/>
          <w:color w:val="auto"/>
          <w:sz w:val="24"/>
          <w:szCs w:val="24"/>
          <w:highlight w:val="none"/>
        </w:rPr>
        <w:t>；</w:t>
      </w:r>
    </w:p>
    <w:p w14:paraId="72D90276">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4.6在系统上开启最终报价情况；</w:t>
      </w:r>
    </w:p>
    <w:p w14:paraId="1FC327A7">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4.7磋商小组对报价情况进行评审；</w:t>
      </w:r>
    </w:p>
    <w:p w14:paraId="65EAB871">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4.8在系统上公开资格和商务技术评审结果；</w:t>
      </w:r>
    </w:p>
    <w:p w14:paraId="2B0C6B88">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4.9在系统上公布评审结果。</w:t>
      </w:r>
    </w:p>
    <w:p w14:paraId="27897A44">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4.10开标会结束。</w:t>
      </w:r>
    </w:p>
    <w:p w14:paraId="0190A3A3">
      <w:pPr>
        <w:snapToGrid w:val="0"/>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特别说明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政采云如对电子化开标及评审程序有调整的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按调整后的程序操作。</w:t>
      </w:r>
    </w:p>
    <w:p w14:paraId="47C428DB">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5.综合评分</w:t>
      </w:r>
    </w:p>
    <w:p w14:paraId="63AA1179">
      <w:pPr>
        <w:tabs>
          <w:tab w:val="left" w:pos="-1080"/>
          <w:tab w:val="left" w:pos="180"/>
          <w:tab w:val="left" w:pos="108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5.1本评标办法采用综合评标法，由商务技术分和报价分合计组成，其中商务技术分</w:t>
      </w:r>
      <w:r>
        <w:rPr>
          <w:rFonts w:hint="eastAsia" w:ascii="宋体" w:hAnsi="宋体" w:eastAsia="宋体" w:cs="宋体"/>
          <w:color w:val="auto"/>
          <w:sz w:val="24"/>
          <w:szCs w:val="24"/>
          <w:highlight w:val="none"/>
          <w:u w:val="single"/>
        </w:rPr>
        <w:t xml:space="preserve"> 80 </w:t>
      </w:r>
      <w:r>
        <w:rPr>
          <w:rFonts w:hint="eastAsia" w:ascii="宋体" w:hAnsi="宋体" w:eastAsia="宋体" w:cs="宋体"/>
          <w:color w:val="auto"/>
          <w:sz w:val="24"/>
          <w:szCs w:val="24"/>
          <w:highlight w:val="none"/>
        </w:rPr>
        <w:t>分、报价分</w:t>
      </w:r>
      <w:r>
        <w:rPr>
          <w:rFonts w:hint="eastAsia" w:ascii="宋体" w:hAnsi="宋体" w:eastAsia="宋体" w:cs="宋体"/>
          <w:color w:val="auto"/>
          <w:sz w:val="24"/>
          <w:szCs w:val="24"/>
          <w:highlight w:val="none"/>
          <w:u w:val="single"/>
        </w:rPr>
        <w:t xml:space="preserve"> 20 </w:t>
      </w:r>
      <w:r>
        <w:rPr>
          <w:rFonts w:hint="eastAsia" w:ascii="宋体" w:hAnsi="宋体" w:eastAsia="宋体" w:cs="宋体"/>
          <w:color w:val="auto"/>
          <w:sz w:val="24"/>
          <w:szCs w:val="24"/>
          <w:highlight w:val="none"/>
        </w:rPr>
        <w:t>分；满分为100分。</w:t>
      </w:r>
    </w:p>
    <w:p w14:paraId="0F6FF7D1">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5.2经初步评审合格的响应文件，磋商小组根据竞争性磋商文件确定的评审标准和方法，对其商务技术部分作进一步评审、比较、打分。</w:t>
      </w:r>
    </w:p>
    <w:p w14:paraId="3FBDD112">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磋商小组成员首先分别对每个供应商商务技术部分进行评审打分，然后计算出算术平均值（保留2位小数），即为供应商的商务技术得分，后计算二次报价，计算公式：投标价格分=(最佳报价/投标报价)*价格权值*100，综合得分=商务技术分+报价分，以综合得分（保留2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14:paraId="2052C856">
      <w:pPr>
        <w:pStyle w:val="15"/>
        <w:spacing w:line="360" w:lineRule="auto"/>
        <w:ind w:left="420" w:left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6、修正原则</w:t>
      </w:r>
    </w:p>
    <w:p w14:paraId="0364663C">
      <w:pPr>
        <w:pStyle w:val="62"/>
        <w:spacing w:before="0" w:line="360" w:lineRule="auto"/>
        <w:ind w:left="420" w:leftChars="200" w:firstLine="0" w:firstLineChars="0"/>
        <w:rPr>
          <w:rFonts w:hint="eastAsia" w:ascii="宋体" w:hAnsi="宋体" w:eastAsia="宋体" w:cs="宋体"/>
          <w:color w:val="auto"/>
          <w:highlight w:val="none"/>
          <w:lang w:val="zh-CN"/>
        </w:rPr>
      </w:pPr>
      <w:r>
        <w:rPr>
          <w:rFonts w:hint="eastAsia" w:ascii="宋体" w:hAnsi="宋体" w:eastAsia="宋体" w:cs="宋体"/>
          <w:color w:val="auto"/>
          <w:highlight w:val="none"/>
        </w:rPr>
        <w:t>响应</w:t>
      </w:r>
      <w:r>
        <w:rPr>
          <w:rFonts w:hint="eastAsia" w:ascii="宋体" w:hAnsi="宋体" w:eastAsia="宋体" w:cs="宋体"/>
          <w:color w:val="auto"/>
          <w:highlight w:val="none"/>
          <w:lang w:val="zh-CN"/>
        </w:rPr>
        <w:t>文件报价出现前后不一致的，按照下列规定修正：</w:t>
      </w:r>
    </w:p>
    <w:p w14:paraId="2315F02E">
      <w:pPr>
        <w:pStyle w:val="62"/>
        <w:tabs>
          <w:tab w:val="left" w:pos="0"/>
        </w:tabs>
        <w:spacing w:before="0" w:line="360" w:lineRule="auto"/>
        <w:ind w:firstLine="480"/>
        <w:rPr>
          <w:rFonts w:hint="eastAsia" w:ascii="宋体" w:hAnsi="宋体" w:eastAsia="宋体" w:cs="宋体"/>
          <w:color w:val="auto"/>
          <w:highlight w:val="none"/>
          <w:lang w:val="zh-CN"/>
        </w:rPr>
      </w:pPr>
      <w:r>
        <w:rPr>
          <w:rFonts w:hint="eastAsia" w:ascii="宋体" w:hAnsi="宋体" w:eastAsia="宋体" w:cs="宋体"/>
          <w:color w:val="auto"/>
          <w:highlight w:val="none"/>
        </w:rPr>
        <w:t>6.1响应</w:t>
      </w:r>
      <w:r>
        <w:rPr>
          <w:rFonts w:hint="eastAsia" w:ascii="宋体" w:hAnsi="宋体" w:eastAsia="宋体" w:cs="宋体"/>
          <w:color w:val="auto"/>
          <w:highlight w:val="none"/>
          <w:lang w:val="zh-CN"/>
        </w:rPr>
        <w:t>文件中</w:t>
      </w:r>
      <w:r>
        <w:rPr>
          <w:rFonts w:hint="eastAsia" w:ascii="宋体" w:hAnsi="宋体" w:eastAsia="宋体" w:cs="宋体"/>
          <w:color w:val="auto"/>
          <w:highlight w:val="none"/>
        </w:rPr>
        <w:t>报价</w:t>
      </w:r>
      <w:r>
        <w:rPr>
          <w:rFonts w:hint="eastAsia" w:ascii="宋体" w:hAnsi="宋体" w:eastAsia="宋体" w:cs="宋体"/>
          <w:color w:val="auto"/>
          <w:highlight w:val="none"/>
          <w:lang w:val="zh-CN"/>
        </w:rPr>
        <w:t>一览表内容与</w:t>
      </w:r>
      <w:r>
        <w:rPr>
          <w:rFonts w:hint="eastAsia" w:ascii="宋体" w:hAnsi="宋体" w:eastAsia="宋体" w:cs="宋体"/>
          <w:color w:val="auto"/>
          <w:highlight w:val="none"/>
        </w:rPr>
        <w:t>响应</w:t>
      </w:r>
      <w:r>
        <w:rPr>
          <w:rFonts w:hint="eastAsia" w:ascii="宋体" w:hAnsi="宋体" w:eastAsia="宋体" w:cs="宋体"/>
          <w:color w:val="auto"/>
          <w:highlight w:val="none"/>
          <w:lang w:val="zh-CN"/>
        </w:rPr>
        <w:t>文件中相应内容不一致的，以</w:t>
      </w:r>
      <w:r>
        <w:rPr>
          <w:rFonts w:hint="eastAsia" w:ascii="宋体" w:hAnsi="宋体" w:eastAsia="宋体" w:cs="宋体"/>
          <w:color w:val="auto"/>
          <w:highlight w:val="none"/>
        </w:rPr>
        <w:t>报价</w:t>
      </w:r>
      <w:r>
        <w:rPr>
          <w:rFonts w:hint="eastAsia" w:ascii="宋体" w:hAnsi="宋体" w:eastAsia="宋体" w:cs="宋体"/>
          <w:color w:val="auto"/>
          <w:highlight w:val="none"/>
          <w:lang w:val="zh-CN"/>
        </w:rPr>
        <w:t>一览表为准；</w:t>
      </w:r>
    </w:p>
    <w:p w14:paraId="012561A4">
      <w:pPr>
        <w:pStyle w:val="62"/>
        <w:tabs>
          <w:tab w:val="left" w:pos="0"/>
        </w:tabs>
        <w:spacing w:before="0" w:line="360" w:lineRule="auto"/>
        <w:ind w:firstLine="480"/>
        <w:rPr>
          <w:rFonts w:hint="eastAsia" w:ascii="宋体" w:hAnsi="宋体" w:eastAsia="宋体" w:cs="宋体"/>
          <w:color w:val="auto"/>
          <w:highlight w:val="none"/>
          <w:lang w:val="zh-CN"/>
        </w:rPr>
      </w:pPr>
      <w:r>
        <w:rPr>
          <w:rFonts w:hint="eastAsia" w:ascii="宋体" w:hAnsi="宋体" w:eastAsia="宋体" w:cs="宋体"/>
          <w:color w:val="auto"/>
          <w:highlight w:val="none"/>
        </w:rPr>
        <w:t>6.2</w:t>
      </w:r>
      <w:r>
        <w:rPr>
          <w:rFonts w:hint="eastAsia" w:ascii="宋体" w:hAnsi="宋体" w:eastAsia="宋体" w:cs="宋体"/>
          <w:color w:val="auto"/>
          <w:highlight w:val="none"/>
          <w:lang w:val="zh-CN"/>
        </w:rPr>
        <w:t>大写金额和小写金额不一致的，以大写金额为准；</w:t>
      </w:r>
    </w:p>
    <w:p w14:paraId="349B21A8">
      <w:pPr>
        <w:pStyle w:val="62"/>
        <w:tabs>
          <w:tab w:val="left" w:pos="0"/>
        </w:tabs>
        <w:spacing w:before="0" w:line="360" w:lineRule="auto"/>
        <w:ind w:firstLine="480"/>
        <w:rPr>
          <w:rFonts w:hint="eastAsia" w:ascii="宋体" w:hAnsi="宋体" w:eastAsia="宋体" w:cs="宋体"/>
          <w:color w:val="auto"/>
          <w:highlight w:val="none"/>
          <w:lang w:val="zh-CN"/>
        </w:rPr>
      </w:pPr>
      <w:r>
        <w:rPr>
          <w:rFonts w:hint="eastAsia" w:ascii="宋体" w:hAnsi="宋体" w:eastAsia="宋体" w:cs="宋体"/>
          <w:color w:val="auto"/>
          <w:highlight w:val="none"/>
        </w:rPr>
        <w:t>6.3</w:t>
      </w:r>
      <w:r>
        <w:rPr>
          <w:rFonts w:hint="eastAsia" w:ascii="宋体" w:hAnsi="宋体" w:eastAsia="宋体" w:cs="宋体"/>
          <w:color w:val="auto"/>
          <w:highlight w:val="none"/>
          <w:lang w:val="zh-CN"/>
        </w:rPr>
        <w:t>单价金额小数点或者百分比有明显错位的，以</w:t>
      </w:r>
      <w:r>
        <w:rPr>
          <w:rFonts w:hint="eastAsia" w:ascii="宋体" w:hAnsi="宋体" w:eastAsia="宋体" w:cs="宋体"/>
          <w:color w:val="auto"/>
          <w:highlight w:val="none"/>
        </w:rPr>
        <w:t>报价</w:t>
      </w:r>
      <w:r>
        <w:rPr>
          <w:rFonts w:hint="eastAsia" w:ascii="宋体" w:hAnsi="宋体" w:eastAsia="宋体" w:cs="宋体"/>
          <w:color w:val="auto"/>
          <w:highlight w:val="none"/>
          <w:lang w:val="zh-CN"/>
        </w:rPr>
        <w:t>一览表的总价为准，并修改单价；</w:t>
      </w:r>
    </w:p>
    <w:p w14:paraId="010471F7">
      <w:pPr>
        <w:pStyle w:val="62"/>
        <w:tabs>
          <w:tab w:val="left" w:pos="0"/>
        </w:tabs>
        <w:spacing w:before="0" w:line="360" w:lineRule="auto"/>
        <w:ind w:firstLine="480"/>
        <w:rPr>
          <w:rFonts w:hint="eastAsia" w:ascii="宋体" w:hAnsi="宋体" w:eastAsia="宋体" w:cs="宋体"/>
          <w:color w:val="auto"/>
          <w:highlight w:val="none"/>
          <w:lang w:val="zh-CN"/>
        </w:rPr>
      </w:pPr>
      <w:r>
        <w:rPr>
          <w:rFonts w:hint="eastAsia" w:ascii="宋体" w:hAnsi="宋体" w:eastAsia="宋体" w:cs="宋体"/>
          <w:color w:val="auto"/>
          <w:highlight w:val="none"/>
        </w:rPr>
        <w:t>6.4</w:t>
      </w:r>
      <w:r>
        <w:rPr>
          <w:rFonts w:hint="eastAsia" w:ascii="宋体" w:hAnsi="宋体" w:eastAsia="宋体" w:cs="宋体"/>
          <w:color w:val="auto"/>
          <w:highlight w:val="none"/>
          <w:lang w:val="zh-CN"/>
        </w:rPr>
        <w:t>总价金额与按单价汇总金额不一致的，以单价金额计算结果为准。</w:t>
      </w:r>
    </w:p>
    <w:p w14:paraId="28F17201">
      <w:pPr>
        <w:pStyle w:val="62"/>
        <w:spacing w:before="0" w:line="360" w:lineRule="auto"/>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同时出现两种以上不一致的，按照前款规定的顺序修正。修正后的报价按照财政部公布第87号令 《政府采购</w:t>
      </w:r>
      <w:r>
        <w:rPr>
          <w:rFonts w:hint="eastAsia" w:ascii="宋体" w:hAnsi="宋体" w:eastAsia="宋体" w:cs="宋体"/>
          <w:color w:val="auto"/>
          <w:highlight w:val="none"/>
          <w:lang w:val="en-US" w:eastAsia="zh-CN"/>
        </w:rPr>
        <w:t>货物</w:t>
      </w:r>
      <w:r>
        <w:rPr>
          <w:rFonts w:hint="eastAsia" w:ascii="宋体" w:hAnsi="宋体" w:eastAsia="宋体" w:cs="宋体"/>
          <w:color w:val="auto"/>
          <w:highlight w:val="none"/>
          <w:lang w:val="zh-CN"/>
        </w:rPr>
        <w:t>和服务招标投标管理办法》第五十一条第二款的规定经</w:t>
      </w:r>
      <w:r>
        <w:rPr>
          <w:rFonts w:hint="eastAsia" w:ascii="宋体" w:hAnsi="宋体" w:eastAsia="宋体" w:cs="宋体"/>
          <w:color w:val="auto"/>
          <w:highlight w:val="none"/>
        </w:rPr>
        <w:t>供应商</w:t>
      </w:r>
      <w:r>
        <w:rPr>
          <w:rFonts w:hint="eastAsia" w:ascii="宋体" w:hAnsi="宋体" w:eastAsia="宋体" w:cs="宋体"/>
          <w:color w:val="auto"/>
          <w:highlight w:val="none"/>
          <w:lang w:val="zh-CN"/>
        </w:rPr>
        <w:t>确认后产生约束力，</w:t>
      </w:r>
      <w:r>
        <w:rPr>
          <w:rFonts w:hint="eastAsia" w:ascii="宋体" w:hAnsi="宋体" w:eastAsia="宋体" w:cs="宋体"/>
          <w:color w:val="auto"/>
          <w:highlight w:val="none"/>
        </w:rPr>
        <w:t>供应商</w:t>
      </w:r>
      <w:r>
        <w:rPr>
          <w:rFonts w:hint="eastAsia" w:ascii="宋体" w:hAnsi="宋体" w:eastAsia="宋体" w:cs="宋体"/>
          <w:color w:val="auto"/>
          <w:highlight w:val="none"/>
          <w:lang w:val="zh-CN"/>
        </w:rPr>
        <w:t>不确认的，其</w:t>
      </w:r>
      <w:r>
        <w:rPr>
          <w:rFonts w:hint="eastAsia" w:ascii="宋体" w:hAnsi="宋体" w:eastAsia="宋体" w:cs="宋体"/>
          <w:color w:val="auto"/>
          <w:highlight w:val="none"/>
        </w:rPr>
        <w:t>磋商</w:t>
      </w:r>
      <w:r>
        <w:rPr>
          <w:rFonts w:hint="eastAsia" w:ascii="宋体" w:hAnsi="宋体" w:eastAsia="宋体" w:cs="宋体"/>
          <w:color w:val="auto"/>
          <w:highlight w:val="none"/>
          <w:lang w:val="zh-CN"/>
        </w:rPr>
        <w:t>无效。</w:t>
      </w:r>
    </w:p>
    <w:p w14:paraId="0D6CA3C9">
      <w:pPr>
        <w:pStyle w:val="15"/>
        <w:spacing w:line="360" w:lineRule="auto"/>
        <w:ind w:left="420" w:left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7、响应文件的澄清</w:t>
      </w:r>
    </w:p>
    <w:p w14:paraId="25F797CC">
      <w:pPr>
        <w:pStyle w:val="62"/>
        <w:tabs>
          <w:tab w:val="left" w:pos="0"/>
        </w:tabs>
        <w:spacing w:before="0" w:line="360" w:lineRule="auto"/>
        <w:ind w:firstLine="480"/>
        <w:rPr>
          <w:rFonts w:hint="eastAsia" w:ascii="宋体" w:hAnsi="宋体" w:eastAsia="宋体" w:cs="宋体"/>
          <w:color w:val="auto"/>
          <w:highlight w:val="none"/>
          <w:lang w:val="zh-CN"/>
        </w:rPr>
      </w:pPr>
      <w:r>
        <w:rPr>
          <w:rFonts w:hint="eastAsia" w:ascii="宋体" w:hAnsi="宋体" w:eastAsia="宋体" w:cs="宋体"/>
          <w:color w:val="auto"/>
          <w:highlight w:val="none"/>
        </w:rPr>
        <w:t>7.1</w:t>
      </w:r>
      <w:r>
        <w:rPr>
          <w:rFonts w:hint="eastAsia" w:ascii="宋体" w:hAnsi="宋体" w:eastAsia="宋体" w:cs="宋体"/>
          <w:color w:val="auto"/>
          <w:highlight w:val="none"/>
          <w:lang w:val="zh-CN"/>
        </w:rPr>
        <w:t>评审中因</w:t>
      </w:r>
      <w:r>
        <w:rPr>
          <w:rFonts w:hint="eastAsia" w:ascii="宋体" w:hAnsi="宋体" w:eastAsia="宋体" w:cs="宋体"/>
          <w:color w:val="auto"/>
          <w:highlight w:val="none"/>
        </w:rPr>
        <w:t>响应</w:t>
      </w:r>
      <w:r>
        <w:rPr>
          <w:rFonts w:hint="eastAsia" w:ascii="宋体" w:hAnsi="宋体" w:eastAsia="宋体" w:cs="宋体"/>
          <w:color w:val="auto"/>
          <w:highlight w:val="none"/>
          <w:lang w:val="zh-CN"/>
        </w:rPr>
        <w:t>文件含义不明、表述不一致或有明显计算错误等内容需要供应商作出澄清、说明或者补正的，</w:t>
      </w:r>
      <w:r>
        <w:rPr>
          <w:rFonts w:hint="eastAsia" w:ascii="宋体" w:hAnsi="宋体" w:eastAsia="宋体" w:cs="宋体"/>
          <w:color w:val="auto"/>
          <w:highlight w:val="none"/>
        </w:rPr>
        <w:t>磋商小组</w:t>
      </w:r>
      <w:r>
        <w:rPr>
          <w:rFonts w:hint="eastAsia" w:ascii="宋体" w:hAnsi="宋体" w:eastAsia="宋体" w:cs="宋体"/>
          <w:color w:val="auto"/>
          <w:highlight w:val="none"/>
          <w:lang w:val="zh-CN"/>
        </w:rPr>
        <w:t>和供应商应当通过政采云平台交换数据电文，给予供应商提交澄清说明或补正的时间不少于半小时，供应商已经明确表示澄清说明或补正完毕的除外。</w:t>
      </w:r>
    </w:p>
    <w:p w14:paraId="0B5FA9B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供应商通过政采云平台交换的数据电文必须进行电子签章。</w:t>
      </w:r>
    </w:p>
    <w:p w14:paraId="516CD7AA">
      <w:pPr>
        <w:pStyle w:val="5"/>
        <w:numPr>
          <w:ilvl w:val="0"/>
          <w:numId w:val="16"/>
        </w:num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81" w:name="_Toc12816"/>
      <w:bookmarkStart w:id="82" w:name="_Toc32378"/>
      <w:r>
        <w:rPr>
          <w:rFonts w:hint="eastAsia" w:ascii="宋体" w:hAnsi="宋体" w:eastAsia="宋体" w:cs="宋体"/>
          <w:color w:val="auto"/>
          <w:highlight w:val="none"/>
        </w:rPr>
        <w:t>注意事项</w:t>
      </w:r>
      <w:bookmarkEnd w:id="81"/>
      <w:bookmarkEnd w:id="82"/>
    </w:p>
    <w:p w14:paraId="02539CE6">
      <w:pPr>
        <w:pStyle w:val="1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14:paraId="4BF7C05F">
      <w:pPr>
        <w:pStyle w:val="5"/>
        <w:numPr>
          <w:ilvl w:val="0"/>
          <w:numId w:val="17"/>
        </w:num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83" w:name="_Toc13782"/>
      <w:bookmarkStart w:id="84" w:name="_Toc32205"/>
      <w:r>
        <w:rPr>
          <w:rFonts w:hint="eastAsia" w:ascii="宋体" w:hAnsi="宋体" w:eastAsia="宋体" w:cs="宋体"/>
          <w:color w:val="auto"/>
          <w:highlight w:val="none"/>
        </w:rPr>
        <w:t>评分细则</w:t>
      </w:r>
      <w:bookmarkEnd w:id="83"/>
      <w:bookmarkEnd w:id="84"/>
    </w:p>
    <w:p w14:paraId="4C28B4CF">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一、报价文件评分标准（</w:t>
      </w:r>
      <w:r>
        <w:rPr>
          <w:rFonts w:hint="eastAsia" w:ascii="宋体" w:hAnsi="宋体" w:eastAsia="宋体" w:cs="宋体"/>
          <w:b/>
          <w:bCs/>
          <w:color w:val="auto"/>
          <w:sz w:val="24"/>
          <w:szCs w:val="24"/>
          <w:highlight w:val="none"/>
          <w:u w:val="single"/>
        </w:rPr>
        <w:t xml:space="preserve">20 </w:t>
      </w:r>
      <w:r>
        <w:rPr>
          <w:rFonts w:hint="eastAsia" w:ascii="宋体" w:hAnsi="宋体" w:eastAsia="宋体" w:cs="宋体"/>
          <w:b/>
          <w:bCs/>
          <w:color w:val="auto"/>
          <w:sz w:val="24"/>
          <w:szCs w:val="24"/>
          <w:highlight w:val="none"/>
        </w:rPr>
        <w:t>分）</w:t>
      </w:r>
    </w:p>
    <w:p w14:paraId="5F6AB51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报价文件主要是对供应商的有效报价进行评议，其评分标准及分值设置规则如下：</w:t>
      </w:r>
    </w:p>
    <w:p w14:paraId="2573B7B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1、本次采购最高限价规定如下：</w:t>
      </w:r>
    </w:p>
    <w:p w14:paraId="3702E93B">
      <w:pPr>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rPr>
        <w:t>本项目投标报价的最高限价</w:t>
      </w:r>
      <w:r>
        <w:rPr>
          <w:rFonts w:hint="eastAsia" w:ascii="宋体" w:hAnsi="宋体" w:eastAsia="宋体" w:cs="宋体"/>
          <w:b/>
          <w:bCs/>
          <w:color w:val="auto"/>
          <w:sz w:val="24"/>
          <w:szCs w:val="24"/>
          <w:highlight w:val="none"/>
        </w:rPr>
        <w:t>为人民币</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壹佰伍拾万</w:t>
      </w:r>
      <w:r>
        <w:rPr>
          <w:rFonts w:hint="eastAsia" w:ascii="宋体" w:hAnsi="宋体" w:eastAsia="宋体" w:cs="宋体"/>
          <w:b/>
          <w:bCs/>
          <w:color w:val="auto"/>
          <w:sz w:val="24"/>
          <w:szCs w:val="24"/>
          <w:highlight w:val="none"/>
          <w:u w:val="single"/>
        </w:rPr>
        <w:t xml:space="preserve">元整 </w:t>
      </w:r>
      <w:r>
        <w:rPr>
          <w:rFonts w:hint="eastAsia" w:ascii="宋体" w:hAnsi="宋体" w:eastAsia="宋体" w:cs="宋体"/>
          <w:b/>
          <w:bCs/>
          <w:color w:val="auto"/>
          <w:sz w:val="24"/>
          <w:szCs w:val="24"/>
          <w:highlight w:val="none"/>
        </w:rPr>
        <w:t>（小写</w:t>
      </w:r>
      <w:r>
        <w:rPr>
          <w:rFonts w:hint="eastAsia" w:ascii="宋体" w:hAnsi="宋体" w:cs="宋体"/>
          <w:b/>
          <w:bCs/>
          <w:color w:val="auto"/>
          <w:sz w:val="24"/>
          <w:szCs w:val="24"/>
          <w:highlight w:val="none"/>
          <w:u w:val="single"/>
          <w:lang w:val="en-US" w:eastAsia="zh-CN"/>
        </w:rPr>
        <w:t>150</w:t>
      </w:r>
      <w:r>
        <w:rPr>
          <w:rFonts w:hint="eastAsia" w:ascii="宋体" w:hAnsi="宋体" w:eastAsia="宋体" w:cs="宋体"/>
          <w:b/>
          <w:bCs/>
          <w:color w:val="auto"/>
          <w:sz w:val="24"/>
          <w:szCs w:val="24"/>
          <w:highlight w:val="none"/>
          <w:u w:val="single"/>
          <w:lang w:val="en-US" w:eastAsia="zh-CN"/>
        </w:rPr>
        <w:t>0</w:t>
      </w:r>
      <w:r>
        <w:rPr>
          <w:rFonts w:hint="eastAsia" w:ascii="宋体" w:hAnsi="宋体" w:eastAsia="宋体" w:cs="宋体"/>
          <w:b/>
          <w:bCs/>
          <w:color w:val="auto"/>
          <w:sz w:val="24"/>
          <w:szCs w:val="24"/>
          <w:highlight w:val="none"/>
          <w:u w:val="single"/>
        </w:rPr>
        <w:t xml:space="preserve">000.00 </w:t>
      </w:r>
      <w:r>
        <w:rPr>
          <w:rFonts w:hint="eastAsia" w:ascii="宋体" w:hAnsi="宋体" w:eastAsia="宋体" w:cs="宋体"/>
          <w:b/>
          <w:bCs/>
          <w:color w:val="auto"/>
          <w:sz w:val="24"/>
          <w:szCs w:val="24"/>
          <w:highlight w:val="none"/>
        </w:rPr>
        <w:t>元）。</w:t>
      </w:r>
    </w:p>
    <w:p w14:paraId="52CE177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2、供应商的报价在最高限价内的，为有效报价。</w:t>
      </w:r>
    </w:p>
    <w:p w14:paraId="16E8C15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3、本次评标设有最佳报价。最佳报价确定方式：根据所有入围供应商有效报价中的最低报价作为最佳报价。</w:t>
      </w:r>
    </w:p>
    <w:p w14:paraId="72000A6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4、最佳报价者的报价分为满分，其他供应商的有效报价与最佳报价相比，按下列方法计算其报价分：</w:t>
      </w:r>
    </w:p>
    <w:p w14:paraId="1B93A43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投标价格分=(最佳报价/投标报价)*价格权值*100。</w:t>
      </w:r>
    </w:p>
    <w:p w14:paraId="4A3B05B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5、当报价一览表与磋商报价明细表报价不一致时，以报价一览表为准，磋商报价明细表报价予以修正并由授权代表签字确认，拒绝修正或确认的，则做无效标处理。</w:t>
      </w:r>
    </w:p>
    <w:p w14:paraId="167DC10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6、响应文件只允许有一个报价，磋商报价应按磋商文件中相关附表格式填报，该磋商报价应与明细报价汇总相等，且不允许出现报价优惠、赠送等字样（明细出现“0”元，视同赠送）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如出现则做</w:t>
      </w:r>
      <w:r>
        <w:rPr>
          <w:rFonts w:hint="eastAsia" w:ascii="宋体" w:hAnsi="宋体" w:eastAsia="宋体" w:cs="宋体"/>
          <w:b/>
          <w:bCs/>
          <w:color w:val="auto"/>
          <w:sz w:val="24"/>
          <w:szCs w:val="24"/>
          <w:highlight w:val="none"/>
        </w:rPr>
        <w:t>无效响应</w:t>
      </w:r>
      <w:r>
        <w:rPr>
          <w:rFonts w:hint="eastAsia" w:ascii="宋体" w:hAnsi="宋体" w:eastAsia="宋体" w:cs="宋体"/>
          <w:color w:val="auto"/>
          <w:sz w:val="24"/>
          <w:szCs w:val="24"/>
          <w:highlight w:val="none"/>
        </w:rPr>
        <w:t>处理。</w:t>
      </w:r>
    </w:p>
    <w:p w14:paraId="72B35F32">
      <w:pPr>
        <w:autoSpaceDE w:val="0"/>
        <w:autoSpaceDN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b/>
          <w:bCs/>
          <w:color w:val="auto"/>
          <w:sz w:val="24"/>
          <w:szCs w:val="24"/>
          <w:highlight w:val="none"/>
        </w:rPr>
        <w:t>投标价格的合理性</w:t>
      </w:r>
      <w:r>
        <w:rPr>
          <w:rFonts w:hint="eastAsia" w:ascii="宋体" w:hAnsi="宋体" w:eastAsia="宋体" w:cs="宋体"/>
          <w:color w:val="auto"/>
          <w:sz w:val="24"/>
          <w:szCs w:val="24"/>
          <w:highlight w:val="none"/>
        </w:rPr>
        <w:t>：评标委员会认为供应商的报价明显低于其他通过符合性审</w:t>
      </w:r>
      <w:r>
        <w:rPr>
          <w:rFonts w:hint="eastAsia" w:ascii="宋体" w:hAnsi="宋体" w:cs="宋体"/>
          <w:color w:val="auto"/>
          <w:sz w:val="24"/>
          <w:szCs w:val="24"/>
          <w:highlight w:val="none"/>
          <w:lang w:eastAsia="zh-CN"/>
        </w:rPr>
        <w:t>查的</w:t>
      </w:r>
      <w:r>
        <w:rPr>
          <w:rFonts w:hint="eastAsia" w:ascii="宋体" w:hAnsi="宋体" w:eastAsia="宋体" w:cs="宋体"/>
          <w:color w:val="auto"/>
          <w:sz w:val="24"/>
          <w:szCs w:val="24"/>
          <w:highlight w:val="none"/>
        </w:rPr>
        <w:t>供应商的报价，有可能影响产品质量或者不能诚信履约的，应当要求其在评标现场合理的时间内提供书面说明，必要时提交相关证明材料；供应商不能证明其报价合理性的，评标委员会应当将其作为无效响应处理。</w:t>
      </w:r>
    </w:p>
    <w:p w14:paraId="6DBB82E1">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4"/>
          <w:highlight w:val="none"/>
        </w:rPr>
        <w:t>8、价格扣除：</w:t>
      </w:r>
      <w:r>
        <w:rPr>
          <w:rFonts w:hint="eastAsia" w:ascii="宋体" w:hAnsi="宋体" w:eastAsia="宋体" w:cs="宋体"/>
          <w:color w:val="auto"/>
          <w:sz w:val="24"/>
          <w:szCs w:val="21"/>
          <w:highlight w:val="none"/>
        </w:rPr>
        <w:t>小微企业是指在中华人民共和国境内依法设立，依据国务院批准的中小企业划分标准确定的小型企业和微型企业，但与大企业的负责人为同一人，或者与大企业存在直接控股、管理关系的除外。</w:t>
      </w:r>
    </w:p>
    <w:p w14:paraId="37F62FEB">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符合中小企业划分标准的个体工商户，在政府采购活动中视同中小企业。</w:t>
      </w:r>
    </w:p>
    <w:p w14:paraId="0DA4249A">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在货物采购项目中，货物由小微企业制造，即货物由小微企业生产且使用该小微企业商号或者注册商标。供应商提供的货物既有中小企业制造货物，也有大型企业制造货物的，不享受中小企业扶持政策。</w:t>
      </w:r>
    </w:p>
    <w:p w14:paraId="280BE965">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在服务采购项目中，服务由小微企业承接，即提供服务的人员为小微企业依照《中华人民共和国劳动合同法》订立劳动合同的从业人员。</w:t>
      </w:r>
    </w:p>
    <w:p w14:paraId="6F31BC9A">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联合体各方均为小型、微型企业的，联合体视同为小型、微型企业。</w:t>
      </w:r>
    </w:p>
    <w:p w14:paraId="7AA6AB37">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符合上述条件的中小微型企业应按照</w:t>
      </w:r>
      <w:r>
        <w:rPr>
          <w:rFonts w:hint="eastAsia" w:ascii="宋体" w:hAnsi="宋体" w:eastAsia="宋体" w:cs="宋体"/>
          <w:color w:val="auto"/>
          <w:sz w:val="24"/>
          <w:szCs w:val="21"/>
          <w:highlight w:val="none"/>
          <w:lang w:eastAsia="zh-CN"/>
        </w:rPr>
        <w:t>磋商文件</w:t>
      </w:r>
      <w:r>
        <w:rPr>
          <w:rFonts w:hint="eastAsia" w:ascii="宋体" w:hAnsi="宋体" w:eastAsia="宋体" w:cs="宋体"/>
          <w:color w:val="auto"/>
          <w:sz w:val="24"/>
          <w:szCs w:val="21"/>
          <w:highlight w:val="none"/>
        </w:rPr>
        <w:t>附件的格式要求提供《中小企业声明函》。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C9C536A">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w:t>
      </w:r>
    </w:p>
    <w:p w14:paraId="4DD0A5E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1"/>
          <w:highlight w:val="none"/>
        </w:rPr>
        <w:t>组成联合体或者接受分包的小微企业与联合体内其他企业、分包企业之间存在直接控股、管理关系的，不享受价格扣除优惠政策。</w:t>
      </w:r>
    </w:p>
    <w:p w14:paraId="183CB61D">
      <w:pPr>
        <w:numPr>
          <w:ilvl w:val="0"/>
          <w:numId w:val="18"/>
        </w:num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商务技术文件评标内容及标准（</w:t>
      </w:r>
      <w:r>
        <w:rPr>
          <w:rFonts w:hint="eastAsia" w:ascii="宋体" w:hAnsi="宋体" w:eastAsia="宋体" w:cs="宋体"/>
          <w:b/>
          <w:bCs/>
          <w:color w:val="auto"/>
          <w:sz w:val="24"/>
          <w:szCs w:val="24"/>
          <w:highlight w:val="none"/>
          <w:u w:val="single"/>
        </w:rPr>
        <w:t xml:space="preserve"> 80 </w:t>
      </w:r>
      <w:r>
        <w:rPr>
          <w:rFonts w:hint="eastAsia" w:ascii="宋体" w:hAnsi="宋体" w:eastAsia="宋体" w:cs="宋体"/>
          <w:b/>
          <w:bCs/>
          <w:color w:val="auto"/>
          <w:sz w:val="24"/>
          <w:szCs w:val="24"/>
          <w:highlight w:val="none"/>
        </w:rPr>
        <w:t>分）</w:t>
      </w:r>
    </w:p>
    <w:p w14:paraId="73CF5917">
      <w:pPr>
        <w:numPr>
          <w:ilvl w:val="0"/>
          <w:numId w:val="19"/>
        </w:num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评分细则</w:t>
      </w:r>
    </w:p>
    <w:tbl>
      <w:tblPr>
        <w:tblStyle w:val="29"/>
        <w:tblW w:w="5390" w:type="pct"/>
        <w:jc w:val="center"/>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974"/>
        <w:gridCol w:w="1217"/>
        <w:gridCol w:w="6035"/>
        <w:gridCol w:w="931"/>
      </w:tblGrid>
      <w:tr w14:paraId="285623D2">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96" w:type="pct"/>
            <w:gridSpan w:val="2"/>
            <w:tcBorders>
              <w:tl2br w:val="nil"/>
              <w:tr2bl w:val="nil"/>
            </w:tcBorders>
            <w:shd w:val="clear" w:color="auto" w:fill="FFFFFF"/>
            <w:noWrap w:val="0"/>
            <w:vAlign w:val="center"/>
          </w:tcPr>
          <w:p w14:paraId="046035E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center"/>
              <w:textAlignment w:val="auto"/>
              <w:rPr>
                <w:rFonts w:hint="eastAsia" w:ascii="宋体" w:hAnsi="宋体" w:eastAsia="宋体" w:cs="宋体"/>
                <w:sz w:val="24"/>
                <w:szCs w:val="24"/>
                <w:highlight w:val="none"/>
                <w:lang w:val="zh-TW"/>
              </w:rPr>
            </w:pPr>
            <w:r>
              <w:rPr>
                <w:rFonts w:hint="eastAsia" w:ascii="宋体" w:hAnsi="宋体" w:eastAsia="宋体" w:cs="宋体"/>
                <w:sz w:val="24"/>
                <w:szCs w:val="24"/>
                <w:highlight w:val="none"/>
                <w:lang w:val="zh-TW" w:eastAsia="zh-TW"/>
              </w:rPr>
              <w:t>评审内容</w:t>
            </w:r>
          </w:p>
        </w:tc>
        <w:tc>
          <w:tcPr>
            <w:tcW w:w="3294" w:type="pct"/>
            <w:tcBorders>
              <w:tl2br w:val="nil"/>
              <w:tr2bl w:val="nil"/>
            </w:tcBorders>
            <w:shd w:val="clear" w:color="auto" w:fill="FFFFFF"/>
            <w:noWrap w:val="0"/>
            <w:tcMar>
              <w:top w:w="80" w:type="dxa"/>
              <w:left w:w="80" w:type="dxa"/>
              <w:bottom w:w="80" w:type="dxa"/>
              <w:right w:w="80" w:type="dxa"/>
            </w:tcMar>
            <w:vAlign w:val="center"/>
          </w:tcPr>
          <w:p w14:paraId="64EF852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center"/>
              <w:textAlignment w:val="auto"/>
              <w:rPr>
                <w:rFonts w:hint="eastAsia" w:ascii="宋体" w:hAnsi="宋体" w:eastAsia="宋体" w:cs="宋体"/>
                <w:sz w:val="24"/>
                <w:szCs w:val="24"/>
                <w:highlight w:val="none"/>
                <w:lang w:val="zh-TW"/>
              </w:rPr>
            </w:pPr>
            <w:r>
              <w:rPr>
                <w:rFonts w:hint="eastAsia" w:ascii="宋体" w:hAnsi="宋体" w:eastAsia="宋体" w:cs="宋体"/>
                <w:sz w:val="24"/>
                <w:szCs w:val="24"/>
                <w:highlight w:val="none"/>
                <w:lang w:val="zh-TW" w:eastAsia="zh-TW"/>
              </w:rPr>
              <w:t>评分标准</w:t>
            </w:r>
          </w:p>
        </w:tc>
        <w:tc>
          <w:tcPr>
            <w:tcW w:w="508" w:type="pct"/>
            <w:tcBorders>
              <w:tl2br w:val="nil"/>
              <w:tr2bl w:val="nil"/>
            </w:tcBorders>
            <w:shd w:val="clear" w:color="auto" w:fill="FFFFFF"/>
            <w:noWrap w:val="0"/>
            <w:tcMar>
              <w:top w:w="80" w:type="dxa"/>
              <w:left w:w="80" w:type="dxa"/>
              <w:bottom w:w="80" w:type="dxa"/>
              <w:right w:w="80" w:type="dxa"/>
            </w:tcMar>
            <w:vAlign w:val="center"/>
          </w:tcPr>
          <w:p w14:paraId="36F4015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center"/>
              <w:textAlignment w:val="auto"/>
              <w:rPr>
                <w:rFonts w:hint="eastAsia" w:ascii="宋体" w:hAnsi="宋体" w:eastAsia="宋体" w:cs="宋体"/>
                <w:sz w:val="24"/>
                <w:szCs w:val="24"/>
                <w:highlight w:val="none"/>
                <w:lang w:val="zh-TW"/>
              </w:rPr>
            </w:pPr>
            <w:r>
              <w:rPr>
                <w:rFonts w:hint="eastAsia" w:ascii="宋体" w:hAnsi="宋体" w:eastAsia="宋体" w:cs="宋体"/>
                <w:sz w:val="24"/>
                <w:szCs w:val="24"/>
                <w:highlight w:val="none"/>
                <w:lang w:val="zh-TW" w:eastAsia="zh-TW"/>
              </w:rPr>
              <w:t>分值</w:t>
            </w:r>
          </w:p>
        </w:tc>
      </w:tr>
      <w:tr w14:paraId="745AB2BD">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32" w:type="pct"/>
            <w:vMerge w:val="restart"/>
            <w:tcBorders>
              <w:tl2br w:val="nil"/>
              <w:tr2bl w:val="nil"/>
            </w:tcBorders>
            <w:shd w:val="clear" w:color="auto" w:fill="FFFFFF"/>
            <w:noWrap w:val="0"/>
            <w:tcMar>
              <w:top w:w="80" w:type="dxa"/>
              <w:left w:w="80" w:type="dxa"/>
              <w:bottom w:w="80" w:type="dxa"/>
              <w:right w:w="80" w:type="dxa"/>
            </w:tcMar>
            <w:vAlign w:val="center"/>
          </w:tcPr>
          <w:p w14:paraId="036539F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center"/>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技术</w:t>
            </w:r>
          </w:p>
          <w:p w14:paraId="248E2E3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（70）</w:t>
            </w:r>
          </w:p>
        </w:tc>
        <w:tc>
          <w:tcPr>
            <w:tcW w:w="663" w:type="pct"/>
            <w:tcBorders>
              <w:tl2br w:val="nil"/>
              <w:tr2bl w:val="nil"/>
            </w:tcBorders>
            <w:shd w:val="clear" w:color="auto" w:fill="FFFFFF"/>
            <w:noWrap w:val="0"/>
            <w:tcMar>
              <w:top w:w="80" w:type="dxa"/>
              <w:left w:w="80" w:type="dxa"/>
              <w:bottom w:w="80" w:type="dxa"/>
              <w:right w:w="80" w:type="dxa"/>
            </w:tcMar>
            <w:vAlign w:val="center"/>
          </w:tcPr>
          <w:p w14:paraId="0600098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center"/>
              <w:textAlignment w:val="auto"/>
              <w:rPr>
                <w:rFonts w:hint="eastAsia" w:ascii="宋体" w:hAnsi="宋体" w:eastAsia="宋体" w:cs="宋体"/>
                <w:sz w:val="24"/>
                <w:szCs w:val="24"/>
                <w:highlight w:val="none"/>
                <w:lang w:val="zh-TW"/>
              </w:rPr>
            </w:pPr>
            <w:r>
              <w:rPr>
                <w:rFonts w:hint="eastAsia" w:ascii="宋体" w:hAnsi="宋体" w:eastAsia="宋体" w:cs="宋体"/>
                <w:sz w:val="24"/>
                <w:szCs w:val="24"/>
                <w:highlight w:val="none"/>
                <w:lang w:val="zh-TW"/>
              </w:rPr>
              <w:t>项目</w:t>
            </w:r>
            <w:r>
              <w:rPr>
                <w:rFonts w:hint="eastAsia" w:ascii="宋体" w:hAnsi="宋体" w:eastAsia="宋体" w:cs="宋体"/>
                <w:sz w:val="24"/>
                <w:szCs w:val="24"/>
                <w:highlight w:val="none"/>
                <w:lang w:val="en-US" w:eastAsia="zh-CN"/>
              </w:rPr>
              <w:t>理解</w:t>
            </w:r>
          </w:p>
        </w:tc>
        <w:tc>
          <w:tcPr>
            <w:tcW w:w="3294" w:type="pct"/>
            <w:tcBorders>
              <w:tl2br w:val="nil"/>
              <w:tr2bl w:val="nil"/>
            </w:tcBorders>
            <w:shd w:val="clear" w:color="auto" w:fill="FFFFFF"/>
            <w:noWrap w:val="0"/>
            <w:tcMar>
              <w:top w:w="80" w:type="dxa"/>
              <w:left w:w="80" w:type="dxa"/>
              <w:bottom w:w="80" w:type="dxa"/>
              <w:right w:w="80" w:type="dxa"/>
            </w:tcMar>
            <w:vAlign w:val="center"/>
          </w:tcPr>
          <w:p w14:paraId="347BA97A">
            <w:pPr>
              <w:pStyle w:val="28"/>
              <w:keepNext w:val="0"/>
              <w:keepLines w:val="0"/>
              <w:pageBreakBefore w:val="0"/>
              <w:suppressLineNumbers w:val="0"/>
              <w:kinsoku/>
              <w:wordWrap/>
              <w:overflowPunct/>
              <w:topLinePunct w:val="0"/>
              <w:autoSpaceDE/>
              <w:autoSpaceDN/>
              <w:bidi w:val="0"/>
              <w:snapToGrid/>
              <w:spacing w:before="0" w:beforeAutospacing="0" w:after="0" w:afterAutospacing="0" w:line="312" w:lineRule="auto"/>
              <w:ind w:left="0" w:leftChars="0" w:right="0" w:firstLine="0" w:firstLineChars="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w:t>
            </w:r>
            <w:r>
              <w:rPr>
                <w:rFonts w:hint="eastAsia" w:ascii="宋体" w:hAnsi="宋体" w:eastAsia="宋体" w:cs="宋体"/>
                <w:kern w:val="2"/>
                <w:sz w:val="24"/>
                <w:szCs w:val="24"/>
                <w:highlight w:val="none"/>
                <w:lang w:val="en-US" w:eastAsia="zh-CN" w:bidi="ar-SA"/>
              </w:rPr>
              <w:t>供应商</w:t>
            </w:r>
            <w:r>
              <w:rPr>
                <w:rFonts w:hint="eastAsia" w:ascii="宋体" w:hAnsi="宋体" w:eastAsia="宋体" w:cs="宋体"/>
                <w:sz w:val="24"/>
                <w:szCs w:val="24"/>
                <w:highlight w:val="none"/>
                <w:lang w:val="en-US" w:eastAsia="zh-CN"/>
              </w:rPr>
              <w:t>提供的项目需求理解，包括上虞区“十五五”时期经济社会发展战略和目标、上虞区“十五五”时期经济社会发展总体思路，</w:t>
            </w:r>
            <w:r>
              <w:rPr>
                <w:rFonts w:hint="eastAsia" w:ascii="宋体" w:hAnsi="宋体" w:eastAsia="宋体" w:cs="宋体"/>
                <w:sz w:val="24"/>
                <w:szCs w:val="24"/>
                <w:highlight w:val="none"/>
                <w:lang w:val="en-US" w:eastAsia="zh-CN"/>
              </w:rPr>
              <w:t>进行综合打分。</w:t>
            </w:r>
          </w:p>
        </w:tc>
        <w:tc>
          <w:tcPr>
            <w:tcW w:w="508" w:type="pct"/>
            <w:tcBorders>
              <w:tl2br w:val="nil"/>
              <w:tr2bl w:val="nil"/>
            </w:tcBorders>
            <w:shd w:val="clear" w:color="auto" w:fill="FFFFFF"/>
            <w:noWrap w:val="0"/>
            <w:tcMar>
              <w:top w:w="80" w:type="dxa"/>
              <w:left w:w="80" w:type="dxa"/>
              <w:bottom w:w="80" w:type="dxa"/>
              <w:right w:w="80" w:type="dxa"/>
            </w:tcMar>
            <w:vAlign w:val="center"/>
          </w:tcPr>
          <w:p w14:paraId="40EC6C5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r>
              <w:rPr>
                <w:rFonts w:hint="default" w:ascii="宋体" w:hAnsi="宋体" w:eastAsia="宋体" w:cs="宋体"/>
                <w:sz w:val="24"/>
                <w:szCs w:val="24"/>
                <w:highlight w:val="none"/>
                <w:lang w:val="en-US" w:eastAsia="zh-CN"/>
              </w:rPr>
              <w:t>分</w:t>
            </w:r>
          </w:p>
        </w:tc>
      </w:tr>
      <w:tr w14:paraId="780E633C">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79" w:hRule="atLeast"/>
          <w:jc w:val="center"/>
        </w:trPr>
        <w:tc>
          <w:tcPr>
            <w:tcW w:w="532" w:type="pct"/>
            <w:vMerge w:val="continue"/>
            <w:tcBorders>
              <w:tl2br w:val="nil"/>
              <w:tr2bl w:val="nil"/>
            </w:tcBorders>
            <w:shd w:val="clear" w:color="auto" w:fill="FFFFFF"/>
            <w:noWrap w:val="0"/>
            <w:tcMar>
              <w:top w:w="80" w:type="dxa"/>
              <w:left w:w="80" w:type="dxa"/>
              <w:bottom w:w="80" w:type="dxa"/>
              <w:right w:w="80" w:type="dxa"/>
            </w:tcMar>
            <w:vAlign w:val="center"/>
          </w:tcPr>
          <w:p w14:paraId="0F619AD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center"/>
              <w:textAlignment w:val="auto"/>
              <w:rPr>
                <w:rFonts w:hint="eastAsia" w:ascii="宋体" w:hAnsi="宋体" w:eastAsia="宋体" w:cs="宋体"/>
                <w:sz w:val="24"/>
                <w:szCs w:val="24"/>
                <w:highlight w:val="none"/>
                <w:lang w:val="en-US" w:eastAsia="zh-CN"/>
              </w:rPr>
            </w:pPr>
          </w:p>
        </w:tc>
        <w:tc>
          <w:tcPr>
            <w:tcW w:w="663" w:type="pct"/>
            <w:tcBorders>
              <w:tl2br w:val="nil"/>
              <w:tr2bl w:val="nil"/>
            </w:tcBorders>
            <w:shd w:val="clear" w:color="auto" w:fill="FFFFFF"/>
            <w:noWrap w:val="0"/>
            <w:tcMar>
              <w:top w:w="80" w:type="dxa"/>
              <w:left w:w="80" w:type="dxa"/>
              <w:bottom w:w="80" w:type="dxa"/>
              <w:right w:w="80" w:type="dxa"/>
            </w:tcMar>
            <w:vAlign w:val="center"/>
          </w:tcPr>
          <w:p w14:paraId="03EFC55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重难点分析</w:t>
            </w:r>
          </w:p>
        </w:tc>
        <w:tc>
          <w:tcPr>
            <w:tcW w:w="3294" w:type="pct"/>
            <w:tcBorders>
              <w:tl2br w:val="nil"/>
              <w:tr2bl w:val="nil"/>
            </w:tcBorders>
            <w:shd w:val="clear" w:color="auto" w:fill="FFFFFF"/>
            <w:noWrap w:val="0"/>
            <w:tcMar>
              <w:top w:w="80" w:type="dxa"/>
              <w:left w:w="80" w:type="dxa"/>
              <w:bottom w:w="80" w:type="dxa"/>
              <w:right w:w="80" w:type="dxa"/>
            </w:tcMar>
            <w:vAlign w:val="center"/>
          </w:tcPr>
          <w:p w14:paraId="7C052E07">
            <w:pPr>
              <w:pStyle w:val="28"/>
              <w:keepNext w:val="0"/>
              <w:keepLines w:val="0"/>
              <w:pageBreakBefore w:val="0"/>
              <w:suppressLineNumbers w:val="0"/>
              <w:kinsoku/>
              <w:wordWrap/>
              <w:overflowPunct/>
              <w:topLinePunct w:val="0"/>
              <w:autoSpaceDE/>
              <w:autoSpaceDN/>
              <w:bidi w:val="0"/>
              <w:snapToGrid/>
              <w:spacing w:before="0" w:beforeAutospacing="0" w:after="0" w:afterAutospacing="0" w:line="312" w:lineRule="auto"/>
              <w:ind w:left="0" w:leftChars="0" w:right="0" w:firstLine="0" w:firstLineChars="0"/>
              <w:rPr>
                <w:rFonts w:hint="eastAsia" w:ascii="宋体" w:hAnsi="宋体" w:eastAsia="宋体" w:cs="宋体"/>
                <w:sz w:val="24"/>
                <w:szCs w:val="24"/>
                <w:highlight w:val="none"/>
                <w:lang w:val="zh-TW"/>
              </w:rPr>
            </w:pPr>
            <w:r>
              <w:rPr>
                <w:rFonts w:hint="eastAsia" w:ascii="宋体" w:hAnsi="宋体" w:eastAsia="宋体" w:cs="宋体"/>
                <w:sz w:val="24"/>
                <w:szCs w:val="24"/>
                <w:highlight w:val="none"/>
                <w:lang w:val="en-US" w:eastAsia="zh-CN"/>
              </w:rPr>
              <w:t>根据供应商提供的重难点分析，包括上虞区“十五五”时期经济社会发展重点和难点分析</w:t>
            </w:r>
            <w:r>
              <w:rPr>
                <w:rFonts w:hint="eastAsia" w:cs="宋体"/>
                <w:sz w:val="24"/>
                <w:szCs w:val="24"/>
                <w:highlight w:val="none"/>
                <w:lang w:val="en-US" w:eastAsia="zh-CN"/>
              </w:rPr>
              <w:t>,</w:t>
            </w:r>
            <w:r>
              <w:rPr>
                <w:rFonts w:hint="eastAsia" w:ascii="宋体" w:hAnsi="宋体" w:eastAsia="宋体" w:cs="宋体"/>
                <w:sz w:val="24"/>
                <w:szCs w:val="24"/>
                <w:highlight w:val="none"/>
                <w:lang w:val="en-US" w:eastAsia="zh-CN"/>
              </w:rPr>
              <w:t>进行综合打分</w:t>
            </w:r>
            <w:r>
              <w:rPr>
                <w:rFonts w:hint="eastAsia" w:ascii="宋体" w:hAnsi="宋体" w:eastAsia="宋体" w:cs="宋体"/>
                <w:sz w:val="24"/>
                <w:szCs w:val="24"/>
                <w:highlight w:val="none"/>
                <w:lang w:val="en-US" w:eastAsia="zh-CN"/>
              </w:rPr>
              <w:t>。</w:t>
            </w:r>
          </w:p>
        </w:tc>
        <w:tc>
          <w:tcPr>
            <w:tcW w:w="508" w:type="pct"/>
            <w:tcBorders>
              <w:tl2br w:val="nil"/>
              <w:tr2bl w:val="nil"/>
            </w:tcBorders>
            <w:shd w:val="clear" w:color="auto" w:fill="FFFFFF"/>
            <w:noWrap w:val="0"/>
            <w:tcMar>
              <w:top w:w="80" w:type="dxa"/>
              <w:left w:w="80" w:type="dxa"/>
              <w:bottom w:w="80" w:type="dxa"/>
              <w:right w:w="80" w:type="dxa"/>
            </w:tcMar>
            <w:vAlign w:val="center"/>
          </w:tcPr>
          <w:p w14:paraId="005EA75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center"/>
              <w:textAlignment w:val="auto"/>
              <w:rPr>
                <w:rFonts w:hint="eastAsia" w:ascii="宋体" w:hAnsi="宋体" w:eastAsia="宋体" w:cs="宋体"/>
                <w:sz w:val="24"/>
                <w:szCs w:val="24"/>
                <w:highlight w:val="none"/>
                <w:lang w:val="zh-TW" w:eastAsia="zh-CN"/>
              </w:rPr>
            </w:pPr>
            <w:r>
              <w:rPr>
                <w:rFonts w:hint="eastAsia" w:ascii="宋体" w:hAnsi="宋体" w:eastAsia="宋体" w:cs="宋体"/>
                <w:sz w:val="24"/>
                <w:szCs w:val="24"/>
                <w:highlight w:val="none"/>
                <w:lang w:val="en-US" w:eastAsia="zh-CN"/>
              </w:rPr>
              <w:t>5分</w:t>
            </w:r>
          </w:p>
        </w:tc>
      </w:tr>
      <w:tr w14:paraId="65FB5222">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03" w:hRule="atLeast"/>
          <w:jc w:val="center"/>
        </w:trPr>
        <w:tc>
          <w:tcPr>
            <w:tcW w:w="532" w:type="pct"/>
            <w:vMerge w:val="continue"/>
            <w:tcBorders>
              <w:tl2br w:val="nil"/>
              <w:tr2bl w:val="nil"/>
            </w:tcBorders>
            <w:shd w:val="clear" w:color="auto" w:fill="FFFFFF"/>
            <w:noWrap w:val="0"/>
            <w:tcMar>
              <w:top w:w="80" w:type="dxa"/>
              <w:left w:w="80" w:type="dxa"/>
              <w:bottom w:w="80" w:type="dxa"/>
              <w:right w:w="80" w:type="dxa"/>
            </w:tcMar>
            <w:vAlign w:val="center"/>
          </w:tcPr>
          <w:p w14:paraId="40E262A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center"/>
              <w:textAlignment w:val="auto"/>
              <w:rPr>
                <w:rFonts w:hint="eastAsia" w:ascii="宋体" w:hAnsi="宋体" w:eastAsia="宋体" w:cs="宋体"/>
                <w:sz w:val="24"/>
                <w:szCs w:val="24"/>
                <w:highlight w:val="none"/>
                <w:lang w:val="en-US" w:eastAsia="zh-CN"/>
              </w:rPr>
            </w:pPr>
          </w:p>
        </w:tc>
        <w:tc>
          <w:tcPr>
            <w:tcW w:w="663" w:type="pct"/>
            <w:tcBorders>
              <w:tl2br w:val="nil"/>
              <w:tr2bl w:val="nil"/>
            </w:tcBorders>
            <w:shd w:val="clear" w:color="auto" w:fill="FFFFFF"/>
            <w:noWrap w:val="0"/>
            <w:tcMar>
              <w:top w:w="80" w:type="dxa"/>
              <w:left w:w="80" w:type="dxa"/>
              <w:bottom w:w="80" w:type="dxa"/>
              <w:right w:w="80" w:type="dxa"/>
            </w:tcMar>
            <w:vAlign w:val="center"/>
          </w:tcPr>
          <w:p w14:paraId="3F8214D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发展基础</w:t>
            </w:r>
          </w:p>
        </w:tc>
        <w:tc>
          <w:tcPr>
            <w:tcW w:w="3294" w:type="pct"/>
            <w:tcBorders>
              <w:tl2br w:val="nil"/>
              <w:tr2bl w:val="nil"/>
            </w:tcBorders>
            <w:shd w:val="clear" w:color="auto" w:fill="FFFFFF"/>
            <w:noWrap w:val="0"/>
            <w:tcMar>
              <w:top w:w="80" w:type="dxa"/>
              <w:left w:w="80" w:type="dxa"/>
              <w:bottom w:w="80" w:type="dxa"/>
              <w:right w:w="80" w:type="dxa"/>
            </w:tcMar>
            <w:vAlign w:val="center"/>
          </w:tcPr>
          <w:p w14:paraId="3C2A5AC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TW" w:eastAsia="zh-CN"/>
              </w:rPr>
              <w:t>根据供应商提供的项目研究基础，包括上虞区“十四五”时期主要成绩和“十四五”时期存在的问题等，</w:t>
            </w:r>
            <w:r>
              <w:rPr>
                <w:rFonts w:hint="eastAsia" w:ascii="宋体" w:hAnsi="宋体" w:eastAsia="宋体" w:cs="宋体"/>
                <w:sz w:val="24"/>
                <w:szCs w:val="24"/>
                <w:highlight w:val="none"/>
                <w:lang w:val="en-US" w:eastAsia="zh-CN"/>
              </w:rPr>
              <w:t>进行综合打分。</w:t>
            </w:r>
          </w:p>
        </w:tc>
        <w:tc>
          <w:tcPr>
            <w:tcW w:w="508" w:type="pct"/>
            <w:tcBorders>
              <w:tl2br w:val="nil"/>
              <w:tr2bl w:val="nil"/>
            </w:tcBorders>
            <w:shd w:val="clear" w:color="auto" w:fill="FFFFFF"/>
            <w:noWrap w:val="0"/>
            <w:tcMar>
              <w:top w:w="80" w:type="dxa"/>
              <w:left w:w="80" w:type="dxa"/>
              <w:bottom w:w="80" w:type="dxa"/>
              <w:right w:w="80" w:type="dxa"/>
            </w:tcMar>
            <w:vAlign w:val="center"/>
          </w:tcPr>
          <w:p w14:paraId="5E73DF0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5分</w:t>
            </w:r>
          </w:p>
        </w:tc>
      </w:tr>
      <w:tr w14:paraId="36A0B8B6">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16" w:hRule="atLeast"/>
          <w:jc w:val="center"/>
        </w:trPr>
        <w:tc>
          <w:tcPr>
            <w:tcW w:w="532" w:type="pct"/>
            <w:vMerge w:val="continue"/>
            <w:tcBorders>
              <w:tl2br w:val="nil"/>
              <w:tr2bl w:val="nil"/>
            </w:tcBorders>
            <w:shd w:val="clear" w:color="auto" w:fill="FFFFFF"/>
            <w:noWrap w:val="0"/>
            <w:tcMar>
              <w:top w:w="80" w:type="dxa"/>
              <w:left w:w="80" w:type="dxa"/>
              <w:bottom w:w="80" w:type="dxa"/>
              <w:right w:w="80" w:type="dxa"/>
            </w:tcMar>
            <w:vAlign w:val="center"/>
          </w:tcPr>
          <w:p w14:paraId="1E23284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center"/>
              <w:textAlignment w:val="auto"/>
              <w:rPr>
                <w:rFonts w:hint="eastAsia" w:ascii="宋体" w:hAnsi="宋体" w:eastAsia="宋体" w:cs="宋体"/>
                <w:sz w:val="24"/>
                <w:szCs w:val="24"/>
                <w:highlight w:val="none"/>
                <w:lang w:val="en-US" w:eastAsia="zh-CN"/>
              </w:rPr>
            </w:pPr>
          </w:p>
        </w:tc>
        <w:tc>
          <w:tcPr>
            <w:tcW w:w="663" w:type="pct"/>
            <w:tcBorders>
              <w:tl2br w:val="nil"/>
              <w:tr2bl w:val="nil"/>
            </w:tcBorders>
            <w:shd w:val="clear" w:color="auto" w:fill="FFFFFF"/>
            <w:noWrap w:val="0"/>
            <w:tcMar>
              <w:top w:w="80" w:type="dxa"/>
              <w:left w:w="80" w:type="dxa"/>
              <w:bottom w:w="80" w:type="dxa"/>
              <w:right w:w="80" w:type="dxa"/>
            </w:tcMar>
            <w:vAlign w:val="center"/>
          </w:tcPr>
          <w:p w14:paraId="6BB29A0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形势研判</w:t>
            </w:r>
          </w:p>
        </w:tc>
        <w:tc>
          <w:tcPr>
            <w:tcW w:w="3294" w:type="pct"/>
            <w:tcBorders>
              <w:tl2br w:val="nil"/>
              <w:tr2bl w:val="nil"/>
            </w:tcBorders>
            <w:shd w:val="clear" w:color="auto" w:fill="FFFFFF"/>
            <w:noWrap w:val="0"/>
            <w:tcMar>
              <w:top w:w="80" w:type="dxa"/>
              <w:left w:w="80" w:type="dxa"/>
              <w:bottom w:w="80" w:type="dxa"/>
              <w:right w:w="80" w:type="dxa"/>
            </w:tcMar>
            <w:vAlign w:val="center"/>
          </w:tcPr>
          <w:p w14:paraId="70E2706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根据供应商提供的发展面临的形势特征研究，包括分析国内外环境形势和发展趋势；概括提出上虞区“十五五”发展的阶段性特征，进行综合打分。</w:t>
            </w:r>
          </w:p>
        </w:tc>
        <w:tc>
          <w:tcPr>
            <w:tcW w:w="508" w:type="pct"/>
            <w:tcBorders>
              <w:tl2br w:val="nil"/>
              <w:tr2bl w:val="nil"/>
            </w:tcBorders>
            <w:shd w:val="clear" w:color="auto" w:fill="FFFFFF"/>
            <w:noWrap w:val="0"/>
            <w:tcMar>
              <w:top w:w="80" w:type="dxa"/>
              <w:left w:w="80" w:type="dxa"/>
              <w:bottom w:w="80" w:type="dxa"/>
              <w:right w:w="80" w:type="dxa"/>
            </w:tcMar>
            <w:vAlign w:val="center"/>
          </w:tcPr>
          <w:p w14:paraId="31A6CA3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5分</w:t>
            </w:r>
          </w:p>
        </w:tc>
      </w:tr>
      <w:tr w14:paraId="25DB3621">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28" w:hRule="atLeast"/>
          <w:jc w:val="center"/>
        </w:trPr>
        <w:tc>
          <w:tcPr>
            <w:tcW w:w="532" w:type="pct"/>
            <w:vMerge w:val="continue"/>
            <w:tcBorders>
              <w:tl2br w:val="nil"/>
              <w:tr2bl w:val="nil"/>
            </w:tcBorders>
            <w:shd w:val="clear" w:color="auto" w:fill="FFFFFF"/>
            <w:noWrap w:val="0"/>
            <w:tcMar>
              <w:top w:w="80" w:type="dxa"/>
              <w:left w:w="80" w:type="dxa"/>
              <w:bottom w:w="80" w:type="dxa"/>
              <w:right w:w="80" w:type="dxa"/>
            </w:tcMar>
            <w:vAlign w:val="center"/>
          </w:tcPr>
          <w:p w14:paraId="3ED9FEB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center"/>
              <w:textAlignment w:val="auto"/>
              <w:rPr>
                <w:rFonts w:hint="eastAsia" w:ascii="宋体" w:hAnsi="宋体" w:eastAsia="宋体" w:cs="宋体"/>
                <w:sz w:val="24"/>
                <w:szCs w:val="24"/>
                <w:highlight w:val="none"/>
                <w:lang w:val="en-US" w:eastAsia="zh-CN"/>
              </w:rPr>
            </w:pPr>
          </w:p>
        </w:tc>
        <w:tc>
          <w:tcPr>
            <w:tcW w:w="663" w:type="pct"/>
            <w:tcBorders>
              <w:tl2br w:val="nil"/>
              <w:tr2bl w:val="nil"/>
            </w:tcBorders>
            <w:shd w:val="clear" w:color="auto" w:fill="FFFFFF"/>
            <w:noWrap w:val="0"/>
            <w:tcMar>
              <w:top w:w="80" w:type="dxa"/>
              <w:left w:w="80" w:type="dxa"/>
              <w:bottom w:w="80" w:type="dxa"/>
              <w:right w:w="80" w:type="dxa"/>
            </w:tcMar>
            <w:vAlign w:val="center"/>
          </w:tcPr>
          <w:p w14:paraId="6CEFB53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对比分析</w:t>
            </w:r>
          </w:p>
        </w:tc>
        <w:tc>
          <w:tcPr>
            <w:tcW w:w="3294" w:type="pct"/>
            <w:tcBorders>
              <w:tl2br w:val="nil"/>
              <w:tr2bl w:val="nil"/>
            </w:tcBorders>
            <w:shd w:val="clear" w:color="auto" w:fill="FFFFFF"/>
            <w:noWrap w:val="0"/>
            <w:tcMar>
              <w:top w:w="80" w:type="dxa"/>
              <w:left w:w="80" w:type="dxa"/>
              <w:bottom w:w="80" w:type="dxa"/>
              <w:right w:w="80" w:type="dxa"/>
            </w:tcMar>
            <w:vAlign w:val="center"/>
          </w:tcPr>
          <w:p w14:paraId="09AA7B9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left"/>
              <w:textAlignment w:val="auto"/>
              <w:rPr>
                <w:rFonts w:hint="eastAsia" w:ascii="宋体" w:hAnsi="宋体" w:eastAsia="宋体" w:cs="宋体"/>
                <w:sz w:val="24"/>
                <w:szCs w:val="24"/>
                <w:highlight w:val="none"/>
                <w:lang w:val="zh-TW" w:eastAsia="zh-CN"/>
              </w:rPr>
            </w:pPr>
            <w:r>
              <w:rPr>
                <w:rFonts w:hint="eastAsia" w:ascii="宋体" w:hAnsi="宋体" w:eastAsia="宋体" w:cs="宋体"/>
                <w:sz w:val="24"/>
                <w:szCs w:val="24"/>
                <w:highlight w:val="none"/>
                <w:lang w:val="en-US" w:eastAsia="zh-CN"/>
              </w:rPr>
              <w:t>根据供应商提供的对比分析研究，包括与绍兴市其他县市区、与经济总量规模相当区县市等多维度比较等，进行综合打分。</w:t>
            </w:r>
          </w:p>
        </w:tc>
        <w:tc>
          <w:tcPr>
            <w:tcW w:w="508" w:type="pct"/>
            <w:tcBorders>
              <w:tl2br w:val="nil"/>
              <w:tr2bl w:val="nil"/>
            </w:tcBorders>
            <w:shd w:val="clear" w:color="auto" w:fill="FFFFFF"/>
            <w:noWrap w:val="0"/>
            <w:tcMar>
              <w:top w:w="80" w:type="dxa"/>
              <w:left w:w="80" w:type="dxa"/>
              <w:bottom w:w="80" w:type="dxa"/>
              <w:right w:w="80" w:type="dxa"/>
            </w:tcMar>
            <w:vAlign w:val="center"/>
          </w:tcPr>
          <w:p w14:paraId="66A7732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center"/>
              <w:textAlignment w:val="auto"/>
              <w:rPr>
                <w:rFonts w:hint="eastAsia" w:ascii="宋体" w:hAnsi="宋体" w:eastAsia="宋体" w:cs="宋体"/>
                <w:sz w:val="24"/>
                <w:szCs w:val="24"/>
                <w:highlight w:val="none"/>
                <w:lang w:val="zh-TW" w:eastAsia="zh-CN"/>
              </w:rPr>
            </w:pPr>
            <w:r>
              <w:rPr>
                <w:rFonts w:hint="eastAsia" w:ascii="宋体" w:hAnsi="宋体" w:eastAsia="宋体" w:cs="宋体"/>
                <w:sz w:val="24"/>
                <w:szCs w:val="24"/>
                <w:highlight w:val="none"/>
                <w:lang w:val="en-US" w:eastAsia="zh-CN"/>
              </w:rPr>
              <w:t>5分</w:t>
            </w:r>
          </w:p>
        </w:tc>
      </w:tr>
      <w:tr w14:paraId="79467DE5">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532" w:type="pct"/>
            <w:vMerge w:val="continue"/>
            <w:tcBorders>
              <w:tl2br w:val="nil"/>
              <w:tr2bl w:val="nil"/>
            </w:tcBorders>
            <w:shd w:val="clear" w:color="auto" w:fill="FFFFFF"/>
            <w:noWrap w:val="0"/>
            <w:tcMar>
              <w:top w:w="80" w:type="dxa"/>
              <w:left w:w="80" w:type="dxa"/>
              <w:bottom w:w="80" w:type="dxa"/>
              <w:right w:w="80" w:type="dxa"/>
            </w:tcMar>
            <w:vAlign w:val="center"/>
          </w:tcPr>
          <w:p w14:paraId="6E58D7C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center"/>
              <w:textAlignment w:val="auto"/>
              <w:rPr>
                <w:rFonts w:hint="eastAsia" w:ascii="宋体" w:hAnsi="宋体" w:eastAsia="宋体" w:cs="宋体"/>
                <w:sz w:val="24"/>
                <w:szCs w:val="24"/>
                <w:highlight w:val="none"/>
                <w:lang w:val="en-US" w:eastAsia="zh-CN"/>
              </w:rPr>
            </w:pPr>
          </w:p>
        </w:tc>
        <w:tc>
          <w:tcPr>
            <w:tcW w:w="663" w:type="pct"/>
            <w:vMerge w:val="restart"/>
            <w:tcBorders>
              <w:tl2br w:val="nil"/>
              <w:tr2bl w:val="nil"/>
            </w:tcBorders>
            <w:shd w:val="clear" w:color="auto" w:fill="FFFFFF"/>
            <w:noWrap w:val="0"/>
            <w:tcMar>
              <w:top w:w="80" w:type="dxa"/>
              <w:left w:w="80" w:type="dxa"/>
              <w:bottom w:w="80" w:type="dxa"/>
              <w:right w:w="80" w:type="dxa"/>
            </w:tcMar>
            <w:vAlign w:val="center"/>
          </w:tcPr>
          <w:p w14:paraId="3CEC172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left"/>
              <w:textAlignment w:val="auto"/>
              <w:rPr>
                <w:rFonts w:hint="eastAsia" w:ascii="宋体" w:hAnsi="宋体" w:eastAsia="宋体" w:cs="宋体"/>
                <w:sz w:val="24"/>
                <w:szCs w:val="24"/>
                <w:highlight w:val="none"/>
                <w:lang w:val="zh-TW" w:eastAsia="zh-CN"/>
              </w:rPr>
            </w:pPr>
            <w:r>
              <w:rPr>
                <w:rFonts w:hint="eastAsia" w:ascii="宋体" w:hAnsi="宋体" w:eastAsia="宋体" w:cs="宋体"/>
                <w:sz w:val="24"/>
                <w:szCs w:val="24"/>
                <w:highlight w:val="none"/>
                <w:lang w:val="zh-TW" w:eastAsia="zh-CN"/>
              </w:rPr>
              <w:t>项目研究方法</w:t>
            </w:r>
          </w:p>
        </w:tc>
        <w:tc>
          <w:tcPr>
            <w:tcW w:w="3294" w:type="pct"/>
            <w:tcBorders>
              <w:tl2br w:val="nil"/>
              <w:tr2bl w:val="nil"/>
            </w:tcBorders>
            <w:shd w:val="clear" w:color="auto" w:fill="FFFFFF"/>
            <w:noWrap w:val="0"/>
            <w:tcMar>
              <w:top w:w="80" w:type="dxa"/>
              <w:left w:w="80" w:type="dxa"/>
              <w:bottom w:w="80" w:type="dxa"/>
              <w:right w:w="80" w:type="dxa"/>
            </w:tcMar>
            <w:vAlign w:val="center"/>
          </w:tcPr>
          <w:p w14:paraId="50FBA46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left"/>
              <w:textAlignment w:val="auto"/>
              <w:rPr>
                <w:rFonts w:hint="eastAsia" w:ascii="宋体" w:hAnsi="宋体" w:eastAsia="宋体" w:cs="宋体"/>
                <w:sz w:val="24"/>
                <w:szCs w:val="24"/>
                <w:highlight w:val="none"/>
                <w:lang w:val="zh-TW" w:eastAsia="zh-CN"/>
              </w:rPr>
            </w:pPr>
            <w:r>
              <w:rPr>
                <w:rFonts w:hint="eastAsia" w:ascii="宋体" w:hAnsi="宋体" w:eastAsia="宋体" w:cs="宋体"/>
                <w:sz w:val="24"/>
                <w:szCs w:val="24"/>
                <w:highlight w:val="none"/>
                <w:lang w:val="en-US" w:eastAsia="zh-CN"/>
              </w:rPr>
              <w:t>根据供应商提供项目研究方法包括文案分析、定性与定量相结合等，进行综合打分。</w:t>
            </w:r>
          </w:p>
        </w:tc>
        <w:tc>
          <w:tcPr>
            <w:tcW w:w="508" w:type="pct"/>
            <w:tcBorders>
              <w:tl2br w:val="nil"/>
              <w:tr2bl w:val="nil"/>
            </w:tcBorders>
            <w:shd w:val="clear" w:color="auto" w:fill="FFFFFF"/>
            <w:noWrap w:val="0"/>
            <w:tcMar>
              <w:top w:w="80" w:type="dxa"/>
              <w:left w:w="80" w:type="dxa"/>
              <w:bottom w:w="80" w:type="dxa"/>
              <w:right w:w="80" w:type="dxa"/>
            </w:tcMar>
            <w:vAlign w:val="center"/>
          </w:tcPr>
          <w:p w14:paraId="2C7C8DD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center"/>
              <w:textAlignment w:val="auto"/>
              <w:rPr>
                <w:rFonts w:hint="eastAsia" w:ascii="宋体" w:hAnsi="宋体" w:eastAsia="宋体" w:cs="宋体"/>
                <w:sz w:val="24"/>
                <w:szCs w:val="24"/>
                <w:highlight w:val="none"/>
                <w:lang w:val="zh-TW" w:eastAsia="zh-CN"/>
              </w:rPr>
            </w:pPr>
            <w:r>
              <w:rPr>
                <w:rFonts w:hint="eastAsia" w:ascii="宋体" w:hAnsi="宋体" w:eastAsia="宋体" w:cs="宋体"/>
                <w:sz w:val="24"/>
                <w:szCs w:val="24"/>
                <w:highlight w:val="none"/>
                <w:lang w:val="en-US" w:eastAsia="zh-CN"/>
              </w:rPr>
              <w:t>5分</w:t>
            </w:r>
          </w:p>
        </w:tc>
      </w:tr>
      <w:tr w14:paraId="4D0C94AB">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44" w:hRule="atLeast"/>
          <w:jc w:val="center"/>
        </w:trPr>
        <w:tc>
          <w:tcPr>
            <w:tcW w:w="532" w:type="pct"/>
            <w:vMerge w:val="continue"/>
            <w:tcBorders>
              <w:tl2br w:val="nil"/>
              <w:tr2bl w:val="nil"/>
            </w:tcBorders>
            <w:shd w:val="clear" w:color="auto" w:fill="FFFFFF"/>
            <w:noWrap w:val="0"/>
            <w:tcMar>
              <w:top w:w="80" w:type="dxa"/>
              <w:left w:w="80" w:type="dxa"/>
              <w:bottom w:w="80" w:type="dxa"/>
              <w:right w:w="80" w:type="dxa"/>
            </w:tcMar>
            <w:vAlign w:val="center"/>
          </w:tcPr>
          <w:p w14:paraId="0DA4197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center"/>
              <w:textAlignment w:val="auto"/>
              <w:rPr>
                <w:rFonts w:hint="eastAsia" w:ascii="宋体" w:hAnsi="宋体" w:eastAsia="宋体" w:cs="宋体"/>
                <w:sz w:val="24"/>
                <w:szCs w:val="24"/>
                <w:highlight w:val="none"/>
                <w:lang w:val="en-US" w:eastAsia="zh-CN"/>
              </w:rPr>
            </w:pPr>
          </w:p>
        </w:tc>
        <w:tc>
          <w:tcPr>
            <w:tcW w:w="663" w:type="pct"/>
            <w:vMerge w:val="continue"/>
            <w:tcBorders>
              <w:tl2br w:val="nil"/>
              <w:tr2bl w:val="nil"/>
            </w:tcBorders>
            <w:shd w:val="clear" w:color="auto" w:fill="FFFFFF"/>
            <w:noWrap w:val="0"/>
            <w:tcMar>
              <w:top w:w="80" w:type="dxa"/>
              <w:left w:w="80" w:type="dxa"/>
              <w:bottom w:w="80" w:type="dxa"/>
              <w:right w:w="80" w:type="dxa"/>
            </w:tcMar>
            <w:vAlign w:val="center"/>
          </w:tcPr>
          <w:p w14:paraId="2ED112D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left"/>
              <w:textAlignment w:val="auto"/>
              <w:rPr>
                <w:rFonts w:hint="eastAsia" w:ascii="宋体" w:hAnsi="宋体" w:eastAsia="宋体" w:cs="宋体"/>
                <w:sz w:val="24"/>
                <w:szCs w:val="24"/>
                <w:highlight w:val="none"/>
                <w:lang w:val="zh-TW" w:eastAsia="zh-CN"/>
              </w:rPr>
            </w:pPr>
          </w:p>
        </w:tc>
        <w:tc>
          <w:tcPr>
            <w:tcW w:w="3294" w:type="pct"/>
            <w:tcBorders>
              <w:tl2br w:val="nil"/>
              <w:tr2bl w:val="nil"/>
            </w:tcBorders>
            <w:shd w:val="clear" w:color="auto" w:fill="FFFFFF"/>
            <w:noWrap w:val="0"/>
            <w:tcMar>
              <w:top w:w="80" w:type="dxa"/>
              <w:left w:w="80" w:type="dxa"/>
              <w:bottom w:w="80" w:type="dxa"/>
              <w:right w:w="80" w:type="dxa"/>
            </w:tcMar>
            <w:vAlign w:val="center"/>
          </w:tcPr>
          <w:p w14:paraId="0C87713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left"/>
              <w:textAlignment w:val="auto"/>
              <w:rPr>
                <w:rFonts w:hint="eastAsia" w:ascii="宋体" w:hAnsi="宋体" w:eastAsia="宋体" w:cs="宋体"/>
                <w:sz w:val="24"/>
                <w:szCs w:val="24"/>
                <w:highlight w:val="none"/>
                <w:lang w:val="zh-TW" w:eastAsia="zh-CN"/>
              </w:rPr>
            </w:pPr>
            <w:r>
              <w:rPr>
                <w:rFonts w:hint="eastAsia" w:ascii="宋体" w:hAnsi="宋体" w:eastAsia="宋体" w:cs="宋体"/>
                <w:sz w:val="24"/>
                <w:szCs w:val="24"/>
                <w:highlight w:val="none"/>
                <w:lang w:val="zh-CN" w:eastAsia="zh-CN"/>
              </w:rPr>
              <w:t>对本项目调研地点选取、调研内容安排、调研目的等</w:t>
            </w:r>
            <w:r>
              <w:rPr>
                <w:rFonts w:hint="eastAsia" w:ascii="宋体" w:hAnsi="宋体" w:eastAsia="宋体" w:cs="宋体"/>
                <w:sz w:val="24"/>
                <w:szCs w:val="24"/>
                <w:highlight w:val="none"/>
                <w:lang w:val="zh-TW" w:eastAsia="zh-CN"/>
              </w:rPr>
              <w:t>进行综合打分。</w:t>
            </w:r>
          </w:p>
        </w:tc>
        <w:tc>
          <w:tcPr>
            <w:tcW w:w="508" w:type="pct"/>
            <w:tcBorders>
              <w:tl2br w:val="nil"/>
              <w:tr2bl w:val="nil"/>
            </w:tcBorders>
            <w:shd w:val="clear" w:color="auto" w:fill="FFFFFF"/>
            <w:noWrap w:val="0"/>
            <w:tcMar>
              <w:top w:w="80" w:type="dxa"/>
              <w:left w:w="80" w:type="dxa"/>
              <w:bottom w:w="80" w:type="dxa"/>
              <w:right w:w="80" w:type="dxa"/>
            </w:tcMar>
            <w:vAlign w:val="center"/>
          </w:tcPr>
          <w:p w14:paraId="37A4213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5分</w:t>
            </w:r>
          </w:p>
        </w:tc>
      </w:tr>
      <w:tr w14:paraId="1812B9B4">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53" w:hRule="atLeast"/>
          <w:jc w:val="center"/>
        </w:trPr>
        <w:tc>
          <w:tcPr>
            <w:tcW w:w="532" w:type="pct"/>
            <w:vMerge w:val="continue"/>
            <w:tcBorders>
              <w:tl2br w:val="nil"/>
              <w:tr2bl w:val="nil"/>
            </w:tcBorders>
            <w:shd w:val="clear" w:color="auto" w:fill="FFFFFF"/>
            <w:noWrap w:val="0"/>
            <w:vAlign w:val="center"/>
          </w:tcPr>
          <w:p w14:paraId="21D0C3A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center"/>
              <w:textAlignment w:val="auto"/>
              <w:rPr>
                <w:rFonts w:hint="eastAsia" w:ascii="宋体" w:hAnsi="宋体" w:eastAsia="宋体" w:cs="宋体"/>
                <w:sz w:val="24"/>
                <w:szCs w:val="24"/>
                <w:highlight w:val="none"/>
                <w:lang w:val="zh-TW"/>
              </w:rPr>
            </w:pPr>
          </w:p>
        </w:tc>
        <w:tc>
          <w:tcPr>
            <w:tcW w:w="663" w:type="pct"/>
            <w:vMerge w:val="restart"/>
            <w:tcBorders>
              <w:tl2br w:val="nil"/>
              <w:tr2bl w:val="nil"/>
            </w:tcBorders>
            <w:shd w:val="clear" w:color="auto" w:fill="FFFFFF"/>
            <w:noWrap w:val="0"/>
            <w:vAlign w:val="center"/>
          </w:tcPr>
          <w:p w14:paraId="2FBD10C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left"/>
              <w:textAlignment w:val="auto"/>
              <w:rPr>
                <w:rFonts w:hint="eastAsia" w:ascii="宋体" w:hAnsi="宋体" w:eastAsia="宋体" w:cs="宋体"/>
                <w:sz w:val="24"/>
                <w:szCs w:val="24"/>
                <w:highlight w:val="none"/>
                <w:lang w:val="zh-TW" w:eastAsia="zh-CN"/>
              </w:rPr>
            </w:pPr>
            <w:r>
              <w:rPr>
                <w:rFonts w:hint="eastAsia" w:ascii="宋体" w:hAnsi="宋体" w:eastAsia="宋体" w:cs="宋体"/>
                <w:sz w:val="24"/>
                <w:szCs w:val="24"/>
                <w:highlight w:val="none"/>
                <w:lang w:val="en-US" w:eastAsia="zh-CN"/>
              </w:rPr>
              <w:t>拟投入人员</w:t>
            </w:r>
          </w:p>
        </w:tc>
        <w:tc>
          <w:tcPr>
            <w:tcW w:w="3294" w:type="pct"/>
            <w:tcBorders>
              <w:tl2br w:val="nil"/>
              <w:tr2bl w:val="nil"/>
            </w:tcBorders>
            <w:shd w:val="clear" w:color="auto" w:fill="FFFFFF"/>
            <w:noWrap w:val="0"/>
            <w:tcMar>
              <w:top w:w="80" w:type="dxa"/>
              <w:left w:w="80" w:type="dxa"/>
              <w:bottom w:w="80" w:type="dxa"/>
              <w:right w:w="80" w:type="dxa"/>
            </w:tcMar>
            <w:vAlign w:val="center"/>
          </w:tcPr>
          <w:p w14:paraId="004514F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left"/>
              <w:textAlignment w:val="auto"/>
              <w:rPr>
                <w:rFonts w:hint="eastAsia" w:ascii="宋体" w:hAnsi="宋体" w:eastAsia="宋体" w:cs="宋体"/>
                <w:sz w:val="24"/>
                <w:szCs w:val="24"/>
                <w:highlight w:val="none"/>
                <w:lang w:val="zh-TW" w:eastAsia="zh-CN"/>
              </w:rPr>
            </w:pPr>
            <w:r>
              <w:rPr>
                <w:rFonts w:hint="eastAsia" w:ascii="宋体" w:hAnsi="宋体" w:eastAsia="宋体" w:cs="宋体"/>
                <w:sz w:val="24"/>
                <w:szCs w:val="24"/>
                <w:highlight w:val="none"/>
                <w:lang w:val="zh-TW" w:eastAsia="zh-CN"/>
              </w:rPr>
              <w:t>根据拟投入人员（除本项目负责人）的综合素质、工作能力、团队能力、工作经验等进行综合打分。</w:t>
            </w:r>
          </w:p>
        </w:tc>
        <w:tc>
          <w:tcPr>
            <w:tcW w:w="508" w:type="pct"/>
            <w:tcBorders>
              <w:tl2br w:val="nil"/>
              <w:tr2bl w:val="nil"/>
            </w:tcBorders>
            <w:shd w:val="clear" w:color="auto" w:fill="FFFFFF"/>
            <w:noWrap w:val="0"/>
            <w:tcMar>
              <w:top w:w="80" w:type="dxa"/>
              <w:left w:w="80" w:type="dxa"/>
              <w:bottom w:w="80" w:type="dxa"/>
              <w:right w:w="80" w:type="dxa"/>
            </w:tcMar>
            <w:vAlign w:val="center"/>
          </w:tcPr>
          <w:p w14:paraId="56CE2F6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5分</w:t>
            </w:r>
          </w:p>
        </w:tc>
      </w:tr>
      <w:tr w14:paraId="05A6A0A0">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532" w:type="pct"/>
            <w:vMerge w:val="continue"/>
            <w:tcBorders>
              <w:tl2br w:val="nil"/>
              <w:tr2bl w:val="nil"/>
            </w:tcBorders>
            <w:shd w:val="clear" w:color="auto" w:fill="FFFFFF"/>
            <w:noWrap w:val="0"/>
            <w:vAlign w:val="center"/>
          </w:tcPr>
          <w:p w14:paraId="3EDAF9A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center"/>
              <w:textAlignment w:val="auto"/>
              <w:rPr>
                <w:rFonts w:hint="eastAsia" w:ascii="宋体" w:hAnsi="宋体" w:eastAsia="宋体" w:cs="宋体"/>
                <w:sz w:val="24"/>
                <w:szCs w:val="24"/>
                <w:highlight w:val="none"/>
                <w:lang w:val="zh-TW"/>
              </w:rPr>
            </w:pPr>
          </w:p>
        </w:tc>
        <w:tc>
          <w:tcPr>
            <w:tcW w:w="663" w:type="pct"/>
            <w:vMerge w:val="continue"/>
            <w:tcBorders>
              <w:tl2br w:val="nil"/>
              <w:tr2bl w:val="nil"/>
            </w:tcBorders>
            <w:shd w:val="clear" w:color="auto" w:fill="FFFFFF"/>
            <w:noWrap w:val="0"/>
            <w:vAlign w:val="center"/>
          </w:tcPr>
          <w:p w14:paraId="64126EF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left"/>
              <w:textAlignment w:val="auto"/>
              <w:rPr>
                <w:rFonts w:hint="eastAsia" w:ascii="宋体" w:hAnsi="宋体" w:eastAsia="宋体" w:cs="宋体"/>
                <w:sz w:val="24"/>
                <w:szCs w:val="24"/>
                <w:highlight w:val="none"/>
                <w:lang w:val="zh-TW" w:eastAsia="zh-CN"/>
              </w:rPr>
            </w:pPr>
          </w:p>
        </w:tc>
        <w:tc>
          <w:tcPr>
            <w:tcW w:w="3294" w:type="pct"/>
            <w:tcBorders>
              <w:tl2br w:val="nil"/>
              <w:tr2bl w:val="nil"/>
            </w:tcBorders>
            <w:shd w:val="clear" w:color="auto" w:fill="FFFFFF"/>
            <w:noWrap w:val="0"/>
            <w:tcMar>
              <w:top w:w="80" w:type="dxa"/>
              <w:left w:w="80" w:type="dxa"/>
              <w:bottom w:w="80" w:type="dxa"/>
              <w:right w:w="80" w:type="dxa"/>
            </w:tcMar>
            <w:vAlign w:val="center"/>
          </w:tcPr>
          <w:p w14:paraId="2AA514C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left"/>
              <w:textAlignment w:val="auto"/>
              <w:rPr>
                <w:rFonts w:hint="eastAsia" w:ascii="宋体" w:hAnsi="宋体" w:eastAsia="宋体" w:cs="宋体"/>
                <w:sz w:val="24"/>
                <w:szCs w:val="24"/>
                <w:highlight w:val="none"/>
                <w:lang w:val="zh-TW" w:eastAsia="zh-CN"/>
              </w:rPr>
            </w:pPr>
            <w:r>
              <w:rPr>
                <w:rFonts w:hint="eastAsia" w:ascii="宋体" w:hAnsi="宋体" w:eastAsia="宋体" w:cs="宋体"/>
                <w:sz w:val="24"/>
                <w:szCs w:val="24"/>
                <w:highlight w:val="none"/>
                <w:lang w:val="zh-TW" w:eastAsia="zh-CN"/>
              </w:rPr>
              <w:t>根据拟投入人员（除本项目负责人）的岗位安排分配情况进行综合打分，包括人员数量、配备是否合理、符合要求。</w:t>
            </w:r>
          </w:p>
        </w:tc>
        <w:tc>
          <w:tcPr>
            <w:tcW w:w="508" w:type="pct"/>
            <w:tcBorders>
              <w:tl2br w:val="nil"/>
              <w:tr2bl w:val="nil"/>
            </w:tcBorders>
            <w:shd w:val="clear" w:color="auto" w:fill="FFFFFF"/>
            <w:noWrap w:val="0"/>
            <w:tcMar>
              <w:top w:w="80" w:type="dxa"/>
              <w:left w:w="80" w:type="dxa"/>
              <w:bottom w:w="80" w:type="dxa"/>
              <w:right w:w="80" w:type="dxa"/>
            </w:tcMar>
            <w:vAlign w:val="center"/>
          </w:tcPr>
          <w:p w14:paraId="4A30316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5分</w:t>
            </w:r>
          </w:p>
        </w:tc>
      </w:tr>
      <w:tr w14:paraId="3BF914A9">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28" w:hRule="atLeast"/>
          <w:jc w:val="center"/>
        </w:trPr>
        <w:tc>
          <w:tcPr>
            <w:tcW w:w="532" w:type="pct"/>
            <w:vMerge w:val="continue"/>
            <w:tcBorders>
              <w:tl2br w:val="nil"/>
              <w:tr2bl w:val="nil"/>
            </w:tcBorders>
            <w:shd w:val="clear" w:color="auto" w:fill="FFFFFF"/>
            <w:noWrap w:val="0"/>
            <w:vAlign w:val="center"/>
          </w:tcPr>
          <w:p w14:paraId="205D4BE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center"/>
              <w:textAlignment w:val="auto"/>
              <w:rPr>
                <w:rFonts w:hint="eastAsia" w:ascii="宋体" w:hAnsi="宋体" w:eastAsia="宋体" w:cs="宋体"/>
                <w:sz w:val="24"/>
                <w:szCs w:val="24"/>
                <w:highlight w:val="none"/>
                <w:lang w:val="zh-TW"/>
              </w:rPr>
            </w:pPr>
          </w:p>
        </w:tc>
        <w:tc>
          <w:tcPr>
            <w:tcW w:w="663" w:type="pct"/>
            <w:tcBorders>
              <w:tl2br w:val="nil"/>
              <w:tr2bl w:val="nil"/>
            </w:tcBorders>
            <w:shd w:val="clear" w:color="auto" w:fill="FFFFFF"/>
            <w:noWrap w:val="0"/>
            <w:vAlign w:val="center"/>
          </w:tcPr>
          <w:p w14:paraId="7173669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left"/>
              <w:textAlignment w:val="auto"/>
              <w:rPr>
                <w:rFonts w:hint="eastAsia" w:ascii="宋体" w:hAnsi="宋体" w:eastAsia="宋体" w:cs="宋体"/>
                <w:sz w:val="24"/>
                <w:szCs w:val="24"/>
                <w:highlight w:val="none"/>
                <w:lang w:val="zh-TW" w:eastAsia="zh-CN"/>
              </w:rPr>
            </w:pPr>
            <w:r>
              <w:rPr>
                <w:rFonts w:hint="eastAsia" w:ascii="宋体" w:hAnsi="宋体" w:eastAsia="宋体" w:cs="宋体"/>
                <w:sz w:val="24"/>
                <w:szCs w:val="24"/>
                <w:highlight w:val="none"/>
                <w:lang w:val="zh-TW" w:eastAsia="zh-CN"/>
              </w:rPr>
              <w:t>进度计划</w:t>
            </w:r>
          </w:p>
        </w:tc>
        <w:tc>
          <w:tcPr>
            <w:tcW w:w="3294" w:type="pct"/>
            <w:tcBorders>
              <w:tl2br w:val="nil"/>
              <w:tr2bl w:val="nil"/>
            </w:tcBorders>
            <w:shd w:val="clear" w:color="auto" w:fill="FFFFFF"/>
            <w:noWrap w:val="0"/>
            <w:tcMar>
              <w:top w:w="80" w:type="dxa"/>
              <w:left w:w="80" w:type="dxa"/>
              <w:bottom w:w="80" w:type="dxa"/>
              <w:right w:w="80" w:type="dxa"/>
            </w:tcMar>
            <w:vAlign w:val="center"/>
          </w:tcPr>
          <w:p w14:paraId="45051BE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left"/>
              <w:textAlignment w:val="auto"/>
              <w:rPr>
                <w:rFonts w:hint="eastAsia" w:ascii="宋体" w:hAnsi="宋体" w:eastAsia="宋体" w:cs="宋体"/>
                <w:sz w:val="24"/>
                <w:szCs w:val="24"/>
                <w:highlight w:val="none"/>
                <w:lang w:val="zh-TW" w:eastAsia="zh-CN"/>
              </w:rPr>
            </w:pPr>
            <w:r>
              <w:rPr>
                <w:rFonts w:hint="eastAsia" w:ascii="宋体" w:hAnsi="宋体" w:eastAsia="宋体" w:cs="宋体"/>
                <w:sz w:val="24"/>
                <w:szCs w:val="24"/>
                <w:highlight w:val="none"/>
                <w:lang w:val="en-US" w:eastAsia="zh-CN"/>
              </w:rPr>
              <w:t>根据供应商提供的针对本项目组织和实施计划（包括进度计划、进度保障措施、关键节点把握），进行综合打分。</w:t>
            </w:r>
          </w:p>
        </w:tc>
        <w:tc>
          <w:tcPr>
            <w:tcW w:w="508" w:type="pct"/>
            <w:tcBorders>
              <w:tl2br w:val="nil"/>
              <w:tr2bl w:val="nil"/>
            </w:tcBorders>
            <w:shd w:val="clear" w:color="auto" w:fill="FFFFFF"/>
            <w:noWrap w:val="0"/>
            <w:tcMar>
              <w:top w:w="80" w:type="dxa"/>
              <w:left w:w="80" w:type="dxa"/>
              <w:bottom w:w="80" w:type="dxa"/>
              <w:right w:w="80" w:type="dxa"/>
            </w:tcMar>
            <w:vAlign w:val="center"/>
          </w:tcPr>
          <w:p w14:paraId="174CDCF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5分</w:t>
            </w:r>
          </w:p>
        </w:tc>
      </w:tr>
      <w:tr w14:paraId="44BD34B6">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73" w:hRule="atLeast"/>
          <w:jc w:val="center"/>
        </w:trPr>
        <w:tc>
          <w:tcPr>
            <w:tcW w:w="532" w:type="pct"/>
            <w:vMerge w:val="continue"/>
            <w:tcBorders>
              <w:tl2br w:val="nil"/>
              <w:tr2bl w:val="nil"/>
            </w:tcBorders>
            <w:shd w:val="clear" w:color="auto" w:fill="FFFFFF"/>
            <w:noWrap w:val="0"/>
            <w:vAlign w:val="center"/>
          </w:tcPr>
          <w:p w14:paraId="30DBCB6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center"/>
              <w:textAlignment w:val="auto"/>
              <w:rPr>
                <w:rFonts w:hint="eastAsia" w:ascii="宋体" w:hAnsi="宋体" w:eastAsia="宋体" w:cs="宋体"/>
                <w:sz w:val="24"/>
                <w:szCs w:val="24"/>
                <w:highlight w:val="none"/>
                <w:lang w:val="zh-TW"/>
              </w:rPr>
            </w:pPr>
          </w:p>
        </w:tc>
        <w:tc>
          <w:tcPr>
            <w:tcW w:w="663" w:type="pct"/>
            <w:tcBorders>
              <w:tl2br w:val="nil"/>
              <w:tr2bl w:val="nil"/>
            </w:tcBorders>
            <w:shd w:val="clear" w:color="auto" w:fill="FFFFFF"/>
            <w:noWrap w:val="0"/>
            <w:vAlign w:val="center"/>
          </w:tcPr>
          <w:p w14:paraId="45E899A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left"/>
              <w:textAlignment w:val="auto"/>
              <w:rPr>
                <w:rFonts w:hint="eastAsia" w:ascii="宋体" w:hAnsi="宋体" w:eastAsia="宋体" w:cs="宋体"/>
                <w:sz w:val="24"/>
                <w:szCs w:val="24"/>
                <w:highlight w:val="none"/>
                <w:lang w:val="zh-TW" w:eastAsia="zh-CN"/>
              </w:rPr>
            </w:pPr>
            <w:r>
              <w:rPr>
                <w:rFonts w:hint="eastAsia" w:ascii="宋体" w:hAnsi="宋体" w:eastAsia="宋体" w:cs="宋体"/>
                <w:sz w:val="24"/>
                <w:szCs w:val="24"/>
                <w:highlight w:val="none"/>
                <w:lang w:val="en-US" w:eastAsia="zh-CN"/>
              </w:rPr>
              <w:t>拟提交成果报告框架设计</w:t>
            </w:r>
          </w:p>
        </w:tc>
        <w:tc>
          <w:tcPr>
            <w:tcW w:w="3294" w:type="pct"/>
            <w:tcBorders>
              <w:tl2br w:val="nil"/>
              <w:tr2bl w:val="nil"/>
            </w:tcBorders>
            <w:shd w:val="clear" w:color="auto" w:fill="FFFFFF"/>
            <w:noWrap w:val="0"/>
            <w:tcMar>
              <w:top w:w="80" w:type="dxa"/>
              <w:left w:w="80" w:type="dxa"/>
              <w:bottom w:w="80" w:type="dxa"/>
              <w:right w:w="80" w:type="dxa"/>
            </w:tcMar>
            <w:vAlign w:val="center"/>
          </w:tcPr>
          <w:p w14:paraId="683C922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根据供应商提交的最终成果报告框架设计完整性、全面性及能满足需求程度情况，进行综合打分。</w:t>
            </w:r>
          </w:p>
        </w:tc>
        <w:tc>
          <w:tcPr>
            <w:tcW w:w="508" w:type="pct"/>
            <w:tcBorders>
              <w:tl2br w:val="nil"/>
              <w:tr2bl w:val="nil"/>
            </w:tcBorders>
            <w:shd w:val="clear" w:color="auto" w:fill="FFFFFF"/>
            <w:noWrap w:val="0"/>
            <w:tcMar>
              <w:top w:w="80" w:type="dxa"/>
              <w:left w:w="80" w:type="dxa"/>
              <w:bottom w:w="80" w:type="dxa"/>
              <w:right w:w="80" w:type="dxa"/>
            </w:tcMar>
            <w:vAlign w:val="center"/>
          </w:tcPr>
          <w:p w14:paraId="16794ED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5分</w:t>
            </w:r>
          </w:p>
        </w:tc>
      </w:tr>
      <w:tr w14:paraId="4CC70EC7">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5" w:hRule="atLeast"/>
          <w:jc w:val="center"/>
        </w:trPr>
        <w:tc>
          <w:tcPr>
            <w:tcW w:w="532" w:type="pct"/>
            <w:vMerge w:val="continue"/>
            <w:tcBorders>
              <w:tl2br w:val="nil"/>
              <w:tr2bl w:val="nil"/>
            </w:tcBorders>
            <w:shd w:val="clear" w:color="auto" w:fill="FFFFFF"/>
            <w:noWrap w:val="0"/>
            <w:vAlign w:val="center"/>
          </w:tcPr>
          <w:p w14:paraId="325DA44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center"/>
              <w:textAlignment w:val="auto"/>
              <w:rPr>
                <w:rFonts w:hint="eastAsia" w:ascii="宋体" w:hAnsi="宋体" w:eastAsia="宋体" w:cs="宋体"/>
                <w:sz w:val="24"/>
                <w:szCs w:val="24"/>
                <w:highlight w:val="none"/>
                <w:lang w:val="zh-TW"/>
              </w:rPr>
            </w:pPr>
          </w:p>
        </w:tc>
        <w:tc>
          <w:tcPr>
            <w:tcW w:w="663" w:type="pct"/>
            <w:tcBorders>
              <w:tl2br w:val="nil"/>
              <w:tr2bl w:val="nil"/>
            </w:tcBorders>
            <w:shd w:val="clear" w:color="auto" w:fill="FFFFFF"/>
            <w:noWrap w:val="0"/>
            <w:vAlign w:val="center"/>
          </w:tcPr>
          <w:p w14:paraId="6C347A1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left"/>
              <w:textAlignment w:val="auto"/>
              <w:rPr>
                <w:rFonts w:hint="eastAsia" w:ascii="宋体" w:hAnsi="宋体" w:eastAsia="宋体" w:cs="宋体"/>
                <w:sz w:val="24"/>
                <w:szCs w:val="24"/>
                <w:highlight w:val="none"/>
                <w:lang w:val="zh-TW" w:eastAsia="zh-CN"/>
              </w:rPr>
            </w:pPr>
            <w:r>
              <w:rPr>
                <w:rFonts w:hint="eastAsia" w:ascii="宋体" w:hAnsi="宋体" w:eastAsia="宋体" w:cs="宋体"/>
                <w:sz w:val="24"/>
                <w:szCs w:val="24"/>
                <w:highlight w:val="none"/>
                <w:lang w:val="zh-TW" w:eastAsia="zh-CN"/>
              </w:rPr>
              <w:t>质量保证措施</w:t>
            </w:r>
          </w:p>
        </w:tc>
        <w:tc>
          <w:tcPr>
            <w:tcW w:w="3294" w:type="pct"/>
            <w:tcBorders>
              <w:tl2br w:val="nil"/>
              <w:tr2bl w:val="nil"/>
            </w:tcBorders>
            <w:shd w:val="clear" w:color="auto" w:fill="FFFFFF"/>
            <w:noWrap w:val="0"/>
            <w:tcMar>
              <w:top w:w="80" w:type="dxa"/>
              <w:left w:w="80" w:type="dxa"/>
              <w:bottom w:w="80" w:type="dxa"/>
              <w:right w:w="80" w:type="dxa"/>
            </w:tcMar>
            <w:vAlign w:val="center"/>
          </w:tcPr>
          <w:p w14:paraId="208E4FE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根据供应商提供的服务质量保证方案，包括是否提供切实可行的服务质量保证措施，是否具备科学性、合理性、可操作性，是否确保项目有质量完成等情况，进行综合打分。</w:t>
            </w:r>
          </w:p>
        </w:tc>
        <w:tc>
          <w:tcPr>
            <w:tcW w:w="508" w:type="pct"/>
            <w:tcBorders>
              <w:tl2br w:val="nil"/>
              <w:tr2bl w:val="nil"/>
            </w:tcBorders>
            <w:shd w:val="clear" w:color="auto" w:fill="FFFFFF"/>
            <w:noWrap w:val="0"/>
            <w:tcMar>
              <w:top w:w="80" w:type="dxa"/>
              <w:left w:w="80" w:type="dxa"/>
              <w:bottom w:w="80" w:type="dxa"/>
              <w:right w:w="80" w:type="dxa"/>
            </w:tcMar>
            <w:vAlign w:val="center"/>
          </w:tcPr>
          <w:p w14:paraId="245489E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5分</w:t>
            </w:r>
          </w:p>
        </w:tc>
      </w:tr>
      <w:tr w14:paraId="012A0D3E">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6" w:hRule="atLeast"/>
          <w:jc w:val="center"/>
        </w:trPr>
        <w:tc>
          <w:tcPr>
            <w:tcW w:w="532" w:type="pct"/>
            <w:vMerge w:val="continue"/>
            <w:tcBorders>
              <w:tl2br w:val="nil"/>
              <w:tr2bl w:val="nil"/>
            </w:tcBorders>
            <w:shd w:val="clear" w:color="auto" w:fill="auto"/>
            <w:noWrap w:val="0"/>
            <w:vAlign w:val="center"/>
          </w:tcPr>
          <w:p w14:paraId="40F7DB3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center"/>
              <w:textAlignment w:val="auto"/>
              <w:rPr>
                <w:rFonts w:hint="eastAsia" w:ascii="宋体" w:hAnsi="宋体" w:eastAsia="宋体" w:cs="宋体"/>
                <w:sz w:val="24"/>
                <w:szCs w:val="24"/>
                <w:highlight w:val="none"/>
                <w:lang w:val="zh-TW"/>
              </w:rPr>
            </w:pPr>
          </w:p>
        </w:tc>
        <w:tc>
          <w:tcPr>
            <w:tcW w:w="663" w:type="pct"/>
            <w:tcBorders>
              <w:tl2br w:val="nil"/>
              <w:tr2bl w:val="nil"/>
            </w:tcBorders>
            <w:shd w:val="clear" w:color="auto" w:fill="auto"/>
            <w:noWrap w:val="0"/>
            <w:vAlign w:val="center"/>
          </w:tcPr>
          <w:p w14:paraId="54099ED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left"/>
              <w:textAlignment w:val="auto"/>
              <w:rPr>
                <w:rFonts w:hint="eastAsia" w:ascii="宋体" w:hAnsi="宋体" w:eastAsia="宋体" w:cs="宋体"/>
                <w:sz w:val="24"/>
                <w:szCs w:val="24"/>
                <w:highlight w:val="none"/>
                <w:lang w:val="zh-TW" w:eastAsia="zh-CN"/>
              </w:rPr>
            </w:pPr>
            <w:r>
              <w:rPr>
                <w:rFonts w:hint="eastAsia" w:ascii="宋体" w:hAnsi="宋体" w:eastAsia="宋体" w:cs="宋体"/>
                <w:sz w:val="24"/>
                <w:szCs w:val="24"/>
                <w:highlight w:val="none"/>
                <w:lang w:val="zh-TW" w:eastAsia="zh-CN"/>
              </w:rPr>
              <w:t>保密措施</w:t>
            </w:r>
          </w:p>
        </w:tc>
        <w:tc>
          <w:tcPr>
            <w:tcW w:w="3294" w:type="pct"/>
            <w:tcBorders>
              <w:tl2br w:val="nil"/>
              <w:tr2bl w:val="nil"/>
            </w:tcBorders>
            <w:shd w:val="clear" w:color="auto" w:fill="FFFFFF"/>
            <w:noWrap w:val="0"/>
            <w:tcMar>
              <w:top w:w="80" w:type="dxa"/>
              <w:left w:w="80" w:type="dxa"/>
              <w:bottom w:w="80" w:type="dxa"/>
              <w:right w:w="80" w:type="dxa"/>
            </w:tcMar>
            <w:vAlign w:val="center"/>
          </w:tcPr>
          <w:p w14:paraId="02B74AC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根据供应商提供的针对服务过程中的研究资料、成果等涉及的保密制度及措施方案，进行综合打分。</w:t>
            </w:r>
          </w:p>
        </w:tc>
        <w:tc>
          <w:tcPr>
            <w:tcW w:w="508" w:type="pct"/>
            <w:tcBorders>
              <w:tl2br w:val="nil"/>
              <w:tr2bl w:val="nil"/>
            </w:tcBorders>
            <w:shd w:val="clear" w:color="auto" w:fill="FFFFFF"/>
            <w:noWrap w:val="0"/>
            <w:tcMar>
              <w:top w:w="80" w:type="dxa"/>
              <w:left w:w="80" w:type="dxa"/>
              <w:bottom w:w="80" w:type="dxa"/>
              <w:right w:w="80" w:type="dxa"/>
            </w:tcMar>
            <w:vAlign w:val="center"/>
          </w:tcPr>
          <w:p w14:paraId="0A84B9D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5分</w:t>
            </w:r>
          </w:p>
        </w:tc>
      </w:tr>
      <w:tr w14:paraId="5A451E23">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71" w:hRule="atLeast"/>
          <w:jc w:val="center"/>
        </w:trPr>
        <w:tc>
          <w:tcPr>
            <w:tcW w:w="532" w:type="pct"/>
            <w:vMerge w:val="continue"/>
            <w:tcBorders>
              <w:tl2br w:val="nil"/>
              <w:tr2bl w:val="nil"/>
            </w:tcBorders>
            <w:shd w:val="clear" w:color="auto" w:fill="auto"/>
            <w:noWrap w:val="0"/>
            <w:vAlign w:val="center"/>
          </w:tcPr>
          <w:p w14:paraId="12007FE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center"/>
              <w:textAlignment w:val="auto"/>
              <w:rPr>
                <w:rFonts w:hint="default"/>
                <w:highlight w:val="none"/>
              </w:rPr>
            </w:pPr>
          </w:p>
        </w:tc>
        <w:tc>
          <w:tcPr>
            <w:tcW w:w="663" w:type="pct"/>
            <w:tcBorders>
              <w:tl2br w:val="nil"/>
              <w:tr2bl w:val="nil"/>
            </w:tcBorders>
            <w:shd w:val="clear" w:color="auto" w:fill="auto"/>
            <w:noWrap w:val="0"/>
            <w:vAlign w:val="center"/>
          </w:tcPr>
          <w:p w14:paraId="3AAAA0B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left"/>
              <w:textAlignment w:val="auto"/>
              <w:rPr>
                <w:rFonts w:hint="eastAsia" w:ascii="宋体" w:hAnsi="宋体" w:eastAsia="宋体" w:cs="宋体"/>
                <w:sz w:val="24"/>
                <w:szCs w:val="24"/>
                <w:highlight w:val="none"/>
                <w:lang w:val="zh-TW"/>
              </w:rPr>
            </w:pPr>
            <w:r>
              <w:rPr>
                <w:rFonts w:hint="eastAsia" w:ascii="宋体" w:hAnsi="宋体" w:eastAsia="宋体" w:cs="宋体"/>
                <w:sz w:val="24"/>
                <w:szCs w:val="24"/>
                <w:highlight w:val="none"/>
                <w:lang w:val="zh-TW"/>
              </w:rPr>
              <w:t>服务承诺</w:t>
            </w:r>
          </w:p>
        </w:tc>
        <w:tc>
          <w:tcPr>
            <w:tcW w:w="3294" w:type="pct"/>
            <w:tcBorders>
              <w:tl2br w:val="nil"/>
              <w:tr2bl w:val="nil"/>
            </w:tcBorders>
            <w:shd w:val="clear" w:color="auto" w:fill="FFFFFF"/>
            <w:noWrap w:val="0"/>
            <w:tcMar>
              <w:top w:w="80" w:type="dxa"/>
              <w:left w:w="80" w:type="dxa"/>
              <w:bottom w:w="80" w:type="dxa"/>
              <w:right w:w="80" w:type="dxa"/>
            </w:tcMar>
            <w:vAlign w:val="center"/>
          </w:tcPr>
          <w:p w14:paraId="1419EBB6">
            <w:pPr>
              <w:keepNext w:val="0"/>
              <w:keepLines w:val="0"/>
              <w:pageBreakBefore w:val="0"/>
              <w:widowControl/>
              <w:suppressLineNumbers w:val="0"/>
              <w:kinsoku/>
              <w:wordWrap/>
              <w:overflowPunct/>
              <w:topLinePunct w:val="0"/>
              <w:autoSpaceDE/>
              <w:autoSpaceDN/>
              <w:bidi w:val="0"/>
              <w:snapToGrid/>
              <w:spacing w:before="0" w:beforeAutospacing="0" w:after="0" w:afterAutospacing="0" w:line="312" w:lineRule="auto"/>
              <w:ind w:left="0" w:right="0" w:firstLine="0" w:firstLineChars="0"/>
              <w:jc w:val="left"/>
              <w:textAlignment w:val="center"/>
              <w:rPr>
                <w:rFonts w:hint="eastAsia" w:ascii="宋体" w:hAnsi="宋体" w:eastAsia="宋体" w:cs="宋体"/>
                <w:sz w:val="24"/>
                <w:szCs w:val="24"/>
                <w:highlight w:val="none"/>
                <w:lang w:val="zh-TW"/>
              </w:rPr>
            </w:pPr>
            <w:r>
              <w:rPr>
                <w:rFonts w:hint="eastAsia" w:ascii="宋体" w:hAnsi="宋体" w:eastAsia="宋体" w:cs="宋体"/>
                <w:color w:val="auto"/>
                <w:kern w:val="2"/>
                <w:sz w:val="24"/>
                <w:szCs w:val="24"/>
                <w:highlight w:val="none"/>
              </w:rPr>
              <w:t>根据供应商提供的售后服务</w:t>
            </w:r>
            <w:r>
              <w:rPr>
                <w:rFonts w:hint="eastAsia" w:ascii="宋体" w:hAnsi="宋体" w:cs="宋体"/>
                <w:color w:val="auto"/>
                <w:kern w:val="2"/>
                <w:sz w:val="24"/>
                <w:szCs w:val="24"/>
                <w:highlight w:val="none"/>
                <w:lang w:eastAsia="zh-CN"/>
              </w:rPr>
              <w:t>包括对接配合、成果汇报、技术支撑等，</w:t>
            </w:r>
            <w:r>
              <w:rPr>
                <w:rFonts w:hint="eastAsia" w:ascii="宋体" w:hAnsi="宋体" w:eastAsia="宋体" w:cs="宋体"/>
                <w:color w:val="auto"/>
                <w:kern w:val="2"/>
                <w:sz w:val="24"/>
                <w:szCs w:val="24"/>
                <w:highlight w:val="none"/>
              </w:rPr>
              <w:t>进行</w:t>
            </w:r>
            <w:r>
              <w:rPr>
                <w:rFonts w:hint="eastAsia" w:ascii="宋体" w:hAnsi="宋体" w:cs="宋体"/>
                <w:color w:val="auto"/>
                <w:kern w:val="2"/>
                <w:sz w:val="24"/>
                <w:szCs w:val="24"/>
                <w:highlight w:val="none"/>
                <w:lang w:eastAsia="zh-CN"/>
              </w:rPr>
              <w:t>综合打分。</w:t>
            </w:r>
          </w:p>
        </w:tc>
        <w:tc>
          <w:tcPr>
            <w:tcW w:w="508" w:type="pct"/>
            <w:tcBorders>
              <w:tl2br w:val="nil"/>
              <w:tr2bl w:val="nil"/>
            </w:tcBorders>
            <w:shd w:val="clear" w:color="auto" w:fill="FFFFFF"/>
            <w:noWrap w:val="0"/>
            <w:tcMar>
              <w:top w:w="80" w:type="dxa"/>
              <w:left w:w="80" w:type="dxa"/>
              <w:bottom w:w="80" w:type="dxa"/>
              <w:right w:w="80" w:type="dxa"/>
            </w:tcMar>
            <w:vAlign w:val="center"/>
          </w:tcPr>
          <w:p w14:paraId="046A861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5分</w:t>
            </w:r>
          </w:p>
        </w:tc>
      </w:tr>
      <w:tr w14:paraId="3954355E">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532" w:type="pct"/>
            <w:vMerge w:val="restart"/>
            <w:tcBorders>
              <w:tl2br w:val="nil"/>
              <w:tr2bl w:val="nil"/>
            </w:tcBorders>
            <w:shd w:val="clear" w:color="auto" w:fill="auto"/>
            <w:noWrap w:val="0"/>
            <w:vAlign w:val="center"/>
          </w:tcPr>
          <w:p w14:paraId="13ABB8F3">
            <w:pPr>
              <w:keepNext w:val="0"/>
              <w:keepLines w:val="0"/>
              <w:pageBreakBefore w:val="0"/>
              <w:suppressLineNumbers w:val="0"/>
              <w:tabs>
                <w:tab w:val="left" w:pos="1080"/>
              </w:tabs>
              <w:kinsoku/>
              <w:wordWrap/>
              <w:overflowPunct/>
              <w:topLinePunct w:val="0"/>
              <w:autoSpaceDE/>
              <w:autoSpaceDN/>
              <w:bidi w:val="0"/>
              <w:snapToGrid/>
              <w:spacing w:before="0" w:beforeAutospacing="0" w:after="0" w:afterAutospacing="0" w:line="312" w:lineRule="auto"/>
              <w:ind w:left="0" w:right="0" w:firstLine="0" w:firstLineChars="0"/>
              <w:jc w:val="center"/>
              <w:rPr>
                <w:rFonts w:hint="default" w:ascii="宋体" w:hAnsi="宋体" w:eastAsia="宋体" w:cs="宋体"/>
                <w:kern w:val="2"/>
                <w:sz w:val="24"/>
                <w:szCs w:val="24"/>
                <w:highlight w:val="none"/>
                <w:lang w:val="en-US" w:eastAsia="zh-CN" w:bidi="ar-SA"/>
              </w:rPr>
            </w:pPr>
            <w:r>
              <w:rPr>
                <w:rFonts w:hint="eastAsia" w:cs="Times New Roman"/>
                <w:color w:val="auto"/>
                <w:sz w:val="24"/>
                <w:szCs w:val="24"/>
                <w:highlight w:val="none"/>
                <w:lang w:eastAsia="zh-CN"/>
              </w:rPr>
              <w:t>资信</w:t>
            </w:r>
            <w:r>
              <w:rPr>
                <w:rFonts w:hint="eastAsia" w:ascii="宋体" w:hAnsi="宋体" w:cs="宋体"/>
                <w:kern w:val="2"/>
                <w:sz w:val="24"/>
                <w:szCs w:val="24"/>
                <w:highlight w:val="none"/>
                <w:lang w:val="en-US" w:eastAsia="zh-CN" w:bidi="ar-SA"/>
              </w:rPr>
              <w:t>（10分）</w:t>
            </w:r>
          </w:p>
        </w:tc>
        <w:tc>
          <w:tcPr>
            <w:tcW w:w="663" w:type="pct"/>
            <w:tcBorders>
              <w:tl2br w:val="nil"/>
              <w:tr2bl w:val="nil"/>
            </w:tcBorders>
            <w:shd w:val="clear" w:color="auto" w:fill="auto"/>
            <w:noWrap w:val="0"/>
            <w:vAlign w:val="center"/>
          </w:tcPr>
          <w:p w14:paraId="470A9F0D">
            <w:pPr>
              <w:keepNext w:val="0"/>
              <w:keepLines w:val="0"/>
              <w:pageBreakBefore w:val="0"/>
              <w:suppressLineNumbers w:val="0"/>
              <w:tabs>
                <w:tab w:val="left" w:pos="1080"/>
              </w:tabs>
              <w:kinsoku/>
              <w:wordWrap/>
              <w:overflowPunct/>
              <w:topLinePunct w:val="0"/>
              <w:autoSpaceDE/>
              <w:autoSpaceDN/>
              <w:bidi w:val="0"/>
              <w:snapToGrid/>
              <w:spacing w:before="0" w:beforeAutospacing="0" w:after="0" w:afterAutospacing="0" w:line="312" w:lineRule="auto"/>
              <w:ind w:left="0" w:right="0" w:firstLine="0" w:firstLineChars="0"/>
              <w:jc w:val="both"/>
              <w:rPr>
                <w:rFonts w:hint="eastAsia" w:ascii="宋体" w:hAnsi="宋体" w:eastAsia="宋体" w:cs="宋体"/>
                <w:kern w:val="2"/>
                <w:sz w:val="24"/>
                <w:szCs w:val="24"/>
                <w:highlight w:val="none"/>
                <w:lang w:val="zh-TW" w:eastAsia="zh-CN" w:bidi="ar-SA"/>
              </w:rPr>
            </w:pPr>
            <w:r>
              <w:rPr>
                <w:rFonts w:hint="eastAsia" w:ascii="宋体" w:hAnsi="宋体" w:eastAsia="宋体" w:cs="宋体"/>
                <w:sz w:val="24"/>
                <w:szCs w:val="24"/>
                <w:highlight w:val="none"/>
                <w:lang w:val="en-US" w:eastAsia="zh-CN"/>
              </w:rPr>
              <w:t>人员证书</w:t>
            </w:r>
          </w:p>
        </w:tc>
        <w:tc>
          <w:tcPr>
            <w:tcW w:w="3294" w:type="pct"/>
            <w:tcBorders>
              <w:tl2br w:val="nil"/>
              <w:tr2bl w:val="nil"/>
            </w:tcBorders>
            <w:shd w:val="clear" w:color="auto" w:fill="FFFFFF"/>
            <w:noWrap w:val="0"/>
            <w:tcMar>
              <w:top w:w="80" w:type="dxa"/>
              <w:left w:w="80" w:type="dxa"/>
              <w:bottom w:w="80" w:type="dxa"/>
              <w:right w:w="80" w:type="dxa"/>
            </w:tcMar>
            <w:vAlign w:val="center"/>
          </w:tcPr>
          <w:p w14:paraId="6FD7F0D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both"/>
              <w:textAlignment w:val="auto"/>
              <w:rPr>
                <w:rFonts w:hint="eastAsia" w:ascii="宋体" w:hAnsi="宋体" w:eastAsia="宋体" w:cs="宋体"/>
                <w:sz w:val="24"/>
                <w:szCs w:val="24"/>
                <w:highlight w:val="none"/>
              </w:rPr>
            </w:pPr>
            <w:r>
              <w:rPr>
                <w:rFonts w:hint="default" w:ascii="Times New Roman" w:hAnsi="Times New Roman" w:cs="Times New Roman"/>
                <w:b/>
                <w:bCs/>
                <w:color w:val="auto"/>
                <w:sz w:val="24"/>
                <w:szCs w:val="24"/>
                <w:highlight w:val="none"/>
              </w:rPr>
              <w:t>详见商务要求表</w:t>
            </w:r>
          </w:p>
        </w:tc>
        <w:tc>
          <w:tcPr>
            <w:tcW w:w="508" w:type="pct"/>
            <w:tcBorders>
              <w:tl2br w:val="nil"/>
              <w:tr2bl w:val="nil"/>
            </w:tcBorders>
            <w:shd w:val="clear" w:color="auto" w:fill="FFFFFF"/>
            <w:noWrap w:val="0"/>
            <w:tcMar>
              <w:top w:w="80" w:type="dxa"/>
              <w:left w:w="80" w:type="dxa"/>
              <w:bottom w:w="80" w:type="dxa"/>
              <w:right w:w="80" w:type="dxa"/>
            </w:tcMar>
            <w:vAlign w:val="center"/>
          </w:tcPr>
          <w:p w14:paraId="20B8E94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w:t>
            </w:r>
          </w:p>
        </w:tc>
      </w:tr>
      <w:tr w14:paraId="5BB00598">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55" w:hRule="atLeast"/>
          <w:jc w:val="center"/>
        </w:trPr>
        <w:tc>
          <w:tcPr>
            <w:tcW w:w="532" w:type="pct"/>
            <w:vMerge w:val="continue"/>
            <w:tcBorders>
              <w:tl2br w:val="nil"/>
              <w:tr2bl w:val="nil"/>
            </w:tcBorders>
            <w:shd w:val="clear" w:color="auto" w:fill="auto"/>
            <w:noWrap w:val="0"/>
            <w:vAlign w:val="center"/>
          </w:tcPr>
          <w:p w14:paraId="5658E678">
            <w:pPr>
              <w:keepNext w:val="0"/>
              <w:keepLines w:val="0"/>
              <w:pageBreakBefore w:val="0"/>
              <w:suppressLineNumbers w:val="0"/>
              <w:tabs>
                <w:tab w:val="left" w:pos="1080"/>
              </w:tabs>
              <w:kinsoku/>
              <w:wordWrap/>
              <w:overflowPunct/>
              <w:topLinePunct w:val="0"/>
              <w:autoSpaceDE/>
              <w:autoSpaceDN/>
              <w:bidi w:val="0"/>
              <w:snapToGrid/>
              <w:spacing w:before="0" w:beforeAutospacing="0" w:after="0" w:afterAutospacing="0" w:line="312" w:lineRule="auto"/>
              <w:ind w:left="0" w:right="0" w:firstLine="0" w:firstLineChars="0"/>
              <w:jc w:val="center"/>
              <w:rPr>
                <w:rFonts w:hint="eastAsia" w:ascii="宋体" w:hAnsi="宋体" w:eastAsia="宋体" w:cs="宋体"/>
                <w:kern w:val="2"/>
                <w:sz w:val="24"/>
                <w:szCs w:val="24"/>
                <w:highlight w:val="none"/>
                <w:lang w:val="zh-TW" w:eastAsia="zh-CN" w:bidi="ar-SA"/>
              </w:rPr>
            </w:pPr>
          </w:p>
        </w:tc>
        <w:tc>
          <w:tcPr>
            <w:tcW w:w="663" w:type="pct"/>
            <w:tcBorders>
              <w:tl2br w:val="nil"/>
              <w:tr2bl w:val="nil"/>
            </w:tcBorders>
            <w:shd w:val="clear" w:color="auto" w:fill="auto"/>
            <w:noWrap w:val="0"/>
            <w:vAlign w:val="center"/>
          </w:tcPr>
          <w:p w14:paraId="4CD59717">
            <w:pPr>
              <w:keepNext w:val="0"/>
              <w:keepLines w:val="0"/>
              <w:pageBreakBefore w:val="0"/>
              <w:suppressLineNumbers w:val="0"/>
              <w:tabs>
                <w:tab w:val="left" w:pos="301"/>
                <w:tab w:val="left" w:pos="1080"/>
              </w:tabs>
              <w:kinsoku/>
              <w:wordWrap/>
              <w:overflowPunct/>
              <w:topLinePunct w:val="0"/>
              <w:autoSpaceDE/>
              <w:autoSpaceDN/>
              <w:bidi w:val="0"/>
              <w:snapToGrid/>
              <w:spacing w:before="0" w:beforeAutospacing="0" w:after="0" w:afterAutospacing="0" w:line="312" w:lineRule="auto"/>
              <w:ind w:left="0" w:right="0" w:firstLine="0" w:firstLineChars="0"/>
              <w:jc w:val="center"/>
              <w:rPr>
                <w:rFonts w:hint="eastAsia" w:ascii="宋体" w:hAnsi="宋体" w:eastAsia="宋体" w:cs="宋体"/>
                <w:kern w:val="2"/>
                <w:sz w:val="24"/>
                <w:szCs w:val="24"/>
                <w:highlight w:val="none"/>
                <w:lang w:val="zh-TW" w:eastAsia="zh-CN" w:bidi="ar-SA"/>
              </w:rPr>
            </w:pPr>
            <w:r>
              <w:rPr>
                <w:rFonts w:hint="eastAsia" w:ascii="宋体" w:hAnsi="宋体" w:eastAsia="宋体" w:cs="宋体"/>
                <w:sz w:val="24"/>
                <w:szCs w:val="24"/>
                <w:highlight w:val="none"/>
              </w:rPr>
              <w:t>认证证书</w:t>
            </w:r>
          </w:p>
        </w:tc>
        <w:tc>
          <w:tcPr>
            <w:tcW w:w="3294" w:type="pct"/>
            <w:tcBorders>
              <w:tl2br w:val="nil"/>
              <w:tr2bl w:val="nil"/>
            </w:tcBorders>
            <w:shd w:val="clear" w:color="auto" w:fill="FFFFFF"/>
            <w:noWrap w:val="0"/>
            <w:tcMar>
              <w:top w:w="80" w:type="dxa"/>
              <w:left w:w="80" w:type="dxa"/>
              <w:bottom w:w="80" w:type="dxa"/>
              <w:right w:w="80" w:type="dxa"/>
            </w:tcMar>
            <w:vAlign w:val="center"/>
          </w:tcPr>
          <w:p w14:paraId="456A855D">
            <w:pPr>
              <w:keepNext w:val="0"/>
              <w:keepLines w:val="0"/>
              <w:pageBreakBefore w:val="0"/>
              <w:suppressLineNumbers w:val="0"/>
              <w:kinsoku/>
              <w:wordWrap/>
              <w:overflowPunct/>
              <w:topLinePunct w:val="0"/>
              <w:autoSpaceDE/>
              <w:autoSpaceDN/>
              <w:bidi w:val="0"/>
              <w:snapToGrid/>
              <w:spacing w:before="0" w:beforeAutospacing="0" w:after="0" w:afterAutospacing="0" w:line="312" w:lineRule="auto"/>
              <w:ind w:left="0" w:right="0" w:firstLine="0" w:firstLineChars="0"/>
              <w:jc w:val="both"/>
              <w:rPr>
                <w:rFonts w:hint="eastAsia" w:ascii="宋体" w:hAnsi="宋体" w:eastAsia="宋体" w:cs="宋体"/>
                <w:kern w:val="2"/>
                <w:sz w:val="24"/>
                <w:szCs w:val="24"/>
                <w:highlight w:val="none"/>
                <w:lang w:val="en-US" w:eastAsia="zh-CN" w:bidi="ar-SA"/>
              </w:rPr>
            </w:pPr>
            <w:r>
              <w:rPr>
                <w:rFonts w:hint="default" w:ascii="Times New Roman" w:hAnsi="Times New Roman" w:cs="Times New Roman"/>
                <w:b/>
                <w:bCs/>
                <w:color w:val="auto"/>
                <w:sz w:val="24"/>
                <w:szCs w:val="24"/>
                <w:highlight w:val="none"/>
              </w:rPr>
              <w:t>详见商务要求表</w:t>
            </w:r>
          </w:p>
        </w:tc>
        <w:tc>
          <w:tcPr>
            <w:tcW w:w="508" w:type="pct"/>
            <w:tcBorders>
              <w:tl2br w:val="nil"/>
              <w:tr2bl w:val="nil"/>
            </w:tcBorders>
            <w:shd w:val="clear" w:color="auto" w:fill="FFFFFF"/>
            <w:noWrap w:val="0"/>
            <w:tcMar>
              <w:top w:w="80" w:type="dxa"/>
              <w:left w:w="80" w:type="dxa"/>
              <w:bottom w:w="80" w:type="dxa"/>
              <w:right w:w="80" w:type="dxa"/>
            </w:tcMar>
            <w:vAlign w:val="center"/>
          </w:tcPr>
          <w:p w14:paraId="38B6906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5分</w:t>
            </w:r>
          </w:p>
        </w:tc>
      </w:tr>
      <w:tr w14:paraId="301461CD">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532" w:type="pct"/>
            <w:vMerge w:val="continue"/>
            <w:tcBorders>
              <w:tl2br w:val="nil"/>
              <w:tr2bl w:val="nil"/>
            </w:tcBorders>
            <w:shd w:val="clear" w:color="auto" w:fill="auto"/>
            <w:noWrap w:val="0"/>
            <w:vAlign w:val="center"/>
          </w:tcPr>
          <w:p w14:paraId="7DFF6F49">
            <w:pPr>
              <w:keepNext w:val="0"/>
              <w:keepLines w:val="0"/>
              <w:pageBreakBefore w:val="0"/>
              <w:suppressLineNumbers w:val="0"/>
              <w:tabs>
                <w:tab w:val="left" w:pos="1080"/>
              </w:tabs>
              <w:kinsoku/>
              <w:wordWrap/>
              <w:overflowPunct/>
              <w:topLinePunct w:val="0"/>
              <w:autoSpaceDE/>
              <w:autoSpaceDN/>
              <w:bidi w:val="0"/>
              <w:snapToGrid/>
              <w:spacing w:before="0" w:beforeAutospacing="0" w:after="0" w:afterAutospacing="0" w:line="312" w:lineRule="auto"/>
              <w:ind w:left="0" w:right="0" w:firstLine="0" w:firstLineChars="0"/>
              <w:jc w:val="center"/>
              <w:rPr>
                <w:rFonts w:hint="eastAsia" w:ascii="宋体" w:hAnsi="宋体" w:eastAsia="宋体" w:cs="宋体"/>
                <w:kern w:val="2"/>
                <w:sz w:val="24"/>
                <w:szCs w:val="24"/>
                <w:highlight w:val="none"/>
                <w:lang w:val="zh-TW" w:eastAsia="zh-CN" w:bidi="ar-SA"/>
              </w:rPr>
            </w:pPr>
          </w:p>
        </w:tc>
        <w:tc>
          <w:tcPr>
            <w:tcW w:w="663" w:type="pct"/>
            <w:tcBorders>
              <w:tl2br w:val="nil"/>
              <w:tr2bl w:val="nil"/>
            </w:tcBorders>
            <w:shd w:val="clear" w:color="auto" w:fill="auto"/>
            <w:noWrap w:val="0"/>
            <w:vAlign w:val="center"/>
          </w:tcPr>
          <w:p w14:paraId="6C96543A">
            <w:pPr>
              <w:keepNext w:val="0"/>
              <w:keepLines w:val="0"/>
              <w:pageBreakBefore w:val="0"/>
              <w:suppressLineNumbers w:val="0"/>
              <w:tabs>
                <w:tab w:val="left" w:pos="1080"/>
              </w:tabs>
              <w:kinsoku/>
              <w:wordWrap/>
              <w:overflowPunct/>
              <w:topLinePunct w:val="0"/>
              <w:autoSpaceDE/>
              <w:autoSpaceDN/>
              <w:bidi w:val="0"/>
              <w:snapToGrid/>
              <w:spacing w:before="0" w:beforeAutospacing="0" w:after="0" w:afterAutospacing="0" w:line="312" w:lineRule="auto"/>
              <w:ind w:left="0" w:right="0" w:firstLine="0" w:firstLineChars="0"/>
              <w:jc w:val="center"/>
              <w:rPr>
                <w:rFonts w:hint="eastAsia" w:ascii="宋体" w:hAnsi="宋体" w:eastAsia="宋体" w:cs="宋体"/>
                <w:kern w:val="2"/>
                <w:sz w:val="24"/>
                <w:szCs w:val="24"/>
                <w:highlight w:val="none"/>
                <w:lang w:val="zh-TW" w:eastAsia="zh-CN" w:bidi="ar-SA"/>
              </w:rPr>
            </w:pPr>
            <w:r>
              <w:rPr>
                <w:rFonts w:hint="eastAsia" w:ascii="宋体" w:hAnsi="宋体" w:eastAsia="宋体" w:cs="宋体"/>
                <w:sz w:val="24"/>
                <w:szCs w:val="24"/>
                <w:highlight w:val="none"/>
                <w:lang w:val="en-US" w:eastAsia="zh-CN"/>
              </w:rPr>
              <w:t>类似</w:t>
            </w:r>
            <w:r>
              <w:rPr>
                <w:rFonts w:hint="eastAsia" w:ascii="宋体" w:hAnsi="宋体" w:eastAsia="宋体" w:cs="宋体"/>
                <w:sz w:val="24"/>
                <w:szCs w:val="24"/>
                <w:highlight w:val="none"/>
                <w:lang w:val="zh-TW"/>
              </w:rPr>
              <w:t>业绩</w:t>
            </w:r>
          </w:p>
        </w:tc>
        <w:tc>
          <w:tcPr>
            <w:tcW w:w="3294" w:type="pct"/>
            <w:tcBorders>
              <w:tl2br w:val="nil"/>
              <w:tr2bl w:val="nil"/>
            </w:tcBorders>
            <w:shd w:val="clear" w:color="auto" w:fill="FFFFFF"/>
            <w:noWrap w:val="0"/>
            <w:tcMar>
              <w:top w:w="80" w:type="dxa"/>
              <w:left w:w="80" w:type="dxa"/>
              <w:bottom w:w="80" w:type="dxa"/>
              <w:right w:w="80" w:type="dxa"/>
            </w:tcMar>
            <w:vAlign w:val="center"/>
          </w:tcPr>
          <w:p w14:paraId="5F92A7D5">
            <w:pPr>
              <w:keepNext w:val="0"/>
              <w:keepLines w:val="0"/>
              <w:pageBreakBefore w:val="0"/>
              <w:suppressLineNumbers w:val="0"/>
              <w:kinsoku/>
              <w:wordWrap/>
              <w:overflowPunct/>
              <w:topLinePunct w:val="0"/>
              <w:autoSpaceDE/>
              <w:autoSpaceDN/>
              <w:bidi w:val="0"/>
              <w:snapToGrid/>
              <w:spacing w:before="0" w:beforeAutospacing="0" w:after="0" w:afterAutospacing="0" w:line="312" w:lineRule="auto"/>
              <w:ind w:left="0" w:right="0" w:firstLine="0" w:firstLineChars="0"/>
              <w:jc w:val="both"/>
              <w:rPr>
                <w:rFonts w:hint="eastAsia" w:ascii="宋体" w:hAnsi="宋体" w:eastAsia="宋体" w:cs="宋体"/>
                <w:kern w:val="2"/>
                <w:sz w:val="24"/>
                <w:szCs w:val="24"/>
                <w:highlight w:val="none"/>
                <w:lang w:val="en-US" w:eastAsia="zh-CN" w:bidi="ar-SA"/>
              </w:rPr>
            </w:pPr>
            <w:r>
              <w:rPr>
                <w:rFonts w:hint="default" w:ascii="Times New Roman" w:hAnsi="Times New Roman" w:cs="Times New Roman"/>
                <w:b/>
                <w:bCs/>
                <w:color w:val="auto"/>
                <w:sz w:val="24"/>
                <w:szCs w:val="24"/>
                <w:highlight w:val="none"/>
              </w:rPr>
              <w:t>详见商务要求表</w:t>
            </w:r>
          </w:p>
        </w:tc>
        <w:tc>
          <w:tcPr>
            <w:tcW w:w="508" w:type="pct"/>
            <w:tcBorders>
              <w:tl2br w:val="nil"/>
              <w:tr2bl w:val="nil"/>
            </w:tcBorders>
            <w:shd w:val="clear" w:color="auto" w:fill="FFFFFF"/>
            <w:noWrap w:val="0"/>
            <w:tcMar>
              <w:top w:w="80" w:type="dxa"/>
              <w:left w:w="80" w:type="dxa"/>
              <w:bottom w:w="80" w:type="dxa"/>
              <w:right w:w="80" w:type="dxa"/>
            </w:tcMar>
            <w:vAlign w:val="center"/>
          </w:tcPr>
          <w:p w14:paraId="5E3A10E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1分</w:t>
            </w:r>
          </w:p>
        </w:tc>
      </w:tr>
    </w:tbl>
    <w:p w14:paraId="3936F115">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4"/>
          <w:highlight w:val="none"/>
        </w:rPr>
      </w:pPr>
      <w:r>
        <w:rPr>
          <w:rFonts w:hint="eastAsia" w:ascii="宋体" w:hAnsi="宋体" w:eastAsia="宋体" w:cs="宋体"/>
          <w:sz w:val="24"/>
          <w:highlight w:val="none"/>
          <w:lang w:eastAsia="zh-CN"/>
        </w:rPr>
        <w:t>2、商务要求表（对应评分标准）</w:t>
      </w:r>
    </w:p>
    <w:tbl>
      <w:tblPr>
        <w:tblStyle w:val="29"/>
        <w:tblW w:w="9523" w:type="dxa"/>
        <w:jc w:val="center"/>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027"/>
        <w:gridCol w:w="740"/>
        <w:gridCol w:w="6661"/>
        <w:gridCol w:w="1095"/>
      </w:tblGrid>
      <w:tr w14:paraId="1C52668C">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01" w:hRule="atLeast"/>
          <w:jc w:val="center"/>
        </w:trPr>
        <w:tc>
          <w:tcPr>
            <w:tcW w:w="1767" w:type="dxa"/>
            <w:gridSpan w:val="2"/>
            <w:tcBorders>
              <w:tl2br w:val="nil"/>
              <w:tr2bl w:val="nil"/>
            </w:tcBorders>
            <w:shd w:val="clear" w:color="auto" w:fill="FFFFFF"/>
            <w:noWrap w:val="0"/>
            <w:tcMar>
              <w:top w:w="80" w:type="dxa"/>
              <w:left w:w="80" w:type="dxa"/>
              <w:bottom w:w="80" w:type="dxa"/>
              <w:right w:w="80" w:type="dxa"/>
            </w:tcMar>
            <w:vAlign w:val="center"/>
          </w:tcPr>
          <w:p w14:paraId="5349A179">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leftChars="0"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TW" w:eastAsia="zh-TW"/>
              </w:rPr>
              <w:t>评审内容</w:t>
            </w:r>
          </w:p>
        </w:tc>
        <w:tc>
          <w:tcPr>
            <w:tcW w:w="6661" w:type="dxa"/>
            <w:tcBorders>
              <w:tl2br w:val="nil"/>
              <w:tr2bl w:val="nil"/>
            </w:tcBorders>
            <w:shd w:val="clear" w:color="auto" w:fill="FFFFFF"/>
            <w:noWrap w:val="0"/>
            <w:tcMar>
              <w:top w:w="80" w:type="dxa"/>
              <w:left w:w="80" w:type="dxa"/>
              <w:bottom w:w="80" w:type="dxa"/>
              <w:right w:w="80" w:type="dxa"/>
            </w:tcMar>
            <w:vAlign w:val="center"/>
          </w:tcPr>
          <w:p w14:paraId="630D65A8">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leftChars="0" w:right="0" w:rightChars="0"/>
              <w:jc w:val="center"/>
              <w:textAlignment w:val="auto"/>
              <w:rPr>
                <w:rFonts w:hint="eastAsia" w:ascii="宋体" w:hAnsi="宋体" w:eastAsia="宋体" w:cs="宋体"/>
                <w:sz w:val="24"/>
                <w:szCs w:val="24"/>
                <w:highlight w:val="none"/>
                <w:lang w:val="zh-TW"/>
              </w:rPr>
            </w:pPr>
            <w:r>
              <w:rPr>
                <w:rFonts w:hint="eastAsia" w:ascii="宋体" w:hAnsi="宋体" w:eastAsia="宋体" w:cs="宋体"/>
                <w:sz w:val="24"/>
                <w:szCs w:val="24"/>
                <w:highlight w:val="none"/>
                <w:lang w:val="zh-TW" w:eastAsia="zh-TW"/>
              </w:rPr>
              <w:t>评分标准</w:t>
            </w:r>
          </w:p>
        </w:tc>
        <w:tc>
          <w:tcPr>
            <w:tcW w:w="1095" w:type="dxa"/>
            <w:tcBorders>
              <w:tl2br w:val="nil"/>
              <w:tr2bl w:val="nil"/>
            </w:tcBorders>
            <w:shd w:val="clear" w:color="auto" w:fill="FFFFFF"/>
            <w:noWrap w:val="0"/>
            <w:tcMar>
              <w:top w:w="80" w:type="dxa"/>
              <w:left w:w="80" w:type="dxa"/>
              <w:bottom w:w="80" w:type="dxa"/>
              <w:right w:w="80" w:type="dxa"/>
            </w:tcMar>
            <w:vAlign w:val="center"/>
          </w:tcPr>
          <w:p w14:paraId="1D1F63CF">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leftChars="0" w:right="0" w:right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TW" w:eastAsia="zh-TW"/>
              </w:rPr>
              <w:t>分值</w:t>
            </w:r>
          </w:p>
        </w:tc>
      </w:tr>
      <w:tr w14:paraId="2890E8EB">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55" w:hRule="atLeast"/>
          <w:jc w:val="center"/>
        </w:trPr>
        <w:tc>
          <w:tcPr>
            <w:tcW w:w="1027" w:type="dxa"/>
            <w:vMerge w:val="restart"/>
            <w:tcBorders>
              <w:tl2br w:val="nil"/>
              <w:tr2bl w:val="nil"/>
            </w:tcBorders>
            <w:shd w:val="clear" w:color="auto" w:fill="FFFFFF"/>
            <w:noWrap w:val="0"/>
            <w:tcMar>
              <w:top w:w="80" w:type="dxa"/>
              <w:left w:w="80" w:type="dxa"/>
              <w:bottom w:w="80" w:type="dxa"/>
              <w:right w:w="80" w:type="dxa"/>
            </w:tcMar>
            <w:vAlign w:val="center"/>
          </w:tcPr>
          <w:p w14:paraId="18144CAD">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4"/>
                <w:szCs w:val="24"/>
                <w:highlight w:val="none"/>
                <w:lang w:eastAsia="zh-CN"/>
              </w:rPr>
            </w:pPr>
            <w:r>
              <w:rPr>
                <w:rFonts w:hint="eastAsia" w:cs="Times New Roman"/>
                <w:color w:val="auto"/>
                <w:sz w:val="24"/>
                <w:szCs w:val="24"/>
                <w:highlight w:val="none"/>
                <w:lang w:eastAsia="zh-CN"/>
              </w:rPr>
              <w:t>资信</w:t>
            </w:r>
            <w:r>
              <w:rPr>
                <w:rFonts w:hint="eastAsia" w:cs="Times New Roman"/>
                <w:color w:val="auto"/>
                <w:sz w:val="24"/>
                <w:szCs w:val="24"/>
                <w:highlight w:val="none"/>
                <w:lang w:val="en-US" w:eastAsia="zh-CN"/>
              </w:rPr>
              <w:t>（10分</w:t>
            </w:r>
            <w:r>
              <w:rPr>
                <w:rFonts w:hint="eastAsia" w:cs="Times New Roman"/>
                <w:color w:val="auto"/>
                <w:sz w:val="24"/>
                <w:szCs w:val="24"/>
                <w:highlight w:val="none"/>
                <w:lang w:eastAsia="zh-CN"/>
              </w:rPr>
              <w:t>）</w:t>
            </w:r>
          </w:p>
        </w:tc>
        <w:tc>
          <w:tcPr>
            <w:tcW w:w="740" w:type="dxa"/>
            <w:tcBorders>
              <w:tl2br w:val="nil"/>
              <w:tr2bl w:val="nil"/>
            </w:tcBorders>
            <w:shd w:val="clear" w:color="auto" w:fill="FFFFFF"/>
            <w:noWrap w:val="0"/>
            <w:tcMar>
              <w:top w:w="80" w:type="dxa"/>
              <w:left w:w="80" w:type="dxa"/>
              <w:bottom w:w="80" w:type="dxa"/>
              <w:right w:w="80" w:type="dxa"/>
            </w:tcMar>
            <w:vAlign w:val="center"/>
          </w:tcPr>
          <w:p w14:paraId="1921369F">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人员证书</w:t>
            </w:r>
          </w:p>
        </w:tc>
        <w:tc>
          <w:tcPr>
            <w:tcW w:w="6661" w:type="dxa"/>
            <w:tcBorders>
              <w:tl2br w:val="nil"/>
              <w:tr2bl w:val="nil"/>
            </w:tcBorders>
            <w:shd w:val="clear" w:color="auto" w:fill="FFFFFF"/>
            <w:noWrap w:val="0"/>
            <w:tcMar>
              <w:top w:w="80" w:type="dxa"/>
              <w:left w:w="80" w:type="dxa"/>
              <w:bottom w:w="80" w:type="dxa"/>
              <w:right w:w="80" w:type="dxa"/>
            </w:tcMar>
            <w:vAlign w:val="center"/>
          </w:tcPr>
          <w:p w14:paraId="5FE24EC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4"/>
                <w:szCs w:val="24"/>
                <w:highlight w:val="none"/>
                <w:lang w:val="zh-TW" w:eastAsia="zh-CN"/>
              </w:rPr>
            </w:pPr>
            <w:r>
              <w:rPr>
                <w:rFonts w:hint="eastAsia" w:ascii="宋体" w:hAnsi="宋体" w:cs="宋体"/>
                <w:kern w:val="0"/>
                <w:szCs w:val="21"/>
                <w:highlight w:val="none"/>
                <w:lang w:bidi="ar"/>
              </w:rPr>
              <w:t>根据供应商拟派的本</w:t>
            </w:r>
            <w:r>
              <w:rPr>
                <w:rFonts w:hint="eastAsia" w:ascii="宋体" w:hAnsi="宋体" w:cs="宋体"/>
                <w:kern w:val="0"/>
                <w:szCs w:val="21"/>
                <w:highlight w:val="none"/>
                <w:lang w:eastAsia="zh-CN" w:bidi="ar"/>
              </w:rPr>
              <w:t>项目</w:t>
            </w:r>
            <w:r>
              <w:rPr>
                <w:rFonts w:hint="eastAsia" w:ascii="宋体" w:hAnsi="宋体" w:cs="宋体"/>
                <w:kern w:val="0"/>
                <w:szCs w:val="21"/>
                <w:highlight w:val="none"/>
                <w:lang w:bidi="ar"/>
              </w:rPr>
              <w:t>负责人（1人）具有</w:t>
            </w:r>
            <w:r>
              <w:rPr>
                <w:rFonts w:hint="default" w:cs="Calibri"/>
                <w:szCs w:val="21"/>
                <w:highlight w:val="none"/>
              </w:rPr>
              <w:t>相关领域</w:t>
            </w:r>
            <w:r>
              <w:rPr>
                <w:rFonts w:hint="eastAsia" w:ascii="宋体" w:hAnsi="宋体" w:cs="宋体"/>
                <w:kern w:val="0"/>
                <w:szCs w:val="21"/>
                <w:highlight w:val="none"/>
                <w:lang w:bidi="ar"/>
              </w:rPr>
              <w:t>正高级职称的，得</w:t>
            </w:r>
            <w:r>
              <w:rPr>
                <w:rFonts w:hint="eastAsia" w:ascii="宋体" w:hAnsi="宋体" w:cs="宋体"/>
                <w:kern w:val="0"/>
                <w:szCs w:val="21"/>
                <w:highlight w:val="none"/>
                <w:lang w:val="en-US" w:eastAsia="zh-CN" w:bidi="ar"/>
              </w:rPr>
              <w:t>4</w:t>
            </w:r>
            <w:r>
              <w:rPr>
                <w:rFonts w:hint="eastAsia" w:ascii="宋体" w:hAnsi="宋体" w:cs="宋体"/>
                <w:kern w:val="0"/>
                <w:szCs w:val="21"/>
                <w:highlight w:val="none"/>
                <w:lang w:bidi="ar"/>
              </w:rPr>
              <w:t>分，副高级职称的，得</w:t>
            </w:r>
            <w:r>
              <w:rPr>
                <w:rFonts w:hint="eastAsia" w:ascii="宋体" w:hAnsi="宋体" w:cs="宋体"/>
                <w:kern w:val="0"/>
                <w:szCs w:val="21"/>
                <w:highlight w:val="none"/>
                <w:lang w:val="en-US" w:eastAsia="zh-CN" w:bidi="ar"/>
              </w:rPr>
              <w:t>2</w:t>
            </w:r>
            <w:r>
              <w:rPr>
                <w:rFonts w:hint="eastAsia" w:ascii="宋体" w:hAnsi="宋体" w:cs="宋体"/>
                <w:kern w:val="0"/>
                <w:szCs w:val="21"/>
                <w:highlight w:val="none"/>
                <w:lang w:bidi="ar"/>
              </w:rPr>
              <w:t>分；</w:t>
            </w:r>
            <w:r>
              <w:rPr>
                <w:rFonts w:hint="eastAsia" w:ascii="宋体" w:hAnsi="宋体" w:cs="宋体"/>
                <w:kern w:val="0"/>
                <w:szCs w:val="21"/>
                <w:highlight w:val="none"/>
                <w:lang w:eastAsia="zh-CN" w:bidi="ar"/>
              </w:rPr>
              <w:t>需</w:t>
            </w:r>
            <w:r>
              <w:rPr>
                <w:rFonts w:hint="eastAsia" w:ascii="宋体" w:hAnsi="宋体" w:cs="宋体"/>
                <w:kern w:val="0"/>
                <w:szCs w:val="21"/>
                <w:highlight w:val="none"/>
                <w:lang w:bidi="ar"/>
              </w:rPr>
              <w:t>提供</w:t>
            </w:r>
            <w:r>
              <w:rPr>
                <w:rFonts w:hint="eastAsia" w:ascii="宋体" w:hAnsi="宋体" w:cs="宋体"/>
                <w:kern w:val="0"/>
                <w:szCs w:val="21"/>
                <w:highlight w:val="none"/>
                <w:lang w:eastAsia="zh-CN" w:bidi="ar"/>
              </w:rPr>
              <w:t>近三个月</w:t>
            </w:r>
            <w:r>
              <w:rPr>
                <w:rFonts w:hint="eastAsia" w:ascii="宋体" w:hAnsi="宋体" w:cs="宋体"/>
                <w:kern w:val="0"/>
                <w:szCs w:val="21"/>
                <w:highlight w:val="none"/>
                <w:lang w:bidi="ar"/>
              </w:rPr>
              <w:t>社保证明</w:t>
            </w:r>
            <w:r>
              <w:rPr>
                <w:rFonts w:hint="eastAsia" w:ascii="宋体" w:hAnsi="宋体" w:cs="宋体"/>
                <w:kern w:val="0"/>
                <w:szCs w:val="21"/>
                <w:highlight w:val="none"/>
                <w:lang w:eastAsia="zh-CN" w:bidi="ar"/>
              </w:rPr>
              <w:t>（退休返聘提供劳动合同）</w:t>
            </w:r>
            <w:r>
              <w:rPr>
                <w:rFonts w:hint="eastAsia" w:ascii="宋体" w:hAnsi="宋体" w:cs="宋体"/>
                <w:kern w:val="0"/>
                <w:szCs w:val="21"/>
                <w:highlight w:val="none"/>
                <w:lang w:bidi="ar"/>
              </w:rPr>
              <w:t>、职称证书</w:t>
            </w:r>
            <w:r>
              <w:rPr>
                <w:rFonts w:hint="eastAsia" w:ascii="宋体" w:hAnsi="宋体" w:cs="宋体"/>
                <w:kern w:val="0"/>
                <w:szCs w:val="21"/>
                <w:highlight w:val="none"/>
                <w:lang w:eastAsia="zh-CN" w:bidi="ar"/>
              </w:rPr>
              <w:t>的</w:t>
            </w:r>
            <w:r>
              <w:rPr>
                <w:rFonts w:hint="eastAsia" w:ascii="宋体" w:hAnsi="宋体" w:cs="宋体"/>
                <w:kern w:val="0"/>
                <w:szCs w:val="21"/>
                <w:highlight w:val="none"/>
                <w:lang w:bidi="ar"/>
              </w:rPr>
              <w:t>复印</w:t>
            </w:r>
            <w:r>
              <w:rPr>
                <w:rFonts w:hint="eastAsia" w:ascii="宋体" w:hAnsi="宋体" w:cs="宋体"/>
                <w:kern w:val="0"/>
                <w:szCs w:val="21"/>
                <w:highlight w:val="none"/>
                <w:lang w:eastAsia="zh-CN" w:bidi="ar"/>
              </w:rPr>
              <w:t>件并加盖供应商公章。</w:t>
            </w:r>
          </w:p>
        </w:tc>
        <w:tc>
          <w:tcPr>
            <w:tcW w:w="1095" w:type="dxa"/>
            <w:tcBorders>
              <w:tl2br w:val="nil"/>
              <w:tr2bl w:val="nil"/>
            </w:tcBorders>
            <w:shd w:val="clear" w:color="auto" w:fill="FFFFFF"/>
            <w:noWrap w:val="0"/>
            <w:tcMar>
              <w:top w:w="80" w:type="dxa"/>
              <w:left w:w="80" w:type="dxa"/>
              <w:bottom w:w="80" w:type="dxa"/>
              <w:right w:w="80" w:type="dxa"/>
            </w:tcMar>
            <w:vAlign w:val="center"/>
          </w:tcPr>
          <w:p w14:paraId="3F2C3617">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w:t>
            </w:r>
          </w:p>
        </w:tc>
      </w:tr>
      <w:tr w14:paraId="142BDFC6">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53" w:hRule="atLeast"/>
          <w:jc w:val="center"/>
        </w:trPr>
        <w:tc>
          <w:tcPr>
            <w:tcW w:w="1027" w:type="dxa"/>
            <w:vMerge w:val="continue"/>
            <w:tcBorders>
              <w:tl2br w:val="nil"/>
              <w:tr2bl w:val="nil"/>
            </w:tcBorders>
            <w:shd w:val="clear" w:color="auto" w:fill="FFFFFF"/>
            <w:noWrap w:val="0"/>
            <w:tcMar>
              <w:top w:w="80" w:type="dxa"/>
              <w:left w:w="80" w:type="dxa"/>
              <w:bottom w:w="80" w:type="dxa"/>
              <w:right w:w="80" w:type="dxa"/>
            </w:tcMar>
            <w:vAlign w:val="center"/>
          </w:tcPr>
          <w:p w14:paraId="0853AC0A">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4"/>
                <w:szCs w:val="24"/>
                <w:highlight w:val="none"/>
              </w:rPr>
            </w:pPr>
          </w:p>
        </w:tc>
        <w:tc>
          <w:tcPr>
            <w:tcW w:w="740" w:type="dxa"/>
            <w:tcBorders>
              <w:tl2br w:val="nil"/>
              <w:tr2bl w:val="nil"/>
            </w:tcBorders>
            <w:shd w:val="clear" w:color="auto" w:fill="FFFFFF"/>
            <w:noWrap w:val="0"/>
            <w:tcMar>
              <w:top w:w="80" w:type="dxa"/>
              <w:left w:w="80" w:type="dxa"/>
              <w:bottom w:w="80" w:type="dxa"/>
              <w:right w:w="80" w:type="dxa"/>
            </w:tcMar>
            <w:vAlign w:val="center"/>
          </w:tcPr>
          <w:p w14:paraId="248A09AD">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认证证书</w:t>
            </w:r>
          </w:p>
        </w:tc>
        <w:tc>
          <w:tcPr>
            <w:tcW w:w="6661" w:type="dxa"/>
            <w:tcBorders>
              <w:tl2br w:val="nil"/>
              <w:tr2bl w:val="nil"/>
            </w:tcBorders>
            <w:shd w:val="clear" w:color="auto" w:fill="FFFFFF"/>
            <w:noWrap w:val="0"/>
            <w:tcMar>
              <w:top w:w="80" w:type="dxa"/>
              <w:left w:w="80" w:type="dxa"/>
              <w:bottom w:w="80" w:type="dxa"/>
              <w:right w:w="80" w:type="dxa"/>
            </w:tcMar>
            <w:vAlign w:val="center"/>
          </w:tcPr>
          <w:p w14:paraId="1130AC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4"/>
                <w:szCs w:val="24"/>
                <w:highlight w:val="none"/>
                <w:lang w:val="zh-TW" w:eastAsia="zh-TW"/>
              </w:rPr>
            </w:pPr>
            <w:r>
              <w:rPr>
                <w:rFonts w:hint="eastAsia" w:ascii="宋体" w:hAnsi="宋体" w:cs="宋体"/>
                <w:bCs w:val="0"/>
                <w:kern w:val="0"/>
                <w:sz w:val="21"/>
                <w:szCs w:val="21"/>
                <w:highlight w:val="none"/>
                <w:lang w:val="en-US" w:eastAsia="zh-CN" w:bidi="ar"/>
              </w:rPr>
              <w:t>供应商</w:t>
            </w:r>
            <w:r>
              <w:rPr>
                <w:rFonts w:hint="eastAsia" w:ascii="宋体" w:hAnsi="宋体" w:cs="宋体" w:eastAsiaTheme="minorEastAsia"/>
                <w:bCs w:val="0"/>
                <w:kern w:val="0"/>
                <w:sz w:val="21"/>
                <w:szCs w:val="21"/>
                <w:highlight w:val="none"/>
                <w:lang w:bidi="ar"/>
              </w:rPr>
              <w:t>具有质量管理体系认证、环境管理体系认证、职业健康安全管理体系认证</w:t>
            </w:r>
            <w:r>
              <w:rPr>
                <w:rFonts w:hint="eastAsia" w:ascii="宋体" w:hAnsi="宋体" w:cs="宋体" w:eastAsiaTheme="minorEastAsia"/>
                <w:b w:val="0"/>
                <w:kern w:val="0"/>
                <w:sz w:val="21"/>
                <w:szCs w:val="21"/>
                <w:highlight w:val="none"/>
                <w:lang w:bidi="ar"/>
              </w:rPr>
              <w:t>每个得</w:t>
            </w:r>
            <w:r>
              <w:rPr>
                <w:rFonts w:hint="eastAsia" w:ascii="宋体" w:hAnsi="宋体" w:cs="宋体" w:eastAsiaTheme="minorEastAsia"/>
                <w:b w:val="0"/>
                <w:kern w:val="0"/>
                <w:sz w:val="21"/>
                <w:szCs w:val="21"/>
                <w:highlight w:val="none"/>
                <w:lang w:val="en-US" w:eastAsia="zh-CN" w:bidi="ar"/>
              </w:rPr>
              <w:t>2</w:t>
            </w:r>
            <w:r>
              <w:rPr>
                <w:rFonts w:hint="eastAsia" w:ascii="宋体" w:hAnsi="宋体" w:cs="宋体" w:eastAsiaTheme="minorEastAsia"/>
                <w:b w:val="0"/>
                <w:kern w:val="0"/>
                <w:sz w:val="21"/>
                <w:szCs w:val="21"/>
                <w:highlight w:val="none"/>
                <w:lang w:bidi="ar"/>
              </w:rPr>
              <w:t>分，满分得</w:t>
            </w:r>
            <w:r>
              <w:rPr>
                <w:rFonts w:hint="eastAsia" w:ascii="宋体" w:hAnsi="宋体" w:cs="宋体" w:eastAsiaTheme="minorEastAsia"/>
                <w:b w:val="0"/>
                <w:kern w:val="0"/>
                <w:sz w:val="21"/>
                <w:szCs w:val="21"/>
                <w:highlight w:val="none"/>
                <w:lang w:val="en-US" w:eastAsia="zh-CN" w:bidi="ar"/>
              </w:rPr>
              <w:t>5</w:t>
            </w:r>
            <w:r>
              <w:rPr>
                <w:rFonts w:hint="eastAsia" w:ascii="宋体" w:hAnsi="宋体" w:cs="宋体" w:eastAsiaTheme="minorEastAsia"/>
                <w:b w:val="0"/>
                <w:kern w:val="0"/>
                <w:sz w:val="21"/>
                <w:szCs w:val="21"/>
                <w:highlight w:val="none"/>
                <w:lang w:bidi="ar"/>
              </w:rPr>
              <w:t>分。（提供</w:t>
            </w:r>
            <w:r>
              <w:rPr>
                <w:rFonts w:hint="eastAsia" w:ascii="宋体" w:hAnsi="宋体" w:cs="宋体" w:eastAsiaTheme="minorEastAsia"/>
                <w:b w:val="0"/>
                <w:kern w:val="0"/>
                <w:sz w:val="21"/>
                <w:szCs w:val="21"/>
                <w:highlight w:val="none"/>
                <w:lang w:eastAsia="zh-CN" w:bidi="ar"/>
              </w:rPr>
              <w:t>有效</w:t>
            </w:r>
            <w:r>
              <w:rPr>
                <w:rFonts w:hint="eastAsia" w:ascii="宋体" w:hAnsi="宋体" w:cs="宋体" w:eastAsiaTheme="minorEastAsia"/>
                <w:b w:val="0"/>
                <w:kern w:val="0"/>
                <w:sz w:val="21"/>
                <w:szCs w:val="21"/>
                <w:highlight w:val="none"/>
                <w:lang w:bidi="ar"/>
              </w:rPr>
              <w:t>证书</w:t>
            </w:r>
            <w:r>
              <w:rPr>
                <w:rFonts w:hint="eastAsia" w:ascii="宋体" w:hAnsi="宋体" w:cs="宋体" w:eastAsiaTheme="minorEastAsia"/>
                <w:b w:val="0"/>
                <w:bCs w:val="0"/>
                <w:iCs w:val="0"/>
                <w:kern w:val="0"/>
                <w:sz w:val="21"/>
                <w:szCs w:val="21"/>
                <w:highlight w:val="none"/>
                <w:lang w:bidi="ar"/>
              </w:rPr>
              <w:t>复印件或</w:t>
            </w:r>
            <w:r>
              <w:rPr>
                <w:rFonts w:hint="eastAsia" w:ascii="宋体" w:hAnsi="宋体" w:cs="宋体" w:eastAsiaTheme="minorEastAsia"/>
                <w:b w:val="0"/>
                <w:kern w:val="0"/>
                <w:sz w:val="21"/>
                <w:szCs w:val="21"/>
                <w:highlight w:val="none"/>
                <w:lang w:bidi="ar"/>
              </w:rPr>
              <w:t>扫描件并加盖公章）</w:t>
            </w:r>
          </w:p>
        </w:tc>
        <w:tc>
          <w:tcPr>
            <w:tcW w:w="1095" w:type="dxa"/>
            <w:tcBorders>
              <w:tl2br w:val="nil"/>
              <w:tr2bl w:val="nil"/>
            </w:tcBorders>
            <w:shd w:val="clear" w:color="auto" w:fill="FFFFFF"/>
            <w:noWrap w:val="0"/>
            <w:tcMar>
              <w:top w:w="80" w:type="dxa"/>
              <w:left w:w="80" w:type="dxa"/>
              <w:bottom w:w="80" w:type="dxa"/>
              <w:right w:w="80" w:type="dxa"/>
            </w:tcMar>
            <w:vAlign w:val="center"/>
          </w:tcPr>
          <w:p w14:paraId="14DF2965">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4"/>
                <w:szCs w:val="24"/>
                <w:highlight w:val="none"/>
                <w:lang w:val="zh-TW" w:eastAsia="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w:t>
            </w:r>
          </w:p>
        </w:tc>
      </w:tr>
      <w:tr w14:paraId="2A3A75CD">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57" w:hRule="atLeast"/>
          <w:jc w:val="center"/>
        </w:trPr>
        <w:tc>
          <w:tcPr>
            <w:tcW w:w="1027" w:type="dxa"/>
            <w:vMerge w:val="continue"/>
            <w:tcBorders>
              <w:tl2br w:val="nil"/>
              <w:tr2bl w:val="nil"/>
            </w:tcBorders>
            <w:shd w:val="clear" w:color="auto" w:fill="FFFFFF"/>
            <w:noWrap w:val="0"/>
            <w:tcMar>
              <w:top w:w="80" w:type="dxa"/>
              <w:left w:w="80" w:type="dxa"/>
              <w:bottom w:w="80" w:type="dxa"/>
              <w:right w:w="80" w:type="dxa"/>
            </w:tcMar>
            <w:vAlign w:val="center"/>
          </w:tcPr>
          <w:p w14:paraId="4AE355E1">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4"/>
                <w:szCs w:val="24"/>
                <w:highlight w:val="none"/>
                <w:lang w:val="zh-TW"/>
              </w:rPr>
            </w:pPr>
          </w:p>
        </w:tc>
        <w:tc>
          <w:tcPr>
            <w:tcW w:w="740" w:type="dxa"/>
            <w:tcBorders>
              <w:tl2br w:val="nil"/>
              <w:tr2bl w:val="nil"/>
            </w:tcBorders>
            <w:shd w:val="clear" w:color="auto" w:fill="FFFFFF"/>
            <w:noWrap w:val="0"/>
            <w:tcMar>
              <w:top w:w="80" w:type="dxa"/>
              <w:left w:w="80" w:type="dxa"/>
              <w:bottom w:w="80" w:type="dxa"/>
              <w:right w:w="80" w:type="dxa"/>
            </w:tcMar>
            <w:vAlign w:val="center"/>
          </w:tcPr>
          <w:p w14:paraId="02AE54EE">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jc w:val="center"/>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类似</w:t>
            </w:r>
            <w:r>
              <w:rPr>
                <w:rFonts w:hint="eastAsia" w:ascii="宋体" w:hAnsi="宋体" w:eastAsia="宋体" w:cs="宋体"/>
                <w:sz w:val="24"/>
                <w:szCs w:val="24"/>
                <w:highlight w:val="none"/>
                <w:lang w:val="zh-TW"/>
              </w:rPr>
              <w:t>业绩</w:t>
            </w:r>
          </w:p>
        </w:tc>
        <w:tc>
          <w:tcPr>
            <w:tcW w:w="6661" w:type="dxa"/>
            <w:tcBorders>
              <w:tl2br w:val="nil"/>
              <w:tr2bl w:val="nil"/>
            </w:tcBorders>
            <w:shd w:val="clear" w:color="auto" w:fill="FFFFFF"/>
            <w:noWrap w:val="0"/>
            <w:tcMar>
              <w:top w:w="80" w:type="dxa"/>
              <w:left w:w="80" w:type="dxa"/>
              <w:bottom w:w="80" w:type="dxa"/>
              <w:right w:w="80" w:type="dxa"/>
            </w:tcMar>
            <w:vAlign w:val="center"/>
          </w:tcPr>
          <w:p w14:paraId="7DE2DAC6">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jc w:val="left"/>
              <w:textAlignment w:val="auto"/>
              <w:rPr>
                <w:rFonts w:hint="eastAsia" w:ascii="宋体" w:hAnsi="宋体" w:eastAsia="宋体" w:cs="宋体"/>
                <w:sz w:val="24"/>
                <w:szCs w:val="24"/>
                <w:highlight w:val="none"/>
                <w:lang w:val="zh-TW" w:eastAsia="zh-CN"/>
              </w:rPr>
            </w:pPr>
            <w:r>
              <w:rPr>
                <w:rFonts w:hint="eastAsia" w:ascii="宋体" w:hAnsi="宋体" w:cs="宋体"/>
                <w:kern w:val="0"/>
                <w:szCs w:val="21"/>
                <w:highlight w:val="none"/>
                <w:lang w:bidi="ar"/>
              </w:rPr>
              <w:t>供应商自20</w:t>
            </w:r>
            <w:r>
              <w:rPr>
                <w:rFonts w:hint="eastAsia" w:ascii="宋体" w:hAnsi="宋体" w:cs="宋体"/>
                <w:kern w:val="0"/>
                <w:szCs w:val="21"/>
                <w:highlight w:val="none"/>
                <w:lang w:val="en-US" w:eastAsia="zh-CN" w:bidi="ar"/>
              </w:rPr>
              <w:t>21</w:t>
            </w:r>
            <w:r>
              <w:rPr>
                <w:rFonts w:hint="eastAsia" w:ascii="宋体" w:hAnsi="宋体" w:cs="宋体"/>
                <w:kern w:val="0"/>
                <w:szCs w:val="21"/>
                <w:highlight w:val="none"/>
                <w:lang w:bidi="ar"/>
              </w:rPr>
              <w:t>年1月1日以来（以合同签订时间为准）</w:t>
            </w:r>
            <w:r>
              <w:rPr>
                <w:rFonts w:hint="eastAsia" w:ascii="宋体" w:hAnsi="宋体" w:cs="宋体"/>
                <w:kern w:val="0"/>
                <w:szCs w:val="21"/>
                <w:highlight w:val="none"/>
                <w:lang w:eastAsia="zh-CN" w:bidi="ar"/>
              </w:rPr>
              <w:t>有</w:t>
            </w:r>
            <w:r>
              <w:rPr>
                <w:rFonts w:hint="eastAsia" w:ascii="宋体" w:hAnsi="宋体" w:cs="宋体"/>
                <w:kern w:val="0"/>
                <w:szCs w:val="21"/>
                <w:highlight w:val="none"/>
                <w:lang w:bidi="ar"/>
              </w:rPr>
              <w:t>类似业绩</w:t>
            </w:r>
            <w:r>
              <w:rPr>
                <w:rFonts w:hint="eastAsia" w:ascii="宋体" w:hAnsi="宋体" w:cs="宋体"/>
                <w:kern w:val="0"/>
                <w:szCs w:val="21"/>
                <w:highlight w:val="none"/>
                <w:lang w:eastAsia="zh-CN" w:bidi="ar"/>
              </w:rPr>
              <w:t>的</w:t>
            </w:r>
            <w:r>
              <w:rPr>
                <w:rFonts w:hint="default" w:ascii="宋体" w:hAnsi="宋体" w:cs="宋体"/>
                <w:kern w:val="0"/>
                <w:szCs w:val="21"/>
                <w:highlight w:val="none"/>
                <w:lang w:bidi="ar"/>
              </w:rPr>
              <w:t>，</w:t>
            </w:r>
            <w:r>
              <w:rPr>
                <w:rFonts w:hint="eastAsia" w:ascii="宋体" w:hAnsi="宋体" w:cs="宋体"/>
                <w:kern w:val="0"/>
                <w:szCs w:val="21"/>
                <w:highlight w:val="none"/>
                <w:lang w:bidi="ar"/>
              </w:rPr>
              <w:t>每个得0.5分，最高得</w:t>
            </w:r>
            <w:r>
              <w:rPr>
                <w:rFonts w:hint="default" w:ascii="宋体" w:hAnsi="宋体" w:cs="宋体"/>
                <w:kern w:val="0"/>
                <w:szCs w:val="21"/>
                <w:highlight w:val="none"/>
                <w:lang w:bidi="ar"/>
              </w:rPr>
              <w:t>1</w:t>
            </w:r>
            <w:r>
              <w:rPr>
                <w:rFonts w:hint="eastAsia" w:ascii="宋体" w:hAnsi="宋体" w:cs="宋体"/>
                <w:kern w:val="0"/>
                <w:szCs w:val="21"/>
                <w:highlight w:val="none"/>
                <w:lang w:bidi="ar"/>
              </w:rPr>
              <w:t>分。提供合同复印件并加盖公章。</w:t>
            </w:r>
          </w:p>
        </w:tc>
        <w:tc>
          <w:tcPr>
            <w:tcW w:w="1095" w:type="dxa"/>
            <w:tcBorders>
              <w:tl2br w:val="nil"/>
              <w:tr2bl w:val="nil"/>
            </w:tcBorders>
            <w:shd w:val="clear" w:color="auto" w:fill="FFFFFF"/>
            <w:noWrap w:val="0"/>
            <w:tcMar>
              <w:top w:w="80" w:type="dxa"/>
              <w:left w:w="80" w:type="dxa"/>
              <w:bottom w:w="80" w:type="dxa"/>
              <w:right w:w="80" w:type="dxa"/>
            </w:tcMar>
            <w:vAlign w:val="center"/>
          </w:tcPr>
          <w:p w14:paraId="6D52A82A">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sz w:val="24"/>
                <w:szCs w:val="24"/>
                <w:highlight w:val="none"/>
                <w:lang w:val="zh-TW"/>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分</w:t>
            </w:r>
          </w:p>
        </w:tc>
      </w:tr>
    </w:tbl>
    <w:p w14:paraId="1400AA2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备注：</w:t>
      </w:r>
    </w:p>
    <w:p w14:paraId="0CC94A1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、评标委员会各成员应当独立对每个供应商的响应文件进行评价，并汇总每个供应商的得分。资信分为客观分，也需独立进行评价并核对分值，最终分值需一致。</w:t>
      </w:r>
    </w:p>
    <w:p w14:paraId="23588C2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bookmarkStart w:id="85" w:name="_Toc4517"/>
      <w:bookmarkStart w:id="86" w:name="_Toc8033"/>
      <w:r>
        <w:rPr>
          <w:rFonts w:hint="eastAsia" w:ascii="宋体" w:hAnsi="宋体" w:eastAsia="宋体" w:cs="宋体"/>
          <w:color w:val="auto"/>
          <w:sz w:val="24"/>
          <w:szCs w:val="24"/>
          <w:highlight w:val="none"/>
        </w:rPr>
        <w:t>所有文件、合同、证书、资质等需要真实有效。成交供应商在中标后签订合同时需提供以上证明文件原件，若发现资料作假的取消中标资格。</w:t>
      </w:r>
    </w:p>
    <w:p w14:paraId="62E4F800">
      <w:pPr>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14:paraId="27AE36E0">
      <w:pPr>
        <w:pStyle w:val="4"/>
        <w:spacing w:line="360" w:lineRule="auto"/>
        <w:jc w:val="center"/>
        <w:rPr>
          <w:rFonts w:hint="eastAsia" w:ascii="宋体" w:hAnsi="宋体" w:eastAsia="宋体" w:cs="宋体"/>
          <w:color w:val="auto"/>
          <w:highlight w:val="none"/>
        </w:rPr>
      </w:pPr>
      <w:bookmarkStart w:id="87" w:name="_Toc15269"/>
      <w:r>
        <w:rPr>
          <w:rFonts w:hint="eastAsia" w:ascii="宋体" w:hAnsi="宋体" w:eastAsia="宋体" w:cs="宋体"/>
          <w:color w:val="auto"/>
          <w:sz w:val="36"/>
          <w:szCs w:val="36"/>
          <w:highlight w:val="none"/>
        </w:rPr>
        <w:t>第五部分 采购合同</w:t>
      </w:r>
      <w:bookmarkEnd w:id="85"/>
      <w:bookmarkEnd w:id="86"/>
      <w:bookmarkEnd w:id="87"/>
    </w:p>
    <w:p w14:paraId="76AA38B9">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合同编号：（2024）第</w:t>
      </w:r>
      <w:r>
        <w:rPr>
          <w:rFonts w:hint="eastAsia" w:ascii="宋体" w:hAnsi="宋体" w:eastAsia="宋体" w:cs="宋体"/>
          <w:b w:val="0"/>
          <w:bCs/>
          <w:sz w:val="24"/>
          <w:highlight w:val="none"/>
          <w:u w:val="single"/>
          <w:lang w:val="en-US" w:eastAsia="zh-CN"/>
        </w:rPr>
        <w:t>　　</w:t>
      </w:r>
      <w:r>
        <w:rPr>
          <w:rFonts w:hint="eastAsia" w:ascii="宋体" w:hAnsi="宋体" w:eastAsia="宋体" w:cs="宋体"/>
          <w:b w:val="0"/>
          <w:bCs/>
          <w:sz w:val="24"/>
          <w:highlight w:val="none"/>
          <w:lang w:val="en-US" w:eastAsia="zh-CN"/>
        </w:rPr>
        <w:t>号</w:t>
      </w:r>
    </w:p>
    <w:p w14:paraId="01540945">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签订日期：2024年</w:t>
      </w:r>
      <w:r>
        <w:rPr>
          <w:rFonts w:hint="eastAsia" w:ascii="宋体" w:hAnsi="宋体" w:eastAsia="宋体" w:cs="宋体"/>
          <w:b w:val="0"/>
          <w:bCs/>
          <w:sz w:val="24"/>
          <w:highlight w:val="none"/>
          <w:u w:val="single"/>
          <w:lang w:val="en-US" w:eastAsia="zh-CN"/>
        </w:rPr>
        <w:t>　　</w:t>
      </w:r>
      <w:r>
        <w:rPr>
          <w:rFonts w:hint="eastAsia" w:ascii="宋体" w:hAnsi="宋体" w:eastAsia="宋体" w:cs="宋体"/>
          <w:b w:val="0"/>
          <w:bCs/>
          <w:sz w:val="24"/>
          <w:highlight w:val="none"/>
          <w:lang w:val="en-US" w:eastAsia="zh-CN"/>
        </w:rPr>
        <w:t>月</w:t>
      </w:r>
      <w:r>
        <w:rPr>
          <w:rFonts w:hint="eastAsia" w:ascii="宋体" w:hAnsi="宋体" w:eastAsia="宋体" w:cs="宋体"/>
          <w:b w:val="0"/>
          <w:bCs/>
          <w:sz w:val="24"/>
          <w:highlight w:val="none"/>
          <w:u w:val="single"/>
          <w:lang w:val="en-US" w:eastAsia="zh-CN"/>
        </w:rPr>
        <w:t>　　</w:t>
      </w:r>
      <w:r>
        <w:rPr>
          <w:rFonts w:hint="eastAsia" w:ascii="宋体" w:hAnsi="宋体" w:eastAsia="宋体" w:cs="宋体"/>
          <w:b w:val="0"/>
          <w:bCs/>
          <w:sz w:val="24"/>
          <w:highlight w:val="none"/>
          <w:lang w:val="en-US" w:eastAsia="zh-CN"/>
        </w:rPr>
        <w:t>日</w:t>
      </w:r>
    </w:p>
    <w:p w14:paraId="2033BCDA">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val="0"/>
          <w:bCs/>
          <w:sz w:val="24"/>
          <w:highlight w:val="none"/>
          <w:u w:val="single"/>
          <w:lang w:val="en-US" w:eastAsia="zh-CN"/>
        </w:rPr>
      </w:pPr>
      <w:r>
        <w:rPr>
          <w:rFonts w:hint="eastAsia" w:ascii="宋体" w:hAnsi="宋体" w:eastAsia="宋体" w:cs="宋体"/>
          <w:b w:val="0"/>
          <w:bCs/>
          <w:sz w:val="24"/>
          <w:highlight w:val="none"/>
          <w:lang w:val="en-US" w:eastAsia="zh-CN"/>
        </w:rPr>
        <w:t>甲方：</w:t>
      </w:r>
      <w:r>
        <w:rPr>
          <w:rFonts w:hint="eastAsia" w:ascii="宋体" w:hAnsi="宋体" w:eastAsia="宋体" w:cs="宋体"/>
          <w:b w:val="0"/>
          <w:bCs/>
          <w:sz w:val="24"/>
          <w:highlight w:val="none"/>
          <w:u w:val="single"/>
          <w:lang w:val="en-US" w:eastAsia="zh-CN"/>
        </w:rPr>
        <w:t>　　</w:t>
      </w:r>
      <w:r>
        <w:rPr>
          <w:rFonts w:hint="eastAsia" w:ascii="宋体" w:hAnsi="宋体" w:cs="宋体"/>
          <w:b w:val="0"/>
          <w:bCs/>
          <w:sz w:val="24"/>
          <w:highlight w:val="none"/>
          <w:u w:val="single"/>
          <w:lang w:val="en-US" w:eastAsia="zh-CN"/>
        </w:rPr>
        <w:t>绍兴市上虞区发展和改革局</w:t>
      </w:r>
      <w:r>
        <w:rPr>
          <w:rFonts w:hint="eastAsia" w:ascii="宋体" w:hAnsi="宋体" w:eastAsia="宋体" w:cs="宋体"/>
          <w:b w:val="0"/>
          <w:bCs/>
          <w:sz w:val="24"/>
          <w:highlight w:val="none"/>
          <w:u w:val="single"/>
          <w:lang w:val="en-US" w:eastAsia="zh-CN"/>
        </w:rPr>
        <w:t>　　　　　　　　　</w:t>
      </w:r>
    </w:p>
    <w:p w14:paraId="0F83BE04">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乙方：</w:t>
      </w:r>
      <w:r>
        <w:rPr>
          <w:rFonts w:hint="eastAsia" w:ascii="宋体" w:hAnsi="宋体" w:eastAsia="宋体" w:cs="宋体"/>
          <w:b w:val="0"/>
          <w:bCs/>
          <w:sz w:val="24"/>
          <w:highlight w:val="none"/>
          <w:u w:val="single"/>
          <w:lang w:val="en-US" w:eastAsia="zh-CN"/>
        </w:rPr>
        <w:t>　　　　　　　　　　　　　　　　　　　　　　　</w:t>
      </w:r>
    </w:p>
    <w:p w14:paraId="16E198CB">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根据《中华人民共和国民法典》、政府采购编号为</w:t>
      </w:r>
      <w:r>
        <w:rPr>
          <w:rFonts w:hint="eastAsia" w:ascii="宋体" w:hAnsi="宋体" w:cs="宋体"/>
          <w:b w:val="0"/>
          <w:bCs/>
          <w:sz w:val="24"/>
          <w:highlight w:val="none"/>
          <w:u w:val="single"/>
          <w:lang w:val="en-US" w:eastAsia="zh-CN"/>
        </w:rPr>
        <w:t xml:space="preserve"> FSJZCS2024052           </w:t>
      </w:r>
      <w:r>
        <w:rPr>
          <w:rFonts w:hint="eastAsia" w:ascii="宋体" w:hAnsi="宋体" w:eastAsia="宋体" w:cs="宋体"/>
          <w:b w:val="0"/>
          <w:bCs/>
          <w:sz w:val="24"/>
          <w:highlight w:val="none"/>
          <w:lang w:val="en-US" w:eastAsia="zh-CN"/>
        </w:rPr>
        <w:t xml:space="preserve">招标文件、乙方响应文件的规定，经公开招标采购，签订本合同。 </w:t>
      </w:r>
    </w:p>
    <w:p w14:paraId="21AD0F11">
      <w:pPr>
        <w:pageBreakBefore w:val="0"/>
        <w:kinsoku/>
        <w:overflowPunct/>
        <w:topLinePunct w:val="0"/>
        <w:bidi w:val="0"/>
        <w:snapToGrid/>
        <w:spacing w:line="360" w:lineRule="auto"/>
        <w:jc w:val="left"/>
        <w:textAlignment w:val="auto"/>
        <w:rPr>
          <w:rFonts w:hint="eastAsia"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一、</w:t>
      </w:r>
      <w:r>
        <w:rPr>
          <w:rFonts w:hint="eastAsia" w:ascii="宋体" w:hAnsi="宋体" w:eastAsia="宋体" w:cs="宋体"/>
          <w:b/>
          <w:sz w:val="24"/>
          <w:szCs w:val="24"/>
          <w:highlight w:val="none"/>
        </w:rPr>
        <w:t>项目</w:t>
      </w:r>
      <w:r>
        <w:rPr>
          <w:rFonts w:hint="eastAsia" w:ascii="宋体" w:hAnsi="宋体" w:eastAsia="宋体" w:cs="宋体"/>
          <w:b/>
          <w:sz w:val="24"/>
          <w:szCs w:val="24"/>
          <w:highlight w:val="none"/>
          <w:lang w:val="en-US" w:eastAsia="zh-CN"/>
        </w:rPr>
        <w:t>背景</w:t>
      </w:r>
    </w:p>
    <w:p w14:paraId="5C1C7F6C">
      <w:pPr>
        <w:pStyle w:val="4"/>
        <w:keepNext/>
        <w:keepLines/>
        <w:pageBreakBefore w:val="0"/>
        <w:widowControl w:val="0"/>
        <w:tabs>
          <w:tab w:val="left" w:pos="0"/>
        </w:tabs>
        <w:kinsoku/>
        <w:wordWrap/>
        <w:overflowPunct/>
        <w:topLinePunct w:val="0"/>
        <w:autoSpaceDE/>
        <w:autoSpaceDN/>
        <w:bidi w:val="0"/>
        <w:adjustRightInd w:val="0"/>
        <w:snapToGrid/>
        <w:spacing w:before="0" w:after="0" w:line="360" w:lineRule="auto"/>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2025年将进入“十五五”规划编制，科学开展规划研究和编制，推进国民经济和社会发展的现代化，对于上虞区意义非常重大。为此，特开展上虞区“十五五”基本思路研究和规划编制工作，重点旨在全面分析上虞区面临的国内外环境和阶段性特征，以更高的视角、更宽的视野来谋划未来发展，力求主动适应新变化、谋划新思路、开创新举措、实现新突破。</w:t>
      </w:r>
    </w:p>
    <w:p w14:paraId="77F730BF">
      <w:pPr>
        <w:pStyle w:val="4"/>
        <w:keepNext/>
        <w:keepLines/>
        <w:pageBreakBefore w:val="0"/>
        <w:widowControl w:val="0"/>
        <w:tabs>
          <w:tab w:val="left" w:pos="0"/>
        </w:tabs>
        <w:kinsoku/>
        <w:wordWrap/>
        <w:overflowPunct/>
        <w:topLinePunct w:val="0"/>
        <w:autoSpaceDE/>
        <w:autoSpaceDN/>
        <w:bidi w:val="0"/>
        <w:adjustRightInd w:val="0"/>
        <w:snapToGrid/>
        <w:spacing w:before="0" w:after="0" w:line="360" w:lineRule="auto"/>
        <w:ind w:left="442" w:hanging="442"/>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二、</w:t>
      </w:r>
      <w:r>
        <w:rPr>
          <w:rFonts w:hint="eastAsia" w:ascii="宋体" w:hAnsi="宋体" w:eastAsia="宋体" w:cs="宋体"/>
          <w:sz w:val="24"/>
          <w:szCs w:val="24"/>
          <w:highlight w:val="none"/>
        </w:rPr>
        <w:t>项目编制内容及要求</w:t>
      </w:r>
    </w:p>
    <w:p w14:paraId="0A864621">
      <w:pPr>
        <w:pageBreakBefore w:val="0"/>
        <w:kinsoku/>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1.项目编制内容：</w:t>
      </w:r>
    </w:p>
    <w:p w14:paraId="1D0CED2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面分析上虞区“十四五”时期经济社会发展回顾总结，综合判断国内外发展环境变化特征对上虞经济社会发展的影响，根据国家、省、市总体发展要求及上虞的发展现实基础和对当前新环境的把握，合理定位下阶段经济社会发展的阶段、宏观走势及政策取向，研究提出上虞区“十五五”发展的总体思路、目标体系、重点产业、重点任务、保障措施和政策建议等。</w:t>
      </w:r>
    </w:p>
    <w:p w14:paraId="4F167B5E">
      <w:pPr>
        <w:pageBreakBefore w:val="0"/>
        <w:kinsoku/>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2.研究内容：</w:t>
      </w:r>
    </w:p>
    <w:p w14:paraId="7BDC044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（1）“十四五”发展现状和问题：“十四五”发展历程、主要成绩、存在的问题。</w:t>
      </w:r>
    </w:p>
    <w:p w14:paraId="6A46424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（2）“十五五”发展面临的形势和发展趋势：分析国内外环境形势和发展趋势，概括提出上虞区“十五五”发展的阶段性特征。</w:t>
      </w:r>
    </w:p>
    <w:p w14:paraId="2A13D68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（3）“十五五”总体思路：在参考“十四五”期末现状基础上，研究提出上虞区“十五五”时期的发展战略和定位，明确城市、产业、社会、生态文明等方面的发展目标指标。</w:t>
      </w:r>
    </w:p>
    <w:p w14:paraId="793CDA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（4）重点发展领域和重点任务：围绕产业、创新、空间、城市、民生、治理等领域，研究提出上虞区的重点任务和工作路径。</w:t>
      </w:r>
    </w:p>
    <w:p w14:paraId="67ADEF7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（5）若干建议和措施：围绕重大政策、重大平台、重大项目、重大改革等方面，提出“十五五”时期关系全区发展大局的若干政策建议和推进措施思考。</w:t>
      </w:r>
    </w:p>
    <w:p w14:paraId="4F27B0E3">
      <w:pPr>
        <w:pageBreakBefore w:val="0"/>
        <w:kinsoku/>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3.提交成果要求：</w:t>
      </w:r>
    </w:p>
    <w:p w14:paraId="3A751DF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项目成果归</w:t>
      </w:r>
      <w:r>
        <w:rPr>
          <w:rFonts w:hint="eastAsia" w:ascii="宋体" w:hAnsi="宋体" w:cs="宋体"/>
          <w:sz w:val="24"/>
          <w:szCs w:val="24"/>
          <w:highlight w:val="none"/>
          <w:lang w:eastAsia="zh-CN"/>
        </w:rPr>
        <w:t>甲方</w:t>
      </w:r>
      <w:r>
        <w:rPr>
          <w:rFonts w:hint="eastAsia" w:ascii="宋体" w:hAnsi="宋体" w:eastAsia="宋体" w:cs="宋体"/>
          <w:sz w:val="24"/>
          <w:szCs w:val="24"/>
          <w:highlight w:val="none"/>
        </w:rPr>
        <w:t>所有，</w:t>
      </w:r>
      <w:r>
        <w:rPr>
          <w:rFonts w:hint="eastAsia" w:ascii="宋体" w:hAnsi="宋体" w:cs="宋体"/>
          <w:sz w:val="24"/>
          <w:szCs w:val="24"/>
          <w:highlight w:val="none"/>
          <w:lang w:eastAsia="zh-CN"/>
        </w:rPr>
        <w:t>乙方</w:t>
      </w:r>
      <w:r>
        <w:rPr>
          <w:rFonts w:hint="eastAsia" w:ascii="宋体" w:hAnsi="宋体" w:eastAsia="宋体" w:cs="宋体"/>
          <w:sz w:val="24"/>
          <w:szCs w:val="24"/>
          <w:highlight w:val="none"/>
        </w:rPr>
        <w:t>提供的项目成果所涉及到的内容不得侵犯任何第三人的合法权利，否则由</w:t>
      </w:r>
      <w:r>
        <w:rPr>
          <w:rFonts w:hint="eastAsia" w:ascii="宋体" w:hAnsi="宋体" w:cs="宋体"/>
          <w:sz w:val="24"/>
          <w:szCs w:val="24"/>
          <w:highlight w:val="none"/>
          <w:lang w:eastAsia="zh-CN"/>
        </w:rPr>
        <w:t>乙方</w:t>
      </w:r>
      <w:r>
        <w:rPr>
          <w:rFonts w:hint="eastAsia" w:ascii="宋体" w:hAnsi="宋体" w:eastAsia="宋体" w:cs="宋体"/>
          <w:sz w:val="24"/>
          <w:szCs w:val="24"/>
          <w:highlight w:val="none"/>
        </w:rPr>
        <w:t>承担相应的法律责任。</w:t>
      </w:r>
      <w:r>
        <w:rPr>
          <w:rFonts w:hint="eastAsia" w:ascii="宋体" w:hAnsi="宋体" w:cs="宋体"/>
          <w:sz w:val="24"/>
          <w:szCs w:val="24"/>
          <w:highlight w:val="none"/>
          <w:lang w:eastAsia="zh-CN"/>
        </w:rPr>
        <w:t>乙方</w:t>
      </w:r>
      <w:r>
        <w:rPr>
          <w:rFonts w:hint="eastAsia" w:ascii="宋体" w:hAnsi="宋体" w:eastAsia="宋体" w:cs="宋体"/>
          <w:sz w:val="24"/>
          <w:szCs w:val="24"/>
          <w:highlight w:val="none"/>
        </w:rPr>
        <w:t>须向</w:t>
      </w:r>
      <w:r>
        <w:rPr>
          <w:rFonts w:hint="eastAsia" w:ascii="宋体" w:hAnsi="宋体" w:cs="宋体"/>
          <w:sz w:val="24"/>
          <w:szCs w:val="24"/>
          <w:highlight w:val="none"/>
          <w:lang w:eastAsia="zh-CN"/>
        </w:rPr>
        <w:t>甲方</w:t>
      </w:r>
      <w:r>
        <w:rPr>
          <w:rFonts w:hint="eastAsia" w:ascii="宋体" w:hAnsi="宋体" w:eastAsia="宋体" w:cs="宋体"/>
          <w:sz w:val="24"/>
          <w:szCs w:val="24"/>
          <w:highlight w:val="none"/>
        </w:rPr>
        <w:t>提供如下研究成果：</w:t>
      </w:r>
    </w:p>
    <w:p w14:paraId="5FB1140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1.《绍兴市上虞区国民经济和社会发展“十五五”规划基本思路》文本1份；</w:t>
      </w:r>
    </w:p>
    <w:p w14:paraId="22E64A1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2.《“十五五”时期绍兴市上虞区扩大有效投资重点领域和增强投资内生动力研究》文本1份；</w:t>
      </w:r>
    </w:p>
    <w:p w14:paraId="47E15E0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3.《“十五五”时期绍兴市上虞区低空产业发展研究》文本1份；</w:t>
      </w:r>
    </w:p>
    <w:p w14:paraId="3FBC08C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4.《绍兴市上虞区国民经济和社会发展第十五个五年规划</w:t>
      </w:r>
      <w:r>
        <w:rPr>
          <w:rFonts w:hint="eastAsia" w:ascii="宋体" w:hAnsi="宋体" w:cs="宋体"/>
          <w:sz w:val="24"/>
          <w:szCs w:val="24"/>
          <w:highlight w:val="none"/>
          <w:lang w:eastAsia="zh-CN"/>
        </w:rPr>
        <w:t>纲要</w:t>
      </w:r>
      <w:r>
        <w:rPr>
          <w:rFonts w:hint="eastAsia" w:ascii="宋体" w:hAnsi="宋体" w:eastAsia="宋体" w:cs="宋体"/>
          <w:sz w:val="24"/>
          <w:szCs w:val="24"/>
          <w:highlight w:val="none"/>
        </w:rPr>
        <w:t>》文本、演示文稿及相关图件。</w:t>
      </w:r>
    </w:p>
    <w:p w14:paraId="56F5B47F">
      <w:pPr>
        <w:pageBreakBefore w:val="0"/>
        <w:kinsoku/>
        <w:overflowPunct/>
        <w:topLinePunct w:val="0"/>
        <w:bidi w:val="0"/>
        <w:snapToGrid/>
        <w:spacing w:line="360" w:lineRule="auto"/>
        <w:jc w:val="left"/>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rPr>
        <w:t>、服务期限:</w:t>
      </w:r>
    </w:p>
    <w:p w14:paraId="0FCB4271">
      <w:pPr>
        <w:pageBreakBefore w:val="0"/>
        <w:kinsoku/>
        <w:overflowPunct/>
        <w:topLinePunct w:val="0"/>
        <w:bidi w:val="0"/>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2024年</w:t>
      </w:r>
      <w:r>
        <w:rPr>
          <w:rFonts w:hint="eastAsia" w:ascii="宋体" w:hAnsi="宋体" w:cs="宋体"/>
          <w:sz w:val="24"/>
          <w:szCs w:val="24"/>
          <w:highlight w:val="none"/>
          <w:lang w:val="en-US" w:eastAsia="zh-CN"/>
        </w:rPr>
        <w:t>11</w:t>
      </w:r>
      <w:r>
        <w:rPr>
          <w:rFonts w:hint="eastAsia" w:ascii="宋体" w:hAnsi="宋体" w:eastAsia="宋体" w:cs="宋体"/>
          <w:sz w:val="24"/>
          <w:szCs w:val="24"/>
          <w:highlight w:val="none"/>
        </w:rPr>
        <w:t>月至202</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月</w:t>
      </w:r>
    </w:p>
    <w:p w14:paraId="747A3639">
      <w:pPr>
        <w:pageBreakBefore w:val="0"/>
        <w:kinsoku/>
        <w:overflowPunct/>
        <w:topLinePunct w:val="0"/>
        <w:bidi w:val="0"/>
        <w:snapToGrid/>
        <w:spacing w:line="360" w:lineRule="auto"/>
        <w:jc w:val="left"/>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四</w:t>
      </w:r>
      <w:r>
        <w:rPr>
          <w:rFonts w:hint="eastAsia" w:ascii="宋体" w:hAnsi="宋体" w:eastAsia="宋体" w:cs="宋体"/>
          <w:b/>
          <w:bCs/>
          <w:sz w:val="24"/>
          <w:szCs w:val="24"/>
          <w:highlight w:val="none"/>
        </w:rPr>
        <w:t>、项目进度要求</w:t>
      </w:r>
    </w:p>
    <w:p w14:paraId="74F4425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2024年1</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月30日前形成《“十五五”时期绍兴市上虞区低空产业发展研究》</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《绍兴市上虞区国民经济和社会发展“十五五”规划基本思路》《“十五五”时期绍兴市上虞区扩大有效投资重点领域和增强投资内生动力研究》初步成果；</w:t>
      </w:r>
    </w:p>
    <w:p w14:paraId="13D78F6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2025年10月30日前形成《绍兴市上虞区国民经济和社会发展第十五个五年规划纲要》初步成果。</w:t>
      </w:r>
    </w:p>
    <w:p w14:paraId="479C6F9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2026年1月30日前交付《绍兴市上虞区国民经济和社会发展第十五个五年规划纲要》最终成果稿。</w:t>
      </w:r>
    </w:p>
    <w:p w14:paraId="1CFB24B6">
      <w:pPr>
        <w:pageBreakBefore w:val="0"/>
        <w:kinsoku/>
        <w:overflowPunct/>
        <w:topLinePunct w:val="0"/>
        <w:bidi w:val="0"/>
        <w:snapToGrid/>
        <w:spacing w:line="360" w:lineRule="auto"/>
        <w:jc w:val="left"/>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五</w:t>
      </w:r>
      <w:r>
        <w:rPr>
          <w:rFonts w:hint="eastAsia" w:ascii="宋体" w:hAnsi="宋体" w:eastAsia="宋体" w:cs="宋体"/>
          <w:b/>
          <w:bCs/>
          <w:sz w:val="24"/>
          <w:szCs w:val="24"/>
          <w:highlight w:val="none"/>
        </w:rPr>
        <w:t>、实施方案要求</w:t>
      </w:r>
    </w:p>
    <w:p w14:paraId="2C9944E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1、服务要求：</w:t>
      </w:r>
      <w:r>
        <w:rPr>
          <w:rFonts w:hint="eastAsia" w:ascii="宋体" w:hAnsi="宋体" w:cs="宋体"/>
          <w:sz w:val="24"/>
          <w:szCs w:val="24"/>
          <w:highlight w:val="none"/>
          <w:lang w:eastAsia="zh-CN"/>
        </w:rPr>
        <w:t>乙方</w:t>
      </w:r>
      <w:r>
        <w:rPr>
          <w:rFonts w:hint="eastAsia" w:ascii="宋体" w:hAnsi="宋体" w:eastAsia="宋体" w:cs="宋体"/>
          <w:sz w:val="24"/>
          <w:szCs w:val="24"/>
          <w:highlight w:val="none"/>
        </w:rPr>
        <w:t>在履行合同义务期间，应遵守国家有关法律、法规、维护采购人的合法权益；</w:t>
      </w:r>
      <w:r>
        <w:rPr>
          <w:rFonts w:hint="eastAsia" w:ascii="宋体" w:hAnsi="宋体" w:cs="宋体"/>
          <w:sz w:val="24"/>
          <w:szCs w:val="24"/>
          <w:highlight w:val="none"/>
          <w:lang w:eastAsia="zh-CN"/>
        </w:rPr>
        <w:t>乙方</w:t>
      </w:r>
      <w:r>
        <w:rPr>
          <w:rFonts w:hint="eastAsia" w:ascii="宋体" w:hAnsi="宋体" w:eastAsia="宋体" w:cs="宋体"/>
          <w:sz w:val="24"/>
          <w:szCs w:val="24"/>
          <w:highlight w:val="none"/>
        </w:rPr>
        <w:t>应组建能够满足本项目服务需要的项目编制小组，按照工作范围和内容完成规划设计工作，并按约定向</w:t>
      </w:r>
      <w:r>
        <w:rPr>
          <w:rFonts w:hint="eastAsia" w:ascii="宋体" w:hAnsi="宋体" w:cs="宋体"/>
          <w:sz w:val="24"/>
          <w:szCs w:val="24"/>
          <w:highlight w:val="none"/>
          <w:lang w:eastAsia="zh-CN"/>
        </w:rPr>
        <w:t>甲方</w:t>
      </w:r>
      <w:r>
        <w:rPr>
          <w:rFonts w:hint="eastAsia" w:ascii="宋体" w:hAnsi="宋体" w:eastAsia="宋体" w:cs="宋体"/>
          <w:sz w:val="24"/>
          <w:szCs w:val="24"/>
          <w:highlight w:val="none"/>
        </w:rPr>
        <w:t>汇报工作进展；最终研究、规划及相关成果须通过委托方验收。在项目成果通过验收并实施过程中，成交供应商应按照项目实际需求，配合</w:t>
      </w:r>
      <w:r>
        <w:rPr>
          <w:rFonts w:hint="eastAsia" w:ascii="宋体" w:hAnsi="宋体" w:cs="宋体"/>
          <w:sz w:val="24"/>
          <w:szCs w:val="24"/>
          <w:highlight w:val="none"/>
          <w:lang w:eastAsia="zh-CN"/>
        </w:rPr>
        <w:t>甲方</w:t>
      </w:r>
      <w:r>
        <w:rPr>
          <w:rFonts w:hint="eastAsia" w:ascii="宋体" w:hAnsi="宋体" w:eastAsia="宋体" w:cs="宋体"/>
          <w:sz w:val="24"/>
          <w:szCs w:val="24"/>
          <w:highlight w:val="none"/>
        </w:rPr>
        <w:t>进一步完善细节。</w:t>
      </w:r>
    </w:p>
    <w:p w14:paraId="3544B8F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2、保密要求：</w:t>
      </w:r>
      <w:r>
        <w:rPr>
          <w:rFonts w:hint="eastAsia" w:ascii="宋体" w:hAnsi="宋体" w:cs="宋体"/>
          <w:sz w:val="24"/>
          <w:szCs w:val="24"/>
          <w:highlight w:val="none"/>
          <w:lang w:eastAsia="zh-CN"/>
        </w:rPr>
        <w:t>乙方</w:t>
      </w:r>
      <w:r>
        <w:rPr>
          <w:rFonts w:hint="eastAsia" w:ascii="宋体" w:hAnsi="宋体" w:eastAsia="宋体" w:cs="宋体"/>
          <w:sz w:val="24"/>
          <w:szCs w:val="24"/>
          <w:highlight w:val="none"/>
        </w:rPr>
        <w:t>参与本项目研究的资料、成果等知识产权归</w:t>
      </w:r>
      <w:r>
        <w:rPr>
          <w:rFonts w:hint="eastAsia" w:ascii="宋体" w:hAnsi="宋体" w:cs="宋体"/>
          <w:sz w:val="24"/>
          <w:szCs w:val="24"/>
          <w:highlight w:val="none"/>
          <w:lang w:eastAsia="zh-CN"/>
        </w:rPr>
        <w:t>甲方</w:t>
      </w:r>
      <w:r>
        <w:rPr>
          <w:rFonts w:hint="eastAsia" w:ascii="宋体" w:hAnsi="宋体" w:eastAsia="宋体" w:cs="宋体"/>
          <w:sz w:val="24"/>
          <w:szCs w:val="24"/>
          <w:highlight w:val="none"/>
        </w:rPr>
        <w:t>，有关的信息未经</w:t>
      </w:r>
      <w:r>
        <w:rPr>
          <w:rFonts w:hint="eastAsia" w:ascii="宋体" w:hAnsi="宋体" w:cs="宋体"/>
          <w:sz w:val="24"/>
          <w:szCs w:val="24"/>
          <w:highlight w:val="none"/>
          <w:lang w:eastAsia="zh-CN"/>
        </w:rPr>
        <w:t>甲方</w:t>
      </w:r>
      <w:r>
        <w:rPr>
          <w:rFonts w:hint="eastAsia" w:ascii="宋体" w:hAnsi="宋体" w:eastAsia="宋体" w:cs="宋体"/>
          <w:sz w:val="24"/>
          <w:szCs w:val="24"/>
          <w:highlight w:val="none"/>
        </w:rPr>
        <w:t>同意不得向第三方泄露。</w:t>
      </w:r>
      <w:r>
        <w:rPr>
          <w:rFonts w:hint="eastAsia" w:ascii="宋体" w:hAnsi="宋体" w:cs="宋体"/>
          <w:sz w:val="24"/>
          <w:szCs w:val="24"/>
          <w:highlight w:val="none"/>
          <w:lang w:eastAsia="zh-CN"/>
        </w:rPr>
        <w:t>乙方</w:t>
      </w:r>
      <w:r>
        <w:rPr>
          <w:rFonts w:hint="eastAsia" w:ascii="宋体" w:hAnsi="宋体" w:eastAsia="宋体" w:cs="宋体"/>
          <w:sz w:val="24"/>
          <w:szCs w:val="24"/>
          <w:highlight w:val="none"/>
        </w:rPr>
        <w:t>有责任对涉及项目的重要信息进行保密；</w:t>
      </w:r>
      <w:r>
        <w:rPr>
          <w:rFonts w:hint="eastAsia" w:ascii="宋体" w:hAnsi="宋体" w:cs="宋体"/>
          <w:sz w:val="24"/>
          <w:szCs w:val="24"/>
          <w:highlight w:val="none"/>
          <w:lang w:eastAsia="zh-CN"/>
        </w:rPr>
        <w:t>乙方</w:t>
      </w:r>
      <w:r>
        <w:rPr>
          <w:rFonts w:hint="eastAsia" w:ascii="宋体" w:hAnsi="宋体" w:eastAsia="宋体" w:cs="宋体"/>
          <w:sz w:val="24"/>
          <w:szCs w:val="24"/>
          <w:highlight w:val="none"/>
        </w:rPr>
        <w:t>如因为项目的开展需要向第三方提供资料,必须提前得到</w:t>
      </w:r>
      <w:r>
        <w:rPr>
          <w:rFonts w:hint="eastAsia" w:ascii="宋体" w:hAnsi="宋体" w:cs="宋体"/>
          <w:sz w:val="24"/>
          <w:szCs w:val="24"/>
          <w:highlight w:val="none"/>
          <w:lang w:eastAsia="zh-CN"/>
        </w:rPr>
        <w:t>甲方</w:t>
      </w:r>
      <w:r>
        <w:rPr>
          <w:rFonts w:hint="eastAsia" w:ascii="宋体" w:hAnsi="宋体" w:eastAsia="宋体" w:cs="宋体"/>
          <w:sz w:val="24"/>
          <w:szCs w:val="24"/>
          <w:highlight w:val="none"/>
        </w:rPr>
        <w:t>批准。若</w:t>
      </w:r>
      <w:r>
        <w:rPr>
          <w:rFonts w:hint="eastAsia" w:ascii="宋体" w:hAnsi="宋体" w:cs="宋体"/>
          <w:sz w:val="24"/>
          <w:szCs w:val="24"/>
          <w:highlight w:val="none"/>
          <w:lang w:eastAsia="zh-CN"/>
        </w:rPr>
        <w:t>乙方</w:t>
      </w:r>
      <w:r>
        <w:rPr>
          <w:rFonts w:hint="eastAsia" w:ascii="宋体" w:hAnsi="宋体" w:eastAsia="宋体" w:cs="宋体"/>
          <w:sz w:val="24"/>
          <w:szCs w:val="24"/>
          <w:highlight w:val="none"/>
        </w:rPr>
        <w:t>违反保密要求的约定，应当承担违约责任。</w:t>
      </w:r>
    </w:p>
    <w:p w14:paraId="0A461695">
      <w:pPr>
        <w:pStyle w:val="15"/>
        <w:keepNext w:val="0"/>
        <w:keepLines w:val="0"/>
        <w:pageBreakBefore w:val="0"/>
        <w:widowControl w:val="0"/>
        <w:kinsoku/>
        <w:wordWrap/>
        <w:overflowPunct/>
        <w:topLinePunct w:val="0"/>
        <w:autoSpaceDE/>
        <w:autoSpaceDN/>
        <w:bidi w:val="0"/>
        <w:spacing w:line="360" w:lineRule="auto"/>
        <w:ind w:left="0" w:leftChars="0" w:firstLine="241" w:firstLineChars="100"/>
        <w:textAlignment w:val="auto"/>
        <w:rPr>
          <w:rFonts w:hint="eastAsia" w:hAnsi="宋体" w:cs="宋体"/>
          <w:b/>
          <w:sz w:val="24"/>
          <w:szCs w:val="24"/>
          <w:highlight w:val="none"/>
        </w:rPr>
      </w:pPr>
      <w:r>
        <w:rPr>
          <w:rFonts w:hint="eastAsia" w:ascii="宋体" w:hAnsi="宋体" w:cs="宋体"/>
          <w:b/>
          <w:bCs w:val="0"/>
          <w:sz w:val="24"/>
          <w:highlight w:val="none"/>
          <w:lang w:val="en-US" w:eastAsia="zh-CN"/>
        </w:rPr>
        <w:t>六</w:t>
      </w:r>
      <w:r>
        <w:rPr>
          <w:rFonts w:hint="eastAsia" w:ascii="宋体" w:hAnsi="宋体" w:eastAsia="宋体" w:cs="宋体"/>
          <w:b/>
          <w:bCs w:val="0"/>
          <w:sz w:val="24"/>
          <w:highlight w:val="none"/>
          <w:lang w:val="en-US" w:eastAsia="zh-CN"/>
        </w:rPr>
        <w:t>、</w:t>
      </w:r>
      <w:r>
        <w:rPr>
          <w:rFonts w:hint="eastAsia" w:hAnsi="宋体"/>
          <w:b/>
          <w:bCs/>
          <w:color w:val="auto"/>
          <w:kern w:val="0"/>
          <w:sz w:val="24"/>
          <w:szCs w:val="24"/>
          <w:highlight w:val="none"/>
          <w:lang w:val="en-US" w:eastAsia="zh-CN"/>
        </w:rPr>
        <w:t>履约</w:t>
      </w:r>
      <w:r>
        <w:rPr>
          <w:rFonts w:hint="eastAsia" w:hAnsi="宋体" w:cs="宋体"/>
          <w:b/>
          <w:sz w:val="24"/>
          <w:szCs w:val="24"/>
          <w:highlight w:val="none"/>
        </w:rPr>
        <w:t>验收</w:t>
      </w:r>
    </w:p>
    <w:p w14:paraId="5284CA22">
      <w:pPr>
        <w:pStyle w:val="62"/>
        <w:keepNext w:val="0"/>
        <w:keepLines w:val="0"/>
        <w:pageBreakBefore w:val="0"/>
        <w:widowControl w:val="0"/>
        <w:tabs>
          <w:tab w:val="left" w:pos="0"/>
        </w:tabs>
        <w:kinsoku/>
        <w:wordWrap/>
        <w:overflowPunct/>
        <w:topLinePunct w:val="0"/>
        <w:autoSpaceDE/>
        <w:autoSpaceDN/>
        <w:bidi w:val="0"/>
        <w:spacing w:before="0" w:after="0" w:line="360" w:lineRule="auto"/>
        <w:ind w:left="0" w:leftChars="0" w:firstLine="480"/>
        <w:textAlignment w:val="auto"/>
        <w:rPr>
          <w:rFonts w:hint="eastAsia" w:ascii="宋体" w:hAnsi="宋体" w:cs="宋体"/>
          <w:szCs w:val="24"/>
          <w:highlight w:val="none"/>
        </w:rPr>
      </w:pPr>
      <w:r>
        <w:rPr>
          <w:rFonts w:hint="eastAsia" w:ascii="宋体" w:hAnsi="宋体" w:cs="宋体"/>
          <w:szCs w:val="24"/>
          <w:highlight w:val="none"/>
        </w:rPr>
        <w:t>1</w:t>
      </w:r>
      <w:r>
        <w:rPr>
          <w:rFonts w:hint="eastAsia" w:ascii="宋体" w:hAnsi="宋体" w:cs="宋体"/>
          <w:szCs w:val="24"/>
          <w:highlight w:val="none"/>
          <w:lang w:eastAsia="zh-CN"/>
        </w:rPr>
        <w:t>甲方</w:t>
      </w:r>
      <w:r>
        <w:rPr>
          <w:rFonts w:hint="eastAsia" w:ascii="宋体" w:hAnsi="宋体" w:cs="宋体"/>
          <w:szCs w:val="24"/>
          <w:highlight w:val="none"/>
        </w:rPr>
        <w:t>组织对</w:t>
      </w:r>
      <w:r>
        <w:rPr>
          <w:rFonts w:hint="eastAsia" w:ascii="宋体" w:hAnsi="宋体" w:cs="宋体"/>
          <w:szCs w:val="24"/>
          <w:highlight w:val="none"/>
          <w:lang w:eastAsia="zh-CN"/>
        </w:rPr>
        <w:t>乙方</w:t>
      </w:r>
      <w:r>
        <w:rPr>
          <w:rFonts w:hint="eastAsia" w:ascii="宋体" w:hAnsi="宋体" w:cs="宋体"/>
          <w:szCs w:val="24"/>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cs="宋体"/>
          <w:szCs w:val="24"/>
          <w:highlight w:val="none"/>
          <w:lang w:eastAsia="zh-CN"/>
        </w:rPr>
        <w:t>乙方</w:t>
      </w:r>
      <w:r>
        <w:rPr>
          <w:rFonts w:hint="eastAsia" w:ascii="宋体" w:hAnsi="宋体" w:cs="宋体"/>
          <w:szCs w:val="24"/>
          <w:highlight w:val="none"/>
        </w:rPr>
        <w:t>须承担由此发生的一切损失和费用，并接受相应的处理。</w:t>
      </w:r>
    </w:p>
    <w:p w14:paraId="3AC4932C">
      <w:pPr>
        <w:pStyle w:val="62"/>
        <w:keepNext w:val="0"/>
        <w:keepLines w:val="0"/>
        <w:pageBreakBefore w:val="0"/>
        <w:widowControl w:val="0"/>
        <w:tabs>
          <w:tab w:val="left" w:pos="0"/>
        </w:tabs>
        <w:kinsoku/>
        <w:wordWrap/>
        <w:overflowPunct/>
        <w:topLinePunct w:val="0"/>
        <w:autoSpaceDE/>
        <w:autoSpaceDN/>
        <w:bidi w:val="0"/>
        <w:spacing w:before="0" w:after="0" w:line="360" w:lineRule="auto"/>
        <w:ind w:left="0" w:leftChars="0" w:firstLine="480"/>
        <w:textAlignment w:val="auto"/>
        <w:rPr>
          <w:rFonts w:hint="eastAsia" w:ascii="宋体" w:hAnsi="宋体" w:cs="宋体"/>
          <w:szCs w:val="24"/>
          <w:highlight w:val="none"/>
        </w:rPr>
      </w:pPr>
      <w:r>
        <w:rPr>
          <w:rFonts w:hint="eastAsia" w:ascii="宋体" w:hAnsi="宋体" w:cs="宋体"/>
          <w:szCs w:val="24"/>
          <w:highlight w:val="none"/>
        </w:rPr>
        <w:t>2</w:t>
      </w:r>
      <w:r>
        <w:rPr>
          <w:rFonts w:hint="eastAsia" w:ascii="宋体" w:hAnsi="宋体" w:cs="宋体"/>
          <w:szCs w:val="24"/>
          <w:highlight w:val="none"/>
          <w:lang w:eastAsia="zh-CN"/>
        </w:rPr>
        <w:t>甲方</w:t>
      </w:r>
      <w:r>
        <w:rPr>
          <w:rFonts w:hint="eastAsia" w:ascii="宋体" w:hAnsi="宋体" w:cs="宋体"/>
          <w:szCs w:val="24"/>
          <w:highlight w:val="none"/>
        </w:rPr>
        <w:t>应当及时对采购项目进行验收，</w:t>
      </w:r>
      <w:r>
        <w:rPr>
          <w:rFonts w:hint="eastAsia" w:ascii="宋体" w:hAnsi="宋体" w:cs="宋体"/>
          <w:szCs w:val="24"/>
          <w:highlight w:val="none"/>
          <w:lang w:eastAsia="zh-CN"/>
        </w:rPr>
        <w:t>甲方</w:t>
      </w:r>
      <w:r>
        <w:rPr>
          <w:rFonts w:hint="eastAsia" w:ascii="宋体" w:hAnsi="宋体" w:cs="宋体"/>
          <w:szCs w:val="24"/>
          <w:highlight w:val="none"/>
        </w:rPr>
        <w:t>可以邀请参加本项目的其他投标人或者第三方机构参与验收，参与验收的投标人或者第三方机构的意见作为验收书的参考资料一并存档。</w:t>
      </w:r>
    </w:p>
    <w:p w14:paraId="17DB943B">
      <w:pPr>
        <w:pStyle w:val="62"/>
        <w:keepNext w:val="0"/>
        <w:keepLines w:val="0"/>
        <w:pageBreakBefore w:val="0"/>
        <w:widowControl w:val="0"/>
        <w:tabs>
          <w:tab w:val="left" w:pos="0"/>
        </w:tabs>
        <w:kinsoku/>
        <w:wordWrap/>
        <w:overflowPunct/>
        <w:topLinePunct w:val="0"/>
        <w:autoSpaceDE/>
        <w:autoSpaceDN/>
        <w:bidi w:val="0"/>
        <w:spacing w:before="0" w:after="0" w:line="360" w:lineRule="auto"/>
        <w:ind w:left="0" w:leftChars="0" w:firstLine="480"/>
        <w:textAlignment w:val="auto"/>
        <w:rPr>
          <w:rFonts w:hint="eastAsia" w:ascii="宋体" w:hAnsi="宋体" w:eastAsia="宋体" w:cs="宋体"/>
          <w:sz w:val="24"/>
          <w:szCs w:val="24"/>
          <w:highlight w:val="none"/>
        </w:rPr>
      </w:pPr>
      <w:r>
        <w:rPr>
          <w:rFonts w:hint="eastAsia" w:ascii="宋体" w:hAnsi="宋体" w:cs="宋体"/>
          <w:szCs w:val="24"/>
          <w:highlight w:val="none"/>
        </w:rPr>
        <w:t>3</w:t>
      </w:r>
      <w:r>
        <w:rPr>
          <w:rFonts w:hint="eastAsia" w:ascii="宋体" w:hAnsi="宋体" w:cs="宋体"/>
          <w:szCs w:val="24"/>
          <w:highlight w:val="none"/>
          <w:lang w:eastAsia="zh-CN"/>
        </w:rPr>
        <w:t>甲方</w:t>
      </w:r>
      <w:r>
        <w:rPr>
          <w:rFonts w:hint="eastAsia" w:ascii="宋体" w:hAnsi="宋体" w:cs="宋体"/>
          <w:szCs w:val="24"/>
          <w:highlight w:val="none"/>
        </w:rPr>
        <w:t>负责加强对</w:t>
      </w:r>
      <w:r>
        <w:rPr>
          <w:rFonts w:hint="eastAsia" w:ascii="宋体" w:hAnsi="宋体" w:cs="宋体"/>
          <w:szCs w:val="24"/>
          <w:highlight w:val="none"/>
          <w:lang w:eastAsia="zh-CN"/>
        </w:rPr>
        <w:t>乙方</w:t>
      </w:r>
      <w:r>
        <w:rPr>
          <w:rFonts w:hint="eastAsia" w:ascii="宋体" w:hAnsi="宋体" w:cs="宋体"/>
          <w:szCs w:val="24"/>
          <w:highlight w:val="none"/>
        </w:rPr>
        <w:t>的履约管理，并按照采购合同约定，及时向</w:t>
      </w:r>
      <w:r>
        <w:rPr>
          <w:rFonts w:hint="eastAsia" w:ascii="宋体" w:hAnsi="宋体" w:cs="宋体"/>
          <w:szCs w:val="24"/>
          <w:highlight w:val="none"/>
          <w:lang w:eastAsia="zh-CN"/>
        </w:rPr>
        <w:t>乙方</w:t>
      </w:r>
      <w:r>
        <w:rPr>
          <w:rFonts w:hint="eastAsia" w:ascii="宋体" w:hAnsi="宋体" w:cs="宋体"/>
          <w:szCs w:val="24"/>
          <w:highlight w:val="none"/>
        </w:rPr>
        <w:t>支付采购资金。对于</w:t>
      </w:r>
      <w:r>
        <w:rPr>
          <w:rFonts w:hint="eastAsia" w:ascii="宋体" w:hAnsi="宋体" w:cs="宋体"/>
          <w:szCs w:val="24"/>
          <w:highlight w:val="none"/>
          <w:lang w:eastAsia="zh-CN"/>
        </w:rPr>
        <w:t>乙方</w:t>
      </w:r>
      <w:r>
        <w:rPr>
          <w:rFonts w:hint="eastAsia" w:ascii="宋体" w:hAnsi="宋体" w:cs="宋体"/>
          <w:szCs w:val="24"/>
          <w:highlight w:val="none"/>
        </w:rPr>
        <w:t>违反采购合同约定的行为，</w:t>
      </w:r>
      <w:r>
        <w:rPr>
          <w:rFonts w:hint="eastAsia" w:ascii="宋体" w:hAnsi="宋体" w:cs="宋体"/>
          <w:szCs w:val="24"/>
          <w:highlight w:val="none"/>
          <w:lang w:eastAsia="zh-CN"/>
        </w:rPr>
        <w:t>甲方</w:t>
      </w:r>
      <w:r>
        <w:rPr>
          <w:rFonts w:hint="eastAsia" w:ascii="宋体" w:hAnsi="宋体" w:cs="宋体"/>
          <w:szCs w:val="24"/>
          <w:highlight w:val="none"/>
        </w:rPr>
        <w:t>应当及时处理，依法追究其违约责任。</w:t>
      </w:r>
    </w:p>
    <w:p w14:paraId="739BFCB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val="0"/>
          <w:sz w:val="24"/>
          <w:highlight w:val="none"/>
          <w:lang w:val="en-US" w:eastAsia="zh-CN"/>
        </w:rPr>
      </w:pPr>
      <w:r>
        <w:rPr>
          <w:rFonts w:hint="eastAsia" w:ascii="宋体" w:hAnsi="宋体" w:cs="宋体"/>
          <w:b/>
          <w:bCs w:val="0"/>
          <w:sz w:val="24"/>
          <w:highlight w:val="none"/>
          <w:lang w:val="en-US" w:eastAsia="zh-CN"/>
        </w:rPr>
        <w:t>七</w:t>
      </w:r>
      <w:r>
        <w:rPr>
          <w:rFonts w:hint="eastAsia" w:ascii="宋体" w:hAnsi="宋体" w:eastAsia="宋体" w:cs="宋体"/>
          <w:b/>
          <w:bCs w:val="0"/>
          <w:sz w:val="24"/>
          <w:highlight w:val="none"/>
          <w:lang w:val="en-US" w:eastAsia="zh-CN"/>
        </w:rPr>
        <w:t>.中标价</w:t>
      </w:r>
    </w:p>
    <w:p w14:paraId="5AA3890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1</w:t>
      </w:r>
      <w:r>
        <w:rPr>
          <w:rFonts w:hint="eastAsia" w:ascii="宋体" w:hAnsi="宋体" w:cs="宋体"/>
          <w:b w:val="0"/>
          <w:bCs/>
          <w:sz w:val="24"/>
          <w:highlight w:val="none"/>
          <w:lang w:val="en-US" w:eastAsia="zh-CN"/>
        </w:rPr>
        <w:t xml:space="preserve"> </w:t>
      </w:r>
      <w:r>
        <w:rPr>
          <w:rFonts w:hint="eastAsia" w:ascii="宋体" w:hAnsi="宋体" w:eastAsia="宋体" w:cs="宋体"/>
          <w:b w:val="0"/>
          <w:bCs/>
          <w:sz w:val="24"/>
          <w:highlight w:val="none"/>
          <w:lang w:val="en-US" w:eastAsia="zh-CN"/>
        </w:rPr>
        <w:t>中标价为人民币</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lang w:val="en-US" w:eastAsia="zh-CN"/>
        </w:rPr>
        <w:t>元（大写:          元），包括但不限于日常运营服务费、人工费、宣传费、管理费、税金、风险、代理服务费等完成本项目的全部费用。凡乙方在报价中未列明但又为本次采购所必备的项目或遗漏项目，甲方将一律视为已包括在合同价中，在合同执行中将不予考虑。</w:t>
      </w:r>
    </w:p>
    <w:p w14:paraId="519AB738">
      <w:pPr>
        <w:keepNext w:val="0"/>
        <w:keepLines w:val="0"/>
        <w:pageBreakBefore w:val="0"/>
        <w:widowControl w:val="0"/>
        <w:tabs>
          <w:tab w:val="left" w:pos="461"/>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2</w:t>
      </w:r>
      <w:r>
        <w:rPr>
          <w:rFonts w:hint="eastAsia" w:ascii="宋体" w:hAnsi="宋体" w:cs="宋体"/>
          <w:b w:val="0"/>
          <w:bCs/>
          <w:sz w:val="24"/>
          <w:highlight w:val="none"/>
          <w:lang w:val="en-US" w:eastAsia="zh-CN"/>
        </w:rPr>
        <w:t xml:space="preserve"> </w:t>
      </w:r>
      <w:r>
        <w:rPr>
          <w:rFonts w:hint="eastAsia" w:ascii="宋体" w:hAnsi="宋体" w:eastAsia="宋体" w:cs="宋体"/>
          <w:b w:val="0"/>
          <w:bCs/>
          <w:sz w:val="24"/>
          <w:highlight w:val="none"/>
          <w:lang w:val="en-US" w:eastAsia="zh-CN"/>
        </w:rPr>
        <w:t>付款方式</w:t>
      </w:r>
      <w:r>
        <w:rPr>
          <w:rFonts w:hint="eastAsia" w:ascii="宋体" w:hAnsi="宋体" w:cs="宋体"/>
          <w:b w:val="0"/>
          <w:bCs/>
          <w:sz w:val="24"/>
          <w:highlight w:val="none"/>
          <w:lang w:val="en-US" w:eastAsia="zh-CN"/>
        </w:rPr>
        <w:t>：</w:t>
      </w:r>
    </w:p>
    <w:p w14:paraId="046DEA08">
      <w:pPr>
        <w:pStyle w:val="35"/>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highlight w:val="none"/>
        </w:rPr>
      </w:pPr>
      <w:r>
        <w:rPr>
          <w:rFonts w:hint="eastAsia"/>
          <w:highlight w:val="none"/>
        </w:rPr>
        <w:t>完成《“十五五”时期绍兴市上虞区低空产业发展研究》</w:t>
      </w:r>
      <w:r>
        <w:rPr>
          <w:rFonts w:hint="eastAsia"/>
          <w:highlight w:val="none"/>
          <w:lang w:eastAsia="zh-CN"/>
        </w:rPr>
        <w:t>、</w:t>
      </w:r>
      <w:r>
        <w:rPr>
          <w:rFonts w:hint="eastAsia"/>
          <w:highlight w:val="none"/>
        </w:rPr>
        <w:t>《“十五五”时期绍兴市上虞区扩大有效投资重点领域和增强投资内生动力研究》和《绍兴市上虞区国民经济和社会发展“十五五”规划基本思路》初稿后7个工作日内支付合同总价的</w:t>
      </w:r>
      <w:r>
        <w:rPr>
          <w:rFonts w:hint="eastAsia"/>
          <w:highlight w:val="none"/>
          <w:lang w:val="en-US" w:eastAsia="zh-CN"/>
        </w:rPr>
        <w:t>60</w:t>
      </w:r>
      <w:r>
        <w:rPr>
          <w:rFonts w:hint="eastAsia"/>
          <w:highlight w:val="none"/>
        </w:rPr>
        <w:t>%；完成《绍兴市上虞区国民经济和社会发展第十五个五年规划纲要》初稿后7个工作日内支付合同总价的</w:t>
      </w:r>
      <w:r>
        <w:rPr>
          <w:rFonts w:hint="eastAsia"/>
          <w:highlight w:val="none"/>
          <w:lang w:val="en-US" w:eastAsia="zh-CN"/>
        </w:rPr>
        <w:t>20</w:t>
      </w:r>
      <w:r>
        <w:rPr>
          <w:rFonts w:hint="eastAsia"/>
          <w:highlight w:val="none"/>
        </w:rPr>
        <w:t>%；</w:t>
      </w:r>
      <w:r>
        <w:rPr>
          <w:rFonts w:hint="eastAsia" w:ascii="宋体" w:hAnsi="宋体" w:eastAsia="宋体" w:cs="宋体"/>
          <w:color w:val="auto"/>
          <w:sz w:val="24"/>
          <w:szCs w:val="24"/>
          <w:highlight w:val="none"/>
          <w:lang w:val="en-US" w:eastAsia="zh-CN"/>
        </w:rPr>
        <w:t>项目</w:t>
      </w:r>
      <w:r>
        <w:rPr>
          <w:rFonts w:hint="eastAsia" w:ascii="宋体" w:hAnsi="宋体" w:cs="宋体"/>
          <w:color w:val="auto"/>
          <w:sz w:val="24"/>
          <w:szCs w:val="24"/>
          <w:highlight w:val="none"/>
          <w:lang w:val="en-US" w:eastAsia="zh-CN"/>
        </w:rPr>
        <w:t>最终</w:t>
      </w:r>
      <w:r>
        <w:rPr>
          <w:rFonts w:hint="eastAsia" w:ascii="宋体" w:hAnsi="宋体" w:eastAsia="宋体" w:cs="宋体"/>
          <w:color w:val="auto"/>
          <w:sz w:val="24"/>
          <w:szCs w:val="24"/>
          <w:highlight w:val="none"/>
          <w:lang w:val="en-US" w:eastAsia="zh-CN"/>
        </w:rPr>
        <w:t>成果</w:t>
      </w:r>
      <w:r>
        <w:rPr>
          <w:rFonts w:hint="eastAsia" w:ascii="宋体" w:hAnsi="宋体" w:cs="宋体"/>
          <w:color w:val="auto"/>
          <w:sz w:val="24"/>
          <w:szCs w:val="24"/>
          <w:highlight w:val="none"/>
          <w:lang w:val="en-US" w:eastAsia="zh-CN"/>
        </w:rPr>
        <w:t>稿</w:t>
      </w:r>
      <w:r>
        <w:rPr>
          <w:rFonts w:hint="eastAsia" w:ascii="宋体" w:hAnsi="宋体" w:eastAsia="宋体" w:cs="宋体"/>
          <w:color w:val="auto"/>
          <w:sz w:val="24"/>
          <w:szCs w:val="24"/>
          <w:highlight w:val="none"/>
          <w:lang w:val="en-US" w:eastAsia="zh-CN"/>
        </w:rPr>
        <w:t>经验收通过后7个工作日内支付剩余合同价款</w:t>
      </w:r>
      <w:r>
        <w:rPr>
          <w:rFonts w:hint="eastAsia" w:hAnsi="宋体" w:cs="宋体"/>
          <w:color w:val="auto"/>
          <w:sz w:val="24"/>
          <w:szCs w:val="24"/>
          <w:highlight w:val="none"/>
          <w:lang w:val="en-US" w:eastAsia="zh-CN"/>
        </w:rPr>
        <w:t>。</w:t>
      </w:r>
    </w:p>
    <w:p w14:paraId="6899D0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000000"/>
          <w:sz w:val="24"/>
          <w:szCs w:val="24"/>
          <w:highlight w:val="none"/>
          <w:lang w:val="en-US" w:eastAsia="zh-CN"/>
        </w:rPr>
      </w:pPr>
      <w:r>
        <w:rPr>
          <w:rFonts w:hint="eastAsia"/>
          <w:sz w:val="24"/>
          <w:szCs w:val="24"/>
          <w:highlight w:val="none"/>
          <w:lang w:val="en-US" w:eastAsia="zh-CN"/>
        </w:rPr>
        <w:t>3</w:t>
      </w:r>
      <w:r>
        <w:rPr>
          <w:rFonts w:hint="eastAsia" w:ascii="宋体" w:hAnsi="宋体" w:eastAsia="宋体" w:cs="宋体"/>
          <w:b/>
          <w:bCs/>
          <w:color w:val="000000"/>
          <w:sz w:val="24"/>
          <w:szCs w:val="24"/>
          <w:highlight w:val="none"/>
          <w:lang w:val="en-US" w:eastAsia="zh-CN"/>
        </w:rPr>
        <w:t>付款要求：</w:t>
      </w:r>
    </w:p>
    <w:p w14:paraId="19E864B7">
      <w:pPr>
        <w:pStyle w:val="5"/>
        <w:rPr>
          <w:rFonts w:hint="default"/>
          <w:sz w:val="24"/>
          <w:szCs w:val="24"/>
          <w:highlight w:val="none"/>
          <w:lang w:val="en-US" w:eastAsia="zh-CN"/>
        </w:rPr>
      </w:pPr>
      <w:r>
        <w:rPr>
          <w:rFonts w:hint="eastAsia" w:hAnsi="宋体" w:cs="宋体"/>
          <w:color w:val="000000"/>
          <w:sz w:val="24"/>
          <w:szCs w:val="24"/>
          <w:highlight w:val="none"/>
          <w:lang w:val="en-US" w:eastAsia="zh-CN"/>
        </w:rPr>
        <w:t>乙方</w:t>
      </w:r>
      <w:r>
        <w:rPr>
          <w:rFonts w:hint="eastAsia" w:ascii="宋体" w:hAnsi="宋体" w:eastAsia="宋体" w:cs="宋体"/>
          <w:color w:val="000000"/>
          <w:sz w:val="24"/>
          <w:szCs w:val="24"/>
          <w:highlight w:val="none"/>
          <w:lang w:val="en-US" w:eastAsia="zh-CN"/>
        </w:rPr>
        <w:t>在收款之前，应向</w:t>
      </w:r>
      <w:r>
        <w:rPr>
          <w:rFonts w:hint="eastAsia" w:hAnsi="宋体" w:cs="宋体"/>
          <w:color w:val="000000"/>
          <w:sz w:val="24"/>
          <w:szCs w:val="24"/>
          <w:highlight w:val="none"/>
          <w:lang w:val="en-US" w:eastAsia="zh-CN"/>
        </w:rPr>
        <w:t>甲方</w:t>
      </w:r>
      <w:r>
        <w:rPr>
          <w:rFonts w:hint="eastAsia" w:ascii="宋体" w:hAnsi="宋体" w:eastAsia="宋体" w:cs="宋体"/>
          <w:color w:val="000000"/>
          <w:sz w:val="24"/>
          <w:szCs w:val="24"/>
          <w:highlight w:val="none"/>
          <w:lang w:val="en-US" w:eastAsia="zh-CN"/>
        </w:rPr>
        <w:t>提供等额、合法、有效的发票，</w:t>
      </w:r>
      <w:r>
        <w:rPr>
          <w:rFonts w:hint="eastAsia" w:hAnsi="宋体" w:cs="宋体"/>
          <w:color w:val="000000"/>
          <w:sz w:val="24"/>
          <w:szCs w:val="24"/>
          <w:highlight w:val="none"/>
          <w:lang w:val="en-US" w:eastAsia="zh-CN"/>
        </w:rPr>
        <w:t>甲方</w:t>
      </w:r>
      <w:r>
        <w:rPr>
          <w:rFonts w:hint="eastAsia" w:ascii="宋体" w:hAnsi="宋体" w:eastAsia="宋体" w:cs="宋体"/>
          <w:color w:val="000000"/>
          <w:sz w:val="24"/>
          <w:szCs w:val="24"/>
          <w:highlight w:val="none"/>
          <w:lang w:val="en-US" w:eastAsia="zh-CN"/>
        </w:rPr>
        <w:t>凭发票付款。如</w:t>
      </w:r>
      <w:r>
        <w:rPr>
          <w:rFonts w:hint="eastAsia" w:hAnsi="宋体" w:cs="宋体"/>
          <w:color w:val="000000"/>
          <w:sz w:val="24"/>
          <w:szCs w:val="24"/>
          <w:highlight w:val="none"/>
          <w:lang w:val="en-US" w:eastAsia="zh-CN"/>
        </w:rPr>
        <w:t>乙方</w:t>
      </w:r>
      <w:r>
        <w:rPr>
          <w:rFonts w:hint="eastAsia" w:ascii="宋体" w:hAnsi="宋体" w:eastAsia="宋体" w:cs="宋体"/>
          <w:color w:val="000000"/>
          <w:sz w:val="24"/>
          <w:szCs w:val="24"/>
          <w:highlight w:val="none"/>
          <w:lang w:val="en-US" w:eastAsia="zh-CN"/>
        </w:rPr>
        <w:t>未按约定提供发票的，</w:t>
      </w:r>
      <w:r>
        <w:rPr>
          <w:rFonts w:hint="eastAsia" w:hAnsi="宋体" w:cs="宋体"/>
          <w:color w:val="000000"/>
          <w:sz w:val="24"/>
          <w:szCs w:val="24"/>
          <w:highlight w:val="none"/>
          <w:lang w:val="en-US" w:eastAsia="zh-CN"/>
        </w:rPr>
        <w:t>甲方</w:t>
      </w:r>
      <w:r>
        <w:rPr>
          <w:rFonts w:hint="eastAsia" w:ascii="宋体" w:hAnsi="宋体" w:eastAsia="宋体" w:cs="宋体"/>
          <w:color w:val="000000"/>
          <w:sz w:val="24"/>
          <w:szCs w:val="24"/>
          <w:highlight w:val="none"/>
          <w:lang w:val="en-US" w:eastAsia="zh-CN"/>
        </w:rPr>
        <w:t>有权拒绝付款，直至收到</w:t>
      </w:r>
      <w:r>
        <w:rPr>
          <w:rFonts w:hint="eastAsia" w:hAnsi="宋体" w:cs="宋体"/>
          <w:color w:val="000000"/>
          <w:sz w:val="24"/>
          <w:szCs w:val="24"/>
          <w:highlight w:val="none"/>
          <w:lang w:val="en-US" w:eastAsia="zh-CN"/>
        </w:rPr>
        <w:t>乙方</w:t>
      </w:r>
      <w:r>
        <w:rPr>
          <w:rFonts w:hint="eastAsia" w:ascii="宋体" w:hAnsi="宋体" w:eastAsia="宋体" w:cs="宋体"/>
          <w:color w:val="000000"/>
          <w:sz w:val="24"/>
          <w:szCs w:val="24"/>
          <w:highlight w:val="none"/>
          <w:lang w:val="en-US" w:eastAsia="zh-CN"/>
        </w:rPr>
        <w:t>提交的相应发票为止，在此情况下，</w:t>
      </w:r>
      <w:r>
        <w:rPr>
          <w:rFonts w:hint="eastAsia" w:hAnsi="宋体" w:cs="宋体"/>
          <w:color w:val="000000"/>
          <w:sz w:val="24"/>
          <w:szCs w:val="24"/>
          <w:highlight w:val="none"/>
          <w:lang w:val="en-US" w:eastAsia="zh-CN"/>
        </w:rPr>
        <w:t>甲方</w:t>
      </w:r>
      <w:r>
        <w:rPr>
          <w:rFonts w:hint="eastAsia" w:ascii="宋体" w:hAnsi="宋体" w:eastAsia="宋体" w:cs="宋体"/>
          <w:color w:val="000000"/>
          <w:sz w:val="24"/>
          <w:szCs w:val="24"/>
          <w:highlight w:val="none"/>
          <w:lang w:val="en-US" w:eastAsia="zh-CN"/>
        </w:rPr>
        <w:t>不承担逾期付款违约责任</w:t>
      </w:r>
      <w:r>
        <w:rPr>
          <w:rFonts w:hint="eastAsia" w:hAnsi="宋体" w:cs="宋体"/>
          <w:color w:val="000000"/>
          <w:sz w:val="24"/>
          <w:szCs w:val="24"/>
          <w:highlight w:val="none"/>
          <w:lang w:val="en-US" w:eastAsia="zh-CN"/>
        </w:rPr>
        <w:t>。</w:t>
      </w:r>
    </w:p>
    <w:p w14:paraId="5F52599A">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sz w:val="24"/>
          <w:highlight w:val="none"/>
        </w:rPr>
      </w:pPr>
      <w:r>
        <w:rPr>
          <w:rFonts w:hint="eastAsia" w:ascii="宋体" w:hAnsi="宋体" w:cs="宋体"/>
          <w:b/>
          <w:sz w:val="24"/>
          <w:highlight w:val="none"/>
          <w:lang w:eastAsia="zh-CN"/>
        </w:rPr>
        <w:t>八</w:t>
      </w:r>
      <w:r>
        <w:rPr>
          <w:rFonts w:hint="eastAsia" w:ascii="宋体" w:hAnsi="宋体" w:eastAsia="宋体" w:cs="宋体"/>
          <w:b/>
          <w:sz w:val="24"/>
          <w:highlight w:val="none"/>
        </w:rPr>
        <w:t>、转包或分包</w:t>
      </w:r>
    </w:p>
    <w:p w14:paraId="1212E568">
      <w:pPr>
        <w:keepNext w:val="0"/>
        <w:keepLines w:val="0"/>
        <w:pageBreakBefore w:val="0"/>
        <w:widowControl w:val="0"/>
        <w:tabs>
          <w:tab w:val="left" w:pos="840"/>
          <w:tab w:val="left" w:pos="1020"/>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rPr>
        <w:t>不允许转包。</w:t>
      </w:r>
    </w:p>
    <w:p w14:paraId="19199BBF">
      <w:pPr>
        <w:keepNext w:val="0"/>
        <w:keepLines w:val="0"/>
        <w:pageBreakBefore w:val="0"/>
        <w:widowControl w:val="0"/>
        <w:tabs>
          <w:tab w:val="left" w:pos="840"/>
          <w:tab w:val="left" w:pos="1020"/>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2、不</w:t>
      </w:r>
      <w:r>
        <w:rPr>
          <w:rFonts w:hint="eastAsia" w:ascii="宋体" w:hAnsi="宋体" w:eastAsia="宋体" w:cs="宋体"/>
          <w:bCs/>
          <w:color w:val="auto"/>
          <w:sz w:val="24"/>
          <w:highlight w:val="none"/>
        </w:rPr>
        <w:t>允许分包。</w:t>
      </w:r>
    </w:p>
    <w:p w14:paraId="582BD718">
      <w:pPr>
        <w:keepNext w:val="0"/>
        <w:keepLines w:val="0"/>
        <w:pageBreakBefore w:val="0"/>
        <w:widowControl w:val="0"/>
        <w:tabs>
          <w:tab w:val="left" w:pos="840"/>
          <w:tab w:val="left" w:pos="1020"/>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3、</w:t>
      </w:r>
      <w:r>
        <w:rPr>
          <w:rFonts w:hint="eastAsia" w:ascii="宋体" w:hAnsi="宋体" w:eastAsia="宋体" w:cs="宋体"/>
          <w:bCs/>
          <w:sz w:val="24"/>
          <w:highlight w:val="none"/>
        </w:rPr>
        <w:t>如乙方将项目转包或将不允许分包部分进行了分包，甲方有权解除合同，并追究乙方的违约责任。</w:t>
      </w:r>
    </w:p>
    <w:p w14:paraId="3C3D698C">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sz w:val="24"/>
          <w:highlight w:val="none"/>
        </w:rPr>
      </w:pPr>
      <w:r>
        <w:rPr>
          <w:rFonts w:hint="eastAsia" w:ascii="宋体" w:hAnsi="宋体" w:cs="宋体"/>
          <w:b/>
          <w:sz w:val="24"/>
          <w:highlight w:val="none"/>
          <w:lang w:eastAsia="zh-CN"/>
        </w:rPr>
        <w:t>九</w:t>
      </w:r>
      <w:r>
        <w:rPr>
          <w:rFonts w:hint="eastAsia" w:ascii="宋体" w:hAnsi="宋体" w:eastAsia="宋体" w:cs="宋体"/>
          <w:b/>
          <w:sz w:val="24"/>
          <w:highlight w:val="none"/>
        </w:rPr>
        <w:t>、违约责任</w:t>
      </w:r>
    </w:p>
    <w:p w14:paraId="20B5424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除合同规定的不可抗力外，如果乙方没有按照合同规定的时间提供服务，甲方可要求乙方支付违约金。违约金按合同款的</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%计收。但违约金的最高限额为合同价的</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%。一周按 7 天计算，不足 7 天按一周计算。如果达到最高限额，甲方有权解除合同。</w:t>
      </w:r>
    </w:p>
    <w:p w14:paraId="019FCDB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项目结束时验收不合格，乙方应在收到甲方通知后 7 日内退还甲方已支付的合同款，逾期退还合同款的，每日按未退还金额的</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%支付违约金。</w:t>
      </w:r>
    </w:p>
    <w:p w14:paraId="6531805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highlight w:val="none"/>
        </w:rPr>
        <w:t>其他违约条款双方协商确定：</w:t>
      </w:r>
      <w:r>
        <w:rPr>
          <w:rFonts w:hint="eastAsia" w:ascii="宋体" w:hAnsi="宋体" w:eastAsia="宋体" w:cs="宋体"/>
          <w:bCs/>
          <w:sz w:val="24"/>
          <w:szCs w:val="24"/>
          <w:highlight w:val="none"/>
        </w:rPr>
        <w:t xml:space="preserve">  </w:t>
      </w:r>
    </w:p>
    <w:p w14:paraId="1E2553C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十</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违约解除合同</w:t>
      </w:r>
    </w:p>
    <w:p w14:paraId="47FB8FD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1.在乙方违约的情况下，甲方可向乙方发出书面通知，部分或全部终止合同,同时保留向乙方追诉的权利：</w:t>
      </w:r>
    </w:p>
    <w:p w14:paraId="06D7990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乙方未能在合同规定的限期或甲方同意延长的限期内，提供全部或部分标的物的；</w:t>
      </w:r>
    </w:p>
    <w:p w14:paraId="5415759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乙方未能履行合同规定</w:t>
      </w:r>
      <w:r>
        <w:rPr>
          <w:rFonts w:hint="eastAsia" w:ascii="宋体" w:hAnsi="宋体" w:cs="宋体"/>
          <w:sz w:val="24"/>
          <w:szCs w:val="24"/>
          <w:highlight w:val="none"/>
          <w:lang w:eastAsia="zh-CN"/>
        </w:rPr>
        <w:t>的其他</w:t>
      </w:r>
      <w:r>
        <w:rPr>
          <w:rFonts w:hint="eastAsia" w:ascii="宋体" w:hAnsi="宋体" w:eastAsia="宋体" w:cs="宋体"/>
          <w:sz w:val="24"/>
          <w:szCs w:val="24"/>
          <w:highlight w:val="none"/>
        </w:rPr>
        <w:t>主要义务的；</w:t>
      </w:r>
    </w:p>
    <w:p w14:paraId="422C8CB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甲方认为乙方在本合同履行过程中有腐败和欺诈等行为的。</w:t>
      </w:r>
    </w:p>
    <w:p w14:paraId="313AA17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2.甲方解除合同的，合同于甲方发出书面解除合同通知书送达乙方之日起解除。乙方应在合同解除后</w:t>
      </w:r>
      <w:r>
        <w:rPr>
          <w:rFonts w:hint="eastAsia" w:ascii="宋体" w:hAnsi="宋体" w:eastAsia="宋体" w:cs="宋体"/>
          <w:sz w:val="24"/>
          <w:szCs w:val="24"/>
          <w:highlight w:val="none"/>
          <w:u w:val="single"/>
        </w:rPr>
        <w:t xml:space="preserve"> 7 </w:t>
      </w:r>
      <w:r>
        <w:rPr>
          <w:rFonts w:hint="eastAsia" w:ascii="宋体" w:hAnsi="宋体" w:eastAsia="宋体" w:cs="宋体"/>
          <w:sz w:val="24"/>
          <w:szCs w:val="24"/>
          <w:highlight w:val="none"/>
        </w:rPr>
        <w:t>日内退还甲方已支付的合同款，逾期退还合同款的，每日按未退还金额的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%支付违约金。</w:t>
      </w:r>
    </w:p>
    <w:p w14:paraId="520CA94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十一</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破产终止合同</w:t>
      </w:r>
    </w:p>
    <w:p w14:paraId="760D5C1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0AAC3529">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sz w:val="24"/>
          <w:highlight w:val="none"/>
        </w:rPr>
      </w:pPr>
      <w:r>
        <w:rPr>
          <w:rFonts w:hint="eastAsia" w:ascii="宋体" w:hAnsi="宋体" w:cs="宋体"/>
          <w:b/>
          <w:sz w:val="24"/>
          <w:highlight w:val="none"/>
          <w:lang w:val="en-US" w:eastAsia="zh-CN"/>
        </w:rPr>
        <w:t>十二</w:t>
      </w:r>
      <w:r>
        <w:rPr>
          <w:rFonts w:hint="eastAsia" w:ascii="宋体" w:hAnsi="宋体" w:eastAsia="宋体" w:cs="宋体"/>
          <w:b/>
          <w:sz w:val="24"/>
          <w:highlight w:val="none"/>
        </w:rPr>
        <w:t>、</w:t>
      </w:r>
      <w:r>
        <w:rPr>
          <w:rFonts w:hint="eastAsia" w:ascii="宋体" w:hAnsi="宋体" w:eastAsia="宋体" w:cs="宋体"/>
          <w:b/>
          <w:bCs/>
          <w:sz w:val="24"/>
          <w:szCs w:val="24"/>
          <w:highlight w:val="none"/>
          <w:lang w:val="en-US" w:eastAsia="zh-CN"/>
        </w:rPr>
        <w:t>不可抗力</w:t>
      </w:r>
      <w:r>
        <w:rPr>
          <w:rFonts w:hint="eastAsia" w:ascii="宋体" w:hAnsi="宋体" w:eastAsia="宋体" w:cs="宋体"/>
          <w:b/>
          <w:sz w:val="24"/>
          <w:highlight w:val="none"/>
        </w:rPr>
        <w:t>事件处理</w:t>
      </w:r>
    </w:p>
    <w:p w14:paraId="6F2F5E5D">
      <w:pPr>
        <w:keepNext w:val="0"/>
        <w:keepLines w:val="0"/>
        <w:pageBreakBefore w:val="0"/>
        <w:widowControl w:val="0"/>
        <w:tabs>
          <w:tab w:val="left" w:pos="840"/>
          <w:tab w:val="left" w:pos="1020"/>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sz w:val="24"/>
          <w:highlight w:val="none"/>
        </w:rPr>
      </w:pPr>
      <w:r>
        <w:rPr>
          <w:rFonts w:hint="eastAsia" w:ascii="宋体" w:hAnsi="宋体" w:eastAsia="宋体" w:cs="宋体"/>
          <w:bCs/>
          <w:sz w:val="24"/>
          <w:highlight w:val="none"/>
        </w:rPr>
        <w:t>1.在合同有效期内，任何一方因不可抗力事件导致不能履行合同，则合同履行期可延长，其延长期与不可抗力影响期相同。</w:t>
      </w:r>
    </w:p>
    <w:p w14:paraId="54DF38BE">
      <w:pPr>
        <w:keepNext w:val="0"/>
        <w:keepLines w:val="0"/>
        <w:pageBreakBefore w:val="0"/>
        <w:widowControl w:val="0"/>
        <w:tabs>
          <w:tab w:val="left" w:pos="840"/>
          <w:tab w:val="left" w:pos="1020"/>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sz w:val="24"/>
          <w:highlight w:val="none"/>
        </w:rPr>
      </w:pPr>
      <w:r>
        <w:rPr>
          <w:rFonts w:hint="eastAsia" w:ascii="宋体" w:hAnsi="宋体" w:eastAsia="宋体" w:cs="宋体"/>
          <w:bCs/>
          <w:sz w:val="24"/>
          <w:highlight w:val="none"/>
        </w:rPr>
        <w:t>2.不可抗力事件发生后，应立即通知对方，并寄送有关权威机构出具的证明。</w:t>
      </w:r>
    </w:p>
    <w:p w14:paraId="74F38DEE">
      <w:pPr>
        <w:keepNext w:val="0"/>
        <w:keepLines w:val="0"/>
        <w:pageBreakBefore w:val="0"/>
        <w:widowControl w:val="0"/>
        <w:tabs>
          <w:tab w:val="left" w:pos="840"/>
          <w:tab w:val="left" w:pos="1020"/>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sz w:val="24"/>
          <w:highlight w:val="none"/>
        </w:rPr>
      </w:pPr>
      <w:r>
        <w:rPr>
          <w:rFonts w:hint="eastAsia" w:ascii="宋体" w:hAnsi="宋体" w:eastAsia="宋体" w:cs="宋体"/>
          <w:bCs/>
          <w:sz w:val="24"/>
          <w:highlight w:val="none"/>
        </w:rPr>
        <w:t>3.不可抗力事件延续120天以上，双方应通过友好协商，确定是否继续履行合同。</w:t>
      </w:r>
    </w:p>
    <w:p w14:paraId="78EAC0D4">
      <w:pPr>
        <w:keepNext w:val="0"/>
        <w:keepLines w:val="0"/>
        <w:pageBreakBefore w:val="0"/>
        <w:widowControl w:val="0"/>
        <w:tabs>
          <w:tab w:val="left" w:pos="840"/>
          <w:tab w:val="left" w:pos="1020"/>
        </w:tabs>
        <w:kinsoku/>
        <w:wordWrap/>
        <w:overflowPunct/>
        <w:topLinePunct w:val="0"/>
        <w:autoSpaceDE/>
        <w:autoSpaceDN/>
        <w:bidi w:val="0"/>
        <w:spacing w:line="360" w:lineRule="auto"/>
        <w:jc w:val="left"/>
        <w:textAlignment w:val="auto"/>
        <w:rPr>
          <w:rFonts w:hint="eastAsia" w:ascii="宋体" w:hAnsi="宋体" w:eastAsia="宋体" w:cs="宋体"/>
          <w:b/>
          <w:sz w:val="24"/>
          <w:highlight w:val="none"/>
        </w:rPr>
      </w:pPr>
      <w:r>
        <w:rPr>
          <w:rFonts w:hint="eastAsia" w:ascii="宋体" w:hAnsi="宋体" w:cs="宋体"/>
          <w:b/>
          <w:sz w:val="24"/>
          <w:highlight w:val="none"/>
          <w:lang w:val="en-US" w:eastAsia="zh-CN"/>
        </w:rPr>
        <w:t>十三</w:t>
      </w:r>
      <w:r>
        <w:rPr>
          <w:rFonts w:hint="eastAsia" w:ascii="宋体" w:hAnsi="宋体" w:eastAsia="宋体" w:cs="宋体"/>
          <w:b/>
          <w:sz w:val="24"/>
          <w:highlight w:val="none"/>
        </w:rPr>
        <w:t>、解决争议的方法</w:t>
      </w:r>
    </w:p>
    <w:p w14:paraId="1088BF8F">
      <w:pPr>
        <w:numPr>
          <w:ilvl w:val="0"/>
          <w:numId w:val="0"/>
        </w:numPr>
        <w:spacing w:line="360" w:lineRule="auto"/>
        <w:ind w:firstLine="480" w:firstLineChars="200"/>
        <w:jc w:val="left"/>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lang w:val="en-US" w:eastAsia="zh-CN"/>
        </w:rPr>
        <w:t>1.</w:t>
      </w:r>
      <w:r>
        <w:rPr>
          <w:rFonts w:hint="eastAsia" w:ascii="宋体" w:hAnsi="宋体" w:eastAsia="宋体" w:cs="宋体"/>
          <w:kern w:val="0"/>
          <w:sz w:val="24"/>
          <w:szCs w:val="20"/>
          <w:highlight w:val="none"/>
        </w:rPr>
        <w:t xml:space="preserve"> 因本合同及合同有关事项发生的争议，由</w:t>
      </w:r>
      <w:r>
        <w:rPr>
          <w:rFonts w:hint="eastAsia" w:ascii="宋体" w:hAnsi="宋体" w:eastAsia="宋体" w:cs="宋体"/>
          <w:kern w:val="0"/>
          <w:sz w:val="24"/>
          <w:szCs w:val="20"/>
          <w:highlight w:val="none"/>
          <w:lang w:eastAsia="zh-CN"/>
        </w:rPr>
        <w:t>甲乙双</w:t>
      </w:r>
      <w:r>
        <w:rPr>
          <w:rFonts w:hint="eastAsia" w:ascii="宋体" w:hAnsi="宋体" w:eastAsia="宋体" w:cs="宋体"/>
          <w:kern w:val="0"/>
          <w:sz w:val="24"/>
          <w:szCs w:val="20"/>
          <w:highlight w:val="none"/>
        </w:rPr>
        <w:t>方友好协商解决。协商不成时，可以</w:t>
      </w:r>
      <w:r>
        <w:rPr>
          <w:rFonts w:hint="eastAsia" w:ascii="宋体" w:hAnsi="宋体" w:eastAsia="宋体" w:cs="宋体"/>
          <w:kern w:val="0"/>
          <w:sz w:val="24"/>
          <w:szCs w:val="20"/>
          <w:highlight w:val="none"/>
          <w:lang w:eastAsia="zh-CN"/>
        </w:rPr>
        <w:t>向有关组织申请</w:t>
      </w:r>
      <w:r>
        <w:rPr>
          <w:rFonts w:hint="eastAsia" w:ascii="宋体" w:hAnsi="宋体" w:eastAsia="宋体" w:cs="宋体"/>
          <w:kern w:val="0"/>
          <w:sz w:val="24"/>
          <w:szCs w:val="20"/>
          <w:highlight w:val="none"/>
        </w:rPr>
        <w:t>调解。合同一方或</w:t>
      </w:r>
      <w:r>
        <w:rPr>
          <w:rFonts w:hint="eastAsia" w:ascii="宋体" w:hAnsi="宋体" w:eastAsia="宋体" w:cs="宋体"/>
          <w:kern w:val="0"/>
          <w:sz w:val="24"/>
          <w:szCs w:val="20"/>
          <w:highlight w:val="none"/>
          <w:lang w:eastAsia="zh-CN"/>
        </w:rPr>
        <w:t>双</w:t>
      </w:r>
      <w:r>
        <w:rPr>
          <w:rFonts w:hint="eastAsia" w:ascii="宋体" w:hAnsi="宋体" w:eastAsia="宋体" w:cs="宋体"/>
          <w:kern w:val="0"/>
          <w:sz w:val="24"/>
          <w:szCs w:val="20"/>
          <w:highlight w:val="none"/>
        </w:rPr>
        <w:t>方不愿调解或调解不成的，可以通过仲裁或诉讼的方式解决争议。</w:t>
      </w:r>
    </w:p>
    <w:p w14:paraId="06AC4595">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b w:val="0"/>
          <w:bCs w:val="0"/>
          <w:iCs/>
          <w:color w:val="auto"/>
          <w:kern w:val="2"/>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 w:val="0"/>
          <w:bCs w:val="0"/>
          <w:iCs/>
          <w:color w:val="auto"/>
          <w:kern w:val="2"/>
          <w:sz w:val="24"/>
          <w:szCs w:val="24"/>
          <w:highlight w:val="none"/>
        </w:rPr>
        <w:t>因本合同及合同有关事项发生的争议，按下列第</w:t>
      </w:r>
      <w:r>
        <w:rPr>
          <w:rFonts w:hint="eastAsia" w:ascii="宋体" w:hAnsi="宋体" w:eastAsia="宋体" w:cs="宋体"/>
          <w:b w:val="0"/>
          <w:bCs w:val="0"/>
          <w:iCs/>
          <w:color w:val="auto"/>
          <w:kern w:val="2"/>
          <w:sz w:val="24"/>
          <w:szCs w:val="24"/>
          <w:highlight w:val="none"/>
          <w:u w:val="single"/>
          <w:lang w:eastAsia="zh-CN"/>
        </w:rPr>
        <w:t>（</w:t>
      </w:r>
      <w:r>
        <w:rPr>
          <w:rFonts w:hint="eastAsia" w:ascii="宋体" w:hAnsi="宋体" w:eastAsia="宋体" w:cs="宋体"/>
          <w:b w:val="0"/>
          <w:bCs w:val="0"/>
          <w:iCs/>
          <w:color w:val="auto"/>
          <w:kern w:val="2"/>
          <w:sz w:val="24"/>
          <w:szCs w:val="24"/>
          <w:highlight w:val="none"/>
          <w:u w:val="single"/>
          <w:lang w:val="en-US" w:eastAsia="zh-CN"/>
        </w:rPr>
        <w:t>2</w:t>
      </w:r>
      <w:r>
        <w:rPr>
          <w:rFonts w:hint="eastAsia" w:ascii="宋体" w:hAnsi="宋体" w:eastAsia="宋体" w:cs="宋体"/>
          <w:b w:val="0"/>
          <w:bCs w:val="0"/>
          <w:iCs/>
          <w:color w:val="auto"/>
          <w:kern w:val="2"/>
          <w:sz w:val="24"/>
          <w:szCs w:val="24"/>
          <w:highlight w:val="none"/>
          <w:u w:val="single"/>
          <w:lang w:eastAsia="zh-CN"/>
        </w:rPr>
        <w:t>）</w:t>
      </w:r>
      <w:r>
        <w:rPr>
          <w:rFonts w:hint="eastAsia" w:ascii="宋体" w:hAnsi="宋体" w:eastAsia="宋体" w:cs="宋体"/>
          <w:b w:val="0"/>
          <w:bCs w:val="0"/>
          <w:iCs/>
          <w:color w:val="auto"/>
          <w:kern w:val="2"/>
          <w:sz w:val="24"/>
          <w:szCs w:val="24"/>
          <w:highlight w:val="none"/>
        </w:rPr>
        <w:t>种方式解决：</w:t>
      </w:r>
    </w:p>
    <w:p w14:paraId="0754615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right="0" w:firstLine="480" w:firstLineChars="200"/>
        <w:jc w:val="left"/>
        <w:textAlignment w:val="auto"/>
        <w:rPr>
          <w:rFonts w:hint="eastAsia" w:ascii="宋体" w:hAnsi="宋体" w:eastAsia="宋体" w:cs="宋体"/>
          <w:b w:val="0"/>
          <w:bCs w:val="0"/>
          <w:iCs/>
          <w:color w:val="auto"/>
          <w:kern w:val="2"/>
          <w:sz w:val="24"/>
          <w:szCs w:val="24"/>
          <w:highlight w:val="none"/>
        </w:rPr>
      </w:pPr>
      <w:r>
        <w:rPr>
          <w:rFonts w:hint="eastAsia" w:ascii="宋体" w:hAnsi="宋体" w:eastAsia="宋体" w:cs="宋体"/>
          <w:b w:val="0"/>
          <w:bCs w:val="0"/>
          <w:iCs/>
          <w:color w:val="auto"/>
          <w:kern w:val="2"/>
          <w:sz w:val="24"/>
          <w:szCs w:val="24"/>
          <w:highlight w:val="none"/>
        </w:rPr>
        <w:t>（1）向</w:t>
      </w:r>
      <w:r>
        <w:rPr>
          <w:rFonts w:hint="eastAsia" w:ascii="宋体" w:hAnsi="宋体" w:eastAsia="宋体" w:cs="宋体"/>
          <w:b w:val="0"/>
          <w:bCs w:val="0"/>
          <w:iCs/>
          <w:color w:val="auto"/>
          <w:kern w:val="2"/>
          <w:sz w:val="24"/>
          <w:szCs w:val="24"/>
          <w:highlight w:val="none"/>
          <w:u w:val="single"/>
        </w:rPr>
        <w:t xml:space="preserve"> </w:t>
      </w:r>
      <w:r>
        <w:rPr>
          <w:rFonts w:hint="eastAsia" w:ascii="宋体" w:hAnsi="宋体" w:cs="宋体"/>
          <w:b w:val="0"/>
          <w:bCs w:val="0"/>
          <w:iCs/>
          <w:color w:val="auto"/>
          <w:kern w:val="2"/>
          <w:sz w:val="24"/>
          <w:szCs w:val="24"/>
          <w:highlight w:val="none"/>
          <w:u w:val="single"/>
          <w:lang w:eastAsia="zh-CN"/>
        </w:rPr>
        <w:t>绍兴市</w:t>
      </w:r>
      <w:r>
        <w:rPr>
          <w:rFonts w:hint="eastAsia" w:ascii="宋体" w:hAnsi="宋体" w:eastAsia="宋体" w:cs="宋体"/>
          <w:b w:val="0"/>
          <w:bCs w:val="0"/>
          <w:iCs/>
          <w:color w:val="auto"/>
          <w:kern w:val="2"/>
          <w:sz w:val="24"/>
          <w:szCs w:val="24"/>
          <w:highlight w:val="none"/>
          <w:u w:val="single"/>
        </w:rPr>
        <w:t xml:space="preserve">  </w:t>
      </w:r>
      <w:r>
        <w:rPr>
          <w:rFonts w:hint="eastAsia" w:ascii="宋体" w:hAnsi="宋体" w:eastAsia="宋体" w:cs="宋体"/>
          <w:b w:val="0"/>
          <w:bCs w:val="0"/>
          <w:iCs/>
          <w:color w:val="auto"/>
          <w:kern w:val="2"/>
          <w:sz w:val="24"/>
          <w:szCs w:val="24"/>
          <w:highlight w:val="none"/>
        </w:rPr>
        <w:t>仲裁委员会申请仲裁，仲裁地点为</w:t>
      </w:r>
      <w:r>
        <w:rPr>
          <w:rFonts w:hint="eastAsia" w:ascii="宋体" w:hAnsi="宋体" w:cs="宋体"/>
          <w:b w:val="0"/>
          <w:bCs w:val="0"/>
          <w:iCs/>
          <w:color w:val="auto"/>
          <w:kern w:val="2"/>
          <w:sz w:val="24"/>
          <w:szCs w:val="24"/>
          <w:highlight w:val="none"/>
          <w:u w:val="single"/>
          <w:lang w:val="en-US" w:eastAsia="zh-CN"/>
        </w:rPr>
        <w:t xml:space="preserve">      </w:t>
      </w:r>
      <w:r>
        <w:rPr>
          <w:rFonts w:hint="eastAsia" w:ascii="宋体" w:hAnsi="宋体" w:eastAsia="宋体" w:cs="Times New Roman"/>
          <w:color w:val="auto"/>
          <w:sz w:val="24"/>
          <w:szCs w:val="24"/>
          <w:highlight w:val="none"/>
          <w:u w:val="single"/>
        </w:rPr>
        <w:t xml:space="preserve"> </w:t>
      </w:r>
      <w:r>
        <w:rPr>
          <w:rFonts w:hint="eastAsia" w:ascii="宋体" w:hAnsi="宋体" w:eastAsia="宋体" w:cs="宋体"/>
          <w:b w:val="0"/>
          <w:bCs w:val="0"/>
          <w:iCs/>
          <w:color w:val="auto"/>
          <w:kern w:val="2"/>
          <w:sz w:val="24"/>
          <w:szCs w:val="24"/>
          <w:highlight w:val="none"/>
        </w:rPr>
        <w:t>；</w:t>
      </w:r>
    </w:p>
    <w:p w14:paraId="644355FD">
      <w:pPr>
        <w:keepNext w:val="0"/>
        <w:keepLines w:val="0"/>
        <w:pageBreakBefore w:val="0"/>
        <w:widowControl w:val="0"/>
        <w:kinsoku/>
        <w:wordWrap/>
        <w:overflowPunct/>
        <w:topLinePunct w:val="0"/>
        <w:bidi w:val="0"/>
        <w:spacing w:line="360" w:lineRule="auto"/>
        <w:ind w:firstLine="480" w:firstLineChars="200"/>
        <w:jc w:val="left"/>
        <w:textAlignment w:val="auto"/>
        <w:rPr>
          <w:rFonts w:ascii="宋体" w:hAnsi="宋体" w:cs="宋体"/>
          <w:color w:val="auto"/>
          <w:kern w:val="0"/>
          <w:sz w:val="24"/>
          <w:szCs w:val="20"/>
          <w:highlight w:val="none"/>
        </w:rPr>
      </w:pPr>
      <w:r>
        <w:rPr>
          <w:rFonts w:hint="eastAsia" w:ascii="宋体" w:hAnsi="宋体" w:eastAsia="宋体" w:cs="宋体"/>
          <w:b w:val="0"/>
          <w:bCs w:val="0"/>
          <w:iCs/>
          <w:color w:val="auto"/>
          <w:kern w:val="2"/>
          <w:sz w:val="24"/>
          <w:szCs w:val="24"/>
          <w:highlight w:val="none"/>
        </w:rPr>
        <w:t>（2）向</w:t>
      </w:r>
      <w:r>
        <w:rPr>
          <w:rFonts w:hint="eastAsia" w:ascii="宋体" w:hAnsi="宋体" w:eastAsia="宋体" w:cs="宋体"/>
          <w:b w:val="0"/>
          <w:bCs w:val="0"/>
          <w:iCs/>
          <w:color w:val="auto"/>
          <w:kern w:val="2"/>
          <w:sz w:val="24"/>
          <w:szCs w:val="24"/>
          <w:highlight w:val="none"/>
          <w:u w:val="single"/>
        </w:rPr>
        <w:t xml:space="preserve">  </w:t>
      </w:r>
      <w:r>
        <w:rPr>
          <w:rFonts w:hint="eastAsia" w:ascii="宋体" w:hAnsi="宋体"/>
          <w:color w:val="auto"/>
          <w:sz w:val="24"/>
          <w:szCs w:val="24"/>
          <w:highlight w:val="none"/>
          <w:u w:val="single"/>
        </w:rPr>
        <w:t>绍兴市上虞区</w:t>
      </w:r>
      <w:r>
        <w:rPr>
          <w:rFonts w:hint="eastAsia" w:ascii="宋体" w:hAnsi="宋体" w:eastAsia="宋体" w:cs="宋体"/>
          <w:b w:val="0"/>
          <w:bCs w:val="0"/>
          <w:iCs/>
          <w:color w:val="auto"/>
          <w:kern w:val="2"/>
          <w:sz w:val="24"/>
          <w:szCs w:val="24"/>
          <w:highlight w:val="none"/>
          <w:u w:val="single"/>
        </w:rPr>
        <w:t xml:space="preserve"> </w:t>
      </w:r>
      <w:r>
        <w:rPr>
          <w:rFonts w:hint="eastAsia" w:ascii="宋体" w:hAnsi="宋体" w:eastAsia="宋体" w:cs="宋体"/>
          <w:b w:val="0"/>
          <w:bCs w:val="0"/>
          <w:iCs/>
          <w:color w:val="auto"/>
          <w:kern w:val="2"/>
          <w:sz w:val="24"/>
          <w:szCs w:val="24"/>
          <w:highlight w:val="none"/>
        </w:rPr>
        <w:t>人民法院起诉。</w:t>
      </w:r>
    </w:p>
    <w:p w14:paraId="1AEAD88D">
      <w:pPr>
        <w:pStyle w:val="99"/>
        <w:spacing w:line="360" w:lineRule="auto"/>
        <w:jc w:val="both"/>
        <w:rPr>
          <w:rFonts w:hint="eastAsia" w:ascii="宋体" w:hAnsi="宋体" w:eastAsia="宋体" w:cs="宋体"/>
          <w:b/>
          <w:bCs/>
          <w:sz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xml:space="preserve"> 如</w:t>
      </w:r>
      <w:r>
        <w:rPr>
          <w:rFonts w:hint="eastAsia" w:ascii="宋体" w:hAnsi="宋体" w:eastAsia="宋体" w:cs="宋体"/>
          <w:sz w:val="24"/>
          <w:szCs w:val="24"/>
          <w:highlight w:val="none"/>
          <w:lang w:eastAsia="zh-CN"/>
        </w:rPr>
        <w:t>甲乙双方</w:t>
      </w:r>
      <w:r>
        <w:rPr>
          <w:rFonts w:hint="eastAsia" w:ascii="宋体" w:hAnsi="宋体" w:eastAsia="宋体" w:cs="宋体"/>
          <w:sz w:val="24"/>
          <w:szCs w:val="24"/>
          <w:highlight w:val="none"/>
        </w:rPr>
        <w:t>有争议的事项不影响合同其他部分的履行，在争议解决期间，合同其他部分应</w:t>
      </w:r>
      <w:r>
        <w:rPr>
          <w:rFonts w:hint="eastAsia" w:ascii="宋体" w:hAnsi="宋体" w:eastAsia="宋体" w:cs="宋体"/>
          <w:sz w:val="24"/>
          <w:szCs w:val="24"/>
          <w:highlight w:val="none"/>
          <w:lang w:eastAsia="zh-CN"/>
        </w:rPr>
        <w:t>当</w:t>
      </w:r>
      <w:r>
        <w:rPr>
          <w:rFonts w:hint="eastAsia" w:ascii="宋体" w:hAnsi="宋体" w:eastAsia="宋体" w:cs="宋体"/>
          <w:sz w:val="24"/>
          <w:szCs w:val="24"/>
          <w:highlight w:val="none"/>
        </w:rPr>
        <w:t>继续履行。</w:t>
      </w:r>
      <w:r>
        <w:rPr>
          <w:rFonts w:hint="eastAsia" w:ascii="宋体" w:hAnsi="宋体" w:eastAsia="宋体" w:cs="宋体"/>
          <w:b w:val="0"/>
          <w:bCs/>
          <w:sz w:val="24"/>
          <w:highlight w:val="none"/>
        </w:rPr>
        <w:t xml:space="preserve">  </w:t>
      </w:r>
    </w:p>
    <w:p w14:paraId="6F78DAC6">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sz w:val="24"/>
          <w:highlight w:val="none"/>
        </w:rPr>
      </w:pPr>
      <w:r>
        <w:rPr>
          <w:rFonts w:hint="eastAsia" w:ascii="宋体" w:hAnsi="宋体" w:cs="宋体"/>
          <w:b/>
          <w:sz w:val="24"/>
          <w:highlight w:val="none"/>
          <w:lang w:val="en-US" w:eastAsia="zh-CN"/>
        </w:rPr>
        <w:t>十四</w:t>
      </w:r>
      <w:r>
        <w:rPr>
          <w:rFonts w:hint="eastAsia" w:ascii="宋体" w:hAnsi="宋体" w:eastAsia="宋体" w:cs="宋体"/>
          <w:b/>
          <w:sz w:val="24"/>
          <w:highlight w:val="none"/>
        </w:rPr>
        <w:t>、</w:t>
      </w:r>
      <w:r>
        <w:rPr>
          <w:rFonts w:hint="eastAsia" w:ascii="宋体" w:hAnsi="宋体" w:eastAsia="宋体" w:cs="宋体"/>
          <w:b/>
          <w:bCs/>
          <w:sz w:val="24"/>
          <w:szCs w:val="24"/>
          <w:highlight w:val="none"/>
          <w:lang w:val="en-US" w:eastAsia="zh-CN"/>
        </w:rPr>
        <w:t>合同</w:t>
      </w:r>
      <w:r>
        <w:rPr>
          <w:rFonts w:hint="eastAsia" w:ascii="宋体" w:hAnsi="宋体" w:eastAsia="宋体" w:cs="宋体"/>
          <w:b/>
          <w:sz w:val="24"/>
          <w:highlight w:val="none"/>
        </w:rPr>
        <w:t>生效及其他</w:t>
      </w:r>
    </w:p>
    <w:p w14:paraId="2949B8C4">
      <w:pPr>
        <w:keepNext w:val="0"/>
        <w:keepLines w:val="0"/>
        <w:pageBreakBefore w:val="0"/>
        <w:widowControl w:val="0"/>
        <w:tabs>
          <w:tab w:val="left" w:pos="840"/>
          <w:tab w:val="left" w:pos="1020"/>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sz w:val="24"/>
          <w:highlight w:val="none"/>
        </w:rPr>
      </w:pPr>
      <w:r>
        <w:rPr>
          <w:rFonts w:hint="eastAsia" w:ascii="宋体" w:hAnsi="宋体" w:eastAsia="宋体" w:cs="宋体"/>
          <w:bCs/>
          <w:sz w:val="24"/>
          <w:highlight w:val="none"/>
        </w:rPr>
        <w:t>1.合同经甲、乙双方签名并加盖单位公章后生效。</w:t>
      </w:r>
    </w:p>
    <w:p w14:paraId="6991F361">
      <w:pPr>
        <w:keepNext w:val="0"/>
        <w:keepLines w:val="0"/>
        <w:pageBreakBefore w:val="0"/>
        <w:widowControl w:val="0"/>
        <w:tabs>
          <w:tab w:val="left" w:pos="840"/>
          <w:tab w:val="left" w:pos="1020"/>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sz w:val="24"/>
          <w:highlight w:val="none"/>
        </w:rPr>
      </w:pPr>
      <w:r>
        <w:rPr>
          <w:rFonts w:hint="eastAsia" w:ascii="宋体" w:hAnsi="宋体" w:eastAsia="宋体" w:cs="宋体"/>
          <w:bCs/>
          <w:sz w:val="24"/>
          <w:highlight w:val="none"/>
        </w:rPr>
        <w:t>2.采购文件、投标文件与本合同具有同等法律效力。</w:t>
      </w:r>
    </w:p>
    <w:p w14:paraId="34422669">
      <w:pPr>
        <w:keepNext w:val="0"/>
        <w:keepLines w:val="0"/>
        <w:pageBreakBefore w:val="0"/>
        <w:widowControl w:val="0"/>
        <w:tabs>
          <w:tab w:val="left" w:pos="840"/>
          <w:tab w:val="left" w:pos="1020"/>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sz w:val="24"/>
          <w:highlight w:val="none"/>
        </w:rPr>
      </w:pPr>
      <w:r>
        <w:rPr>
          <w:rFonts w:hint="eastAsia" w:ascii="宋体" w:hAnsi="宋体" w:eastAsia="宋体" w:cs="宋体"/>
          <w:bCs/>
          <w:sz w:val="24"/>
          <w:highlight w:val="none"/>
        </w:rPr>
        <w:t>3.本合同未尽事宜，</w:t>
      </w:r>
      <w:r>
        <w:rPr>
          <w:rFonts w:hint="eastAsia" w:ascii="宋体" w:hAnsi="宋体" w:eastAsia="宋体" w:cs="宋体"/>
          <w:bCs/>
          <w:sz w:val="24"/>
          <w:highlight w:val="none"/>
          <w:lang w:val="en-US" w:eastAsia="zh-CN"/>
        </w:rPr>
        <w:t>由双方协商决定</w:t>
      </w:r>
      <w:r>
        <w:rPr>
          <w:rFonts w:hint="eastAsia" w:ascii="宋体" w:hAnsi="宋体" w:eastAsia="宋体" w:cs="宋体"/>
          <w:bCs/>
          <w:sz w:val="24"/>
          <w:highlight w:val="none"/>
        </w:rPr>
        <w:t>。</w:t>
      </w:r>
    </w:p>
    <w:p w14:paraId="36CF2369">
      <w:pPr>
        <w:keepNext w:val="0"/>
        <w:keepLines w:val="0"/>
        <w:pageBreakBefore w:val="0"/>
        <w:widowControl w:val="0"/>
        <w:tabs>
          <w:tab w:val="left" w:pos="840"/>
          <w:tab w:val="left" w:pos="1020"/>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4.本项目货物如涉及柴油动力移动源，柴油动力移动源应当符合低排放要求。</w:t>
      </w:r>
    </w:p>
    <w:p w14:paraId="3B3683FE">
      <w:pPr>
        <w:keepNext w:val="0"/>
        <w:keepLines w:val="0"/>
        <w:pageBreakBefore w:val="0"/>
        <w:widowControl w:val="0"/>
        <w:kinsoku/>
        <w:wordWrap/>
        <w:overflowPunct/>
        <w:topLinePunct w:val="0"/>
        <w:autoSpaceDE/>
        <w:autoSpaceDN/>
        <w:bidi w:val="0"/>
        <w:snapToGrid/>
        <w:spacing w:line="360" w:lineRule="auto"/>
        <w:ind w:firstLine="482" w:firstLineChars="200"/>
        <w:jc w:val="left"/>
        <w:textAlignment w:val="auto"/>
        <w:rPr>
          <w:rFonts w:hint="eastAsia" w:ascii="宋体" w:hAnsi="宋体" w:eastAsia="宋体" w:cs="宋体"/>
          <w:color w:val="000000"/>
          <w:sz w:val="24"/>
          <w:highlight w:val="none"/>
        </w:rPr>
      </w:pPr>
      <w:r>
        <w:rPr>
          <w:rFonts w:hint="eastAsia" w:ascii="宋体" w:hAnsi="宋体" w:eastAsia="宋体" w:cs="宋体"/>
          <w:b/>
          <w:bCs/>
          <w:sz w:val="24"/>
          <w:szCs w:val="24"/>
          <w:highlight w:val="none"/>
          <w:lang w:val="en-US" w:eastAsia="zh-CN"/>
        </w:rPr>
        <w:t>5.</w:t>
      </w:r>
      <w:r>
        <w:rPr>
          <w:rFonts w:hint="eastAsia" w:ascii="宋体" w:hAnsi="宋体" w:eastAsia="宋体" w:cs="宋体"/>
          <w:b/>
          <w:bCs/>
          <w:sz w:val="24"/>
          <w:szCs w:val="24"/>
          <w:highlight w:val="none"/>
        </w:rPr>
        <w:t>本合同一式</w:t>
      </w:r>
      <w:r>
        <w:rPr>
          <w:rFonts w:hint="eastAsia" w:ascii="宋体" w:hAnsi="宋体" w:eastAsia="宋体" w:cs="宋体"/>
          <w:b/>
          <w:bCs/>
          <w:sz w:val="24"/>
          <w:szCs w:val="24"/>
          <w:highlight w:val="none"/>
          <w:u w:val="single"/>
        </w:rPr>
        <w:t>　</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b/>
          <w:bCs/>
          <w:sz w:val="24"/>
          <w:szCs w:val="24"/>
          <w:highlight w:val="none"/>
          <w:u w:val="single"/>
        </w:rPr>
        <w:t xml:space="preserve"> </w:t>
      </w:r>
      <w:r>
        <w:rPr>
          <w:rFonts w:hint="eastAsia" w:ascii="宋体" w:hAnsi="宋体" w:eastAsia="宋体" w:cs="宋体"/>
          <w:b/>
          <w:bCs/>
          <w:sz w:val="24"/>
          <w:szCs w:val="24"/>
          <w:highlight w:val="none"/>
        </w:rPr>
        <w:t>份，</w:t>
      </w:r>
      <w:r>
        <w:rPr>
          <w:rFonts w:hint="eastAsia" w:ascii="宋体" w:hAnsi="宋体" w:eastAsia="宋体" w:cs="宋体"/>
          <w:b/>
          <w:bCs/>
          <w:sz w:val="24"/>
          <w:szCs w:val="24"/>
          <w:highlight w:val="none"/>
          <w:lang w:val="en-US" w:eastAsia="zh-CN"/>
        </w:rPr>
        <w:t>甲方</w:t>
      </w:r>
      <w:r>
        <w:rPr>
          <w:rFonts w:hint="eastAsia" w:ascii="宋体" w:hAnsi="宋体" w:eastAsia="宋体" w:cs="宋体"/>
          <w:b/>
          <w:bCs/>
          <w:sz w:val="24"/>
          <w:szCs w:val="24"/>
          <w:highlight w:val="none"/>
        </w:rPr>
        <w:t>和</w:t>
      </w:r>
      <w:r>
        <w:rPr>
          <w:rFonts w:hint="eastAsia" w:ascii="宋体" w:hAnsi="宋体" w:eastAsia="宋体" w:cs="宋体"/>
          <w:b/>
          <w:bCs/>
          <w:sz w:val="24"/>
          <w:szCs w:val="24"/>
          <w:highlight w:val="none"/>
          <w:lang w:val="en-US" w:eastAsia="zh-CN"/>
        </w:rPr>
        <w:t>乙方</w:t>
      </w:r>
      <w:r>
        <w:rPr>
          <w:rFonts w:hint="eastAsia" w:ascii="宋体" w:hAnsi="宋体" w:eastAsia="宋体" w:cs="宋体"/>
          <w:b/>
          <w:bCs/>
          <w:sz w:val="24"/>
          <w:szCs w:val="24"/>
          <w:highlight w:val="none"/>
        </w:rPr>
        <w:t>各执</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份，并由</w:t>
      </w:r>
      <w:r>
        <w:rPr>
          <w:rFonts w:hint="eastAsia" w:ascii="宋体" w:hAnsi="宋体" w:eastAsia="宋体" w:cs="宋体"/>
          <w:b/>
          <w:bCs/>
          <w:sz w:val="24"/>
          <w:szCs w:val="24"/>
          <w:highlight w:val="none"/>
          <w:lang w:eastAsia="zh-CN"/>
        </w:rPr>
        <w:t>甲方</w:t>
      </w:r>
      <w:r>
        <w:rPr>
          <w:rFonts w:hint="eastAsia" w:ascii="宋体" w:hAnsi="宋体" w:eastAsia="宋体" w:cs="宋体"/>
          <w:b/>
          <w:bCs/>
          <w:sz w:val="24"/>
          <w:szCs w:val="24"/>
          <w:highlight w:val="none"/>
        </w:rPr>
        <w:t>在30日内做好政采云平台网上合同创建及备案</w:t>
      </w:r>
      <w:r>
        <w:rPr>
          <w:rFonts w:hint="eastAsia" w:ascii="宋体" w:hAnsi="宋体" w:eastAsia="宋体" w:cs="宋体"/>
          <w:color w:val="000000"/>
          <w:sz w:val="24"/>
          <w:highlight w:val="none"/>
        </w:rPr>
        <w:t>。</w:t>
      </w:r>
    </w:p>
    <w:p w14:paraId="1AD09440">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000000"/>
          <w:sz w:val="24"/>
          <w:highlight w:val="none"/>
        </w:rPr>
      </w:pPr>
    </w:p>
    <w:tbl>
      <w:tblPr>
        <w:tblStyle w:val="29"/>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2362"/>
        <w:gridCol w:w="1636"/>
        <w:gridCol w:w="2726"/>
      </w:tblGrid>
      <w:tr w14:paraId="684C6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453" w:type="dxa"/>
            <w:noWrap w:val="0"/>
            <w:vAlign w:val="center"/>
          </w:tcPr>
          <w:p w14:paraId="7A20C178">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甲方单位</w:t>
            </w:r>
          </w:p>
        </w:tc>
        <w:tc>
          <w:tcPr>
            <w:tcW w:w="2362" w:type="dxa"/>
            <w:noWrap w:val="0"/>
            <w:vAlign w:val="center"/>
          </w:tcPr>
          <w:p w14:paraId="1E8DA1B6">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（盖章）</w:t>
            </w:r>
          </w:p>
        </w:tc>
        <w:tc>
          <w:tcPr>
            <w:tcW w:w="1636" w:type="dxa"/>
            <w:noWrap w:val="0"/>
            <w:vAlign w:val="center"/>
          </w:tcPr>
          <w:p w14:paraId="73789198">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乙方单位</w:t>
            </w:r>
          </w:p>
        </w:tc>
        <w:tc>
          <w:tcPr>
            <w:tcW w:w="2726" w:type="dxa"/>
            <w:noWrap w:val="0"/>
            <w:vAlign w:val="center"/>
          </w:tcPr>
          <w:p w14:paraId="2A601E5E">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（盖章）</w:t>
            </w:r>
          </w:p>
        </w:tc>
      </w:tr>
      <w:tr w14:paraId="74539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453" w:type="dxa"/>
            <w:noWrap w:val="0"/>
            <w:vAlign w:val="center"/>
          </w:tcPr>
          <w:p w14:paraId="4BF7E67D">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代表签名</w:t>
            </w:r>
          </w:p>
        </w:tc>
        <w:tc>
          <w:tcPr>
            <w:tcW w:w="2362" w:type="dxa"/>
            <w:noWrap w:val="0"/>
            <w:vAlign w:val="center"/>
          </w:tcPr>
          <w:p w14:paraId="56512FBD">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p>
        </w:tc>
        <w:tc>
          <w:tcPr>
            <w:tcW w:w="1636" w:type="dxa"/>
            <w:noWrap w:val="0"/>
            <w:vAlign w:val="center"/>
          </w:tcPr>
          <w:p w14:paraId="4FD7BDC6">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代表签名</w:t>
            </w:r>
          </w:p>
        </w:tc>
        <w:tc>
          <w:tcPr>
            <w:tcW w:w="2726" w:type="dxa"/>
            <w:noWrap w:val="0"/>
            <w:vAlign w:val="center"/>
          </w:tcPr>
          <w:p w14:paraId="4C385C95">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p>
        </w:tc>
      </w:tr>
      <w:tr w14:paraId="0B432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453" w:type="dxa"/>
            <w:noWrap w:val="0"/>
            <w:vAlign w:val="center"/>
          </w:tcPr>
          <w:p w14:paraId="3C7E9366">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地址</w:t>
            </w:r>
          </w:p>
        </w:tc>
        <w:tc>
          <w:tcPr>
            <w:tcW w:w="2362" w:type="dxa"/>
            <w:noWrap w:val="0"/>
            <w:vAlign w:val="center"/>
          </w:tcPr>
          <w:p w14:paraId="2521403E">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p>
        </w:tc>
        <w:tc>
          <w:tcPr>
            <w:tcW w:w="1636" w:type="dxa"/>
            <w:noWrap w:val="0"/>
            <w:vAlign w:val="center"/>
          </w:tcPr>
          <w:p w14:paraId="34EFD1DB">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地址</w:t>
            </w:r>
          </w:p>
        </w:tc>
        <w:tc>
          <w:tcPr>
            <w:tcW w:w="2726" w:type="dxa"/>
            <w:noWrap w:val="0"/>
            <w:vAlign w:val="center"/>
          </w:tcPr>
          <w:p w14:paraId="777FAF0E">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p>
        </w:tc>
      </w:tr>
      <w:tr w14:paraId="00555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453" w:type="dxa"/>
            <w:noWrap w:val="0"/>
            <w:vAlign w:val="center"/>
          </w:tcPr>
          <w:p w14:paraId="0AF9C984">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电话</w:t>
            </w:r>
          </w:p>
        </w:tc>
        <w:tc>
          <w:tcPr>
            <w:tcW w:w="2362" w:type="dxa"/>
            <w:noWrap w:val="0"/>
            <w:vAlign w:val="center"/>
          </w:tcPr>
          <w:p w14:paraId="4E2C5C33">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p>
        </w:tc>
        <w:tc>
          <w:tcPr>
            <w:tcW w:w="1636" w:type="dxa"/>
            <w:noWrap w:val="0"/>
            <w:vAlign w:val="center"/>
          </w:tcPr>
          <w:p w14:paraId="7D7D7529">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电话</w:t>
            </w:r>
          </w:p>
        </w:tc>
        <w:tc>
          <w:tcPr>
            <w:tcW w:w="2726" w:type="dxa"/>
            <w:noWrap w:val="0"/>
            <w:vAlign w:val="center"/>
          </w:tcPr>
          <w:p w14:paraId="272FA71A">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p>
        </w:tc>
      </w:tr>
      <w:tr w14:paraId="2A554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453" w:type="dxa"/>
            <w:noWrap w:val="0"/>
            <w:vAlign w:val="center"/>
          </w:tcPr>
          <w:p w14:paraId="42AAFFE6">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开户银行</w:t>
            </w:r>
          </w:p>
        </w:tc>
        <w:tc>
          <w:tcPr>
            <w:tcW w:w="2362" w:type="dxa"/>
            <w:noWrap w:val="0"/>
            <w:vAlign w:val="center"/>
          </w:tcPr>
          <w:p w14:paraId="11F06DE5">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p>
        </w:tc>
        <w:tc>
          <w:tcPr>
            <w:tcW w:w="1636" w:type="dxa"/>
            <w:noWrap w:val="0"/>
            <w:vAlign w:val="center"/>
          </w:tcPr>
          <w:p w14:paraId="781D9845">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开户银行</w:t>
            </w:r>
          </w:p>
        </w:tc>
        <w:tc>
          <w:tcPr>
            <w:tcW w:w="2726" w:type="dxa"/>
            <w:noWrap w:val="0"/>
            <w:vAlign w:val="center"/>
          </w:tcPr>
          <w:p w14:paraId="3849B56F">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p>
        </w:tc>
      </w:tr>
      <w:tr w14:paraId="7825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1453" w:type="dxa"/>
            <w:noWrap w:val="0"/>
            <w:vAlign w:val="center"/>
          </w:tcPr>
          <w:p w14:paraId="3D643F81">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lang w:eastAsia="zh-CN"/>
              </w:rPr>
            </w:pPr>
            <w:r>
              <w:rPr>
                <w:rFonts w:hint="eastAsia" w:ascii="宋体" w:hAnsi="宋体" w:eastAsia="宋体" w:cs="宋体"/>
                <w:snapToGrid w:val="0"/>
                <w:kern w:val="0"/>
                <w:sz w:val="24"/>
                <w:highlight w:val="none"/>
                <w:lang w:val="en-US" w:eastAsia="zh-CN"/>
              </w:rPr>
              <w:t>账号</w:t>
            </w:r>
          </w:p>
        </w:tc>
        <w:tc>
          <w:tcPr>
            <w:tcW w:w="2362" w:type="dxa"/>
            <w:noWrap w:val="0"/>
            <w:vAlign w:val="center"/>
          </w:tcPr>
          <w:p w14:paraId="4274E1E0">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p>
        </w:tc>
        <w:tc>
          <w:tcPr>
            <w:tcW w:w="1636" w:type="dxa"/>
            <w:noWrap w:val="0"/>
            <w:vAlign w:val="center"/>
          </w:tcPr>
          <w:p w14:paraId="3A9A90D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lang w:val="en-US" w:eastAsia="zh-CN"/>
              </w:rPr>
            </w:pPr>
            <w:r>
              <w:rPr>
                <w:rFonts w:hint="eastAsia" w:ascii="宋体" w:hAnsi="宋体" w:eastAsia="宋体" w:cs="宋体"/>
                <w:snapToGrid w:val="0"/>
                <w:kern w:val="0"/>
                <w:sz w:val="24"/>
                <w:highlight w:val="none"/>
                <w:lang w:val="en-US" w:eastAsia="zh-CN"/>
              </w:rPr>
              <w:t>账号</w:t>
            </w:r>
          </w:p>
        </w:tc>
        <w:tc>
          <w:tcPr>
            <w:tcW w:w="2726" w:type="dxa"/>
            <w:noWrap w:val="0"/>
            <w:vAlign w:val="center"/>
          </w:tcPr>
          <w:p w14:paraId="41F97B26">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p>
        </w:tc>
      </w:tr>
    </w:tbl>
    <w:p w14:paraId="3C080206">
      <w:pPr>
        <w:spacing w:line="360" w:lineRule="auto"/>
        <w:rPr>
          <w:rFonts w:hint="eastAsia" w:ascii="宋体" w:hAnsi="宋体" w:eastAsia="宋体" w:cs="宋体"/>
          <w:color w:val="auto"/>
          <w:sz w:val="36"/>
          <w:szCs w:val="36"/>
          <w:highlight w:val="none"/>
        </w:rPr>
      </w:pPr>
      <w:bookmarkStart w:id="88" w:name="_Toc4669"/>
      <w:bookmarkStart w:id="89" w:name="_Toc7690"/>
    </w:p>
    <w:p w14:paraId="65341647">
      <w:pPr>
        <w:pStyle w:val="4"/>
        <w:spacing w:line="360" w:lineRule="auto"/>
        <w:jc w:val="center"/>
        <w:rPr>
          <w:rFonts w:hint="eastAsia" w:ascii="宋体" w:hAnsi="宋体" w:eastAsia="宋体" w:cs="宋体"/>
          <w:color w:val="auto"/>
          <w:sz w:val="36"/>
          <w:szCs w:val="36"/>
          <w:highlight w:val="none"/>
        </w:rPr>
      </w:pPr>
      <w:bookmarkStart w:id="90" w:name="_Toc29205"/>
      <w:r>
        <w:rPr>
          <w:rFonts w:hint="eastAsia" w:ascii="宋体" w:hAnsi="宋体" w:eastAsia="宋体" w:cs="宋体"/>
          <w:color w:val="auto"/>
          <w:sz w:val="36"/>
          <w:szCs w:val="36"/>
          <w:highlight w:val="none"/>
        </w:rPr>
        <w:t>第六部分 应提交的有关格式范例</w:t>
      </w:r>
      <w:bookmarkEnd w:id="88"/>
      <w:bookmarkEnd w:id="89"/>
      <w:bookmarkEnd w:id="90"/>
    </w:p>
    <w:p w14:paraId="2E3DACD8">
      <w:pPr>
        <w:spacing w:line="360" w:lineRule="auto"/>
        <w:rPr>
          <w:rFonts w:hint="eastAsia" w:ascii="宋体" w:hAnsi="宋体" w:eastAsia="宋体" w:cs="宋体"/>
          <w:color w:val="auto"/>
          <w:highlight w:val="none"/>
        </w:rPr>
      </w:pPr>
    </w:p>
    <w:p w14:paraId="55D69B2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供应商按照以下格式编制响应文件，</w:t>
      </w:r>
      <w:r>
        <w:rPr>
          <w:rFonts w:hint="eastAsia" w:ascii="宋体" w:hAnsi="宋体" w:eastAsia="宋体" w:cs="宋体"/>
          <w:b/>
          <w:bCs/>
          <w:color w:val="auto"/>
          <w:sz w:val="24"/>
          <w:szCs w:val="24"/>
          <w:highlight w:val="none"/>
        </w:rPr>
        <w:t>“资格文件</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商务技术文件</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报价文件”须分3个PDF格式分别导入。</w:t>
      </w:r>
    </w:p>
    <w:p w14:paraId="6C100F07">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此格式内容仅为参考模板，具体内容供应商应根据磋商文件要求进行调整。未按以下格式编制响应文件或因格式不规范、页码不清等原因引发的一切后果由供应商自行承担。</w:t>
      </w:r>
    </w:p>
    <w:p w14:paraId="44DDE0D0">
      <w:pP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kern w:val="0"/>
          <w:sz w:val="36"/>
          <w:szCs w:val="36"/>
          <w:highlight w:val="none"/>
        </w:rPr>
        <w:t>资格文件部分</w:t>
      </w:r>
    </w:p>
    <w:p w14:paraId="7F3F623B">
      <w:pPr>
        <w:spacing w:line="360" w:lineRule="auto"/>
        <w:jc w:val="center"/>
        <w:rPr>
          <w:rFonts w:hint="eastAsia" w:ascii="宋体" w:hAnsi="宋体" w:eastAsia="宋体" w:cs="宋体"/>
          <w:b/>
          <w:bCs/>
          <w:color w:val="auto"/>
          <w:kern w:val="0"/>
          <w:sz w:val="36"/>
          <w:szCs w:val="36"/>
          <w:highlight w:val="none"/>
        </w:rPr>
      </w:pPr>
    </w:p>
    <w:p w14:paraId="730DA818">
      <w:pP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目录</w:t>
      </w:r>
    </w:p>
    <w:p w14:paraId="6E3F67D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（1）法定代表人授权书；（格式见附件）</w:t>
      </w:r>
    </w:p>
    <w:p w14:paraId="6DEE522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（2）营业执照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或事业法人登记证或其他工商等登记证明材料</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复印件、税务登记证</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eastAsia="zh-CN"/>
        </w:rPr>
        <w:t>或其他</w:t>
      </w:r>
      <w:r>
        <w:rPr>
          <w:rFonts w:hint="eastAsia" w:ascii="宋体" w:hAnsi="宋体" w:eastAsia="宋体" w:cs="宋体"/>
          <w:sz w:val="24"/>
          <w:szCs w:val="24"/>
          <w:highlight w:val="none"/>
        </w:rPr>
        <w:t>缴纳证明材料</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复印件、社保登记证（</w:t>
      </w:r>
      <w:r>
        <w:rPr>
          <w:rFonts w:hint="eastAsia" w:ascii="宋体" w:hAnsi="宋体" w:cs="宋体"/>
          <w:sz w:val="24"/>
          <w:szCs w:val="24"/>
          <w:highlight w:val="none"/>
          <w:lang w:eastAsia="zh-CN"/>
        </w:rPr>
        <w:t>或其他</w:t>
      </w:r>
      <w:r>
        <w:rPr>
          <w:rFonts w:hint="eastAsia" w:ascii="宋体" w:hAnsi="宋体" w:eastAsia="宋体" w:cs="宋体"/>
          <w:sz w:val="24"/>
          <w:szCs w:val="24"/>
          <w:highlight w:val="none"/>
        </w:rPr>
        <w:t>缴纳证明材料）复印件；实施“五证合一、一照一码”登记制度改革的，只需提供改革后取得的营业执照复印件；事业单位的，则提供有效的《事业单位法人证书》副本复印件并加盖单位公章；</w:t>
      </w:r>
    </w:p>
    <w:p w14:paraId="4553D25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50D831E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（3）具有履行合同所必需的产品和专业技术能力的承诺函；</w:t>
      </w:r>
    </w:p>
    <w:p w14:paraId="2F7FE4FF">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（4）投标人承诺函（格式见附件）</w:t>
      </w:r>
      <w:r>
        <w:rPr>
          <w:rFonts w:hint="eastAsia" w:ascii="宋体" w:hAnsi="宋体" w:eastAsia="宋体" w:cs="宋体"/>
          <w:sz w:val="24"/>
          <w:szCs w:val="24"/>
          <w:highlight w:val="none"/>
          <w:lang w:eastAsia="zh-CN"/>
        </w:rPr>
        <w:t>。</w:t>
      </w:r>
    </w:p>
    <w:p w14:paraId="2C2A79C0">
      <w:pPr>
        <w:spacing w:line="360" w:lineRule="auto"/>
        <w:ind w:firstLine="480" w:firstLineChars="200"/>
        <w:rPr>
          <w:rFonts w:hint="eastAsia" w:ascii="宋体" w:hAnsi="宋体" w:eastAsia="宋体" w:cs="宋体"/>
          <w:sz w:val="24"/>
          <w:szCs w:val="24"/>
          <w:highlight w:val="none"/>
          <w:lang w:eastAsia="zh-CN"/>
        </w:rPr>
      </w:pPr>
    </w:p>
    <w:p w14:paraId="3F265F46">
      <w:pPr>
        <w:spacing w:line="360" w:lineRule="auto"/>
        <w:ind w:firstLine="480" w:firstLineChars="200"/>
        <w:rPr>
          <w:rFonts w:hint="eastAsia" w:ascii="宋体" w:hAnsi="宋体" w:eastAsia="宋体" w:cs="宋体"/>
          <w:sz w:val="24"/>
          <w:szCs w:val="24"/>
          <w:highlight w:val="none"/>
          <w:lang w:eastAsia="zh-CN"/>
        </w:rPr>
      </w:pPr>
    </w:p>
    <w:p w14:paraId="18776502">
      <w:pPr>
        <w:pStyle w:val="12"/>
        <w:spacing w:line="360" w:lineRule="auto"/>
        <w:ind w:firstLine="486"/>
        <w:rPr>
          <w:rFonts w:hint="eastAsia" w:ascii="宋体" w:hAnsi="宋体" w:eastAsia="宋体" w:cs="宋体"/>
          <w:color w:val="auto"/>
          <w:highlight w:val="none"/>
        </w:rPr>
      </w:pPr>
    </w:p>
    <w:p w14:paraId="021CE4F4">
      <w:pPr>
        <w:pStyle w:val="12"/>
        <w:spacing w:line="360" w:lineRule="auto"/>
        <w:ind w:firstLine="486"/>
        <w:rPr>
          <w:rFonts w:hint="eastAsia" w:ascii="宋体" w:hAnsi="宋体" w:eastAsia="宋体" w:cs="宋体"/>
          <w:color w:val="auto"/>
          <w:highlight w:val="none"/>
        </w:rPr>
      </w:pPr>
    </w:p>
    <w:p w14:paraId="7645BA33">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91" w:name="_Toc24699"/>
    </w:p>
    <w:p w14:paraId="56E9E72A">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附件一：</w:t>
      </w:r>
    </w:p>
    <w:p w14:paraId="61446AD6">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法定代表人授权书</w:t>
      </w:r>
      <w:bookmarkEnd w:id="91"/>
    </w:p>
    <w:p w14:paraId="7D7255C6">
      <w:pPr>
        <w:pStyle w:val="10"/>
        <w:spacing w:line="360" w:lineRule="auto"/>
        <w:rPr>
          <w:rFonts w:hint="eastAsia" w:ascii="宋体" w:hAnsi="宋体" w:eastAsia="宋体" w:cs="宋体"/>
          <w:color w:val="auto"/>
          <w:highlight w:val="none"/>
        </w:rPr>
      </w:pPr>
    </w:p>
    <w:p w14:paraId="11043FF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绍兴市上虞区发展和改革局</w:t>
      </w:r>
      <w:r>
        <w:rPr>
          <w:rFonts w:hint="eastAsia" w:ascii="宋体" w:hAnsi="宋体" w:eastAsia="宋体" w:cs="宋体"/>
          <w:color w:val="auto"/>
          <w:sz w:val="24"/>
          <w:szCs w:val="24"/>
          <w:highlight w:val="none"/>
        </w:rPr>
        <w:t>：</w:t>
      </w:r>
    </w:p>
    <w:p w14:paraId="456E3D6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绍兴成言工程咨询管理有限公司：</w:t>
      </w:r>
    </w:p>
    <w:p w14:paraId="160A911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（供应商全称） </w:t>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rPr>
        <w:t>（授权代表名称）</w:t>
      </w:r>
      <w:r>
        <w:rPr>
          <w:rFonts w:hint="eastAsia" w:ascii="宋体" w:hAnsi="宋体" w:eastAsia="宋体" w:cs="宋体"/>
          <w:color w:val="auto"/>
          <w:sz w:val="24"/>
          <w:szCs w:val="24"/>
          <w:highlight w:val="none"/>
        </w:rPr>
        <w:t>为授权代表，参加贵处组织的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u w:val="single"/>
        </w:rPr>
        <w:t>（括号内填写招标编号）</w:t>
      </w:r>
      <w:r>
        <w:rPr>
          <w:rFonts w:hint="eastAsia" w:ascii="宋体" w:hAnsi="宋体" w:eastAsia="宋体" w:cs="宋体"/>
          <w:color w:val="auto"/>
          <w:sz w:val="24"/>
          <w:szCs w:val="24"/>
          <w:highlight w:val="none"/>
        </w:rPr>
        <w:t>，授权处理招投标活动中的一切事宜。</w:t>
      </w:r>
    </w:p>
    <w:p w14:paraId="26A18C92">
      <w:pPr>
        <w:spacing w:line="360" w:lineRule="auto"/>
        <w:ind w:firstLine="480" w:firstLineChars="200"/>
        <w:rPr>
          <w:rFonts w:hint="eastAsia" w:ascii="宋体" w:hAnsi="宋体" w:eastAsia="宋体" w:cs="宋体"/>
          <w:color w:val="auto"/>
          <w:sz w:val="24"/>
          <w:szCs w:val="24"/>
          <w:highlight w:val="none"/>
        </w:rPr>
      </w:pPr>
    </w:p>
    <w:p w14:paraId="759F807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p>
    <w:p w14:paraId="2115282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供应商全称：（盖章）</w:t>
      </w:r>
    </w:p>
    <w:p w14:paraId="6FC918A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41BC6C5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7CAB1C9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授权代表姓名：</w:t>
      </w:r>
    </w:p>
    <w:p w14:paraId="1D2DE76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p w14:paraId="12D0BC6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p>
    <w:p w14:paraId="096DEB2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14:paraId="12F3562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p w14:paraId="7D0C813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p w14:paraId="0E0CC7D5">
      <w:pPr>
        <w:pStyle w:val="15"/>
        <w:snapToGrid w:val="0"/>
        <w:spacing w:line="360" w:lineRule="auto"/>
        <w:rPr>
          <w:rFonts w:hint="eastAsia" w:ascii="宋体" w:hAnsi="宋体" w:eastAsia="宋体" w:cs="宋体"/>
          <w:color w:val="auto"/>
          <w:sz w:val="24"/>
          <w:szCs w:val="24"/>
          <w:highlight w:val="none"/>
        </w:rPr>
      </w:pPr>
    </w:p>
    <w:p w14:paraId="5CE5B58F">
      <w:pPr>
        <w:pStyle w:val="15"/>
        <w:snapToGrid w:val="0"/>
        <w:spacing w:line="360" w:lineRule="auto"/>
        <w:rPr>
          <w:rFonts w:hint="eastAsia" w:ascii="宋体" w:hAnsi="宋体" w:eastAsia="宋体" w:cs="宋体"/>
          <w:color w:val="auto"/>
          <w:sz w:val="24"/>
          <w:szCs w:val="24"/>
          <w:highlight w:val="none"/>
        </w:rPr>
      </w:pPr>
    </w:p>
    <w:p w14:paraId="7F2EE26D">
      <w:pPr>
        <w:pStyle w:val="15"/>
        <w:snapToGrid w:val="0"/>
        <w:spacing w:line="360" w:lineRule="auto"/>
        <w:rPr>
          <w:rFonts w:hint="eastAsia" w:ascii="宋体" w:hAnsi="宋体" w:eastAsia="宋体" w:cs="宋体"/>
          <w:color w:val="auto"/>
          <w:sz w:val="24"/>
          <w:szCs w:val="24"/>
          <w:highlight w:val="none"/>
        </w:rPr>
      </w:pPr>
    </w:p>
    <w:p w14:paraId="0D2145F2">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附：授权代表身份证复印件（正反面）</w:t>
      </w:r>
    </w:p>
    <w:p w14:paraId="381B4A66">
      <w:pPr>
        <w:spacing w:line="360" w:lineRule="auto"/>
        <w:rPr>
          <w:rFonts w:hint="eastAsia" w:ascii="宋体" w:hAnsi="宋体" w:eastAsia="宋体" w:cs="宋体"/>
          <w:b/>
          <w:bCs/>
          <w:color w:val="auto"/>
          <w:sz w:val="24"/>
          <w:szCs w:val="24"/>
          <w:highlight w:val="none"/>
        </w:rPr>
      </w:pPr>
    </w:p>
    <w:p w14:paraId="47AFC02D">
      <w:pPr>
        <w:pStyle w:val="12"/>
        <w:spacing w:line="360" w:lineRule="auto"/>
        <w:ind w:firstLine="486"/>
        <w:rPr>
          <w:rFonts w:hint="eastAsia" w:ascii="宋体" w:hAnsi="宋体" w:eastAsia="宋体" w:cs="宋体"/>
          <w:color w:val="auto"/>
          <w:highlight w:val="none"/>
        </w:rPr>
      </w:pPr>
    </w:p>
    <w:p w14:paraId="46E0AC3E">
      <w:pPr>
        <w:snapToGrid w:val="0"/>
        <w:spacing w:before="50" w:after="167" w:afterLines="50" w:line="360" w:lineRule="auto"/>
        <w:jc w:val="left"/>
        <w:rPr>
          <w:rFonts w:hint="eastAsia" w:ascii="宋体" w:hAnsi="宋体" w:eastAsia="宋体" w:cs="宋体"/>
          <w:b/>
          <w:bCs/>
          <w:color w:val="000000"/>
          <w:kern w:val="2"/>
          <w:sz w:val="24"/>
          <w:szCs w:val="24"/>
          <w:highlight w:val="none"/>
          <w:lang w:val="zh-CN" w:eastAsia="zh-CN" w:bidi="ar-SA"/>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000000"/>
          <w:kern w:val="2"/>
          <w:sz w:val="24"/>
          <w:szCs w:val="24"/>
          <w:highlight w:val="none"/>
          <w:lang w:val="zh-CN" w:eastAsia="zh-CN" w:bidi="ar-SA"/>
        </w:rPr>
        <w:t>附件二：</w:t>
      </w:r>
    </w:p>
    <w:p w14:paraId="57BED46C">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 xml:space="preserve">投 标 </w:t>
      </w:r>
      <w:r>
        <w:rPr>
          <w:rFonts w:hint="eastAsia" w:ascii="宋体" w:hAnsi="宋体" w:eastAsia="宋体" w:cs="宋体"/>
          <w:b/>
          <w:bCs/>
          <w:sz w:val="32"/>
          <w:szCs w:val="32"/>
          <w:highlight w:val="none"/>
          <w:lang w:eastAsia="zh-CN"/>
        </w:rPr>
        <w:t>人</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lang w:eastAsia="zh-CN"/>
        </w:rPr>
        <w:t>承</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lang w:eastAsia="zh-CN"/>
        </w:rPr>
        <w:t>诺</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rPr>
        <w:t>函</w:t>
      </w:r>
    </w:p>
    <w:p w14:paraId="5369CD24">
      <w:pPr>
        <w:pStyle w:val="22"/>
        <w:spacing w:line="360" w:lineRule="auto"/>
        <w:rPr>
          <w:rFonts w:hint="eastAsia" w:ascii="宋体" w:hAnsi="宋体" w:eastAsia="宋体" w:cs="宋体"/>
          <w:highlight w:val="none"/>
        </w:rPr>
      </w:pPr>
    </w:p>
    <w:p w14:paraId="696D921D">
      <w:pPr>
        <w:spacing w:line="360" w:lineRule="auto"/>
        <w:rPr>
          <w:rFonts w:hint="eastAsia" w:ascii="宋体" w:hAnsi="宋体" w:eastAsia="宋体" w:cs="宋体"/>
          <w:highlight w:val="none"/>
        </w:rPr>
      </w:pPr>
    </w:p>
    <w:p w14:paraId="78ABE9FC">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u w:val="none"/>
          <w:lang w:val="en-US" w:eastAsia="zh-CN"/>
        </w:rPr>
        <w:t>绍兴市上虞区发展和改革局</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rPr>
        <w:t>：</w:t>
      </w:r>
    </w:p>
    <w:p w14:paraId="688F1F0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绍兴成言工程咨询管理有限公司：</w:t>
      </w:r>
    </w:p>
    <w:p w14:paraId="0C08951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系中华人民共和国合法企业，经营地址</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5ED587B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的法定代表人，我方愿意参加贵方组织的</w:t>
      </w:r>
      <w:r>
        <w:rPr>
          <w:rFonts w:hint="eastAsia" w:ascii="宋体" w:hAnsi="宋体" w:eastAsia="宋体" w:cs="宋体"/>
          <w:color w:val="auto"/>
          <w:sz w:val="24"/>
          <w:highlight w:val="none"/>
          <w:u w:val="single"/>
        </w:rPr>
        <w:t>（招标项目名称）（编号为）</w:t>
      </w:r>
      <w:r>
        <w:rPr>
          <w:rFonts w:hint="eastAsia" w:ascii="宋体" w:hAnsi="宋体" w:eastAsia="宋体" w:cs="宋体"/>
          <w:color w:val="auto"/>
          <w:sz w:val="24"/>
          <w:highlight w:val="none"/>
        </w:rPr>
        <w:t>的投标，为此，我方就本次投标有关事项郑重</w:t>
      </w:r>
      <w:r>
        <w:rPr>
          <w:rFonts w:hint="eastAsia" w:ascii="宋体" w:hAnsi="宋体" w:eastAsia="宋体" w:cs="宋体"/>
          <w:color w:val="auto"/>
          <w:sz w:val="24"/>
          <w:highlight w:val="none"/>
          <w:lang w:eastAsia="zh-CN"/>
        </w:rPr>
        <w:t>承诺</w:t>
      </w:r>
      <w:r>
        <w:rPr>
          <w:rFonts w:hint="eastAsia" w:ascii="宋体" w:hAnsi="宋体" w:eastAsia="宋体" w:cs="宋体"/>
          <w:color w:val="auto"/>
          <w:sz w:val="24"/>
          <w:highlight w:val="none"/>
        </w:rPr>
        <w:t>如下</w:t>
      </w:r>
      <w:r>
        <w:rPr>
          <w:rFonts w:hint="eastAsia" w:ascii="宋体" w:hAnsi="宋体" w:eastAsia="宋体" w:cs="宋体"/>
          <w:sz w:val="24"/>
          <w:highlight w:val="none"/>
        </w:rPr>
        <w:t>：</w:t>
      </w:r>
    </w:p>
    <w:p w14:paraId="0CF9A6A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1、我方已详细审查全部招标文件，同意招标文件的各项要求。</w:t>
      </w:r>
    </w:p>
    <w:p w14:paraId="501C476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2、我方向贵方提交的所有投标文件、资料都是准确的和真实的。</w:t>
      </w:r>
    </w:p>
    <w:p w14:paraId="75365AF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3、若中标，我方将按招标文件规定履行合同责任和义务。</w:t>
      </w:r>
    </w:p>
    <w:p w14:paraId="59E2856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4、我方不是采购人的附属机构；在获知本项目采购信息后，与采购人聘请的为此项目提供咨询服务的公司及其附属机构没有任何联系。</w:t>
      </w:r>
    </w:p>
    <w:p w14:paraId="6828D0C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5、投标文件自开标日起有效期为90天。</w:t>
      </w:r>
    </w:p>
    <w:p w14:paraId="3EA0FC1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6、我方参与本项目前3年内的经营活动中没有重大违法记录；</w:t>
      </w:r>
    </w:p>
    <w:p w14:paraId="4EA7CFB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7、我方通过“信用中国”网站（www.creditchina.gov.cn）、中国政府采购网（www.ccgp.gov.cn）查询，未被列入失信被执行人、重大税收违法案件当事人名单、政府采购严重违法失信行为记录名单。</w:t>
      </w:r>
    </w:p>
    <w:p w14:paraId="61593630">
      <w:pPr>
        <w:pStyle w:val="62"/>
        <w:numPr>
          <w:ilvl w:val="0"/>
          <w:numId w:val="0"/>
        </w:numPr>
        <w:spacing w:before="0" w:line="360" w:lineRule="auto"/>
        <w:ind w:firstLine="480" w:firstLineChars="200"/>
        <w:jc w:val="left"/>
        <w:rPr>
          <w:rFonts w:hint="eastAsia" w:ascii="宋体" w:hAnsi="宋体" w:eastAsia="宋体" w:cs="宋体"/>
          <w:szCs w:val="24"/>
          <w:highlight w:val="none"/>
          <w:lang w:val="en-US" w:eastAsia="zh-CN"/>
        </w:rPr>
      </w:pPr>
      <w:r>
        <w:rPr>
          <w:rFonts w:hint="eastAsia" w:ascii="宋体" w:hAnsi="宋体" w:eastAsia="宋体" w:cs="宋体"/>
          <w:sz w:val="24"/>
          <w:highlight w:val="none"/>
        </w:rPr>
        <w:t>8、</w:t>
      </w:r>
      <w:r>
        <w:rPr>
          <w:rFonts w:hint="eastAsia" w:ascii="宋体" w:hAnsi="宋体" w:eastAsia="宋体" w:cs="宋体"/>
          <w:szCs w:val="24"/>
          <w:highlight w:val="none"/>
          <w:lang w:val="en-US" w:eastAsia="zh-CN"/>
        </w:rPr>
        <w:t>具有良好的商业信誉和健全的财务会计制度；</w:t>
      </w:r>
    </w:p>
    <w:p w14:paraId="1BF442D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9、具有依法缴纳税收和社会保障资金的良好记录</w:t>
      </w:r>
      <w:r>
        <w:rPr>
          <w:rFonts w:hint="eastAsia" w:ascii="宋体" w:hAnsi="宋体" w:eastAsia="宋体" w:cs="宋体"/>
          <w:sz w:val="24"/>
          <w:highlight w:val="none"/>
        </w:rPr>
        <w:t>；</w:t>
      </w:r>
    </w:p>
    <w:p w14:paraId="1E1A7BC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10、</w:t>
      </w:r>
      <w:r>
        <w:rPr>
          <w:rFonts w:hint="eastAsia" w:ascii="宋体" w:hAnsi="宋体" w:eastAsia="宋体" w:cs="宋体"/>
          <w:sz w:val="24"/>
          <w:highlight w:val="none"/>
        </w:rPr>
        <w:t>以上事项如有虚假或隐瞒，我方愿意承担一切后果，并不再寻求任何旨在减轻或免除法律责任的辩解。</w:t>
      </w:r>
    </w:p>
    <w:p w14:paraId="64025421">
      <w:pPr>
        <w:spacing w:line="360" w:lineRule="auto"/>
        <w:ind w:firstLine="480" w:firstLineChars="200"/>
        <w:rPr>
          <w:rFonts w:hint="eastAsia" w:ascii="宋体" w:hAnsi="宋体" w:eastAsia="宋体" w:cs="宋体"/>
          <w:sz w:val="24"/>
          <w:highlight w:val="none"/>
        </w:rPr>
      </w:pPr>
    </w:p>
    <w:p w14:paraId="054A28E6">
      <w:pPr>
        <w:pStyle w:val="12"/>
        <w:spacing w:line="360" w:lineRule="auto"/>
        <w:rPr>
          <w:rFonts w:hint="eastAsia" w:ascii="宋体" w:hAnsi="宋体" w:eastAsia="宋体" w:cs="宋体"/>
          <w:highlight w:val="none"/>
        </w:rPr>
      </w:pPr>
    </w:p>
    <w:p w14:paraId="114A5BC6">
      <w:pPr>
        <w:spacing w:line="360" w:lineRule="auto"/>
        <w:ind w:leftChars="18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法定代表人签名（或签名章）：                       </w:t>
      </w:r>
    </w:p>
    <w:p w14:paraId="1E3951CE">
      <w:pPr>
        <w:spacing w:line="360" w:lineRule="auto"/>
        <w:ind w:leftChars="1800" w:firstLine="480" w:firstLineChars="200"/>
        <w:rPr>
          <w:rFonts w:hint="eastAsia" w:ascii="宋体" w:hAnsi="宋体" w:eastAsia="宋体" w:cs="宋体"/>
          <w:sz w:val="24"/>
          <w:highlight w:val="none"/>
        </w:rPr>
      </w:pPr>
      <w:r>
        <w:rPr>
          <w:rFonts w:hint="eastAsia" w:ascii="宋体" w:hAnsi="宋体" w:eastAsia="宋体" w:cs="宋体"/>
          <w:sz w:val="24"/>
          <w:highlight w:val="none"/>
        </w:rPr>
        <w:t>日 期：</w:t>
      </w:r>
    </w:p>
    <w:p w14:paraId="1952304E">
      <w:pPr>
        <w:spacing w:line="360" w:lineRule="auto"/>
        <w:ind w:leftChars="1800"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投标人全称（公章）：</w:t>
      </w:r>
    </w:p>
    <w:p w14:paraId="1B18E2DA">
      <w:pPr>
        <w:snapToGrid w:val="0"/>
        <w:spacing w:before="50" w:after="167" w:afterLines="50" w:line="360" w:lineRule="auto"/>
        <w:jc w:val="left"/>
        <w:rPr>
          <w:rFonts w:hint="eastAsia" w:ascii="宋体" w:hAnsi="宋体" w:eastAsia="宋体" w:cs="宋体"/>
          <w:b/>
          <w:bCs w:val="0"/>
          <w:sz w:val="24"/>
          <w:szCs w:val="24"/>
          <w:highlight w:val="none"/>
          <w:lang w:val="zh-CN"/>
        </w:rPr>
      </w:pPr>
      <w:bookmarkStart w:id="92" w:name="_Toc31936"/>
    </w:p>
    <w:bookmarkEnd w:id="92"/>
    <w:p w14:paraId="7733B4B9">
      <w:pPr>
        <w:spacing w:line="360" w:lineRule="auto"/>
        <w:jc w:val="center"/>
        <w:rPr>
          <w:rFonts w:hint="eastAsia" w:ascii="宋体" w:hAnsi="宋体" w:eastAsia="宋体" w:cs="宋体"/>
          <w:b/>
          <w:bCs/>
          <w:color w:val="auto"/>
          <w:kern w:val="0"/>
          <w:sz w:val="36"/>
          <w:szCs w:val="36"/>
          <w:highlight w:val="none"/>
        </w:rPr>
      </w:pPr>
    </w:p>
    <w:p w14:paraId="0488CDEC">
      <w:pP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商务技术文件</w:t>
      </w:r>
    </w:p>
    <w:p w14:paraId="67FCE6CC">
      <w:pPr>
        <w:spacing w:line="360" w:lineRule="auto"/>
        <w:jc w:val="center"/>
        <w:rPr>
          <w:rFonts w:hint="eastAsia" w:ascii="宋体" w:hAnsi="宋体" w:eastAsia="宋体" w:cs="宋体"/>
          <w:b/>
          <w:bCs/>
          <w:color w:val="auto"/>
          <w:kern w:val="0"/>
          <w:sz w:val="36"/>
          <w:szCs w:val="36"/>
          <w:highlight w:val="none"/>
        </w:rPr>
      </w:pPr>
    </w:p>
    <w:p w14:paraId="67254DD5">
      <w:pP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目录</w:t>
      </w:r>
    </w:p>
    <w:p w14:paraId="094A62C7">
      <w:pPr>
        <w:pStyle w:val="12"/>
        <w:spacing w:line="360" w:lineRule="auto"/>
        <w:ind w:left="426" w:firstLine="486"/>
        <w:rPr>
          <w:rFonts w:hint="eastAsia" w:ascii="宋体" w:hAnsi="宋体" w:eastAsia="宋体" w:cs="宋体"/>
          <w:color w:val="auto"/>
          <w:highlight w:val="none"/>
        </w:rPr>
      </w:pPr>
    </w:p>
    <w:p w14:paraId="3A7056DE">
      <w:pPr>
        <w:numPr>
          <w:ilvl w:val="0"/>
          <w:numId w:val="20"/>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评分对应表（格式见附件，主要用于评委对应评分内容）</w:t>
      </w:r>
      <w:r>
        <w:rPr>
          <w:rFonts w:hint="eastAsia" w:ascii="宋体" w:hAnsi="宋体" w:eastAsia="宋体" w:cs="宋体"/>
          <w:sz w:val="24"/>
          <w:szCs w:val="24"/>
          <w:highlight w:val="none"/>
          <w:lang w:eastAsia="zh-CN"/>
        </w:rPr>
        <w:t>；</w:t>
      </w:r>
    </w:p>
    <w:p w14:paraId="4031770F">
      <w:pPr>
        <w:numPr>
          <w:ilvl w:val="0"/>
          <w:numId w:val="20"/>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供应商商务技术文件中资信分自评表（格式见附件）；</w:t>
      </w:r>
    </w:p>
    <w:p w14:paraId="5C5E28CD">
      <w:pPr>
        <w:numPr>
          <w:ilvl w:val="0"/>
          <w:numId w:val="20"/>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磋商项目明细清单（格式见附件）；</w:t>
      </w:r>
    </w:p>
    <w:p w14:paraId="0882F6B1">
      <w:pPr>
        <w:numPr>
          <w:ilvl w:val="0"/>
          <w:numId w:val="20"/>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技术响应及建议表（格式见附件）；</w:t>
      </w:r>
    </w:p>
    <w:p w14:paraId="4ED1F276">
      <w:pPr>
        <w:numPr>
          <w:ilvl w:val="0"/>
          <w:numId w:val="20"/>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商务响应表（格式见附件）；</w:t>
      </w:r>
    </w:p>
    <w:p w14:paraId="3A4F3424">
      <w:pPr>
        <w:numPr>
          <w:ilvl w:val="0"/>
          <w:numId w:val="20"/>
        </w:num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项目理解；</w:t>
      </w:r>
    </w:p>
    <w:p w14:paraId="67F61338">
      <w:pPr>
        <w:numPr>
          <w:ilvl w:val="0"/>
          <w:numId w:val="20"/>
        </w:num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重难点分析；</w:t>
      </w:r>
    </w:p>
    <w:p w14:paraId="529AE2DA">
      <w:pPr>
        <w:numPr>
          <w:ilvl w:val="0"/>
          <w:numId w:val="20"/>
        </w:num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发展基础；</w:t>
      </w:r>
    </w:p>
    <w:p w14:paraId="573E630D">
      <w:pPr>
        <w:numPr>
          <w:ilvl w:val="0"/>
          <w:numId w:val="20"/>
        </w:num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形势判断；</w:t>
      </w:r>
    </w:p>
    <w:p w14:paraId="2AACF069">
      <w:pPr>
        <w:numPr>
          <w:ilvl w:val="0"/>
          <w:numId w:val="20"/>
        </w:num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对比分析；</w:t>
      </w:r>
    </w:p>
    <w:p w14:paraId="6BD39F9E">
      <w:pPr>
        <w:numPr>
          <w:ilvl w:val="0"/>
          <w:numId w:val="20"/>
        </w:num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项目研究方法；</w:t>
      </w:r>
    </w:p>
    <w:p w14:paraId="12419B16">
      <w:pPr>
        <w:numPr>
          <w:ilvl w:val="0"/>
          <w:numId w:val="20"/>
        </w:num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拟投入人员；</w:t>
      </w:r>
    </w:p>
    <w:p w14:paraId="4E1F6EE8">
      <w:pPr>
        <w:numPr>
          <w:ilvl w:val="0"/>
          <w:numId w:val="20"/>
        </w:num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进度计划；</w:t>
      </w:r>
    </w:p>
    <w:p w14:paraId="51081EE9">
      <w:pPr>
        <w:numPr>
          <w:ilvl w:val="0"/>
          <w:numId w:val="20"/>
        </w:num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拟提交成果报告框架设计；</w:t>
      </w:r>
    </w:p>
    <w:p w14:paraId="5DDC83BF">
      <w:pPr>
        <w:numPr>
          <w:ilvl w:val="0"/>
          <w:numId w:val="20"/>
        </w:num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质量保证措施；</w:t>
      </w:r>
    </w:p>
    <w:p w14:paraId="549A3FC2">
      <w:pPr>
        <w:numPr>
          <w:ilvl w:val="0"/>
          <w:numId w:val="20"/>
        </w:num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保密措施；</w:t>
      </w:r>
    </w:p>
    <w:p w14:paraId="6B113CBC">
      <w:pPr>
        <w:numPr>
          <w:ilvl w:val="0"/>
          <w:numId w:val="20"/>
        </w:num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服务承诺；</w:t>
      </w:r>
    </w:p>
    <w:p w14:paraId="0FEC3DF2">
      <w:pPr>
        <w:numPr>
          <w:ilvl w:val="0"/>
          <w:numId w:val="20"/>
        </w:num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人员证书；</w:t>
      </w:r>
    </w:p>
    <w:p w14:paraId="56663D89">
      <w:pPr>
        <w:numPr>
          <w:ilvl w:val="0"/>
          <w:numId w:val="20"/>
        </w:num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认证证书；</w:t>
      </w:r>
    </w:p>
    <w:p w14:paraId="292322C5">
      <w:pPr>
        <w:numPr>
          <w:ilvl w:val="0"/>
          <w:numId w:val="20"/>
        </w:num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类似业绩；</w:t>
      </w:r>
    </w:p>
    <w:p w14:paraId="06D68ABB">
      <w:pPr>
        <w:numPr>
          <w:ilvl w:val="0"/>
          <w:numId w:val="20"/>
        </w:num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供应商认为需要的其他文件资料。 </w:t>
      </w:r>
    </w:p>
    <w:p w14:paraId="656945FC">
      <w:pPr>
        <w:pStyle w:val="62"/>
        <w:tabs>
          <w:tab w:val="left" w:pos="0"/>
        </w:tabs>
        <w:spacing w:before="0" w:line="360" w:lineRule="auto"/>
        <w:ind w:left="0" w:leftChars="0" w:firstLine="0" w:firstLineChars="0"/>
        <w:rPr>
          <w:rFonts w:hint="eastAsia" w:ascii="宋体" w:hAnsi="宋体" w:eastAsia="宋体" w:cs="宋体"/>
          <w:color w:val="auto"/>
          <w:highlight w:val="none"/>
        </w:rPr>
      </w:pPr>
      <w:bookmarkStart w:id="93" w:name="_Toc10131"/>
      <w:r>
        <w:rPr>
          <w:rFonts w:hint="eastAsia" w:ascii="宋体" w:hAnsi="宋体" w:eastAsia="宋体" w:cs="宋体"/>
          <w:color w:val="auto"/>
          <w:highlight w:val="none"/>
        </w:rPr>
        <w:t>注：以上内容应与评标办法中内容具有一致性。</w:t>
      </w:r>
    </w:p>
    <w:p w14:paraId="4B24436B">
      <w:pPr>
        <w:snapToGrid w:val="0"/>
        <w:spacing w:before="50" w:after="50" w:line="360" w:lineRule="auto"/>
        <w:jc w:val="left"/>
        <w:rPr>
          <w:rFonts w:hint="eastAsia" w:ascii="宋体" w:hAnsi="宋体" w:eastAsia="宋体" w:cs="宋体"/>
          <w:b/>
          <w:bCs/>
          <w:color w:val="auto"/>
          <w:sz w:val="24"/>
          <w:szCs w:val="24"/>
          <w:highlight w:val="none"/>
          <w:lang w:val="zh-CN"/>
        </w:rPr>
      </w:pPr>
    </w:p>
    <w:p w14:paraId="13B45CDF">
      <w:pPr>
        <w:snapToGrid w:val="0"/>
        <w:spacing w:before="50" w:after="50" w:line="360" w:lineRule="auto"/>
        <w:jc w:val="left"/>
        <w:rPr>
          <w:rFonts w:hint="eastAsia" w:ascii="宋体" w:hAnsi="宋体" w:eastAsia="宋体" w:cs="宋体"/>
          <w:b/>
          <w:bCs/>
          <w:color w:val="auto"/>
          <w:sz w:val="24"/>
          <w:szCs w:val="24"/>
          <w:highlight w:val="none"/>
          <w:lang w:val="zh-CN"/>
        </w:rPr>
      </w:pPr>
    </w:p>
    <w:p w14:paraId="14BD6B9C">
      <w:pPr>
        <w:snapToGrid w:val="0"/>
        <w:spacing w:before="50" w:after="50" w:line="360" w:lineRule="auto"/>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zh-CN"/>
        </w:rPr>
        <w:t>：</w:t>
      </w:r>
    </w:p>
    <w:p w14:paraId="47F1B5BC">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评分对应表</w:t>
      </w:r>
    </w:p>
    <w:p w14:paraId="4E27923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2C98A5E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29"/>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14:paraId="148D3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08EFF71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1C01637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响应文件对应资料</w:t>
            </w:r>
          </w:p>
        </w:tc>
        <w:tc>
          <w:tcPr>
            <w:tcW w:w="1977" w:type="dxa"/>
            <w:tcBorders>
              <w:top w:val="single" w:color="auto" w:sz="4" w:space="0"/>
              <w:left w:val="single" w:color="auto" w:sz="4" w:space="0"/>
              <w:bottom w:val="single" w:color="auto" w:sz="4" w:space="0"/>
            </w:tcBorders>
            <w:vAlign w:val="center"/>
          </w:tcPr>
          <w:p w14:paraId="0109271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响应文件页码</w:t>
            </w:r>
          </w:p>
        </w:tc>
      </w:tr>
      <w:tr w14:paraId="15F1DD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5031A7E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对应评分办法及评分标准</w:t>
            </w:r>
          </w:p>
          <w:p w14:paraId="5E1B9A0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（报价除外）</w:t>
            </w:r>
          </w:p>
        </w:tc>
        <w:tc>
          <w:tcPr>
            <w:tcW w:w="3060" w:type="dxa"/>
            <w:tcBorders>
              <w:top w:val="single" w:color="auto" w:sz="4" w:space="0"/>
              <w:left w:val="single" w:color="auto" w:sz="4" w:space="0"/>
              <w:bottom w:val="single" w:color="auto" w:sz="4" w:space="0"/>
              <w:right w:val="single" w:color="auto" w:sz="4" w:space="0"/>
            </w:tcBorders>
            <w:vAlign w:val="center"/>
          </w:tcPr>
          <w:p w14:paraId="21FCE14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463B525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3CEF2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75B013D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060" w:type="dxa"/>
            <w:tcBorders>
              <w:top w:val="single" w:color="auto" w:sz="4" w:space="0"/>
              <w:left w:val="single" w:color="auto" w:sz="4" w:space="0"/>
              <w:bottom w:val="single" w:color="auto" w:sz="4" w:space="0"/>
              <w:right w:val="single" w:color="auto" w:sz="4" w:space="0"/>
            </w:tcBorders>
            <w:vAlign w:val="center"/>
          </w:tcPr>
          <w:p w14:paraId="4B9D413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38FE91B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498C2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0332CC4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7DA2B6F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26FE0C7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77705C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4D8EB3BD">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4590CA5E">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1A8CAA1A">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r>
      <w:tr w14:paraId="3339E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02EDA8D">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1AD92A21">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23AED8EE">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r>
      <w:tr w14:paraId="1012B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730D3FE0">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56126F96">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3C3C7812">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r>
      <w:tr w14:paraId="6074E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26249931">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59B6690E">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37565B4F">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r>
      <w:tr w14:paraId="6D329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DC4FFA6">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23C714D3">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50394E2A">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r>
      <w:tr w14:paraId="0F0FF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E27CD46">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3CF914D2">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3D4A7720">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r>
    </w:tbl>
    <w:p w14:paraId="0EA96CFD">
      <w:pPr>
        <w:spacing w:line="360" w:lineRule="auto"/>
        <w:ind w:firstLine="480" w:firstLineChars="200"/>
        <w:rPr>
          <w:rFonts w:hint="eastAsia" w:ascii="宋体" w:hAnsi="宋体" w:eastAsia="宋体" w:cs="宋体"/>
          <w:color w:val="auto"/>
          <w:sz w:val="24"/>
          <w:szCs w:val="24"/>
          <w:highlight w:val="none"/>
        </w:rPr>
      </w:pPr>
    </w:p>
    <w:p w14:paraId="1AE8DD4C">
      <w:pPr>
        <w:spacing w:line="360" w:lineRule="auto"/>
        <w:ind w:left="3780" w:leftChars="1800" w:firstLine="480" w:firstLineChars="200"/>
        <w:rPr>
          <w:rFonts w:hint="eastAsia" w:ascii="宋体" w:hAnsi="宋体" w:eastAsia="宋体" w:cs="宋体"/>
          <w:color w:val="auto"/>
          <w:sz w:val="24"/>
          <w:szCs w:val="24"/>
          <w:highlight w:val="none"/>
        </w:rPr>
      </w:pPr>
    </w:p>
    <w:p w14:paraId="42BC1934">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78A1A81D">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3E6D7A85">
      <w:pPr>
        <w:spacing w:line="360" w:lineRule="auto"/>
        <w:ind w:left="3780" w:leftChars="1800"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供应商全称（公章）：</w:t>
      </w:r>
    </w:p>
    <w:p w14:paraId="0BA0DD22">
      <w:pPr>
        <w:spacing w:line="360" w:lineRule="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w:t>
      </w:r>
    </w:p>
    <w:p w14:paraId="7661C738">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供应商商务技术文件中资信分自评表</w:t>
      </w:r>
      <w:bookmarkEnd w:id="93"/>
    </w:p>
    <w:p w14:paraId="4D82718D">
      <w:pPr>
        <w:snapToGrid w:val="0"/>
        <w:spacing w:before="50" w:line="360" w:lineRule="auto"/>
        <w:jc w:val="center"/>
        <w:rPr>
          <w:rFonts w:hint="eastAsia" w:ascii="宋体" w:hAnsi="宋体" w:eastAsia="宋体" w:cs="宋体"/>
          <w:b/>
          <w:bCs/>
          <w:color w:val="auto"/>
          <w:sz w:val="32"/>
          <w:szCs w:val="32"/>
          <w:highlight w:val="none"/>
        </w:rPr>
      </w:pPr>
    </w:p>
    <w:p w14:paraId="15B6EED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5B42B52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29"/>
        <w:tblW w:w="89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14:paraId="2BF43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D90D07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387" w:type="dxa"/>
            <w:vAlign w:val="center"/>
          </w:tcPr>
          <w:p w14:paraId="76D4707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资信分内容</w:t>
            </w:r>
          </w:p>
        </w:tc>
        <w:tc>
          <w:tcPr>
            <w:tcW w:w="1462" w:type="dxa"/>
            <w:vAlign w:val="center"/>
          </w:tcPr>
          <w:p w14:paraId="7B78A62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自评得分</w:t>
            </w:r>
          </w:p>
        </w:tc>
        <w:tc>
          <w:tcPr>
            <w:tcW w:w="2415" w:type="dxa"/>
            <w:tcBorders>
              <w:right w:val="single" w:color="auto" w:sz="4" w:space="0"/>
            </w:tcBorders>
            <w:vAlign w:val="center"/>
          </w:tcPr>
          <w:p w14:paraId="6E4B91D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响应文件对应资料</w:t>
            </w:r>
          </w:p>
        </w:tc>
        <w:tc>
          <w:tcPr>
            <w:tcW w:w="1746" w:type="dxa"/>
            <w:tcBorders>
              <w:left w:val="single" w:color="auto" w:sz="4" w:space="0"/>
            </w:tcBorders>
            <w:vAlign w:val="center"/>
          </w:tcPr>
          <w:p w14:paraId="5AA76E7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响应文件页码</w:t>
            </w:r>
          </w:p>
        </w:tc>
      </w:tr>
      <w:tr w14:paraId="79E63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9FEA9C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387" w:type="dxa"/>
          </w:tcPr>
          <w:p w14:paraId="23744AB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62" w:type="dxa"/>
          </w:tcPr>
          <w:p w14:paraId="04FC9D2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2F5C522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1EA1694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4EDE2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5119771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387" w:type="dxa"/>
          </w:tcPr>
          <w:p w14:paraId="73AC1D3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62" w:type="dxa"/>
          </w:tcPr>
          <w:p w14:paraId="36E4739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04447A2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1385F59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7CF33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2BACE3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387" w:type="dxa"/>
          </w:tcPr>
          <w:p w14:paraId="7990A62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62" w:type="dxa"/>
          </w:tcPr>
          <w:p w14:paraId="1B411CC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0B50FA7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1AA85BA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0313E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0A5F149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387" w:type="dxa"/>
          </w:tcPr>
          <w:p w14:paraId="46727CC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62" w:type="dxa"/>
          </w:tcPr>
          <w:p w14:paraId="13C2C42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5FCC364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2A0DD2C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6E974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DFBAFA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387" w:type="dxa"/>
          </w:tcPr>
          <w:p w14:paraId="658F297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62" w:type="dxa"/>
          </w:tcPr>
          <w:p w14:paraId="7474B5B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16B1D10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2D91C57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29411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119CCF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387" w:type="dxa"/>
          </w:tcPr>
          <w:p w14:paraId="2EEBADD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62" w:type="dxa"/>
          </w:tcPr>
          <w:p w14:paraId="36104E5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2DC9AB2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3970493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14B5F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53553DD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387" w:type="dxa"/>
          </w:tcPr>
          <w:p w14:paraId="2DD139A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62" w:type="dxa"/>
          </w:tcPr>
          <w:p w14:paraId="7454D84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286016B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38AA345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47B52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614BC4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387" w:type="dxa"/>
          </w:tcPr>
          <w:p w14:paraId="6BE334B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62" w:type="dxa"/>
          </w:tcPr>
          <w:p w14:paraId="17C52AD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3C3B811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2E75579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1A96D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6023DB4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2387" w:type="dxa"/>
          </w:tcPr>
          <w:p w14:paraId="44DD4C1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62" w:type="dxa"/>
          </w:tcPr>
          <w:p w14:paraId="47EB31E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3766F2D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461FA44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bl>
    <w:p w14:paraId="050DF705">
      <w:pPr>
        <w:spacing w:line="360" w:lineRule="auto"/>
        <w:ind w:firstLine="480" w:firstLineChars="200"/>
        <w:rPr>
          <w:rFonts w:hint="eastAsia" w:ascii="宋体" w:hAnsi="宋体" w:eastAsia="宋体" w:cs="宋体"/>
          <w:color w:val="auto"/>
          <w:sz w:val="24"/>
          <w:szCs w:val="24"/>
          <w:highlight w:val="none"/>
        </w:rPr>
      </w:pPr>
    </w:p>
    <w:p w14:paraId="737BFE60">
      <w:pPr>
        <w:spacing w:line="360" w:lineRule="auto"/>
        <w:ind w:left="3780" w:leftChars="1800" w:firstLine="480" w:firstLineChars="200"/>
        <w:rPr>
          <w:rFonts w:hint="eastAsia" w:ascii="宋体" w:hAnsi="宋体" w:eastAsia="宋体" w:cs="宋体"/>
          <w:color w:val="auto"/>
          <w:sz w:val="24"/>
          <w:szCs w:val="24"/>
          <w:highlight w:val="none"/>
        </w:rPr>
      </w:pPr>
    </w:p>
    <w:p w14:paraId="3E813E85">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5CB63213">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2F99A91F">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0B66733D">
      <w:pPr>
        <w:snapToGrid w:val="0"/>
        <w:spacing w:before="50" w:afterLines="50" w:line="360" w:lineRule="auto"/>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30"/>
          <w:szCs w:val="30"/>
          <w:highlight w:val="none"/>
        </w:rPr>
        <w:br w:type="page"/>
      </w:r>
      <w:r>
        <w:rPr>
          <w:rFonts w:hint="eastAsia" w:ascii="宋体" w:hAnsi="宋体" w:eastAsia="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zh-CN"/>
        </w:rPr>
        <w:t>：</w:t>
      </w:r>
    </w:p>
    <w:p w14:paraId="1746B14B">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投标项目明细清单</w:t>
      </w:r>
    </w:p>
    <w:p w14:paraId="2036F469">
      <w:pPr>
        <w:spacing w:line="360" w:lineRule="auto"/>
        <w:ind w:firstLine="480" w:firstLineChars="200"/>
        <w:rPr>
          <w:rFonts w:hint="eastAsia" w:ascii="宋体" w:hAnsi="宋体" w:eastAsia="宋体" w:cs="宋体"/>
          <w:color w:val="auto"/>
          <w:sz w:val="24"/>
          <w:szCs w:val="24"/>
          <w:highlight w:val="none"/>
        </w:rPr>
      </w:pPr>
    </w:p>
    <w:p w14:paraId="51D9314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1A5FF72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29"/>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58E43D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52AA40DE">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3554D491">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3022430A">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服务人员数量</w:t>
            </w:r>
          </w:p>
        </w:tc>
        <w:tc>
          <w:tcPr>
            <w:tcW w:w="2830" w:type="dxa"/>
            <w:tcBorders>
              <w:top w:val="single" w:color="auto" w:sz="4" w:space="0"/>
              <w:left w:val="single" w:color="auto" w:sz="4" w:space="0"/>
              <w:bottom w:val="single" w:color="auto" w:sz="4" w:space="0"/>
            </w:tcBorders>
            <w:vAlign w:val="center"/>
          </w:tcPr>
          <w:p w14:paraId="097A24E9">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工作量</w:t>
            </w:r>
          </w:p>
        </w:tc>
      </w:tr>
      <w:tr w14:paraId="39499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08CBD041">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46AECBF3">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154B4E44">
            <w:pPr>
              <w:keepNext w:val="0"/>
              <w:keepLines w:val="0"/>
              <w:suppressLineNumbers w:val="0"/>
              <w:snapToGrid w:val="0"/>
              <w:spacing w:before="50" w:beforeAutospacing="0" w:after="50" w:afterAutospacing="0" w:line="360" w:lineRule="auto"/>
              <w:ind w:left="480" w:right="0" w:hanging="480"/>
              <w:jc w:val="center"/>
              <w:rPr>
                <w:rFonts w:hint="eastAsia" w:ascii="宋体" w:hAnsi="宋体" w:eastAsia="宋体" w:cs="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14:paraId="6FEB44BD">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r w14:paraId="18CE8F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7A4215AB">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24A94165">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51E0E4D3">
            <w:pPr>
              <w:keepNext w:val="0"/>
              <w:keepLines w:val="0"/>
              <w:suppressLineNumbers w:val="0"/>
              <w:snapToGrid w:val="0"/>
              <w:spacing w:before="50" w:beforeAutospacing="0" w:after="50" w:afterAutospacing="0" w:line="360" w:lineRule="auto"/>
              <w:ind w:left="480" w:right="0" w:hanging="480"/>
              <w:jc w:val="center"/>
              <w:rPr>
                <w:rFonts w:hint="eastAsia" w:ascii="宋体" w:hAnsi="宋体" w:eastAsia="宋体" w:cs="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14:paraId="4632CFE3">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bl>
    <w:p w14:paraId="08E0AE3C">
      <w:pPr>
        <w:snapToGrid w:val="0"/>
        <w:spacing w:before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注：在填写时，如上表不适合本项目的实际情况，可在确保投标明细内容完整的情况下，根据上表格式自行划表填写。</w:t>
      </w:r>
    </w:p>
    <w:p w14:paraId="641D1484">
      <w:pPr>
        <w:pStyle w:val="12"/>
        <w:spacing w:line="360" w:lineRule="auto"/>
        <w:rPr>
          <w:rFonts w:hint="eastAsia" w:ascii="宋体" w:hAnsi="宋体" w:eastAsia="宋体" w:cs="宋体"/>
          <w:color w:val="auto"/>
          <w:highlight w:val="none"/>
        </w:rPr>
      </w:pPr>
    </w:p>
    <w:p w14:paraId="1449043F">
      <w:pPr>
        <w:pStyle w:val="12"/>
        <w:spacing w:line="360" w:lineRule="auto"/>
        <w:rPr>
          <w:rFonts w:hint="eastAsia" w:ascii="宋体" w:hAnsi="宋体" w:eastAsia="宋体" w:cs="宋体"/>
          <w:color w:val="auto"/>
          <w:highlight w:val="none"/>
        </w:rPr>
      </w:pPr>
    </w:p>
    <w:p w14:paraId="1379D951">
      <w:pPr>
        <w:pStyle w:val="12"/>
        <w:spacing w:line="360" w:lineRule="auto"/>
        <w:rPr>
          <w:rFonts w:hint="eastAsia" w:ascii="宋体" w:hAnsi="宋体" w:eastAsia="宋体" w:cs="宋体"/>
          <w:color w:val="auto"/>
          <w:highlight w:val="none"/>
        </w:rPr>
      </w:pPr>
    </w:p>
    <w:p w14:paraId="3D27F5B0">
      <w:pPr>
        <w:snapToGrid w:val="0"/>
        <w:spacing w:beforeLines="50" w:line="360" w:lineRule="auto"/>
        <w:rPr>
          <w:rFonts w:hint="eastAsia" w:ascii="宋体" w:hAnsi="宋体" w:eastAsia="宋体" w:cs="宋体"/>
          <w:color w:val="auto"/>
          <w:sz w:val="24"/>
          <w:szCs w:val="24"/>
          <w:highlight w:val="none"/>
        </w:rPr>
      </w:pPr>
    </w:p>
    <w:p w14:paraId="35F67BDF">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6B1DC3BF">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6A90DD21">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0DAAD634">
      <w:pPr>
        <w:snapToGrid w:val="0"/>
        <w:spacing w:before="50" w:after="50" w:line="360" w:lineRule="auto"/>
        <w:rPr>
          <w:rFonts w:hint="eastAsia" w:ascii="宋体" w:hAnsi="宋体" w:eastAsia="宋体" w:cs="宋体"/>
          <w:color w:val="auto"/>
          <w:spacing w:val="20"/>
          <w:sz w:val="24"/>
          <w:szCs w:val="24"/>
          <w:highlight w:val="none"/>
        </w:rPr>
      </w:pPr>
    </w:p>
    <w:p w14:paraId="0314BF03">
      <w:pPr>
        <w:snapToGrid w:val="0"/>
        <w:spacing w:before="50" w:after="50" w:line="360" w:lineRule="auto"/>
        <w:rPr>
          <w:rFonts w:hint="eastAsia" w:ascii="宋体" w:hAnsi="宋体" w:eastAsia="宋体" w:cs="宋体"/>
          <w:color w:val="auto"/>
          <w:spacing w:val="20"/>
          <w:sz w:val="30"/>
          <w:szCs w:val="30"/>
          <w:highlight w:val="none"/>
        </w:rPr>
      </w:pPr>
    </w:p>
    <w:p w14:paraId="7B643527">
      <w:pPr>
        <w:pStyle w:val="12"/>
        <w:spacing w:line="360" w:lineRule="auto"/>
        <w:ind w:firstLine="686"/>
        <w:rPr>
          <w:rFonts w:hint="eastAsia" w:ascii="宋体" w:hAnsi="宋体" w:eastAsia="宋体" w:cs="宋体"/>
          <w:color w:val="auto"/>
          <w:spacing w:val="20"/>
          <w:sz w:val="30"/>
          <w:szCs w:val="30"/>
          <w:highlight w:val="none"/>
        </w:rPr>
      </w:pPr>
    </w:p>
    <w:p w14:paraId="5BA4AE92">
      <w:pPr>
        <w:pStyle w:val="12"/>
        <w:spacing w:line="360" w:lineRule="auto"/>
        <w:ind w:firstLine="686"/>
        <w:rPr>
          <w:rFonts w:hint="eastAsia" w:ascii="宋体" w:hAnsi="宋体" w:eastAsia="宋体" w:cs="宋体"/>
          <w:color w:val="auto"/>
          <w:spacing w:val="20"/>
          <w:sz w:val="30"/>
          <w:szCs w:val="30"/>
          <w:highlight w:val="none"/>
        </w:rPr>
        <w:sectPr>
          <w:pgSz w:w="11906" w:h="16838"/>
          <w:pgMar w:top="1440" w:right="1800" w:bottom="1440" w:left="1800" w:header="851" w:footer="992" w:gutter="0"/>
          <w:cols w:space="425" w:num="1"/>
          <w:docGrid w:type="lines" w:linePitch="312" w:charSpace="0"/>
        </w:sectPr>
      </w:pPr>
    </w:p>
    <w:p w14:paraId="440FD120">
      <w:pPr>
        <w:spacing w:line="360" w:lineRule="auto"/>
        <w:rPr>
          <w:rFonts w:hint="eastAsia" w:ascii="宋体" w:hAnsi="宋体" w:eastAsia="宋体" w:cs="宋体"/>
          <w:b/>
          <w:bCs/>
          <w:color w:val="auto"/>
          <w:sz w:val="24"/>
          <w:szCs w:val="24"/>
          <w:highlight w:val="none"/>
        </w:rPr>
      </w:pPr>
      <w:bookmarkStart w:id="94" w:name="_Toc2823"/>
      <w:r>
        <w:rPr>
          <w:rFonts w:hint="eastAsia" w:ascii="宋体" w:hAnsi="宋体" w:eastAsia="宋体" w:cs="宋体"/>
          <w:b/>
          <w:bCs/>
          <w:color w:val="auto"/>
          <w:sz w:val="24"/>
          <w:szCs w:val="24"/>
          <w:highlight w:val="none"/>
        </w:rPr>
        <w:t>附件</w:t>
      </w: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w:t>
      </w:r>
    </w:p>
    <w:p w14:paraId="53D51CC8">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技术响应及建议表</w:t>
      </w:r>
      <w:bookmarkEnd w:id="94"/>
    </w:p>
    <w:p w14:paraId="47C909B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DB8E0E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379ADD1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29"/>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14:paraId="171C5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4DCA8B48">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40" w:type="dxa"/>
            <w:vAlign w:val="center"/>
          </w:tcPr>
          <w:p w14:paraId="1B01D9D8">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980" w:type="dxa"/>
            <w:vAlign w:val="center"/>
          </w:tcPr>
          <w:p w14:paraId="0B0A971B">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磋商文件要求</w:t>
            </w:r>
          </w:p>
        </w:tc>
        <w:tc>
          <w:tcPr>
            <w:tcW w:w="2520" w:type="dxa"/>
            <w:vAlign w:val="center"/>
          </w:tcPr>
          <w:p w14:paraId="4940A8CE">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响应文件响应</w:t>
            </w:r>
          </w:p>
        </w:tc>
        <w:tc>
          <w:tcPr>
            <w:tcW w:w="1953" w:type="dxa"/>
            <w:vAlign w:val="center"/>
          </w:tcPr>
          <w:p w14:paraId="0997185A">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偏离情况</w:t>
            </w:r>
          </w:p>
        </w:tc>
      </w:tr>
      <w:tr w14:paraId="53E38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536ADF82">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440" w:type="dxa"/>
            <w:vAlign w:val="center"/>
          </w:tcPr>
          <w:p w14:paraId="057E7C75">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980" w:type="dxa"/>
            <w:vAlign w:val="center"/>
          </w:tcPr>
          <w:p w14:paraId="65AFDA78">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520" w:type="dxa"/>
            <w:vAlign w:val="center"/>
          </w:tcPr>
          <w:p w14:paraId="592D6FC8">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953" w:type="dxa"/>
            <w:vAlign w:val="center"/>
          </w:tcPr>
          <w:p w14:paraId="4391081D">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r w14:paraId="14AA9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55A97799">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440" w:type="dxa"/>
            <w:vAlign w:val="center"/>
          </w:tcPr>
          <w:p w14:paraId="3185C97C">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980" w:type="dxa"/>
            <w:vAlign w:val="center"/>
          </w:tcPr>
          <w:p w14:paraId="05470233">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520" w:type="dxa"/>
            <w:vAlign w:val="center"/>
          </w:tcPr>
          <w:p w14:paraId="5A52777B">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953" w:type="dxa"/>
            <w:vAlign w:val="center"/>
          </w:tcPr>
          <w:p w14:paraId="7DE351AA">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r w14:paraId="4ED9C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2BBEA6A6">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440" w:type="dxa"/>
            <w:vAlign w:val="center"/>
          </w:tcPr>
          <w:p w14:paraId="5E40C78F">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980" w:type="dxa"/>
            <w:vAlign w:val="center"/>
          </w:tcPr>
          <w:p w14:paraId="5744ED72">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520" w:type="dxa"/>
            <w:vAlign w:val="center"/>
          </w:tcPr>
          <w:p w14:paraId="7798E736">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953" w:type="dxa"/>
            <w:vAlign w:val="center"/>
          </w:tcPr>
          <w:p w14:paraId="177143A2">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r w14:paraId="00B6C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6DCEF588">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440" w:type="dxa"/>
            <w:vAlign w:val="center"/>
          </w:tcPr>
          <w:p w14:paraId="3D635D99">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980" w:type="dxa"/>
            <w:vAlign w:val="center"/>
          </w:tcPr>
          <w:p w14:paraId="499A2333">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520" w:type="dxa"/>
            <w:vAlign w:val="center"/>
          </w:tcPr>
          <w:p w14:paraId="4C90F8BE">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953" w:type="dxa"/>
            <w:vAlign w:val="center"/>
          </w:tcPr>
          <w:p w14:paraId="25573A93">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r w14:paraId="6B5DB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6181070F">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440" w:type="dxa"/>
            <w:vAlign w:val="center"/>
          </w:tcPr>
          <w:p w14:paraId="49FC4E79">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980" w:type="dxa"/>
            <w:vAlign w:val="center"/>
          </w:tcPr>
          <w:p w14:paraId="30AC739A">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520" w:type="dxa"/>
            <w:vAlign w:val="center"/>
          </w:tcPr>
          <w:p w14:paraId="1B64C5B2">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953" w:type="dxa"/>
            <w:vAlign w:val="center"/>
          </w:tcPr>
          <w:p w14:paraId="77E6CEEE">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r w14:paraId="142C6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vAlign w:val="center"/>
          </w:tcPr>
          <w:p w14:paraId="615EF935">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投标建议</w:t>
            </w:r>
          </w:p>
        </w:tc>
        <w:tc>
          <w:tcPr>
            <w:tcW w:w="6453" w:type="dxa"/>
            <w:gridSpan w:val="3"/>
            <w:vAlign w:val="center"/>
          </w:tcPr>
          <w:p w14:paraId="21D8F76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bl>
    <w:p w14:paraId="20DE5342">
      <w:pPr>
        <w:snapToGrid w:val="0"/>
        <w:spacing w:line="360" w:lineRule="auto"/>
        <w:rPr>
          <w:rFonts w:hint="eastAsia" w:ascii="宋体" w:hAnsi="宋体" w:eastAsia="宋体" w:cs="宋体"/>
          <w:color w:val="auto"/>
          <w:sz w:val="24"/>
          <w:szCs w:val="24"/>
          <w:highlight w:val="none"/>
        </w:rPr>
      </w:pPr>
    </w:p>
    <w:p w14:paraId="1A2CBE21">
      <w:pPr>
        <w:pStyle w:val="1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注：名称可基于项目清单根据供应商实际情况调整。</w:t>
      </w:r>
    </w:p>
    <w:p w14:paraId="0F4B2E57">
      <w:pPr>
        <w:spacing w:line="360" w:lineRule="auto"/>
        <w:rPr>
          <w:rFonts w:hint="eastAsia" w:ascii="宋体" w:hAnsi="宋体" w:eastAsia="宋体" w:cs="宋体"/>
          <w:color w:val="auto"/>
          <w:sz w:val="24"/>
          <w:szCs w:val="24"/>
          <w:highlight w:val="none"/>
        </w:rPr>
      </w:pPr>
    </w:p>
    <w:p w14:paraId="3DA00244">
      <w:pPr>
        <w:pStyle w:val="12"/>
        <w:spacing w:line="360" w:lineRule="auto"/>
        <w:rPr>
          <w:rFonts w:hint="eastAsia" w:ascii="宋体" w:hAnsi="宋体" w:eastAsia="宋体" w:cs="宋体"/>
          <w:color w:val="auto"/>
          <w:highlight w:val="none"/>
        </w:rPr>
      </w:pPr>
    </w:p>
    <w:p w14:paraId="5E8EF072">
      <w:pPr>
        <w:snapToGrid w:val="0"/>
        <w:spacing w:line="360" w:lineRule="auto"/>
        <w:rPr>
          <w:rFonts w:hint="eastAsia" w:ascii="宋体" w:hAnsi="宋体" w:eastAsia="宋体" w:cs="宋体"/>
          <w:color w:val="auto"/>
          <w:sz w:val="24"/>
          <w:szCs w:val="24"/>
          <w:highlight w:val="none"/>
        </w:rPr>
      </w:pPr>
    </w:p>
    <w:p w14:paraId="613E2D83">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19A61FB7">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21441812">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2555CCD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9867F46">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w:t>
      </w:r>
    </w:p>
    <w:p w14:paraId="5B002B34">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商务响应表</w:t>
      </w:r>
    </w:p>
    <w:p w14:paraId="18C83F63">
      <w:pPr>
        <w:snapToGrid w:val="0"/>
        <w:spacing w:before="50" w:line="360" w:lineRule="auto"/>
        <w:jc w:val="center"/>
        <w:rPr>
          <w:rFonts w:hint="eastAsia" w:ascii="宋体" w:hAnsi="宋体" w:eastAsia="宋体" w:cs="宋体"/>
          <w:b/>
          <w:bCs/>
          <w:color w:val="auto"/>
          <w:sz w:val="32"/>
          <w:szCs w:val="32"/>
          <w:highlight w:val="none"/>
        </w:rPr>
      </w:pPr>
    </w:p>
    <w:p w14:paraId="640AFCC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4DD5416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29"/>
        <w:tblW w:w="92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03"/>
        <w:gridCol w:w="2644"/>
        <w:gridCol w:w="1234"/>
        <w:gridCol w:w="2957"/>
      </w:tblGrid>
      <w:tr w14:paraId="23E433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2403" w:type="dxa"/>
            <w:tcBorders>
              <w:top w:val="single" w:color="auto" w:sz="4" w:space="0"/>
              <w:bottom w:val="single" w:color="auto" w:sz="4" w:space="0"/>
              <w:right w:val="single" w:color="auto" w:sz="4" w:space="0"/>
            </w:tcBorders>
            <w:vAlign w:val="center"/>
          </w:tcPr>
          <w:p w14:paraId="4D9CFB4C">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2644" w:type="dxa"/>
            <w:tcBorders>
              <w:top w:val="single" w:color="auto" w:sz="4" w:space="0"/>
              <w:left w:val="single" w:color="auto" w:sz="4" w:space="0"/>
              <w:bottom w:val="single" w:color="auto" w:sz="4" w:space="0"/>
              <w:right w:val="single" w:color="auto" w:sz="4" w:space="0"/>
            </w:tcBorders>
            <w:vAlign w:val="center"/>
          </w:tcPr>
          <w:p w14:paraId="242FBA5E">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磋商文件要求</w:t>
            </w:r>
          </w:p>
        </w:tc>
        <w:tc>
          <w:tcPr>
            <w:tcW w:w="1234" w:type="dxa"/>
            <w:tcBorders>
              <w:top w:val="single" w:color="auto" w:sz="4" w:space="0"/>
              <w:left w:val="single" w:color="auto" w:sz="4" w:space="0"/>
              <w:bottom w:val="single" w:color="auto" w:sz="4" w:space="0"/>
              <w:right w:val="single" w:color="auto" w:sz="4" w:space="0"/>
            </w:tcBorders>
            <w:vAlign w:val="center"/>
          </w:tcPr>
          <w:p w14:paraId="3010BA96">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w:t>
            </w:r>
          </w:p>
          <w:p w14:paraId="5D3565EC">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w:t>
            </w:r>
          </w:p>
        </w:tc>
        <w:tc>
          <w:tcPr>
            <w:tcW w:w="2957" w:type="dxa"/>
            <w:tcBorders>
              <w:top w:val="single" w:color="auto" w:sz="4" w:space="0"/>
              <w:left w:val="single" w:color="auto" w:sz="4" w:space="0"/>
              <w:bottom w:val="single" w:color="auto" w:sz="4" w:space="0"/>
            </w:tcBorders>
            <w:vAlign w:val="center"/>
          </w:tcPr>
          <w:p w14:paraId="51DA7CEE">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供应商的承诺或说明</w:t>
            </w:r>
          </w:p>
        </w:tc>
      </w:tr>
      <w:tr w14:paraId="0D148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6E5EBD0C">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3399612B">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34F06309">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78C951E2">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r w14:paraId="6B80F6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553C4F99">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7A6849C8">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4DB19710">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1BDFC5A7">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r w14:paraId="7FA2A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2403" w:type="dxa"/>
            <w:tcBorders>
              <w:top w:val="single" w:color="auto" w:sz="4" w:space="0"/>
              <w:bottom w:val="single" w:color="auto" w:sz="4" w:space="0"/>
              <w:right w:val="single" w:color="auto" w:sz="4" w:space="0"/>
            </w:tcBorders>
            <w:vAlign w:val="center"/>
          </w:tcPr>
          <w:p w14:paraId="3F30F00E">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283CDBC8">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332974AB">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2CC15273">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r w14:paraId="2D60A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28C0571F">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6D4E30C1">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32497920">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6744ACAF">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r w14:paraId="5664F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61B10388">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5DBC637A">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4BF2D08F">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19B7F13F">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r w14:paraId="14DEDB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36973548">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4B5167A7">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73627DEC">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038E2253">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r w14:paraId="14F23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6E5B8DDB">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247CFE7F">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0C6A74B8">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3511722E">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r w14:paraId="623A0F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2403" w:type="dxa"/>
            <w:tcBorders>
              <w:top w:val="single" w:color="auto" w:sz="4" w:space="0"/>
              <w:bottom w:val="single" w:color="auto" w:sz="4" w:space="0"/>
              <w:right w:val="single" w:color="auto" w:sz="4" w:space="0"/>
            </w:tcBorders>
            <w:vAlign w:val="center"/>
          </w:tcPr>
          <w:p w14:paraId="72AB0A67">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33F685EF">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52EADECE">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7188FF06">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r w14:paraId="4EE42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715E645D">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627C8825">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54A566BC">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0304E374">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r w14:paraId="669568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67DF124E">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6319C9A7">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49703B61">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26931EBF">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r w14:paraId="7A26AE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2403" w:type="dxa"/>
            <w:tcBorders>
              <w:top w:val="single" w:color="auto" w:sz="4" w:space="0"/>
              <w:bottom w:val="single" w:color="auto" w:sz="4" w:space="0"/>
              <w:right w:val="single" w:color="auto" w:sz="4" w:space="0"/>
            </w:tcBorders>
            <w:vAlign w:val="center"/>
          </w:tcPr>
          <w:p w14:paraId="43B7C94E">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5B675BE9">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3CA761EC">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7762F0DA">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bl>
    <w:p w14:paraId="3B5EA8D9">
      <w:pPr>
        <w:spacing w:line="360" w:lineRule="auto"/>
        <w:ind w:left="3780" w:leftChars="1800" w:firstLine="480" w:firstLineChars="200"/>
        <w:rPr>
          <w:rFonts w:hint="eastAsia" w:ascii="宋体" w:hAnsi="宋体" w:eastAsia="宋体" w:cs="宋体"/>
          <w:color w:val="auto"/>
          <w:sz w:val="24"/>
          <w:szCs w:val="24"/>
          <w:highlight w:val="none"/>
        </w:rPr>
      </w:pPr>
    </w:p>
    <w:p w14:paraId="625DD469">
      <w:pPr>
        <w:spacing w:line="360" w:lineRule="auto"/>
        <w:ind w:left="3780" w:leftChars="1800" w:firstLine="480" w:firstLineChars="200"/>
        <w:rPr>
          <w:rFonts w:hint="eastAsia" w:ascii="宋体" w:hAnsi="宋体" w:eastAsia="宋体" w:cs="宋体"/>
          <w:color w:val="auto"/>
          <w:sz w:val="24"/>
          <w:szCs w:val="24"/>
          <w:highlight w:val="none"/>
        </w:rPr>
      </w:pPr>
    </w:p>
    <w:p w14:paraId="0416F4EC">
      <w:pPr>
        <w:spacing w:line="360" w:lineRule="auto"/>
        <w:ind w:left="3780" w:leftChars="1800" w:firstLine="480" w:firstLineChars="200"/>
        <w:rPr>
          <w:rFonts w:hint="eastAsia" w:ascii="宋体" w:hAnsi="宋体" w:eastAsia="宋体" w:cs="宋体"/>
          <w:color w:val="auto"/>
          <w:sz w:val="24"/>
          <w:szCs w:val="24"/>
          <w:highlight w:val="none"/>
        </w:rPr>
      </w:pPr>
    </w:p>
    <w:p w14:paraId="1D65189F">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40263E06">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0D9937F6">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021574D6">
      <w:pP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kern w:val="0"/>
          <w:sz w:val="36"/>
          <w:szCs w:val="36"/>
          <w:highlight w:val="none"/>
        </w:rPr>
        <w:t>报价文件</w:t>
      </w:r>
    </w:p>
    <w:p w14:paraId="607170FB">
      <w:pPr>
        <w:spacing w:line="360" w:lineRule="auto"/>
        <w:jc w:val="center"/>
        <w:rPr>
          <w:rFonts w:hint="eastAsia" w:ascii="宋体" w:hAnsi="宋体" w:eastAsia="宋体" w:cs="宋体"/>
          <w:b/>
          <w:bCs/>
          <w:color w:val="auto"/>
          <w:kern w:val="0"/>
          <w:sz w:val="36"/>
          <w:szCs w:val="36"/>
          <w:highlight w:val="none"/>
        </w:rPr>
      </w:pPr>
    </w:p>
    <w:p w14:paraId="792CD0E9">
      <w:pP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目录</w:t>
      </w:r>
    </w:p>
    <w:p w14:paraId="3994656E">
      <w:pPr>
        <w:pStyle w:val="12"/>
        <w:spacing w:line="360" w:lineRule="auto"/>
        <w:ind w:firstLine="723"/>
        <w:rPr>
          <w:rFonts w:hint="eastAsia" w:ascii="宋体" w:hAnsi="宋体" w:eastAsia="宋体" w:cs="宋体"/>
          <w:b/>
          <w:bCs/>
          <w:color w:val="auto"/>
          <w:kern w:val="0"/>
          <w:sz w:val="36"/>
          <w:szCs w:val="36"/>
          <w:highlight w:val="none"/>
        </w:rPr>
      </w:pPr>
    </w:p>
    <w:p w14:paraId="7C2FE64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（1）磋商函（格式见附件）；</w:t>
      </w:r>
    </w:p>
    <w:p w14:paraId="7E4D734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（2）报价一览表（格式见附件）；</w:t>
      </w:r>
    </w:p>
    <w:p w14:paraId="3EF80441">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（3）磋商报价明细表（格式见附件）</w:t>
      </w:r>
      <w:r>
        <w:rPr>
          <w:rFonts w:hint="eastAsia" w:ascii="宋体" w:hAnsi="宋体" w:eastAsia="宋体" w:cs="宋体"/>
          <w:color w:val="auto"/>
          <w:sz w:val="24"/>
          <w:szCs w:val="24"/>
          <w:highlight w:val="none"/>
          <w:lang w:eastAsia="zh-CN"/>
        </w:rPr>
        <w:t>；</w:t>
      </w:r>
    </w:p>
    <w:p w14:paraId="545E0A9D">
      <w:pPr>
        <w:spacing w:line="360" w:lineRule="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中小企业声明函（如有）（格式见附件）；</w:t>
      </w:r>
    </w:p>
    <w:p w14:paraId="5456CE89">
      <w:pPr>
        <w:pStyle w:val="62"/>
        <w:numPr>
          <w:ilvl w:val="0"/>
          <w:numId w:val="0"/>
        </w:numPr>
        <w:spacing w:before="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残疾人福利性单位声明函（如有）（格式见附件）；</w:t>
      </w:r>
    </w:p>
    <w:p w14:paraId="0F23FD15">
      <w:pPr>
        <w:pStyle w:val="62"/>
        <w:numPr>
          <w:ilvl w:val="0"/>
          <w:numId w:val="0"/>
        </w:numPr>
        <w:spacing w:before="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监狱企业证明文件（如有）（格式见附件）。</w:t>
      </w:r>
    </w:p>
    <w:p w14:paraId="43C34B98">
      <w:pPr>
        <w:spacing w:line="360" w:lineRule="auto"/>
        <w:rPr>
          <w:rFonts w:hint="eastAsia" w:ascii="宋体" w:hAnsi="宋体" w:eastAsia="宋体" w:cs="宋体"/>
          <w:color w:val="auto"/>
          <w:sz w:val="24"/>
          <w:szCs w:val="24"/>
          <w:highlight w:val="none"/>
          <w:lang w:eastAsia="zh-CN"/>
        </w:rPr>
      </w:pPr>
    </w:p>
    <w:p w14:paraId="4E693DCB">
      <w:pPr>
        <w:spacing w:line="360" w:lineRule="auto"/>
        <w:rPr>
          <w:rFonts w:hint="eastAsia" w:ascii="宋体" w:hAnsi="宋体" w:eastAsia="宋体" w:cs="宋体"/>
          <w:sz w:val="24"/>
          <w:szCs w:val="24"/>
          <w:highlight w:val="none"/>
        </w:rPr>
      </w:pPr>
    </w:p>
    <w:p w14:paraId="045C24ED">
      <w:pPr>
        <w:spacing w:line="360" w:lineRule="auto"/>
        <w:rPr>
          <w:rFonts w:hint="eastAsia" w:ascii="宋体" w:hAnsi="宋体" w:eastAsia="宋体" w:cs="宋体"/>
          <w:color w:val="auto"/>
          <w:highlight w:val="none"/>
        </w:rPr>
      </w:pPr>
    </w:p>
    <w:p w14:paraId="71D370B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2461ED4">
      <w:pPr>
        <w:spacing w:line="360" w:lineRule="auto"/>
        <w:rPr>
          <w:rFonts w:hint="eastAsia" w:ascii="宋体" w:hAnsi="宋体" w:eastAsia="宋体" w:cs="宋体"/>
          <w:b/>
          <w:bCs/>
          <w:color w:val="auto"/>
          <w:highlight w:val="none"/>
          <w:lang w:val="zh-CN"/>
        </w:rPr>
      </w:pPr>
      <w:bookmarkStart w:id="95" w:name="_Toc3094"/>
      <w:r>
        <w:rPr>
          <w:rFonts w:hint="eastAsia" w:ascii="宋体" w:hAnsi="宋体" w:eastAsia="宋体" w:cs="宋体"/>
          <w:b/>
          <w:bCs/>
          <w:color w:val="auto"/>
          <w:sz w:val="24"/>
          <w:szCs w:val="24"/>
          <w:highlight w:val="none"/>
          <w:lang w:val="zh-CN"/>
        </w:rPr>
        <w:t>附件</w:t>
      </w:r>
      <w:bookmarkStart w:id="96" w:name="_Toc130094924"/>
      <w:bookmarkStart w:id="97" w:name="_Toc98731770"/>
      <w:r>
        <w:rPr>
          <w:rFonts w:hint="eastAsia" w:ascii="宋体" w:hAnsi="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w:t>
      </w:r>
    </w:p>
    <w:p w14:paraId="73295F84">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磋 商 函</w:t>
      </w:r>
      <w:bookmarkEnd w:id="95"/>
      <w:bookmarkEnd w:id="96"/>
      <w:bookmarkEnd w:id="97"/>
    </w:p>
    <w:p w14:paraId="6C7DF560">
      <w:pPr>
        <w:spacing w:line="360" w:lineRule="auto"/>
        <w:ind w:firstLine="480" w:firstLineChars="200"/>
        <w:rPr>
          <w:rFonts w:hint="eastAsia" w:ascii="宋体" w:hAnsi="宋体" w:eastAsia="宋体" w:cs="宋体"/>
          <w:color w:val="auto"/>
          <w:sz w:val="24"/>
          <w:szCs w:val="24"/>
          <w:highlight w:val="none"/>
          <w:u w:val="single"/>
        </w:rPr>
      </w:pPr>
    </w:p>
    <w:p w14:paraId="21467B2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绍兴市上虞区发展和改革局</w:t>
      </w:r>
      <w:r>
        <w:rPr>
          <w:rFonts w:hint="eastAsia" w:ascii="宋体" w:hAnsi="宋体" w:eastAsia="宋体" w:cs="宋体"/>
          <w:color w:val="auto"/>
          <w:sz w:val="24"/>
          <w:szCs w:val="24"/>
          <w:highlight w:val="none"/>
        </w:rPr>
        <w:t>：</w:t>
      </w:r>
    </w:p>
    <w:p w14:paraId="4C35560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绍兴成言工程咨询管理有限公司：</w:t>
      </w:r>
    </w:p>
    <w:p w14:paraId="7A4B452B">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我单位认真研究了关于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14:paraId="2254FAB3">
      <w:pPr>
        <w:spacing w:line="360" w:lineRule="auto"/>
        <w:ind w:firstLine="504" w:firstLineChars="240"/>
        <w:rPr>
          <w:rFonts w:hint="eastAsia" w:ascii="宋体" w:hAnsi="宋体" w:eastAsia="宋体" w:cs="宋体"/>
          <w:color w:val="auto"/>
          <w:sz w:val="24"/>
          <w:szCs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1"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6T0kGtIAAAAHAQAADwAAAAAA&#10;AAABACAAAAAiAAAAZHJzL2Rvd25yZXYueG1sUEsBAhQAFAAAAAgAh07iQJF8yb/gAQAA2QMAAA4A&#10;AAAAAAAAAQAgAAAAIQEAAGRycy9lMm9Eb2MueG1sUEsFBgAAAAAGAAYAWQEAAHMFAAAAAA==&#10;">
                <v:fill on="f" focussize="0,0"/>
                <v:stroke color="#000000" joinstyle="round"/>
                <v:imagedata o:title=""/>
                <o:lock v:ext="edit" aspectratio="f"/>
              </v:line>
            </w:pict>
          </mc:Fallback>
        </mc:AlternateContent>
      </w:r>
      <w:r>
        <w:rPr>
          <w:rFonts w:hint="eastAsia" w:ascii="宋体" w:hAnsi="宋体" w:eastAsia="宋体" w:cs="宋体"/>
          <w:color w:val="auto"/>
          <w:sz w:val="24"/>
          <w:szCs w:val="24"/>
          <w:highlight w:val="none"/>
        </w:rPr>
        <w:t>1、一旦我单位中标，我单位愿意承接报价一览表中所列的技术服务，服务期为：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937C23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2、我单位同意提供按照采购人的可能要求与其投标有关的一切数据和资料，完全理解采购人不一定要接受最低价者作为成交供应商。</w:t>
      </w:r>
    </w:p>
    <w:p w14:paraId="4224027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3、一旦我单位中标，我们保证按照磋商文件的要求，完成服务。</w:t>
      </w:r>
    </w:p>
    <w:p w14:paraId="36827A1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4、如果我单位中标，我方将按照要求严格履行合同义务。</w:t>
      </w:r>
    </w:p>
    <w:p w14:paraId="745AB57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5、除非另行达成协议并生效，你方的成交通知书和本磋商函将构成约束你我双方的合同。</w:t>
      </w:r>
    </w:p>
    <w:p w14:paraId="7CB0042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6、我单位承诺，一旦发生磋商文件第二部分第11条规定情形之一的，承担该条款约定的责任。</w:t>
      </w:r>
    </w:p>
    <w:p w14:paraId="1D60888B">
      <w:pPr>
        <w:pStyle w:val="15"/>
        <w:snapToGrid w:val="0"/>
        <w:spacing w:line="360" w:lineRule="auto"/>
        <w:ind w:left="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A07C4F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p>
    <w:p w14:paraId="6CB49A9E">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p w14:paraId="6554FCF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591644C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w:t>
      </w:r>
    </w:p>
    <w:p w14:paraId="782FB13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（公章）：                   </w:t>
      </w:r>
    </w:p>
    <w:p w14:paraId="0DB7A8CF">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1E7E7B1D">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2818E21F">
      <w:pPr>
        <w:spacing w:line="360" w:lineRule="auto"/>
        <w:ind w:firstLine="5280" w:firstLineChars="2200"/>
        <w:rPr>
          <w:rFonts w:hint="eastAsia" w:ascii="宋体" w:hAnsi="宋体" w:eastAsia="宋体" w:cs="宋体"/>
          <w:color w:val="auto"/>
          <w:sz w:val="24"/>
          <w:szCs w:val="24"/>
          <w:highlight w:val="none"/>
        </w:rPr>
      </w:pPr>
    </w:p>
    <w:p w14:paraId="69528147">
      <w:pPr>
        <w:spacing w:line="360" w:lineRule="auto"/>
        <w:rPr>
          <w:rFonts w:hint="eastAsia" w:ascii="宋体" w:hAnsi="宋体" w:eastAsia="宋体" w:cs="宋体"/>
          <w:color w:val="auto"/>
          <w:sz w:val="24"/>
          <w:szCs w:val="24"/>
          <w:highlight w:val="none"/>
          <w:lang w:val="zh-CN"/>
        </w:rPr>
      </w:pPr>
      <w:bookmarkStart w:id="98" w:name="_Toc12011"/>
      <w:r>
        <w:rPr>
          <w:rFonts w:hint="eastAsia" w:ascii="宋体" w:hAnsi="宋体" w:eastAsia="宋体" w:cs="宋体"/>
          <w:color w:val="auto"/>
          <w:sz w:val="24"/>
          <w:szCs w:val="24"/>
          <w:highlight w:val="none"/>
          <w:lang w:val="zh-CN"/>
        </w:rPr>
        <w:br w:type="page"/>
      </w:r>
    </w:p>
    <w:p w14:paraId="63410FCB">
      <w:pPr>
        <w:spacing w:line="360" w:lineRule="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附件</w:t>
      </w:r>
      <w:bookmarkStart w:id="99" w:name="_Toc130094925"/>
      <w:bookmarkStart w:id="100" w:name="_Toc98731771"/>
      <w:r>
        <w:rPr>
          <w:rFonts w:hint="eastAsia" w:ascii="宋体" w:hAnsi="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w:t>
      </w:r>
    </w:p>
    <w:p w14:paraId="77DA7331">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报价一览表</w:t>
      </w:r>
      <w:bookmarkEnd w:id="98"/>
      <w:bookmarkEnd w:id="99"/>
      <w:bookmarkEnd w:id="100"/>
    </w:p>
    <w:p w14:paraId="443D3453">
      <w:pPr>
        <w:pStyle w:val="15"/>
        <w:spacing w:line="360" w:lineRule="auto"/>
        <w:rPr>
          <w:rFonts w:hint="eastAsia" w:ascii="宋体" w:hAnsi="宋体" w:eastAsia="宋体" w:cs="宋体"/>
          <w:color w:val="auto"/>
          <w:sz w:val="24"/>
          <w:szCs w:val="24"/>
          <w:highlight w:val="none"/>
        </w:rPr>
      </w:pPr>
    </w:p>
    <w:p w14:paraId="4C1F301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624B40F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p>
    <w:tbl>
      <w:tblPr>
        <w:tblStyle w:val="29"/>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6862"/>
      </w:tblGrid>
      <w:tr w14:paraId="336B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45" w:hRule="atLeast"/>
          <w:jc w:val="center"/>
        </w:trPr>
        <w:tc>
          <w:tcPr>
            <w:tcW w:w="2137" w:type="dxa"/>
            <w:noWrap w:val="0"/>
            <w:vAlign w:val="center"/>
          </w:tcPr>
          <w:p w14:paraId="30B98A17">
            <w:pPr>
              <w:pStyle w:val="15"/>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投标总价</w:t>
            </w:r>
          </w:p>
        </w:tc>
        <w:tc>
          <w:tcPr>
            <w:tcW w:w="6862" w:type="dxa"/>
            <w:noWrap w:val="0"/>
            <w:vAlign w:val="center"/>
          </w:tcPr>
          <w:p w14:paraId="6F8B7D95">
            <w:pPr>
              <w:pStyle w:val="15"/>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大写：</w:t>
            </w:r>
            <w:r>
              <w:rPr>
                <w:rFonts w:hint="eastAsia" w:ascii="宋体" w:hAnsi="宋体" w:eastAsia="宋体" w:cs="宋体"/>
                <w:b/>
                <w:bCs/>
                <w:sz w:val="24"/>
                <w:highlight w:val="none"/>
                <w:u w:val="single"/>
              </w:rPr>
              <w:t xml:space="preserve">　　　　            </w:t>
            </w:r>
            <w:r>
              <w:rPr>
                <w:rFonts w:hint="eastAsia" w:ascii="宋体" w:hAnsi="宋体" w:eastAsia="宋体" w:cs="宋体"/>
                <w:b/>
                <w:bCs/>
                <w:sz w:val="24"/>
                <w:highlight w:val="none"/>
              </w:rPr>
              <w:t>元（小写：</w:t>
            </w:r>
            <w:r>
              <w:rPr>
                <w:rFonts w:hint="eastAsia" w:ascii="宋体" w:hAnsi="宋体" w:eastAsia="宋体" w:cs="宋体"/>
                <w:b/>
                <w:bCs/>
                <w:sz w:val="24"/>
                <w:highlight w:val="none"/>
                <w:lang w:val="en-US" w:eastAsia="zh-CN"/>
              </w:rPr>
              <w:t>¥</w:t>
            </w:r>
            <w:r>
              <w:rPr>
                <w:rFonts w:hint="eastAsia" w:ascii="宋体" w:hAnsi="宋体" w:eastAsia="宋体" w:cs="宋体"/>
                <w:b/>
                <w:bCs/>
                <w:sz w:val="24"/>
                <w:highlight w:val="none"/>
                <w:u w:val="single"/>
              </w:rPr>
              <w:t xml:space="preserve">　　　　 </w:t>
            </w:r>
            <w:r>
              <w:rPr>
                <w:rFonts w:hint="eastAsia" w:ascii="宋体" w:hAnsi="宋体" w:eastAsia="宋体" w:cs="宋体"/>
                <w:b/>
                <w:bCs/>
                <w:sz w:val="24"/>
                <w:highlight w:val="none"/>
              </w:rPr>
              <w:t>）</w:t>
            </w:r>
          </w:p>
        </w:tc>
      </w:tr>
      <w:tr w14:paraId="5D4C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08" w:hRule="atLeast"/>
          <w:jc w:val="center"/>
        </w:trPr>
        <w:tc>
          <w:tcPr>
            <w:tcW w:w="8999" w:type="dxa"/>
            <w:gridSpan w:val="2"/>
            <w:noWrap w:val="0"/>
            <w:vAlign w:val="center"/>
          </w:tcPr>
          <w:p w14:paraId="2F04B69F">
            <w:pPr>
              <w:pStyle w:val="15"/>
              <w:keepNext w:val="0"/>
              <w:keepLines w:val="0"/>
              <w:suppressLineNumbers w:val="0"/>
              <w:spacing w:before="0" w:beforeAutospacing="0" w:after="0" w:afterAutospacing="0" w:line="360" w:lineRule="auto"/>
              <w:ind w:left="0" w:right="0"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投标报价包含项目所需全部服务，不得缺漏，是履行合同的最终价格，包括人工成本费、保险、调研费、检测分析费、设施设备、工具、编制费、刊登费、差旅费、管理费、利润、税费、招标代理费等项目所需一切费用。凡投标人在报价中未列明但又为本次采购所必备的项目或遗漏项目，采购方将一律视为已包括在合同价中，在合同执行中将不予考虑。</w:t>
            </w:r>
          </w:p>
        </w:tc>
      </w:tr>
    </w:tbl>
    <w:p w14:paraId="777C140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C64D417">
      <w:pPr>
        <w:pStyle w:val="15"/>
        <w:spacing w:line="360" w:lineRule="auto"/>
        <w:rPr>
          <w:rFonts w:hint="eastAsia" w:ascii="宋体" w:hAnsi="宋体" w:eastAsia="宋体" w:cs="宋体"/>
          <w:color w:val="auto"/>
          <w:sz w:val="24"/>
          <w:szCs w:val="24"/>
          <w:highlight w:val="none"/>
        </w:rPr>
      </w:pPr>
    </w:p>
    <w:p w14:paraId="18D75A01">
      <w:pPr>
        <w:pStyle w:val="15"/>
        <w:spacing w:line="360" w:lineRule="auto"/>
        <w:rPr>
          <w:rFonts w:hint="eastAsia" w:ascii="宋体" w:hAnsi="宋体" w:eastAsia="宋体" w:cs="宋体"/>
          <w:color w:val="auto"/>
          <w:sz w:val="24"/>
          <w:szCs w:val="24"/>
          <w:highlight w:val="none"/>
        </w:rPr>
      </w:pPr>
    </w:p>
    <w:p w14:paraId="1BF74C14">
      <w:pPr>
        <w:pStyle w:val="15"/>
        <w:spacing w:line="360" w:lineRule="auto"/>
        <w:rPr>
          <w:rFonts w:hint="eastAsia" w:ascii="宋体" w:hAnsi="宋体" w:eastAsia="宋体" w:cs="宋体"/>
          <w:color w:val="auto"/>
          <w:sz w:val="24"/>
          <w:szCs w:val="24"/>
          <w:highlight w:val="none"/>
        </w:rPr>
      </w:pPr>
    </w:p>
    <w:p w14:paraId="29BCC53C">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3473ABAD">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7B5B063D">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2BC113B5">
      <w:pPr>
        <w:snapToGrid w:val="0"/>
        <w:spacing w:line="360" w:lineRule="auto"/>
        <w:ind w:firstLine="435"/>
        <w:rPr>
          <w:rFonts w:hint="eastAsia" w:ascii="宋体" w:hAnsi="宋体" w:eastAsia="宋体" w:cs="宋体"/>
          <w:color w:val="auto"/>
          <w:highlight w:val="none"/>
        </w:rPr>
      </w:pPr>
    </w:p>
    <w:p w14:paraId="42C0E18F">
      <w:pPr>
        <w:snapToGrid w:val="0"/>
        <w:spacing w:line="360" w:lineRule="auto"/>
        <w:ind w:firstLine="435"/>
        <w:rPr>
          <w:rFonts w:hint="eastAsia" w:ascii="宋体" w:hAnsi="宋体" w:eastAsia="宋体" w:cs="宋体"/>
          <w:color w:val="auto"/>
          <w:highlight w:val="none"/>
        </w:rPr>
      </w:pPr>
    </w:p>
    <w:p w14:paraId="4F3C0728">
      <w:pPr>
        <w:spacing w:line="360" w:lineRule="auto"/>
        <w:jc w:val="left"/>
        <w:rPr>
          <w:rFonts w:hint="eastAsia" w:ascii="宋体" w:hAnsi="宋体" w:eastAsia="宋体" w:cs="宋体"/>
          <w:b/>
          <w:bCs/>
          <w:color w:val="auto"/>
          <w:sz w:val="24"/>
          <w:szCs w:val="24"/>
          <w:highlight w:val="none"/>
          <w:lang w:val="zh-CN"/>
        </w:rPr>
      </w:pPr>
      <w:r>
        <w:rPr>
          <w:rFonts w:hint="eastAsia" w:ascii="宋体" w:hAnsi="宋体" w:eastAsia="宋体" w:cs="宋体"/>
          <w:color w:val="auto"/>
          <w:highlight w:val="none"/>
        </w:rPr>
        <w:br w:type="page"/>
      </w:r>
      <w:bookmarkStart w:id="101" w:name="_Toc7196"/>
      <w:r>
        <w:rPr>
          <w:rFonts w:hint="eastAsia" w:ascii="宋体" w:hAnsi="宋体" w:eastAsia="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十</w:t>
      </w:r>
      <w:r>
        <w:rPr>
          <w:rFonts w:hint="eastAsia" w:ascii="宋体" w:hAnsi="宋体" w:eastAsia="宋体" w:cs="宋体"/>
          <w:b/>
          <w:bCs/>
          <w:color w:val="auto"/>
          <w:sz w:val="24"/>
          <w:szCs w:val="24"/>
          <w:highlight w:val="none"/>
          <w:lang w:val="zh-CN"/>
        </w:rPr>
        <w:t>：</w:t>
      </w:r>
    </w:p>
    <w:p w14:paraId="7F08241F">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磋商报价明细表</w:t>
      </w:r>
    </w:p>
    <w:p w14:paraId="1DB2F27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4672EAB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p>
    <w:tbl>
      <w:tblPr>
        <w:tblStyle w:val="29"/>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927"/>
        <w:gridCol w:w="1065"/>
        <w:gridCol w:w="1755"/>
        <w:gridCol w:w="480"/>
        <w:gridCol w:w="1049"/>
        <w:gridCol w:w="1148"/>
        <w:gridCol w:w="1124"/>
      </w:tblGrid>
      <w:tr w14:paraId="476F3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restart"/>
            <w:vAlign w:val="center"/>
          </w:tcPr>
          <w:p w14:paraId="418B3168">
            <w:pPr>
              <w:pStyle w:val="15"/>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w:t>
            </w:r>
          </w:p>
          <w:p w14:paraId="30CBB5B4">
            <w:pPr>
              <w:pStyle w:val="15"/>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号</w:t>
            </w:r>
          </w:p>
        </w:tc>
        <w:tc>
          <w:tcPr>
            <w:tcW w:w="1927" w:type="dxa"/>
            <w:vMerge w:val="restart"/>
            <w:vAlign w:val="center"/>
          </w:tcPr>
          <w:p w14:paraId="738D6A98">
            <w:pPr>
              <w:pStyle w:val="15"/>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065" w:type="dxa"/>
            <w:vMerge w:val="restart"/>
            <w:vAlign w:val="center"/>
          </w:tcPr>
          <w:p w14:paraId="5F5D23D8">
            <w:pPr>
              <w:pStyle w:val="15"/>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1755" w:type="dxa"/>
            <w:vMerge w:val="restart"/>
            <w:vAlign w:val="center"/>
          </w:tcPr>
          <w:p w14:paraId="33CFA05A">
            <w:pPr>
              <w:pStyle w:val="15"/>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480" w:type="dxa"/>
            <w:vMerge w:val="restart"/>
            <w:vAlign w:val="center"/>
          </w:tcPr>
          <w:p w14:paraId="69A05280">
            <w:pPr>
              <w:pStyle w:val="15"/>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w:t>
            </w:r>
          </w:p>
          <w:p w14:paraId="3111253C">
            <w:pPr>
              <w:pStyle w:val="15"/>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位</w:t>
            </w:r>
          </w:p>
        </w:tc>
        <w:tc>
          <w:tcPr>
            <w:tcW w:w="1049" w:type="dxa"/>
            <w:vMerge w:val="restart"/>
            <w:vAlign w:val="center"/>
          </w:tcPr>
          <w:p w14:paraId="1A7BAEFD">
            <w:pPr>
              <w:pStyle w:val="15"/>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272" w:type="dxa"/>
            <w:gridSpan w:val="2"/>
            <w:vAlign w:val="center"/>
          </w:tcPr>
          <w:p w14:paraId="4ABEF1D5">
            <w:pPr>
              <w:pStyle w:val="15"/>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投标报价（元）</w:t>
            </w:r>
          </w:p>
        </w:tc>
      </w:tr>
      <w:tr w14:paraId="71686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continue"/>
            <w:vAlign w:val="center"/>
          </w:tcPr>
          <w:p w14:paraId="15592377">
            <w:pPr>
              <w:pStyle w:val="15"/>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927" w:type="dxa"/>
            <w:vMerge w:val="continue"/>
            <w:vAlign w:val="center"/>
          </w:tcPr>
          <w:p w14:paraId="20FA3E93">
            <w:pPr>
              <w:pStyle w:val="15"/>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65" w:type="dxa"/>
            <w:vMerge w:val="continue"/>
            <w:vAlign w:val="center"/>
          </w:tcPr>
          <w:p w14:paraId="729E085C">
            <w:pPr>
              <w:pStyle w:val="15"/>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55" w:type="dxa"/>
            <w:vMerge w:val="continue"/>
            <w:vAlign w:val="center"/>
          </w:tcPr>
          <w:p w14:paraId="7B98E059">
            <w:pPr>
              <w:pStyle w:val="15"/>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480" w:type="dxa"/>
            <w:vMerge w:val="continue"/>
            <w:vAlign w:val="center"/>
          </w:tcPr>
          <w:p w14:paraId="0306D7F6">
            <w:pPr>
              <w:pStyle w:val="15"/>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49" w:type="dxa"/>
            <w:vMerge w:val="continue"/>
            <w:vAlign w:val="center"/>
          </w:tcPr>
          <w:p w14:paraId="4A935D1A">
            <w:pPr>
              <w:pStyle w:val="15"/>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48" w:type="dxa"/>
            <w:vAlign w:val="center"/>
          </w:tcPr>
          <w:p w14:paraId="4B179A31">
            <w:pPr>
              <w:pStyle w:val="15"/>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124" w:type="dxa"/>
            <w:vAlign w:val="center"/>
          </w:tcPr>
          <w:p w14:paraId="14E2E94D">
            <w:pPr>
              <w:pStyle w:val="15"/>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r>
      <w:tr w14:paraId="04912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7E4A59C5">
            <w:pPr>
              <w:pStyle w:val="15"/>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27" w:type="dxa"/>
            <w:vAlign w:val="center"/>
          </w:tcPr>
          <w:p w14:paraId="3E8C7CBA">
            <w:pPr>
              <w:pStyle w:val="15"/>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065" w:type="dxa"/>
            <w:vAlign w:val="center"/>
          </w:tcPr>
          <w:p w14:paraId="4AB0AF1F">
            <w:pPr>
              <w:pStyle w:val="15"/>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szCs w:val="24"/>
                <w:highlight w:val="none"/>
              </w:rPr>
            </w:pPr>
          </w:p>
        </w:tc>
        <w:tc>
          <w:tcPr>
            <w:tcW w:w="1755" w:type="dxa"/>
            <w:vAlign w:val="center"/>
          </w:tcPr>
          <w:p w14:paraId="6913549D">
            <w:pPr>
              <w:pStyle w:val="15"/>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szCs w:val="24"/>
                <w:highlight w:val="none"/>
              </w:rPr>
            </w:pPr>
          </w:p>
        </w:tc>
        <w:tc>
          <w:tcPr>
            <w:tcW w:w="480" w:type="dxa"/>
            <w:vAlign w:val="center"/>
          </w:tcPr>
          <w:p w14:paraId="52564174">
            <w:pPr>
              <w:pStyle w:val="15"/>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lang w:val="en-US" w:eastAsia="zh-CN"/>
              </w:rPr>
            </w:pPr>
          </w:p>
        </w:tc>
        <w:tc>
          <w:tcPr>
            <w:tcW w:w="1049" w:type="dxa"/>
            <w:vAlign w:val="center"/>
          </w:tcPr>
          <w:p w14:paraId="6D1FD315">
            <w:pPr>
              <w:pStyle w:val="15"/>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lang w:val="en-US" w:eastAsia="zh-CN"/>
              </w:rPr>
            </w:pPr>
          </w:p>
        </w:tc>
        <w:tc>
          <w:tcPr>
            <w:tcW w:w="1148" w:type="dxa"/>
          </w:tcPr>
          <w:p w14:paraId="1C97330D">
            <w:pPr>
              <w:pStyle w:val="15"/>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124" w:type="dxa"/>
          </w:tcPr>
          <w:p w14:paraId="1218EBD2">
            <w:pPr>
              <w:pStyle w:val="15"/>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5707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692708C5">
            <w:pPr>
              <w:pStyle w:val="15"/>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927" w:type="dxa"/>
            <w:vAlign w:val="center"/>
          </w:tcPr>
          <w:p w14:paraId="754C8BC2">
            <w:pPr>
              <w:pStyle w:val="15"/>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065" w:type="dxa"/>
            <w:vAlign w:val="center"/>
          </w:tcPr>
          <w:p w14:paraId="4A3BFF16">
            <w:pPr>
              <w:pStyle w:val="15"/>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szCs w:val="24"/>
                <w:highlight w:val="none"/>
              </w:rPr>
            </w:pPr>
          </w:p>
        </w:tc>
        <w:tc>
          <w:tcPr>
            <w:tcW w:w="1755" w:type="dxa"/>
            <w:vAlign w:val="center"/>
          </w:tcPr>
          <w:p w14:paraId="78913E1F">
            <w:pPr>
              <w:pStyle w:val="15"/>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szCs w:val="24"/>
                <w:highlight w:val="none"/>
              </w:rPr>
            </w:pPr>
          </w:p>
        </w:tc>
        <w:tc>
          <w:tcPr>
            <w:tcW w:w="480" w:type="dxa"/>
            <w:vAlign w:val="center"/>
          </w:tcPr>
          <w:p w14:paraId="2FD97E03">
            <w:pPr>
              <w:pStyle w:val="15"/>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lang w:val="en-US" w:eastAsia="zh-CN"/>
              </w:rPr>
            </w:pPr>
          </w:p>
        </w:tc>
        <w:tc>
          <w:tcPr>
            <w:tcW w:w="1049" w:type="dxa"/>
            <w:vAlign w:val="center"/>
          </w:tcPr>
          <w:p w14:paraId="32642BD8">
            <w:pPr>
              <w:pStyle w:val="15"/>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lang w:val="en-US" w:eastAsia="zh-CN"/>
              </w:rPr>
            </w:pPr>
          </w:p>
        </w:tc>
        <w:tc>
          <w:tcPr>
            <w:tcW w:w="1148" w:type="dxa"/>
          </w:tcPr>
          <w:p w14:paraId="6BC551B2">
            <w:pPr>
              <w:pStyle w:val="15"/>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124" w:type="dxa"/>
          </w:tcPr>
          <w:p w14:paraId="3F3C2627">
            <w:pPr>
              <w:pStyle w:val="15"/>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39047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31E8203D">
            <w:pPr>
              <w:pStyle w:val="15"/>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927" w:type="dxa"/>
            <w:vAlign w:val="center"/>
          </w:tcPr>
          <w:p w14:paraId="3E69305B">
            <w:pPr>
              <w:pStyle w:val="15"/>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065" w:type="dxa"/>
            <w:vAlign w:val="center"/>
          </w:tcPr>
          <w:p w14:paraId="188E870A">
            <w:pPr>
              <w:pStyle w:val="15"/>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szCs w:val="24"/>
                <w:highlight w:val="none"/>
              </w:rPr>
            </w:pPr>
          </w:p>
        </w:tc>
        <w:tc>
          <w:tcPr>
            <w:tcW w:w="1755" w:type="dxa"/>
            <w:vAlign w:val="center"/>
          </w:tcPr>
          <w:p w14:paraId="7FE2B0EE">
            <w:pPr>
              <w:pStyle w:val="15"/>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szCs w:val="24"/>
                <w:highlight w:val="none"/>
              </w:rPr>
            </w:pPr>
          </w:p>
        </w:tc>
        <w:tc>
          <w:tcPr>
            <w:tcW w:w="480" w:type="dxa"/>
            <w:vAlign w:val="center"/>
          </w:tcPr>
          <w:p w14:paraId="2E380048">
            <w:pPr>
              <w:pStyle w:val="15"/>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szCs w:val="24"/>
                <w:highlight w:val="none"/>
              </w:rPr>
            </w:pPr>
          </w:p>
        </w:tc>
        <w:tc>
          <w:tcPr>
            <w:tcW w:w="1049" w:type="dxa"/>
            <w:vAlign w:val="center"/>
          </w:tcPr>
          <w:p w14:paraId="78BC3FFC">
            <w:pPr>
              <w:pStyle w:val="15"/>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szCs w:val="24"/>
                <w:highlight w:val="none"/>
              </w:rPr>
            </w:pPr>
          </w:p>
        </w:tc>
        <w:tc>
          <w:tcPr>
            <w:tcW w:w="1148" w:type="dxa"/>
          </w:tcPr>
          <w:p w14:paraId="383828B0">
            <w:pPr>
              <w:pStyle w:val="15"/>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124" w:type="dxa"/>
          </w:tcPr>
          <w:p w14:paraId="54E664A7">
            <w:pPr>
              <w:pStyle w:val="15"/>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0715E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14:paraId="74902A57">
            <w:pPr>
              <w:pStyle w:val="15"/>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927" w:type="dxa"/>
            <w:vAlign w:val="center"/>
          </w:tcPr>
          <w:p w14:paraId="0D678D34">
            <w:pPr>
              <w:pStyle w:val="15"/>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065" w:type="dxa"/>
            <w:vAlign w:val="center"/>
          </w:tcPr>
          <w:p w14:paraId="69B10292">
            <w:pPr>
              <w:pStyle w:val="15"/>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55" w:type="dxa"/>
            <w:vAlign w:val="center"/>
          </w:tcPr>
          <w:p w14:paraId="15EE9B3F">
            <w:pPr>
              <w:pStyle w:val="15"/>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480" w:type="dxa"/>
            <w:vAlign w:val="center"/>
          </w:tcPr>
          <w:p w14:paraId="3F2C47E6">
            <w:pPr>
              <w:pStyle w:val="15"/>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49" w:type="dxa"/>
            <w:vAlign w:val="center"/>
          </w:tcPr>
          <w:p w14:paraId="287CDBD2">
            <w:pPr>
              <w:pStyle w:val="15"/>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48" w:type="dxa"/>
          </w:tcPr>
          <w:p w14:paraId="61B97766">
            <w:pPr>
              <w:pStyle w:val="15"/>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124" w:type="dxa"/>
          </w:tcPr>
          <w:p w14:paraId="0AC725F5">
            <w:pPr>
              <w:pStyle w:val="15"/>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6DB43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14:paraId="6986E98B">
            <w:pPr>
              <w:pStyle w:val="15"/>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927" w:type="dxa"/>
            <w:vAlign w:val="center"/>
          </w:tcPr>
          <w:p w14:paraId="24C9C468">
            <w:pPr>
              <w:pStyle w:val="15"/>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65" w:type="dxa"/>
            <w:vAlign w:val="center"/>
          </w:tcPr>
          <w:p w14:paraId="76D321D9">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p>
        </w:tc>
        <w:tc>
          <w:tcPr>
            <w:tcW w:w="1755" w:type="dxa"/>
            <w:vAlign w:val="center"/>
          </w:tcPr>
          <w:p w14:paraId="63106650">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p>
        </w:tc>
        <w:tc>
          <w:tcPr>
            <w:tcW w:w="480" w:type="dxa"/>
            <w:vAlign w:val="center"/>
          </w:tcPr>
          <w:p w14:paraId="67CA65F9">
            <w:pPr>
              <w:pStyle w:val="15"/>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p>
        </w:tc>
        <w:tc>
          <w:tcPr>
            <w:tcW w:w="1049" w:type="dxa"/>
            <w:vAlign w:val="center"/>
          </w:tcPr>
          <w:p w14:paraId="134438D8">
            <w:pPr>
              <w:pStyle w:val="15"/>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p>
        </w:tc>
        <w:tc>
          <w:tcPr>
            <w:tcW w:w="1148" w:type="dxa"/>
            <w:vAlign w:val="center"/>
          </w:tcPr>
          <w:p w14:paraId="50FCCE4B">
            <w:pPr>
              <w:pStyle w:val="15"/>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p>
        </w:tc>
        <w:tc>
          <w:tcPr>
            <w:tcW w:w="1124" w:type="dxa"/>
            <w:vAlign w:val="center"/>
          </w:tcPr>
          <w:p w14:paraId="485F502A">
            <w:pPr>
              <w:pStyle w:val="15"/>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p>
        </w:tc>
      </w:tr>
      <w:tr w14:paraId="2E006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tcPr>
          <w:p w14:paraId="141CC789">
            <w:pPr>
              <w:pStyle w:val="15"/>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927" w:type="dxa"/>
            <w:vAlign w:val="center"/>
          </w:tcPr>
          <w:p w14:paraId="0CE57B52">
            <w:pPr>
              <w:pStyle w:val="15"/>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65" w:type="dxa"/>
            <w:vAlign w:val="center"/>
          </w:tcPr>
          <w:p w14:paraId="5FE30D8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55" w:type="dxa"/>
            <w:vAlign w:val="center"/>
          </w:tcPr>
          <w:p w14:paraId="1CF4DD0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480" w:type="dxa"/>
            <w:vAlign w:val="center"/>
          </w:tcPr>
          <w:p w14:paraId="7A651B8C">
            <w:pPr>
              <w:pStyle w:val="15"/>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49" w:type="dxa"/>
            <w:vAlign w:val="center"/>
          </w:tcPr>
          <w:p w14:paraId="462122CF">
            <w:pPr>
              <w:pStyle w:val="15"/>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48" w:type="dxa"/>
          </w:tcPr>
          <w:p w14:paraId="6539C05B">
            <w:pPr>
              <w:pStyle w:val="15"/>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124" w:type="dxa"/>
          </w:tcPr>
          <w:p w14:paraId="0F7482BC">
            <w:pPr>
              <w:pStyle w:val="15"/>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7F6BD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2416" w:type="dxa"/>
            <w:gridSpan w:val="2"/>
            <w:vAlign w:val="center"/>
          </w:tcPr>
          <w:p w14:paraId="269AB16E">
            <w:pPr>
              <w:pStyle w:val="15"/>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投标总价</w:t>
            </w:r>
          </w:p>
        </w:tc>
        <w:tc>
          <w:tcPr>
            <w:tcW w:w="6621" w:type="dxa"/>
            <w:gridSpan w:val="6"/>
            <w:vAlign w:val="center"/>
          </w:tcPr>
          <w:p w14:paraId="4A5EAE94">
            <w:pPr>
              <w:pStyle w:val="15"/>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　　　　                元（小写：　　　　　）</w:t>
            </w:r>
          </w:p>
        </w:tc>
      </w:tr>
      <w:tr w14:paraId="5BCB1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9037" w:type="dxa"/>
            <w:gridSpan w:val="8"/>
            <w:vAlign w:val="center"/>
          </w:tcPr>
          <w:p w14:paraId="269772DE">
            <w:pPr>
              <w:pStyle w:val="15"/>
              <w:keepNext w:val="0"/>
              <w:keepLines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报价应包含项目所需全部服务，不得缺漏，是履行合同的最终价格，包括人工成本费、保险、调研费、检测分析费、设施设备、工具、编制费、刊登费、差旅费、管理费、利润、税费、招标代理费等项目所需一切费用。凡投标人在报价中未列明但又为本次采购所必备的项目或遗漏项目，采购方将一律视为已包括在合同价中，在合同执行中将不予考虑。</w:t>
            </w:r>
          </w:p>
        </w:tc>
      </w:tr>
    </w:tbl>
    <w:p w14:paraId="00A2BD44">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注：内容可根据供应商实际情况自行调整。</w:t>
      </w:r>
    </w:p>
    <w:p w14:paraId="4C5661D4">
      <w:pPr>
        <w:spacing w:line="360" w:lineRule="auto"/>
        <w:rPr>
          <w:rFonts w:hint="eastAsia" w:ascii="宋体" w:hAnsi="宋体" w:eastAsia="宋体" w:cs="宋体"/>
          <w:color w:val="auto"/>
          <w:sz w:val="24"/>
          <w:szCs w:val="24"/>
          <w:highlight w:val="none"/>
        </w:rPr>
      </w:pPr>
    </w:p>
    <w:p w14:paraId="3B6B8FB8">
      <w:pPr>
        <w:pStyle w:val="12"/>
        <w:spacing w:line="360" w:lineRule="auto"/>
        <w:rPr>
          <w:rFonts w:hint="eastAsia" w:ascii="宋体" w:hAnsi="宋体" w:eastAsia="宋体" w:cs="宋体"/>
          <w:highlight w:val="none"/>
        </w:rPr>
      </w:pPr>
    </w:p>
    <w:p w14:paraId="683DBF55">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059D9F54">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4073B68C">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5F721132">
      <w:pPr>
        <w:spacing w:line="360" w:lineRule="auto"/>
        <w:ind w:left="3780" w:leftChars="1800" w:firstLine="480" w:firstLineChars="200"/>
        <w:rPr>
          <w:rFonts w:hint="eastAsia" w:ascii="宋体" w:hAnsi="宋体" w:eastAsia="宋体" w:cs="宋体"/>
          <w:color w:val="auto"/>
          <w:sz w:val="24"/>
          <w:szCs w:val="24"/>
          <w:highlight w:val="none"/>
        </w:rPr>
      </w:pPr>
    </w:p>
    <w:p w14:paraId="2E1C4EA4">
      <w:pPr>
        <w:spacing w:line="360" w:lineRule="auto"/>
        <w:ind w:left="3780" w:leftChars="1800" w:firstLine="480" w:firstLineChars="200"/>
        <w:rPr>
          <w:rFonts w:hint="eastAsia" w:ascii="宋体" w:hAnsi="宋体" w:eastAsia="宋体" w:cs="宋体"/>
          <w:color w:val="auto"/>
          <w:sz w:val="24"/>
          <w:szCs w:val="24"/>
          <w:highlight w:val="none"/>
        </w:rPr>
      </w:pPr>
    </w:p>
    <w:bookmarkEnd w:id="101"/>
    <w:p w14:paraId="744F4D9E">
      <w:pPr>
        <w:snapToGrid w:val="0"/>
        <w:spacing w:before="50" w:after="167" w:afterLines="50" w:line="360" w:lineRule="auto"/>
        <w:jc w:val="left"/>
        <w:rPr>
          <w:rFonts w:hint="eastAsia" w:ascii="宋体" w:hAnsi="宋体" w:eastAsia="宋体" w:cs="宋体"/>
          <w:b/>
          <w:bCs w:val="0"/>
          <w:sz w:val="24"/>
          <w:szCs w:val="24"/>
          <w:highlight w:val="none"/>
          <w:lang w:val="zh-CN"/>
        </w:rPr>
      </w:pPr>
      <w:r>
        <w:rPr>
          <w:rFonts w:hint="eastAsia" w:ascii="宋体" w:hAnsi="宋体" w:eastAsia="宋体" w:cs="宋体"/>
          <w:b/>
          <w:bCs w:val="0"/>
          <w:sz w:val="24"/>
          <w:szCs w:val="24"/>
          <w:highlight w:val="none"/>
          <w:lang w:val="zh-CN"/>
        </w:rPr>
        <w:t>附件</w:t>
      </w:r>
      <w:r>
        <w:rPr>
          <w:rFonts w:hint="eastAsia" w:ascii="宋体" w:hAnsi="宋体" w:cs="宋体"/>
          <w:b/>
          <w:bCs w:val="0"/>
          <w:sz w:val="24"/>
          <w:szCs w:val="24"/>
          <w:highlight w:val="none"/>
          <w:lang w:val="en-US" w:eastAsia="zh-CN"/>
        </w:rPr>
        <w:t>十一</w:t>
      </w:r>
      <w:r>
        <w:rPr>
          <w:rFonts w:hint="eastAsia" w:ascii="宋体" w:hAnsi="宋体" w:eastAsia="宋体" w:cs="宋体"/>
          <w:b/>
          <w:bCs w:val="0"/>
          <w:sz w:val="24"/>
          <w:szCs w:val="24"/>
          <w:highlight w:val="none"/>
          <w:lang w:val="zh-CN"/>
        </w:rPr>
        <w:t>：</w:t>
      </w:r>
    </w:p>
    <w:p w14:paraId="14EDD336">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中小企业声明函</w:t>
      </w:r>
    </w:p>
    <w:p w14:paraId="786A2858">
      <w:pPr>
        <w:widowControl/>
        <w:snapToGrid w:val="0"/>
        <w:spacing w:line="360" w:lineRule="auto"/>
        <w:ind w:firstLine="480" w:firstLineChars="20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【不属于中小企业的无需填写、递交】</w:t>
      </w:r>
    </w:p>
    <w:p w14:paraId="7D5169B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本公司（联合体）郑重声明，根据《政府采购促进中小企业发展管理办法》 （财库﹝2020﹞46 号）的规定，本公司（联合体）参加</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eastAsia="zh-CN"/>
        </w:rPr>
        <w:t>（</w:t>
      </w:r>
      <w:r>
        <w:rPr>
          <w:rFonts w:hint="eastAsia" w:ascii="宋体" w:hAnsi="宋体" w:eastAsia="宋体" w:cs="宋体"/>
          <w:sz w:val="24"/>
          <w:highlight w:val="none"/>
          <w:u w:val="single"/>
          <w:lang w:val="en-US" w:eastAsia="zh-CN"/>
        </w:rPr>
        <w:t>采购人</w:t>
      </w:r>
      <w:r>
        <w:rPr>
          <w:rFonts w:hint="eastAsia" w:ascii="宋体" w:hAnsi="宋体" w:eastAsia="宋体" w:cs="宋体"/>
          <w:sz w:val="24"/>
          <w:highlight w:val="none"/>
          <w:u w:val="single"/>
          <w:lang w:eastAsia="zh-CN"/>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none"/>
          <w:lang w:eastAsia="zh-CN"/>
        </w:rPr>
        <w:t>的</w:t>
      </w:r>
      <w:r>
        <w:rPr>
          <w:rFonts w:hint="eastAsia" w:ascii="宋体" w:hAnsi="宋体" w:eastAsia="宋体" w:cs="宋体"/>
          <w:sz w:val="24"/>
          <w:highlight w:val="none"/>
          <w:u w:val="single"/>
          <w:lang w:val="en-US" w:eastAsia="zh-CN"/>
        </w:rPr>
        <w:t xml:space="preserve"> （项目名称）   </w:t>
      </w:r>
      <w:r>
        <w:rPr>
          <w:rFonts w:hint="eastAsia" w:ascii="宋体" w:hAnsi="宋体" w:eastAsia="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68887B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（项目名称）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其他未列明行业</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 xml:space="preserve">           （企业名称） </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 ，属于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3FADEAC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052B735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以上企业，不属于大企业的分支机构，不存在控股股东为大企业的情形，也不存在与大企业的负责人为同一人的情形。</w:t>
      </w:r>
    </w:p>
    <w:p w14:paraId="374E87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本企业对上述声明内容的真实性负责。如有虚假，将依法承担相应责任。</w:t>
      </w:r>
    </w:p>
    <w:p w14:paraId="1769D173">
      <w:pPr>
        <w:keepNext w:val="0"/>
        <w:keepLines w:val="0"/>
        <w:pageBreakBefore w:val="0"/>
        <w:widowControl w:val="0"/>
        <w:kinsoku/>
        <w:wordWrap/>
        <w:overflowPunct/>
        <w:topLinePunct w:val="0"/>
        <w:autoSpaceDE/>
        <w:autoSpaceDN/>
        <w:bidi w:val="0"/>
        <w:adjustRightInd/>
        <w:snapToGrid/>
        <w:spacing w:line="360" w:lineRule="auto"/>
        <w:ind w:right="420" w:firstLine="5880" w:firstLineChars="2450"/>
        <w:jc w:val="left"/>
        <w:textAlignment w:val="auto"/>
        <w:rPr>
          <w:rFonts w:hint="eastAsia" w:ascii="宋体" w:hAnsi="宋体" w:eastAsia="宋体" w:cs="宋体"/>
          <w:sz w:val="24"/>
          <w:highlight w:val="none"/>
        </w:rPr>
      </w:pPr>
    </w:p>
    <w:p w14:paraId="52AB967D">
      <w:pPr>
        <w:keepNext w:val="0"/>
        <w:keepLines w:val="0"/>
        <w:pageBreakBefore w:val="0"/>
        <w:widowControl w:val="0"/>
        <w:kinsoku/>
        <w:wordWrap/>
        <w:overflowPunct/>
        <w:topLinePunct w:val="0"/>
        <w:autoSpaceDE/>
        <w:autoSpaceDN/>
        <w:bidi w:val="0"/>
        <w:adjustRightInd/>
        <w:snapToGrid/>
        <w:spacing w:line="360" w:lineRule="auto"/>
        <w:ind w:right="420" w:firstLine="4560" w:firstLineChars="1900"/>
        <w:textAlignment w:val="auto"/>
        <w:rPr>
          <w:rFonts w:hint="eastAsia" w:ascii="宋体" w:hAnsi="宋体" w:eastAsia="宋体" w:cs="宋体"/>
          <w:sz w:val="24"/>
          <w:highlight w:val="none"/>
        </w:rPr>
      </w:pPr>
    </w:p>
    <w:p w14:paraId="66961483">
      <w:pPr>
        <w:keepNext w:val="0"/>
        <w:keepLines w:val="0"/>
        <w:pageBreakBefore w:val="0"/>
        <w:widowControl w:val="0"/>
        <w:kinsoku/>
        <w:wordWrap/>
        <w:overflowPunct/>
        <w:topLinePunct w:val="0"/>
        <w:autoSpaceDE/>
        <w:autoSpaceDN/>
        <w:bidi w:val="0"/>
        <w:adjustRightInd/>
        <w:snapToGrid/>
        <w:spacing w:line="360" w:lineRule="auto"/>
        <w:ind w:right="420" w:firstLine="4560" w:firstLineChars="19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企业名称（盖章）： </w:t>
      </w:r>
    </w:p>
    <w:p w14:paraId="20FF59E0">
      <w:pPr>
        <w:keepNext w:val="0"/>
        <w:keepLines w:val="0"/>
        <w:pageBreakBefore w:val="0"/>
        <w:widowControl w:val="0"/>
        <w:kinsoku/>
        <w:wordWrap/>
        <w:overflowPunct/>
        <w:topLinePunct w:val="0"/>
        <w:autoSpaceDE/>
        <w:autoSpaceDN/>
        <w:bidi w:val="0"/>
        <w:adjustRightInd/>
        <w:snapToGrid/>
        <w:spacing w:line="360" w:lineRule="auto"/>
        <w:ind w:right="420" w:firstLine="4560" w:firstLineChars="1900"/>
        <w:textAlignment w:val="auto"/>
        <w:rPr>
          <w:rFonts w:hint="eastAsia" w:ascii="宋体" w:hAnsi="宋体" w:eastAsia="宋体" w:cs="宋体"/>
          <w:sz w:val="24"/>
          <w:highlight w:val="none"/>
        </w:rPr>
      </w:pPr>
      <w:r>
        <w:rPr>
          <w:rFonts w:hint="eastAsia" w:ascii="宋体" w:hAnsi="宋体" w:eastAsia="宋体" w:cs="宋体"/>
          <w:sz w:val="24"/>
          <w:highlight w:val="none"/>
        </w:rPr>
        <w:t>日期：   年     月     日</w:t>
      </w:r>
    </w:p>
    <w:p w14:paraId="0FD65E5C">
      <w:pPr>
        <w:snapToGrid w:val="0"/>
        <w:spacing w:line="360" w:lineRule="auto"/>
        <w:ind w:right="480"/>
        <w:rPr>
          <w:rFonts w:hint="eastAsia" w:ascii="宋体" w:hAnsi="宋体" w:eastAsia="宋体" w:cs="宋体"/>
          <w:kern w:val="0"/>
          <w:sz w:val="24"/>
          <w:highlight w:val="none"/>
          <w:lang w:val="zh-CN"/>
        </w:rPr>
      </w:pPr>
    </w:p>
    <w:p w14:paraId="27A560DE">
      <w:pPr>
        <w:snapToGrid w:val="0"/>
        <w:spacing w:line="360" w:lineRule="auto"/>
        <w:ind w:right="480"/>
        <w:rPr>
          <w:rFonts w:hint="eastAsia" w:ascii="宋体" w:hAnsi="宋体" w:eastAsia="宋体" w:cs="宋体"/>
          <w:kern w:val="0"/>
          <w:sz w:val="24"/>
          <w:highlight w:val="none"/>
          <w:lang w:val="zh-CN"/>
        </w:rPr>
      </w:pPr>
    </w:p>
    <w:p w14:paraId="7D22667D">
      <w:pPr>
        <w:pStyle w:val="10"/>
        <w:spacing w:line="360" w:lineRule="auto"/>
        <w:ind w:firstLine="0"/>
        <w:rPr>
          <w:rFonts w:hint="eastAsia" w:ascii="宋体" w:hAnsi="宋体" w:eastAsia="宋体" w:cs="宋体"/>
          <w:sz w:val="24"/>
          <w:highlight w:val="none"/>
        </w:rPr>
      </w:pPr>
    </w:p>
    <w:p w14:paraId="73C2B410">
      <w:pPr>
        <w:pStyle w:val="10"/>
        <w:spacing w:line="360" w:lineRule="auto"/>
        <w:rPr>
          <w:rFonts w:hint="eastAsia" w:ascii="宋体" w:hAnsi="宋体" w:eastAsia="宋体" w:cs="宋体"/>
          <w:sz w:val="24"/>
          <w:highlight w:val="none"/>
        </w:rPr>
      </w:pPr>
    </w:p>
    <w:p w14:paraId="3F297DAE">
      <w:pPr>
        <w:pStyle w:val="10"/>
        <w:spacing w:line="360" w:lineRule="auto"/>
        <w:rPr>
          <w:rFonts w:hint="eastAsia" w:ascii="宋体" w:hAnsi="宋体" w:eastAsia="宋体" w:cs="宋体"/>
          <w:sz w:val="24"/>
          <w:highlight w:val="none"/>
        </w:rPr>
      </w:pPr>
    </w:p>
    <w:p w14:paraId="0B5575E8">
      <w:pPr>
        <w:pStyle w:val="10"/>
        <w:spacing w:line="360" w:lineRule="auto"/>
        <w:rPr>
          <w:rFonts w:hint="eastAsia" w:ascii="宋体" w:hAnsi="宋体" w:eastAsia="宋体" w:cs="宋体"/>
          <w:sz w:val="24"/>
          <w:highlight w:val="none"/>
        </w:rPr>
      </w:pPr>
    </w:p>
    <w:p w14:paraId="3803A262">
      <w:pPr>
        <w:pStyle w:val="10"/>
        <w:spacing w:line="360" w:lineRule="auto"/>
        <w:rPr>
          <w:rFonts w:hint="eastAsia" w:ascii="宋体" w:hAnsi="宋体" w:eastAsia="宋体" w:cs="宋体"/>
          <w:sz w:val="24"/>
          <w:highlight w:val="none"/>
        </w:rPr>
      </w:pPr>
    </w:p>
    <w:p w14:paraId="47A36B5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注：从业人员、营业收入、资产总额填报上一年度数据，无上一年度数据的新成立企业可不填报。</w:t>
      </w:r>
    </w:p>
    <w:p w14:paraId="10E0A57F">
      <w:pPr>
        <w:spacing w:line="360" w:lineRule="auto"/>
        <w:rPr>
          <w:rFonts w:hint="eastAsia" w:ascii="宋体" w:hAnsi="宋体" w:eastAsia="宋体" w:cs="宋体"/>
          <w:sz w:val="24"/>
          <w:highlight w:val="none"/>
        </w:rPr>
      </w:pPr>
      <w:r>
        <w:rPr>
          <w:rFonts w:hint="eastAsia" w:ascii="宋体" w:hAnsi="宋体" w:eastAsia="宋体" w:cs="宋体"/>
          <w:spacing w:val="20"/>
          <w:sz w:val="30"/>
          <w:szCs w:val="30"/>
          <w:highlight w:val="none"/>
        </w:rPr>
        <w:br w:type="page"/>
      </w:r>
      <w:r>
        <w:rPr>
          <w:rFonts w:hint="eastAsia" w:ascii="宋体" w:hAnsi="宋体" w:eastAsia="宋体" w:cs="宋体"/>
          <w:b/>
          <w:bCs/>
          <w:sz w:val="24"/>
          <w:highlight w:val="none"/>
          <w:lang w:val="zh-CN"/>
        </w:rPr>
        <w:t>附件</w:t>
      </w:r>
      <w:r>
        <w:rPr>
          <w:rFonts w:hint="eastAsia" w:ascii="宋体" w:hAnsi="宋体" w:cs="宋体"/>
          <w:b/>
          <w:bCs/>
          <w:sz w:val="24"/>
          <w:highlight w:val="none"/>
          <w:lang w:val="en-US" w:eastAsia="zh-CN"/>
        </w:rPr>
        <w:t>十二</w:t>
      </w:r>
      <w:r>
        <w:rPr>
          <w:rFonts w:hint="eastAsia" w:ascii="宋体" w:hAnsi="宋体" w:eastAsia="宋体" w:cs="宋体"/>
          <w:b/>
          <w:bCs/>
          <w:sz w:val="24"/>
          <w:highlight w:val="none"/>
          <w:lang w:val="zh-CN"/>
        </w:rPr>
        <w:t>：</w:t>
      </w:r>
    </w:p>
    <w:p w14:paraId="5D19AA79">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残疾人福利性单位声明函</w:t>
      </w:r>
    </w:p>
    <w:p w14:paraId="58271252">
      <w:pPr>
        <w:widowControl/>
        <w:snapToGrid w:val="0"/>
        <w:spacing w:line="360" w:lineRule="auto"/>
        <w:ind w:firstLine="480" w:firstLineChars="20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【不属于残疾人福利性单位的无需填写、递交】</w:t>
      </w:r>
    </w:p>
    <w:p w14:paraId="4B7A30C4">
      <w:pPr>
        <w:spacing w:line="360" w:lineRule="auto"/>
        <w:rPr>
          <w:rFonts w:hint="eastAsia" w:ascii="宋体" w:hAnsi="宋体" w:eastAsia="宋体" w:cs="宋体"/>
          <w:b/>
          <w:spacing w:val="6"/>
          <w:sz w:val="30"/>
          <w:szCs w:val="30"/>
          <w:highlight w:val="none"/>
        </w:rPr>
      </w:pPr>
    </w:p>
    <w:p w14:paraId="40BA05E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服务，或者提供其他残疾人福利性单位提供的服务。本单位对上述声明的真实性负责。如有虚假，将依法承担相应责任。</w:t>
      </w:r>
    </w:p>
    <w:p w14:paraId="2E486D69">
      <w:pPr>
        <w:pStyle w:val="94"/>
        <w:spacing w:line="360" w:lineRule="auto"/>
        <w:rPr>
          <w:rFonts w:hint="eastAsia" w:ascii="宋体" w:hAnsi="宋体" w:eastAsia="宋体" w:cs="宋体"/>
          <w:highlight w:val="none"/>
        </w:rPr>
      </w:pPr>
    </w:p>
    <w:p w14:paraId="5C5FD64A">
      <w:pPr>
        <w:pStyle w:val="10"/>
        <w:spacing w:line="360" w:lineRule="auto"/>
        <w:rPr>
          <w:rFonts w:hint="eastAsia" w:ascii="宋体" w:hAnsi="宋体" w:eastAsia="宋体" w:cs="宋体"/>
          <w:highlight w:val="none"/>
        </w:rPr>
      </w:pPr>
    </w:p>
    <w:p w14:paraId="12053F85">
      <w:pPr>
        <w:spacing w:line="360" w:lineRule="auto"/>
        <w:rPr>
          <w:rFonts w:hint="eastAsia" w:ascii="宋体" w:hAnsi="宋体" w:eastAsia="宋体" w:cs="宋体"/>
          <w:sz w:val="24"/>
          <w:highlight w:val="none"/>
        </w:rPr>
      </w:pPr>
    </w:p>
    <w:p w14:paraId="73E3DB80">
      <w:pPr>
        <w:spacing w:line="360" w:lineRule="auto"/>
        <w:ind w:left="3780" w:leftChars="18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法定代表人签名（或签名章）：                       </w:t>
      </w:r>
    </w:p>
    <w:p w14:paraId="32B29134">
      <w:pPr>
        <w:spacing w:line="360" w:lineRule="auto"/>
        <w:ind w:left="3780" w:leftChars="1800" w:firstLine="480" w:firstLineChars="200"/>
        <w:rPr>
          <w:rFonts w:hint="eastAsia" w:ascii="宋体" w:hAnsi="宋体" w:eastAsia="宋体" w:cs="宋体"/>
          <w:sz w:val="24"/>
          <w:highlight w:val="none"/>
        </w:rPr>
      </w:pPr>
      <w:r>
        <w:rPr>
          <w:rFonts w:hint="eastAsia" w:ascii="宋体" w:hAnsi="宋体" w:eastAsia="宋体" w:cs="宋体"/>
          <w:sz w:val="24"/>
          <w:highlight w:val="none"/>
        </w:rPr>
        <w:t>日 期：</w:t>
      </w:r>
    </w:p>
    <w:p w14:paraId="1891B54F">
      <w:pPr>
        <w:spacing w:line="360" w:lineRule="auto"/>
        <w:ind w:left="3780" w:leftChars="1800"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投标人全称（公章）：</w:t>
      </w:r>
    </w:p>
    <w:p w14:paraId="05436011">
      <w:pPr>
        <w:spacing w:line="360" w:lineRule="auto"/>
        <w:rPr>
          <w:rFonts w:hint="eastAsia" w:ascii="宋体" w:hAnsi="宋体" w:eastAsia="宋体" w:cs="宋体"/>
          <w:bCs/>
          <w:sz w:val="24"/>
          <w:szCs w:val="24"/>
          <w:highlight w:val="none"/>
          <w:lang w:val="zh-CN"/>
        </w:rPr>
      </w:pPr>
      <w:r>
        <w:rPr>
          <w:rFonts w:hint="eastAsia" w:ascii="宋体" w:hAnsi="宋体" w:eastAsia="宋体" w:cs="宋体"/>
          <w:sz w:val="24"/>
          <w:highlight w:val="none"/>
        </w:rPr>
        <w:br w:type="page"/>
      </w:r>
      <w:bookmarkStart w:id="102" w:name="_Toc12832"/>
      <w:r>
        <w:rPr>
          <w:rFonts w:hint="eastAsia" w:ascii="宋体" w:hAnsi="宋体" w:eastAsia="宋体" w:cs="宋体"/>
          <w:b/>
          <w:bCs/>
          <w:sz w:val="24"/>
          <w:highlight w:val="none"/>
          <w:lang w:val="zh-CN"/>
        </w:rPr>
        <w:t>附件</w:t>
      </w:r>
      <w:r>
        <w:rPr>
          <w:rFonts w:hint="eastAsia" w:ascii="宋体" w:hAnsi="宋体" w:cs="宋体"/>
          <w:b/>
          <w:bCs/>
          <w:sz w:val="24"/>
          <w:szCs w:val="24"/>
          <w:highlight w:val="none"/>
          <w:lang w:val="en-US" w:eastAsia="zh-CN"/>
        </w:rPr>
        <w:t>十三</w:t>
      </w:r>
      <w:r>
        <w:rPr>
          <w:rFonts w:hint="eastAsia" w:ascii="宋体" w:hAnsi="宋体" w:eastAsia="宋体" w:cs="宋体"/>
          <w:b/>
          <w:bCs/>
          <w:sz w:val="24"/>
          <w:szCs w:val="24"/>
          <w:highlight w:val="none"/>
        </w:rPr>
        <w:t>：</w:t>
      </w:r>
      <w:bookmarkEnd w:id="102"/>
    </w:p>
    <w:p w14:paraId="18CD1240">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监狱企业证明文件</w:t>
      </w:r>
    </w:p>
    <w:p w14:paraId="51802A32">
      <w:pPr>
        <w:widowControl/>
        <w:snapToGrid w:val="0"/>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【不属于监狱企业的无需填写、递交】</w:t>
      </w:r>
    </w:p>
    <w:p w14:paraId="0BD3FF29">
      <w:pPr>
        <w:widowControl/>
        <w:snapToGrid w:val="0"/>
        <w:spacing w:line="360" w:lineRule="auto"/>
        <w:jc w:val="center"/>
        <w:rPr>
          <w:rFonts w:hint="eastAsia" w:ascii="宋体" w:hAnsi="宋体" w:eastAsia="宋体" w:cs="宋体"/>
          <w:kern w:val="0"/>
          <w:sz w:val="24"/>
          <w:highlight w:val="none"/>
        </w:rPr>
      </w:pPr>
    </w:p>
    <w:p w14:paraId="0C597412">
      <w:pPr>
        <w:spacing w:line="360" w:lineRule="auto"/>
        <w:ind w:firstLine="480" w:firstLineChars="200"/>
        <w:rPr>
          <w:rFonts w:hint="eastAsia" w:ascii="宋体" w:hAnsi="宋体" w:eastAsia="宋体" w:cs="宋体"/>
          <w:sz w:val="24"/>
          <w:highlight w:val="none"/>
        </w:rPr>
      </w:pPr>
    </w:p>
    <w:p w14:paraId="123EE41A">
      <w:pPr>
        <w:adjustRightInd w:val="0"/>
        <w:snapToGrid w:val="0"/>
        <w:spacing w:before="159" w:beforeLines="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监狱企业需提供省级以上的监狱管理局、戒毒管理局（含新疆生产建设兵团）出具的属于监狱企业的证明文件。  </w:t>
      </w:r>
    </w:p>
    <w:p w14:paraId="1ACA7597">
      <w:pPr>
        <w:pStyle w:val="5"/>
        <w:spacing w:line="360" w:lineRule="auto"/>
        <w:rPr>
          <w:rFonts w:hint="eastAsia" w:ascii="宋体" w:hAnsi="宋体" w:eastAsia="宋体" w:cs="宋体"/>
          <w:highlight w:val="none"/>
        </w:rPr>
      </w:pPr>
    </w:p>
    <w:p w14:paraId="6CD34622">
      <w:pPr>
        <w:pStyle w:val="10"/>
        <w:spacing w:line="360" w:lineRule="auto"/>
        <w:rPr>
          <w:rFonts w:hint="eastAsia" w:ascii="宋体" w:hAnsi="宋体" w:eastAsia="宋体" w:cs="宋体"/>
          <w:highlight w:val="none"/>
        </w:rPr>
      </w:pPr>
    </w:p>
    <w:p w14:paraId="701A92D3">
      <w:pPr>
        <w:spacing w:line="360" w:lineRule="auto"/>
        <w:ind w:left="3780" w:leftChars="18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法定代表人签名（或签名章）：                       </w:t>
      </w:r>
    </w:p>
    <w:p w14:paraId="1008144C">
      <w:pPr>
        <w:spacing w:line="360" w:lineRule="auto"/>
        <w:ind w:left="3780" w:leftChars="1800" w:firstLine="480" w:firstLineChars="200"/>
        <w:rPr>
          <w:rFonts w:hint="eastAsia" w:ascii="宋体" w:hAnsi="宋体" w:eastAsia="宋体" w:cs="宋体"/>
          <w:sz w:val="24"/>
          <w:highlight w:val="none"/>
        </w:rPr>
      </w:pPr>
      <w:r>
        <w:rPr>
          <w:rFonts w:hint="eastAsia" w:ascii="宋体" w:hAnsi="宋体" w:eastAsia="宋体" w:cs="宋体"/>
          <w:sz w:val="24"/>
          <w:highlight w:val="none"/>
        </w:rPr>
        <w:t>日 期：</w:t>
      </w:r>
    </w:p>
    <w:p w14:paraId="55ED8E53">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sz w:val="24"/>
          <w:highlight w:val="none"/>
        </w:rPr>
        <w:t>投标人全称（公章）：</w:t>
      </w:r>
    </w:p>
    <w:p w14:paraId="23DB4E5C">
      <w:pPr>
        <w:spacing w:line="360" w:lineRule="auto"/>
        <w:jc w:val="center"/>
        <w:rPr>
          <w:rFonts w:hint="eastAsia" w:ascii="宋体" w:hAnsi="宋体" w:eastAsia="宋体" w:cs="宋体"/>
          <w:b/>
          <w:bCs/>
          <w:color w:val="auto"/>
          <w:kern w:val="0"/>
          <w:sz w:val="36"/>
          <w:szCs w:val="36"/>
          <w:highlight w:val="none"/>
        </w:rPr>
      </w:pPr>
    </w:p>
    <w:p w14:paraId="071889E2">
      <w:pPr>
        <w:spacing w:line="360" w:lineRule="auto"/>
        <w:jc w:val="center"/>
        <w:rPr>
          <w:rFonts w:hint="eastAsia" w:ascii="宋体" w:hAnsi="宋体" w:eastAsia="宋体" w:cs="宋体"/>
          <w:b/>
          <w:bCs/>
          <w:color w:val="auto"/>
          <w:kern w:val="0"/>
          <w:sz w:val="36"/>
          <w:szCs w:val="36"/>
          <w:highlight w:val="none"/>
        </w:rPr>
      </w:pPr>
    </w:p>
    <w:p w14:paraId="412D4DB7">
      <w:pPr>
        <w:spacing w:line="360" w:lineRule="auto"/>
        <w:jc w:val="center"/>
        <w:rPr>
          <w:rFonts w:hint="eastAsia" w:ascii="宋体" w:hAnsi="宋体" w:eastAsia="宋体" w:cs="宋体"/>
          <w:b/>
          <w:bCs/>
          <w:color w:val="auto"/>
          <w:kern w:val="0"/>
          <w:sz w:val="36"/>
          <w:szCs w:val="36"/>
          <w:highlight w:val="none"/>
        </w:rPr>
      </w:pPr>
    </w:p>
    <w:p w14:paraId="06C2BE7F">
      <w:pPr>
        <w:snapToGrid w:val="0"/>
        <w:spacing w:before="50" w:after="167" w:afterLines="50" w:line="360" w:lineRule="auto"/>
        <w:jc w:val="left"/>
        <w:rPr>
          <w:rFonts w:hint="eastAsia" w:ascii="宋体" w:hAnsi="宋体" w:eastAsia="宋体" w:cs="宋体"/>
          <w:b/>
          <w:bCs w:val="0"/>
          <w:sz w:val="24"/>
          <w:szCs w:val="24"/>
          <w:highlight w:val="none"/>
          <w:lang w:val="zh-CN"/>
        </w:rPr>
      </w:pPr>
    </w:p>
    <w:p w14:paraId="62D8EB70">
      <w:pPr>
        <w:spacing w:line="360" w:lineRule="auto"/>
        <w:jc w:val="center"/>
        <w:rPr>
          <w:rFonts w:hint="eastAsia" w:ascii="宋体" w:hAnsi="宋体" w:eastAsia="宋体" w:cs="宋体"/>
          <w:b/>
          <w:bCs/>
          <w:color w:val="auto"/>
          <w:kern w:val="0"/>
          <w:sz w:val="36"/>
          <w:szCs w:val="36"/>
          <w:highlight w:val="none"/>
        </w:rPr>
      </w:pPr>
    </w:p>
    <w:p w14:paraId="078C143A">
      <w:pPr>
        <w:spacing w:line="360" w:lineRule="auto"/>
        <w:jc w:val="center"/>
        <w:rPr>
          <w:rFonts w:hint="eastAsia" w:ascii="宋体" w:hAnsi="宋体" w:eastAsia="宋体" w:cs="宋体"/>
          <w:b/>
          <w:bCs/>
          <w:color w:val="auto"/>
          <w:kern w:val="0"/>
          <w:sz w:val="36"/>
          <w:szCs w:val="36"/>
          <w:highlight w:val="none"/>
        </w:rPr>
      </w:pPr>
    </w:p>
    <w:p w14:paraId="6300C960">
      <w:pPr>
        <w:spacing w:line="360" w:lineRule="auto"/>
        <w:jc w:val="center"/>
        <w:rPr>
          <w:rFonts w:hint="eastAsia" w:ascii="宋体" w:hAnsi="宋体" w:eastAsia="宋体" w:cs="宋体"/>
          <w:b/>
          <w:bCs/>
          <w:color w:val="auto"/>
          <w:kern w:val="0"/>
          <w:sz w:val="36"/>
          <w:szCs w:val="36"/>
          <w:highlight w:val="none"/>
        </w:rPr>
      </w:pPr>
    </w:p>
    <w:p w14:paraId="68E8EC00">
      <w:pPr>
        <w:spacing w:line="360" w:lineRule="auto"/>
        <w:jc w:val="center"/>
        <w:rPr>
          <w:rFonts w:hint="eastAsia" w:ascii="宋体" w:hAnsi="宋体" w:eastAsia="宋体" w:cs="宋体"/>
          <w:b/>
          <w:bCs/>
          <w:color w:val="auto"/>
          <w:kern w:val="0"/>
          <w:sz w:val="36"/>
          <w:szCs w:val="36"/>
          <w:highlight w:val="none"/>
        </w:rPr>
      </w:pPr>
    </w:p>
    <w:p w14:paraId="78513EE2">
      <w:pPr>
        <w:spacing w:line="360" w:lineRule="auto"/>
        <w:jc w:val="center"/>
        <w:rPr>
          <w:rFonts w:hint="eastAsia" w:ascii="宋体" w:hAnsi="宋体" w:eastAsia="宋体" w:cs="宋体"/>
          <w:b/>
          <w:bCs/>
          <w:color w:val="auto"/>
          <w:kern w:val="0"/>
          <w:sz w:val="36"/>
          <w:szCs w:val="36"/>
          <w:highlight w:val="none"/>
        </w:rPr>
      </w:pPr>
    </w:p>
    <w:p w14:paraId="1EE0C8BB">
      <w:pPr>
        <w:spacing w:line="360" w:lineRule="auto"/>
        <w:jc w:val="center"/>
        <w:rPr>
          <w:rFonts w:hint="eastAsia" w:ascii="宋体" w:hAnsi="宋体" w:eastAsia="宋体" w:cs="宋体"/>
          <w:b/>
          <w:bCs/>
          <w:color w:val="auto"/>
          <w:kern w:val="0"/>
          <w:sz w:val="36"/>
          <w:szCs w:val="36"/>
          <w:highlight w:val="none"/>
        </w:rPr>
      </w:pPr>
    </w:p>
    <w:p w14:paraId="02AA44A2">
      <w:pPr>
        <w:spacing w:line="360" w:lineRule="auto"/>
        <w:jc w:val="center"/>
        <w:rPr>
          <w:rFonts w:hint="eastAsia" w:ascii="宋体" w:hAnsi="宋体" w:eastAsia="宋体" w:cs="宋体"/>
          <w:b/>
          <w:bCs/>
          <w:color w:val="auto"/>
          <w:kern w:val="0"/>
          <w:sz w:val="36"/>
          <w:szCs w:val="36"/>
          <w:highlight w:val="none"/>
        </w:rPr>
      </w:pPr>
    </w:p>
    <w:p w14:paraId="2B460AF1">
      <w:pPr>
        <w:bidi w:val="0"/>
        <w:spacing w:line="360" w:lineRule="auto"/>
        <w:jc w:val="both"/>
        <w:rPr>
          <w:rFonts w:hint="eastAsia" w:ascii="宋体" w:hAnsi="宋体" w:eastAsia="宋体" w:cs="宋体"/>
          <w:highlight w:val="none"/>
          <w:lang w:val="zh-CN" w:eastAsia="zh-CN"/>
        </w:rPr>
      </w:pPr>
    </w:p>
    <w:bookmarkEnd w:id="103"/>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华文楷体">
    <w:altName w:val="宋体"/>
    <w:panose1 w:val="02010600040101010101"/>
    <w:charset w:val="86"/>
    <w:family w:val="auto"/>
    <w:pitch w:val="default"/>
    <w:sig w:usb0="00000000" w:usb1="00000000" w:usb2="00000000" w:usb3="00000000" w:csb0="0004009F" w:csb1="DFD7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57C98">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05B49">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ED8ACE">
                          <w:pPr>
                            <w:pStyle w:val="18"/>
                          </w:pPr>
                          <w:r>
                            <w:fldChar w:fldCharType="begin"/>
                          </w:r>
                          <w:r>
                            <w:instrText xml:space="preserve"> PAGE  \* MERGEFORMAT </w:instrText>
                          </w:r>
                          <w:r>
                            <w:fldChar w:fldCharType="separate"/>
                          </w:r>
                          <w:r>
                            <w:t>40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CazfJM1wEAALADAAAOAAAAAAAAAAEAIAAA&#10;AB8BAABkcnMvZTJvRG9jLnhtbFBLBQYAAAAABgAGAFkBAABoBQAAAAA=&#10;">
              <v:fill on="f" focussize="0,0"/>
              <v:stroke on="f" weight="0.5pt"/>
              <v:imagedata o:title=""/>
              <o:lock v:ext="edit" aspectratio="f"/>
              <v:textbox inset="0mm,0mm,0mm,0mm" style="mso-fit-shape-to-text:t;">
                <w:txbxContent>
                  <w:p w14:paraId="00ED8ACE">
                    <w:pPr>
                      <w:pStyle w:val="18"/>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B3D57">
    <w:pPr>
      <w:pStyle w:val="18"/>
      <w:rPr>
        <w:rStyle w:val="33"/>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a:effectLst/>
                    </wps:spPr>
                    <wps:txbx>
                      <w:txbxContent>
                        <w:p w14:paraId="5A48A450">
                          <w:pPr>
                            <w:pStyle w:val="18"/>
                          </w:pPr>
                          <w:r>
                            <w:fldChar w:fldCharType="begin"/>
                          </w:r>
                          <w:r>
                            <w:instrText xml:space="preserve"> PAGE  \* MERGEFORMAT </w:instrText>
                          </w:r>
                          <w:r>
                            <w:fldChar w:fldCharType="separate"/>
                          </w:r>
                          <w:r>
                            <w:t>59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rpkT20wEAAKU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Dl4RF6A8XXiMfSbrNhv+5Hc1jVH5Nbh&#10;EtTU4s5Tou8tapz2ZTLCZGwnY++D2rXY6Dx3Cf79PmJLudNUYYBFhumC08tcx01L6/H0nrMe/67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uNj1nRAAAAAwEAAA8AAAAAAAAAAQAgAAAAIgAAAGRy&#10;cy9kb3ducmV2LnhtbFBLAQIUABQAAAAIAIdO4kArpkT20wEAAKUDAAAOAAAAAAAAAAEAIAAAACAB&#10;AABkcnMvZTJvRG9jLnhtbFBLBQYAAAAABgAGAFkBAABlBQAAAAA=&#10;">
              <v:fill on="f" focussize="0,0"/>
              <v:stroke on="f"/>
              <v:imagedata o:title=""/>
              <o:lock v:ext="edit" aspectratio="f"/>
              <v:textbox inset="0mm,0mm,0mm,0mm" style="mso-fit-shape-to-text:t;">
                <w:txbxContent>
                  <w:p w14:paraId="5A48A450">
                    <w:pPr>
                      <w:pStyle w:val="18"/>
                    </w:pPr>
                    <w:r>
                      <w:fldChar w:fldCharType="begin"/>
                    </w:r>
                    <w:r>
                      <w:instrText xml:space="preserve"> PAGE  \* MERGEFORMAT </w:instrText>
                    </w:r>
                    <w:r>
                      <w:fldChar w:fldCharType="separate"/>
                    </w:r>
                    <w:r>
                      <w:t>59</w:t>
                    </w:r>
                    <w:r>
                      <w:fldChar w:fldCharType="end"/>
                    </w:r>
                  </w:p>
                </w:txbxContent>
              </v:textbox>
            </v:shape>
          </w:pict>
        </mc:Fallback>
      </mc:AlternateContent>
    </w:r>
  </w:p>
  <w:p w14:paraId="6B9B237A">
    <w:pPr>
      <w:pStyle w:val="18"/>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EE77B">
    <w:pPr>
      <w:pStyle w:val="1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46E10"/>
    <w:multiLevelType w:val="singleLevel"/>
    <w:tmpl w:val="83546E10"/>
    <w:lvl w:ilvl="0" w:tentative="0">
      <w:start w:val="1"/>
      <w:numFmt w:val="decimal"/>
      <w:suff w:val="nothing"/>
      <w:lvlText w:val="%1．"/>
      <w:lvlJc w:val="left"/>
      <w:pPr>
        <w:ind w:left="0" w:firstLine="400"/>
      </w:pPr>
      <w:rPr>
        <w:rFonts w:hint="default"/>
      </w:rPr>
    </w:lvl>
  </w:abstractNum>
  <w:abstractNum w:abstractNumId="1">
    <w:nsid w:val="91799C87"/>
    <w:multiLevelType w:val="singleLevel"/>
    <w:tmpl w:val="91799C87"/>
    <w:lvl w:ilvl="0" w:tentative="0">
      <w:start w:val="1"/>
      <w:numFmt w:val="decimal"/>
      <w:suff w:val="nothing"/>
      <w:lvlText w:val="（%1）"/>
      <w:lvlJc w:val="left"/>
    </w:lvl>
  </w:abstractNum>
  <w:abstractNum w:abstractNumId="2">
    <w:nsid w:val="960C84E7"/>
    <w:multiLevelType w:val="singleLevel"/>
    <w:tmpl w:val="960C84E7"/>
    <w:lvl w:ilvl="0" w:tentative="0">
      <w:start w:val="1"/>
      <w:numFmt w:val="decimal"/>
      <w:suff w:val="nothing"/>
      <w:lvlText w:val="14.%1 "/>
      <w:lvlJc w:val="left"/>
      <w:pPr>
        <w:tabs>
          <w:tab w:val="left" w:pos="0"/>
        </w:tabs>
        <w:ind w:firstLine="40"/>
      </w:pPr>
      <w:rPr>
        <w:rFonts w:hint="default" w:ascii="宋体" w:hAnsi="宋体" w:eastAsia="宋体"/>
      </w:rPr>
    </w:lvl>
  </w:abstractNum>
  <w:abstractNum w:abstractNumId="3">
    <w:nsid w:val="9A136E03"/>
    <w:multiLevelType w:val="singleLevel"/>
    <w:tmpl w:val="9A136E03"/>
    <w:lvl w:ilvl="0" w:tentative="0">
      <w:start w:val="1"/>
      <w:numFmt w:val="chineseCounting"/>
      <w:suff w:val="space"/>
      <w:lvlText w:val="%1．"/>
      <w:lvlJc w:val="left"/>
      <w:rPr>
        <w:rFonts w:hint="eastAsia"/>
      </w:rPr>
    </w:lvl>
  </w:abstractNum>
  <w:abstractNum w:abstractNumId="4">
    <w:nsid w:val="9E7D436F"/>
    <w:multiLevelType w:val="singleLevel"/>
    <w:tmpl w:val="9E7D436F"/>
    <w:lvl w:ilvl="0" w:tentative="0">
      <w:start w:val="1"/>
      <w:numFmt w:val="chineseCounting"/>
      <w:suff w:val="nothing"/>
      <w:lvlText w:val="%1、"/>
      <w:lvlJc w:val="left"/>
      <w:rPr>
        <w:rFonts w:hint="eastAsia"/>
      </w:rPr>
    </w:lvl>
  </w:abstractNum>
  <w:abstractNum w:abstractNumId="5">
    <w:nsid w:val="A217EB4F"/>
    <w:multiLevelType w:val="singleLevel"/>
    <w:tmpl w:val="A217EB4F"/>
    <w:lvl w:ilvl="0" w:tentative="0">
      <w:start w:val="1"/>
      <w:numFmt w:val="decimal"/>
      <w:suff w:val="nothing"/>
      <w:lvlText w:val="%1、"/>
      <w:lvlJc w:val="left"/>
    </w:lvl>
  </w:abstractNum>
  <w:abstractNum w:abstractNumId="6">
    <w:nsid w:val="D5C663A9"/>
    <w:multiLevelType w:val="singleLevel"/>
    <w:tmpl w:val="D5C663A9"/>
    <w:lvl w:ilvl="0" w:tentative="0">
      <w:start w:val="1"/>
      <w:numFmt w:val="decimalEnclosedCircleChinese"/>
      <w:suff w:val="nothing"/>
      <w:lvlText w:val="%1　"/>
      <w:lvlJc w:val="left"/>
      <w:pPr>
        <w:ind w:firstLine="1134"/>
      </w:pPr>
      <w:rPr>
        <w:rFonts w:hint="eastAsia"/>
      </w:rPr>
    </w:lvl>
  </w:abstractNum>
  <w:abstractNum w:abstractNumId="7">
    <w:nsid w:val="F4396F3A"/>
    <w:multiLevelType w:val="singleLevel"/>
    <w:tmpl w:val="F4396F3A"/>
    <w:lvl w:ilvl="0" w:tentative="0">
      <w:start w:val="2"/>
      <w:numFmt w:val="chineseCounting"/>
      <w:suff w:val="nothing"/>
      <w:lvlText w:val="%1、"/>
      <w:lvlJc w:val="left"/>
      <w:rPr>
        <w:rFonts w:hint="eastAsia"/>
      </w:rPr>
    </w:lvl>
  </w:abstractNum>
  <w:abstractNum w:abstractNumId="8">
    <w:nsid w:val="12F353C5"/>
    <w:multiLevelType w:val="singleLevel"/>
    <w:tmpl w:val="12F353C5"/>
    <w:lvl w:ilvl="0" w:tentative="0">
      <w:start w:val="1"/>
      <w:numFmt w:val="chineseCounting"/>
      <w:suff w:val="nothing"/>
      <w:lvlText w:val="%1、"/>
      <w:lvlJc w:val="left"/>
      <w:rPr>
        <w:rFonts w:hint="eastAsia"/>
      </w:rPr>
    </w:lvl>
  </w:abstractNum>
  <w:abstractNum w:abstractNumId="9">
    <w:nsid w:val="139B6DF6"/>
    <w:multiLevelType w:val="singleLevel"/>
    <w:tmpl w:val="139B6DF6"/>
    <w:lvl w:ilvl="0" w:tentative="0">
      <w:start w:val="1"/>
      <w:numFmt w:val="decimal"/>
      <w:suff w:val="nothing"/>
      <w:lvlText w:val="9.%1 "/>
      <w:lvlJc w:val="left"/>
      <w:pPr>
        <w:tabs>
          <w:tab w:val="left" w:pos="0"/>
        </w:tabs>
        <w:ind w:firstLine="40"/>
      </w:pPr>
      <w:rPr>
        <w:rFonts w:hint="default" w:ascii="宋体" w:hAnsi="宋体" w:eastAsia="宋体"/>
      </w:rPr>
    </w:lvl>
  </w:abstractNum>
  <w:abstractNum w:abstractNumId="10">
    <w:nsid w:val="1DBCF645"/>
    <w:multiLevelType w:val="singleLevel"/>
    <w:tmpl w:val="1DBCF645"/>
    <w:lvl w:ilvl="0" w:tentative="0">
      <w:start w:val="1"/>
      <w:numFmt w:val="decimalEnclosedCircleChinese"/>
      <w:suff w:val="nothing"/>
      <w:lvlText w:val="%1　"/>
      <w:lvlJc w:val="left"/>
      <w:pPr>
        <w:ind w:firstLine="397"/>
      </w:pPr>
      <w:rPr>
        <w:rFonts w:hint="eastAsia"/>
      </w:rPr>
    </w:lvl>
  </w:abstractNum>
  <w:abstractNum w:abstractNumId="11">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12">
    <w:nsid w:val="25F33ADD"/>
    <w:multiLevelType w:val="singleLevel"/>
    <w:tmpl w:val="25F33ADD"/>
    <w:lvl w:ilvl="0" w:tentative="0">
      <w:start w:val="1"/>
      <w:numFmt w:val="decimalEnclosedCircleChinese"/>
      <w:suff w:val="nothing"/>
      <w:lvlText w:val="%1　"/>
      <w:lvlJc w:val="left"/>
      <w:pPr>
        <w:ind w:firstLine="1134"/>
      </w:pPr>
      <w:rPr>
        <w:rFonts w:hint="eastAsia"/>
      </w:rPr>
    </w:lvl>
  </w:abstractNum>
  <w:abstractNum w:abstractNumId="13">
    <w:nsid w:val="31213A5A"/>
    <w:multiLevelType w:val="singleLevel"/>
    <w:tmpl w:val="31213A5A"/>
    <w:lvl w:ilvl="0" w:tentative="0">
      <w:start w:val="4"/>
      <w:numFmt w:val="chineseCounting"/>
      <w:suff w:val="nothing"/>
      <w:lvlText w:val="%1、"/>
      <w:lvlJc w:val="left"/>
      <w:rPr>
        <w:rFonts w:hint="eastAsia"/>
      </w:rPr>
    </w:lvl>
  </w:abstractNum>
  <w:abstractNum w:abstractNumId="14">
    <w:nsid w:val="43F94463"/>
    <w:multiLevelType w:val="singleLevel"/>
    <w:tmpl w:val="43F94463"/>
    <w:lvl w:ilvl="0" w:tentative="0">
      <w:start w:val="1"/>
      <w:numFmt w:val="decimalEnclosedCircleChinese"/>
      <w:suff w:val="nothing"/>
      <w:lvlText w:val="%1　"/>
      <w:lvlJc w:val="left"/>
      <w:pPr>
        <w:ind w:firstLine="1134"/>
      </w:pPr>
      <w:rPr>
        <w:rFonts w:hint="eastAsia"/>
      </w:rPr>
    </w:lvl>
  </w:abstractNum>
  <w:abstractNum w:abstractNumId="15">
    <w:nsid w:val="466C6E1F"/>
    <w:multiLevelType w:val="multilevel"/>
    <w:tmpl w:val="466C6E1F"/>
    <w:lvl w:ilvl="0" w:tentative="0">
      <w:start w:val="1"/>
      <w:numFmt w:val="upperLetter"/>
      <w:pStyle w:val="6"/>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6">
    <w:nsid w:val="474E1A63"/>
    <w:multiLevelType w:val="singleLevel"/>
    <w:tmpl w:val="474E1A63"/>
    <w:lvl w:ilvl="0" w:tentative="0">
      <w:start w:val="1"/>
      <w:numFmt w:val="decimalEnclosedCircleChinese"/>
      <w:suff w:val="nothing"/>
      <w:lvlText w:val="%1　"/>
      <w:lvlJc w:val="left"/>
      <w:pPr>
        <w:ind w:firstLine="1134"/>
      </w:pPr>
      <w:rPr>
        <w:rFonts w:hint="eastAsia"/>
      </w:rPr>
    </w:lvl>
  </w:abstractNum>
  <w:abstractNum w:abstractNumId="17">
    <w:nsid w:val="4D4A2151"/>
    <w:multiLevelType w:val="singleLevel"/>
    <w:tmpl w:val="4D4A2151"/>
    <w:lvl w:ilvl="0" w:tentative="0">
      <w:start w:val="1"/>
      <w:numFmt w:val="decimal"/>
      <w:suff w:val="nothing"/>
      <w:lvlText w:val="%1．"/>
      <w:lvlJc w:val="left"/>
      <w:pPr>
        <w:ind w:firstLine="397"/>
      </w:pPr>
      <w:rPr>
        <w:rFonts w:hint="default"/>
      </w:rPr>
    </w:lvl>
  </w:abstractNum>
  <w:abstractNum w:abstractNumId="18">
    <w:nsid w:val="62705028"/>
    <w:multiLevelType w:val="singleLevel"/>
    <w:tmpl w:val="62705028"/>
    <w:lvl w:ilvl="0" w:tentative="0">
      <w:start w:val="1"/>
      <w:numFmt w:val="decimalEnclosedCircleChinese"/>
      <w:suff w:val="nothing"/>
      <w:lvlText w:val="%1　"/>
      <w:lvlJc w:val="left"/>
      <w:pPr>
        <w:ind w:firstLine="397"/>
      </w:pPr>
      <w:rPr>
        <w:rFonts w:hint="eastAsia"/>
      </w:rPr>
    </w:lvl>
  </w:abstractNum>
  <w:abstractNum w:abstractNumId="19">
    <w:nsid w:val="7B2826C6"/>
    <w:multiLevelType w:val="singleLevel"/>
    <w:tmpl w:val="7B2826C6"/>
    <w:lvl w:ilvl="0" w:tentative="0">
      <w:start w:val="1"/>
      <w:numFmt w:val="decimal"/>
      <w:suff w:val="nothing"/>
      <w:lvlText w:val="%1．"/>
      <w:lvlJc w:val="left"/>
      <w:pPr>
        <w:ind w:left="0" w:firstLine="397"/>
      </w:pPr>
      <w:rPr>
        <w:rFonts w:hint="default"/>
      </w:rPr>
    </w:lvl>
  </w:abstractNum>
  <w:num w:numId="1">
    <w:abstractNumId w:val="15"/>
  </w:num>
  <w:num w:numId="2">
    <w:abstractNumId w:val="3"/>
  </w:num>
  <w:num w:numId="3">
    <w:abstractNumId w:val="0"/>
  </w:num>
  <w:num w:numId="4">
    <w:abstractNumId w:val="17"/>
  </w:num>
  <w:num w:numId="5">
    <w:abstractNumId w:val="10"/>
  </w:num>
  <w:num w:numId="6">
    <w:abstractNumId w:val="19"/>
  </w:num>
  <w:num w:numId="7">
    <w:abstractNumId w:val="11"/>
  </w:num>
  <w:num w:numId="8">
    <w:abstractNumId w:val="18"/>
  </w:num>
  <w:num w:numId="9">
    <w:abstractNumId w:val="8"/>
  </w:num>
  <w:num w:numId="10">
    <w:abstractNumId w:val="9"/>
  </w:num>
  <w:num w:numId="11">
    <w:abstractNumId w:val="16"/>
  </w:num>
  <w:num w:numId="12">
    <w:abstractNumId w:val="14"/>
  </w:num>
  <w:num w:numId="13">
    <w:abstractNumId w:val="6"/>
  </w:num>
  <w:num w:numId="14">
    <w:abstractNumId w:val="2"/>
  </w:num>
  <w:num w:numId="15">
    <w:abstractNumId w:val="12"/>
  </w:num>
  <w:num w:numId="16">
    <w:abstractNumId w:val="4"/>
  </w:num>
  <w:num w:numId="17">
    <w:abstractNumId w:val="13"/>
  </w:num>
  <w:num w:numId="18">
    <w:abstractNumId w:val="7"/>
  </w:num>
  <w:num w:numId="19">
    <w:abstractNumId w:val="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MDVmMzExYmQ1MWZjZjJlMmQwZDcwY2MyOTg4M2UifQ=="/>
  </w:docVars>
  <w:rsids>
    <w:rsidRoot w:val="00172A27"/>
    <w:rsid w:val="00003EF7"/>
    <w:rsid w:val="000122B4"/>
    <w:rsid w:val="00027C5B"/>
    <w:rsid w:val="00043EEC"/>
    <w:rsid w:val="00046957"/>
    <w:rsid w:val="0005045A"/>
    <w:rsid w:val="00084F39"/>
    <w:rsid w:val="00085ECB"/>
    <w:rsid w:val="000B3BC7"/>
    <w:rsid w:val="000D0709"/>
    <w:rsid w:val="000D30BB"/>
    <w:rsid w:val="000F06EE"/>
    <w:rsid w:val="001039CA"/>
    <w:rsid w:val="0012684B"/>
    <w:rsid w:val="001339E2"/>
    <w:rsid w:val="00161E6F"/>
    <w:rsid w:val="00221416"/>
    <w:rsid w:val="00223E24"/>
    <w:rsid w:val="00234866"/>
    <w:rsid w:val="00234D57"/>
    <w:rsid w:val="00255FD2"/>
    <w:rsid w:val="00264C08"/>
    <w:rsid w:val="00273F1A"/>
    <w:rsid w:val="0027526D"/>
    <w:rsid w:val="00284949"/>
    <w:rsid w:val="00297FF4"/>
    <w:rsid w:val="002C24EC"/>
    <w:rsid w:val="002C487B"/>
    <w:rsid w:val="002F1CD0"/>
    <w:rsid w:val="002F6EC0"/>
    <w:rsid w:val="0030570F"/>
    <w:rsid w:val="003470DA"/>
    <w:rsid w:val="003914B1"/>
    <w:rsid w:val="00392B4C"/>
    <w:rsid w:val="00393C1C"/>
    <w:rsid w:val="003A0D36"/>
    <w:rsid w:val="003A2883"/>
    <w:rsid w:val="003D07BA"/>
    <w:rsid w:val="0040061B"/>
    <w:rsid w:val="00402FF9"/>
    <w:rsid w:val="004047AC"/>
    <w:rsid w:val="004277E5"/>
    <w:rsid w:val="0043140B"/>
    <w:rsid w:val="00434E53"/>
    <w:rsid w:val="00463C96"/>
    <w:rsid w:val="00476057"/>
    <w:rsid w:val="0048104F"/>
    <w:rsid w:val="00485852"/>
    <w:rsid w:val="00486150"/>
    <w:rsid w:val="00497B50"/>
    <w:rsid w:val="004E63AF"/>
    <w:rsid w:val="004E7DB7"/>
    <w:rsid w:val="00542925"/>
    <w:rsid w:val="005456AD"/>
    <w:rsid w:val="00550AE1"/>
    <w:rsid w:val="005617C4"/>
    <w:rsid w:val="005747A4"/>
    <w:rsid w:val="0057775B"/>
    <w:rsid w:val="005F4C64"/>
    <w:rsid w:val="00603A33"/>
    <w:rsid w:val="0060407F"/>
    <w:rsid w:val="00624CA0"/>
    <w:rsid w:val="006545B6"/>
    <w:rsid w:val="006B56AA"/>
    <w:rsid w:val="006E3901"/>
    <w:rsid w:val="006E4D94"/>
    <w:rsid w:val="006E5F17"/>
    <w:rsid w:val="006E7DD6"/>
    <w:rsid w:val="00726B0B"/>
    <w:rsid w:val="00741B88"/>
    <w:rsid w:val="0074647B"/>
    <w:rsid w:val="00761CC5"/>
    <w:rsid w:val="007675AE"/>
    <w:rsid w:val="007C1988"/>
    <w:rsid w:val="007C36F2"/>
    <w:rsid w:val="007D1674"/>
    <w:rsid w:val="007F23B1"/>
    <w:rsid w:val="00804A32"/>
    <w:rsid w:val="00816086"/>
    <w:rsid w:val="00846EE7"/>
    <w:rsid w:val="008651FF"/>
    <w:rsid w:val="008A2209"/>
    <w:rsid w:val="008B73C2"/>
    <w:rsid w:val="008C2439"/>
    <w:rsid w:val="008E3963"/>
    <w:rsid w:val="00913BA9"/>
    <w:rsid w:val="00913DF5"/>
    <w:rsid w:val="00922646"/>
    <w:rsid w:val="009241BF"/>
    <w:rsid w:val="00945D04"/>
    <w:rsid w:val="00992B51"/>
    <w:rsid w:val="009B5145"/>
    <w:rsid w:val="009B698E"/>
    <w:rsid w:val="009C14AC"/>
    <w:rsid w:val="00A06FE3"/>
    <w:rsid w:val="00A5469A"/>
    <w:rsid w:val="00A60C7C"/>
    <w:rsid w:val="00A832EF"/>
    <w:rsid w:val="00AC415C"/>
    <w:rsid w:val="00AE721D"/>
    <w:rsid w:val="00AF40FC"/>
    <w:rsid w:val="00AF7CF9"/>
    <w:rsid w:val="00B007B7"/>
    <w:rsid w:val="00B043F4"/>
    <w:rsid w:val="00B1386B"/>
    <w:rsid w:val="00B1531C"/>
    <w:rsid w:val="00B26DD6"/>
    <w:rsid w:val="00B34795"/>
    <w:rsid w:val="00B45AAD"/>
    <w:rsid w:val="00B47103"/>
    <w:rsid w:val="00B651EF"/>
    <w:rsid w:val="00B70E65"/>
    <w:rsid w:val="00B7632C"/>
    <w:rsid w:val="00BC25F6"/>
    <w:rsid w:val="00BC554A"/>
    <w:rsid w:val="00C144DF"/>
    <w:rsid w:val="00C15659"/>
    <w:rsid w:val="00C32FC8"/>
    <w:rsid w:val="00C4588E"/>
    <w:rsid w:val="00C70180"/>
    <w:rsid w:val="00C755F3"/>
    <w:rsid w:val="00C93598"/>
    <w:rsid w:val="00C94384"/>
    <w:rsid w:val="00C97640"/>
    <w:rsid w:val="00CA29A3"/>
    <w:rsid w:val="00CA75C3"/>
    <w:rsid w:val="00CB75F1"/>
    <w:rsid w:val="00CC3A61"/>
    <w:rsid w:val="00CD31BD"/>
    <w:rsid w:val="00CE2482"/>
    <w:rsid w:val="00CF226E"/>
    <w:rsid w:val="00D208F6"/>
    <w:rsid w:val="00D33839"/>
    <w:rsid w:val="00D40761"/>
    <w:rsid w:val="00D46536"/>
    <w:rsid w:val="00D5715C"/>
    <w:rsid w:val="00D64C89"/>
    <w:rsid w:val="00D73BB8"/>
    <w:rsid w:val="00D84F46"/>
    <w:rsid w:val="00DB44DD"/>
    <w:rsid w:val="00DB66E9"/>
    <w:rsid w:val="00DD3B00"/>
    <w:rsid w:val="00DE7CF8"/>
    <w:rsid w:val="00E109DA"/>
    <w:rsid w:val="00E30080"/>
    <w:rsid w:val="00E53562"/>
    <w:rsid w:val="00E666D2"/>
    <w:rsid w:val="00F47432"/>
    <w:rsid w:val="00F673E5"/>
    <w:rsid w:val="00FD3C5B"/>
    <w:rsid w:val="00FD77B5"/>
    <w:rsid w:val="01044A81"/>
    <w:rsid w:val="0149271B"/>
    <w:rsid w:val="01505045"/>
    <w:rsid w:val="01870592"/>
    <w:rsid w:val="019A22A6"/>
    <w:rsid w:val="01A77E95"/>
    <w:rsid w:val="02656526"/>
    <w:rsid w:val="02710CE9"/>
    <w:rsid w:val="02B85E1F"/>
    <w:rsid w:val="02EE1577"/>
    <w:rsid w:val="02F24335"/>
    <w:rsid w:val="02FB0AA9"/>
    <w:rsid w:val="02FB1EF4"/>
    <w:rsid w:val="03836111"/>
    <w:rsid w:val="03A870EA"/>
    <w:rsid w:val="03A93B59"/>
    <w:rsid w:val="03E70B83"/>
    <w:rsid w:val="03F97C64"/>
    <w:rsid w:val="044134E4"/>
    <w:rsid w:val="046457A4"/>
    <w:rsid w:val="04933ABB"/>
    <w:rsid w:val="050C4D1E"/>
    <w:rsid w:val="052D21DD"/>
    <w:rsid w:val="059348DE"/>
    <w:rsid w:val="05AF3115"/>
    <w:rsid w:val="05F535AC"/>
    <w:rsid w:val="06082700"/>
    <w:rsid w:val="06191786"/>
    <w:rsid w:val="061E7F79"/>
    <w:rsid w:val="06573191"/>
    <w:rsid w:val="07010B40"/>
    <w:rsid w:val="072205A1"/>
    <w:rsid w:val="07401E45"/>
    <w:rsid w:val="07693EC4"/>
    <w:rsid w:val="076E4620"/>
    <w:rsid w:val="08287C44"/>
    <w:rsid w:val="08AB1850"/>
    <w:rsid w:val="090B4CBB"/>
    <w:rsid w:val="094A291F"/>
    <w:rsid w:val="097E1AE6"/>
    <w:rsid w:val="09A27D61"/>
    <w:rsid w:val="0A4F6D64"/>
    <w:rsid w:val="0A621193"/>
    <w:rsid w:val="0ABC596C"/>
    <w:rsid w:val="0B065E39"/>
    <w:rsid w:val="0BC74660"/>
    <w:rsid w:val="0C387BBC"/>
    <w:rsid w:val="0C7A6A78"/>
    <w:rsid w:val="0C8401B4"/>
    <w:rsid w:val="0CBE1827"/>
    <w:rsid w:val="0D094597"/>
    <w:rsid w:val="0D2A42A8"/>
    <w:rsid w:val="0D441DC7"/>
    <w:rsid w:val="0DA615C7"/>
    <w:rsid w:val="0DC43F13"/>
    <w:rsid w:val="0E090AFD"/>
    <w:rsid w:val="0E22642F"/>
    <w:rsid w:val="0E2D1637"/>
    <w:rsid w:val="0E7273EE"/>
    <w:rsid w:val="0EA5368B"/>
    <w:rsid w:val="0EAE1781"/>
    <w:rsid w:val="0EDA11B8"/>
    <w:rsid w:val="0EEA1524"/>
    <w:rsid w:val="0F2C6194"/>
    <w:rsid w:val="0F4B5038"/>
    <w:rsid w:val="0F7352D7"/>
    <w:rsid w:val="0F9E5390"/>
    <w:rsid w:val="0FAE728D"/>
    <w:rsid w:val="104145F9"/>
    <w:rsid w:val="10B64C1C"/>
    <w:rsid w:val="10BA6CED"/>
    <w:rsid w:val="10C7130C"/>
    <w:rsid w:val="10C9129C"/>
    <w:rsid w:val="113C27FB"/>
    <w:rsid w:val="11590BE0"/>
    <w:rsid w:val="1173042F"/>
    <w:rsid w:val="11AF1066"/>
    <w:rsid w:val="11CF6577"/>
    <w:rsid w:val="11F0602F"/>
    <w:rsid w:val="121F4D1B"/>
    <w:rsid w:val="12313422"/>
    <w:rsid w:val="124066BD"/>
    <w:rsid w:val="12792BFB"/>
    <w:rsid w:val="12814939"/>
    <w:rsid w:val="129F37E3"/>
    <w:rsid w:val="12E30368"/>
    <w:rsid w:val="12FC45DD"/>
    <w:rsid w:val="13495BED"/>
    <w:rsid w:val="14E55858"/>
    <w:rsid w:val="150E1CF2"/>
    <w:rsid w:val="155D552F"/>
    <w:rsid w:val="15703332"/>
    <w:rsid w:val="157D7686"/>
    <w:rsid w:val="15830AE2"/>
    <w:rsid w:val="15A07E8D"/>
    <w:rsid w:val="15BC6282"/>
    <w:rsid w:val="15EF0883"/>
    <w:rsid w:val="162D415D"/>
    <w:rsid w:val="1648774C"/>
    <w:rsid w:val="1670365E"/>
    <w:rsid w:val="168077F8"/>
    <w:rsid w:val="16B952CB"/>
    <w:rsid w:val="16EB43B2"/>
    <w:rsid w:val="1729218B"/>
    <w:rsid w:val="174437E2"/>
    <w:rsid w:val="176B10DC"/>
    <w:rsid w:val="176E41C2"/>
    <w:rsid w:val="17BA2D0F"/>
    <w:rsid w:val="17D3547E"/>
    <w:rsid w:val="17E30A9B"/>
    <w:rsid w:val="17F0221E"/>
    <w:rsid w:val="18CA5EEA"/>
    <w:rsid w:val="19061AA7"/>
    <w:rsid w:val="190D09AE"/>
    <w:rsid w:val="193E3E78"/>
    <w:rsid w:val="194A559B"/>
    <w:rsid w:val="19AC696E"/>
    <w:rsid w:val="19B03AD9"/>
    <w:rsid w:val="19CD37D3"/>
    <w:rsid w:val="1A00750A"/>
    <w:rsid w:val="1A156465"/>
    <w:rsid w:val="1A686CC5"/>
    <w:rsid w:val="1A9F12B2"/>
    <w:rsid w:val="1AFB0A1E"/>
    <w:rsid w:val="1B155261"/>
    <w:rsid w:val="1B4A7538"/>
    <w:rsid w:val="1B4F1500"/>
    <w:rsid w:val="1B6755DD"/>
    <w:rsid w:val="1B753126"/>
    <w:rsid w:val="1B896711"/>
    <w:rsid w:val="1B9724FE"/>
    <w:rsid w:val="1BC45F57"/>
    <w:rsid w:val="1BDB27A5"/>
    <w:rsid w:val="1C177D71"/>
    <w:rsid w:val="1C817893"/>
    <w:rsid w:val="1CB55FDB"/>
    <w:rsid w:val="1CC715B0"/>
    <w:rsid w:val="1CC874BD"/>
    <w:rsid w:val="1CF077BC"/>
    <w:rsid w:val="1CFF0A9F"/>
    <w:rsid w:val="1DB0453D"/>
    <w:rsid w:val="1DC74A1D"/>
    <w:rsid w:val="1DD106B2"/>
    <w:rsid w:val="1E157011"/>
    <w:rsid w:val="1E3A711F"/>
    <w:rsid w:val="1E615397"/>
    <w:rsid w:val="1E721F4F"/>
    <w:rsid w:val="1E851F97"/>
    <w:rsid w:val="1E8C459E"/>
    <w:rsid w:val="1E934307"/>
    <w:rsid w:val="1EDA1EFB"/>
    <w:rsid w:val="1EFD5565"/>
    <w:rsid w:val="1F2B0346"/>
    <w:rsid w:val="1F3309DE"/>
    <w:rsid w:val="1F431821"/>
    <w:rsid w:val="1F5905CC"/>
    <w:rsid w:val="1F8165DB"/>
    <w:rsid w:val="1F890C4B"/>
    <w:rsid w:val="1FD10B66"/>
    <w:rsid w:val="1FDA3069"/>
    <w:rsid w:val="1FE55402"/>
    <w:rsid w:val="1FF1578B"/>
    <w:rsid w:val="20005C4C"/>
    <w:rsid w:val="20325FB5"/>
    <w:rsid w:val="205015A4"/>
    <w:rsid w:val="205B73C3"/>
    <w:rsid w:val="20626028"/>
    <w:rsid w:val="20A1426C"/>
    <w:rsid w:val="20B13D34"/>
    <w:rsid w:val="20B44398"/>
    <w:rsid w:val="20C82F63"/>
    <w:rsid w:val="20D34487"/>
    <w:rsid w:val="20EA1D5F"/>
    <w:rsid w:val="20EB4820"/>
    <w:rsid w:val="215A3622"/>
    <w:rsid w:val="21787EF5"/>
    <w:rsid w:val="219416B8"/>
    <w:rsid w:val="21C106BD"/>
    <w:rsid w:val="21FF3D3B"/>
    <w:rsid w:val="220A1EFE"/>
    <w:rsid w:val="2231339B"/>
    <w:rsid w:val="22502157"/>
    <w:rsid w:val="22514430"/>
    <w:rsid w:val="226704C8"/>
    <w:rsid w:val="22D37531"/>
    <w:rsid w:val="22D459DD"/>
    <w:rsid w:val="22D7095E"/>
    <w:rsid w:val="22DF6260"/>
    <w:rsid w:val="23022EFF"/>
    <w:rsid w:val="234B0952"/>
    <w:rsid w:val="23720885"/>
    <w:rsid w:val="239F10A8"/>
    <w:rsid w:val="23A5368A"/>
    <w:rsid w:val="24054003"/>
    <w:rsid w:val="240C6203"/>
    <w:rsid w:val="24100E4B"/>
    <w:rsid w:val="241C0909"/>
    <w:rsid w:val="248E2E3A"/>
    <w:rsid w:val="253F062B"/>
    <w:rsid w:val="257A1FAE"/>
    <w:rsid w:val="257A2208"/>
    <w:rsid w:val="25AA1E78"/>
    <w:rsid w:val="25F62E16"/>
    <w:rsid w:val="26451EEA"/>
    <w:rsid w:val="26704F2E"/>
    <w:rsid w:val="2688148E"/>
    <w:rsid w:val="269A56FB"/>
    <w:rsid w:val="270415A3"/>
    <w:rsid w:val="27D86AE1"/>
    <w:rsid w:val="27DC3878"/>
    <w:rsid w:val="28AF339E"/>
    <w:rsid w:val="28C62F56"/>
    <w:rsid w:val="28DA203A"/>
    <w:rsid w:val="28E84A2F"/>
    <w:rsid w:val="28F0407A"/>
    <w:rsid w:val="29152822"/>
    <w:rsid w:val="291A7D32"/>
    <w:rsid w:val="29320499"/>
    <w:rsid w:val="29655706"/>
    <w:rsid w:val="297D7595"/>
    <w:rsid w:val="29837904"/>
    <w:rsid w:val="29AC284E"/>
    <w:rsid w:val="2A1F5C2B"/>
    <w:rsid w:val="2A471AAA"/>
    <w:rsid w:val="2A807110"/>
    <w:rsid w:val="2AB06233"/>
    <w:rsid w:val="2B1300D1"/>
    <w:rsid w:val="2B6C01DB"/>
    <w:rsid w:val="2B790454"/>
    <w:rsid w:val="2BED2D96"/>
    <w:rsid w:val="2BF7A349"/>
    <w:rsid w:val="2C070409"/>
    <w:rsid w:val="2C0E641B"/>
    <w:rsid w:val="2C263A29"/>
    <w:rsid w:val="2C970D19"/>
    <w:rsid w:val="2CAE51CD"/>
    <w:rsid w:val="2CB745C8"/>
    <w:rsid w:val="2CFB251F"/>
    <w:rsid w:val="2D346E5C"/>
    <w:rsid w:val="2DC477F8"/>
    <w:rsid w:val="2E223A7F"/>
    <w:rsid w:val="2E664953"/>
    <w:rsid w:val="2E72221D"/>
    <w:rsid w:val="2EB5699C"/>
    <w:rsid w:val="2EFA79ED"/>
    <w:rsid w:val="2F6E3D48"/>
    <w:rsid w:val="2F8710B8"/>
    <w:rsid w:val="300C0145"/>
    <w:rsid w:val="30474804"/>
    <w:rsid w:val="30584EE1"/>
    <w:rsid w:val="30955632"/>
    <w:rsid w:val="30C91D73"/>
    <w:rsid w:val="30FB7A19"/>
    <w:rsid w:val="310261A7"/>
    <w:rsid w:val="313F24DA"/>
    <w:rsid w:val="318D0B53"/>
    <w:rsid w:val="31D6392D"/>
    <w:rsid w:val="31F773D3"/>
    <w:rsid w:val="32207254"/>
    <w:rsid w:val="328D2446"/>
    <w:rsid w:val="32A75185"/>
    <w:rsid w:val="32D1066D"/>
    <w:rsid w:val="33340B4D"/>
    <w:rsid w:val="334332F3"/>
    <w:rsid w:val="335F41BA"/>
    <w:rsid w:val="338E7B26"/>
    <w:rsid w:val="33BA34B0"/>
    <w:rsid w:val="33EC168B"/>
    <w:rsid w:val="34081C5C"/>
    <w:rsid w:val="34367DA9"/>
    <w:rsid w:val="3477488D"/>
    <w:rsid w:val="349413EA"/>
    <w:rsid w:val="34C54BE3"/>
    <w:rsid w:val="34C574CF"/>
    <w:rsid w:val="34CC342B"/>
    <w:rsid w:val="34CC3529"/>
    <w:rsid w:val="350D6182"/>
    <w:rsid w:val="35AA010F"/>
    <w:rsid w:val="367C4935"/>
    <w:rsid w:val="367E6096"/>
    <w:rsid w:val="36C600AF"/>
    <w:rsid w:val="36CE34E8"/>
    <w:rsid w:val="37020770"/>
    <w:rsid w:val="370A6314"/>
    <w:rsid w:val="370C2303"/>
    <w:rsid w:val="37B838EA"/>
    <w:rsid w:val="37C0293D"/>
    <w:rsid w:val="37F1024C"/>
    <w:rsid w:val="38575800"/>
    <w:rsid w:val="38736E39"/>
    <w:rsid w:val="3904514B"/>
    <w:rsid w:val="391F4576"/>
    <w:rsid w:val="395B2A24"/>
    <w:rsid w:val="39606472"/>
    <w:rsid w:val="39692A8E"/>
    <w:rsid w:val="39BB5E52"/>
    <w:rsid w:val="39CF6ED4"/>
    <w:rsid w:val="39FB6A6E"/>
    <w:rsid w:val="39FC282B"/>
    <w:rsid w:val="3A164E28"/>
    <w:rsid w:val="3A1F3995"/>
    <w:rsid w:val="3A307305"/>
    <w:rsid w:val="3A541FF7"/>
    <w:rsid w:val="3A9C1064"/>
    <w:rsid w:val="3ACF16E5"/>
    <w:rsid w:val="3AFE1F63"/>
    <w:rsid w:val="3B1064BD"/>
    <w:rsid w:val="3B2714BA"/>
    <w:rsid w:val="3B2C33D8"/>
    <w:rsid w:val="3B2C358C"/>
    <w:rsid w:val="3BE04637"/>
    <w:rsid w:val="3BF15362"/>
    <w:rsid w:val="3BF74F1D"/>
    <w:rsid w:val="3CA64660"/>
    <w:rsid w:val="3CC013E3"/>
    <w:rsid w:val="3CD27730"/>
    <w:rsid w:val="3CF301BD"/>
    <w:rsid w:val="3D390470"/>
    <w:rsid w:val="3D4D11D6"/>
    <w:rsid w:val="3D593B6E"/>
    <w:rsid w:val="3DC76F84"/>
    <w:rsid w:val="3DCE50EF"/>
    <w:rsid w:val="3DDF7E2A"/>
    <w:rsid w:val="3DE94058"/>
    <w:rsid w:val="3E1918E3"/>
    <w:rsid w:val="3E2B0588"/>
    <w:rsid w:val="3E374C21"/>
    <w:rsid w:val="3E3759DF"/>
    <w:rsid w:val="3E466B4F"/>
    <w:rsid w:val="3E8E7E39"/>
    <w:rsid w:val="3E96513D"/>
    <w:rsid w:val="3E98229E"/>
    <w:rsid w:val="3EA64B1B"/>
    <w:rsid w:val="3EB412B6"/>
    <w:rsid w:val="3EC040FF"/>
    <w:rsid w:val="3EE902D6"/>
    <w:rsid w:val="3EF826B7"/>
    <w:rsid w:val="3F0F61C5"/>
    <w:rsid w:val="3F894898"/>
    <w:rsid w:val="4009784F"/>
    <w:rsid w:val="408829FA"/>
    <w:rsid w:val="408A4A83"/>
    <w:rsid w:val="40A463BD"/>
    <w:rsid w:val="40E80A95"/>
    <w:rsid w:val="40F37347"/>
    <w:rsid w:val="41131941"/>
    <w:rsid w:val="411E7DFD"/>
    <w:rsid w:val="41780B55"/>
    <w:rsid w:val="41C50CBF"/>
    <w:rsid w:val="41CE6D3A"/>
    <w:rsid w:val="42234900"/>
    <w:rsid w:val="42267EFC"/>
    <w:rsid w:val="42310D45"/>
    <w:rsid w:val="42914373"/>
    <w:rsid w:val="4297507F"/>
    <w:rsid w:val="42A44E8B"/>
    <w:rsid w:val="43393B20"/>
    <w:rsid w:val="43495ACF"/>
    <w:rsid w:val="436C497E"/>
    <w:rsid w:val="43F54CF5"/>
    <w:rsid w:val="446B0216"/>
    <w:rsid w:val="44724164"/>
    <w:rsid w:val="448D6A38"/>
    <w:rsid w:val="44CF7EF9"/>
    <w:rsid w:val="44F61417"/>
    <w:rsid w:val="4508700D"/>
    <w:rsid w:val="450C0041"/>
    <w:rsid w:val="454D3269"/>
    <w:rsid w:val="455E1F7C"/>
    <w:rsid w:val="45C85647"/>
    <w:rsid w:val="46165DD1"/>
    <w:rsid w:val="464C4739"/>
    <w:rsid w:val="46562959"/>
    <w:rsid w:val="467F690A"/>
    <w:rsid w:val="46B85F59"/>
    <w:rsid w:val="46C644C3"/>
    <w:rsid w:val="46E961D3"/>
    <w:rsid w:val="474F4272"/>
    <w:rsid w:val="47A3011A"/>
    <w:rsid w:val="47CF6E71"/>
    <w:rsid w:val="47E330FE"/>
    <w:rsid w:val="47E954F6"/>
    <w:rsid w:val="47EF50CB"/>
    <w:rsid w:val="47FA0480"/>
    <w:rsid w:val="481F35BB"/>
    <w:rsid w:val="48621071"/>
    <w:rsid w:val="48803E6A"/>
    <w:rsid w:val="48E409EA"/>
    <w:rsid w:val="48F62286"/>
    <w:rsid w:val="48FC3F85"/>
    <w:rsid w:val="492D7C31"/>
    <w:rsid w:val="49516B58"/>
    <w:rsid w:val="495C25B9"/>
    <w:rsid w:val="498B48F2"/>
    <w:rsid w:val="498F5D60"/>
    <w:rsid w:val="49913D2B"/>
    <w:rsid w:val="499D0869"/>
    <w:rsid w:val="49A50688"/>
    <w:rsid w:val="49A77F99"/>
    <w:rsid w:val="49C134CC"/>
    <w:rsid w:val="4A01737A"/>
    <w:rsid w:val="4A081D84"/>
    <w:rsid w:val="4A1B68CF"/>
    <w:rsid w:val="4A396CAF"/>
    <w:rsid w:val="4A3E14BB"/>
    <w:rsid w:val="4ACC4412"/>
    <w:rsid w:val="4AD245F0"/>
    <w:rsid w:val="4B0C6773"/>
    <w:rsid w:val="4B151CBC"/>
    <w:rsid w:val="4B381977"/>
    <w:rsid w:val="4B5C045F"/>
    <w:rsid w:val="4B8E2D0E"/>
    <w:rsid w:val="4BE44EED"/>
    <w:rsid w:val="4BED508C"/>
    <w:rsid w:val="4C2A3BAE"/>
    <w:rsid w:val="4C347AA3"/>
    <w:rsid w:val="4C65693A"/>
    <w:rsid w:val="4C804CD7"/>
    <w:rsid w:val="4D782815"/>
    <w:rsid w:val="4D8D2223"/>
    <w:rsid w:val="4DBE4790"/>
    <w:rsid w:val="4E111F65"/>
    <w:rsid w:val="4E560D49"/>
    <w:rsid w:val="4EEF6B88"/>
    <w:rsid w:val="4EF0395F"/>
    <w:rsid w:val="4EF549D4"/>
    <w:rsid w:val="4F2B4370"/>
    <w:rsid w:val="4F35165C"/>
    <w:rsid w:val="4FA72F38"/>
    <w:rsid w:val="4FAB12AD"/>
    <w:rsid w:val="4FFC17B4"/>
    <w:rsid w:val="50494395"/>
    <w:rsid w:val="512A294F"/>
    <w:rsid w:val="517E5EE1"/>
    <w:rsid w:val="51A87F87"/>
    <w:rsid w:val="51BA678C"/>
    <w:rsid w:val="51F03A65"/>
    <w:rsid w:val="52092F63"/>
    <w:rsid w:val="521079D2"/>
    <w:rsid w:val="525C5D72"/>
    <w:rsid w:val="526756F4"/>
    <w:rsid w:val="52FE55DB"/>
    <w:rsid w:val="53A767C5"/>
    <w:rsid w:val="53B13BBE"/>
    <w:rsid w:val="53E87428"/>
    <w:rsid w:val="53F53638"/>
    <w:rsid w:val="53FA1456"/>
    <w:rsid w:val="5447281C"/>
    <w:rsid w:val="5457361E"/>
    <w:rsid w:val="548C054F"/>
    <w:rsid w:val="54A90D98"/>
    <w:rsid w:val="54E44556"/>
    <w:rsid w:val="54F65EBA"/>
    <w:rsid w:val="551D20A9"/>
    <w:rsid w:val="552B244A"/>
    <w:rsid w:val="55AF412E"/>
    <w:rsid w:val="55CA7971"/>
    <w:rsid w:val="55D27624"/>
    <w:rsid w:val="55E02520"/>
    <w:rsid w:val="56324628"/>
    <w:rsid w:val="56336B0D"/>
    <w:rsid w:val="56636E41"/>
    <w:rsid w:val="567A6E51"/>
    <w:rsid w:val="56B177A9"/>
    <w:rsid w:val="56F203B4"/>
    <w:rsid w:val="570401B7"/>
    <w:rsid w:val="571915F2"/>
    <w:rsid w:val="57472D83"/>
    <w:rsid w:val="5757205A"/>
    <w:rsid w:val="5794304E"/>
    <w:rsid w:val="579A11F6"/>
    <w:rsid w:val="57EC12DD"/>
    <w:rsid w:val="57FC55AA"/>
    <w:rsid w:val="5802472E"/>
    <w:rsid w:val="5808188D"/>
    <w:rsid w:val="580928E7"/>
    <w:rsid w:val="583E1CF5"/>
    <w:rsid w:val="58551F7D"/>
    <w:rsid w:val="588B0E82"/>
    <w:rsid w:val="58D1429B"/>
    <w:rsid w:val="590429E2"/>
    <w:rsid w:val="594F4645"/>
    <w:rsid w:val="59AC068E"/>
    <w:rsid w:val="5A5C423C"/>
    <w:rsid w:val="5AA412FE"/>
    <w:rsid w:val="5AB3646E"/>
    <w:rsid w:val="5ABA7A19"/>
    <w:rsid w:val="5AC72F10"/>
    <w:rsid w:val="5B136F0D"/>
    <w:rsid w:val="5B56778E"/>
    <w:rsid w:val="5B840C5F"/>
    <w:rsid w:val="5B964D28"/>
    <w:rsid w:val="5B9A39AB"/>
    <w:rsid w:val="5BBF5DC8"/>
    <w:rsid w:val="5BC44F00"/>
    <w:rsid w:val="5C9C024C"/>
    <w:rsid w:val="5D002209"/>
    <w:rsid w:val="5D217374"/>
    <w:rsid w:val="5DE81AA6"/>
    <w:rsid w:val="5DE943DE"/>
    <w:rsid w:val="5E0C65C1"/>
    <w:rsid w:val="5E2B51A2"/>
    <w:rsid w:val="5E447642"/>
    <w:rsid w:val="5EB62375"/>
    <w:rsid w:val="5EE05174"/>
    <w:rsid w:val="5EF724E5"/>
    <w:rsid w:val="5F1A2955"/>
    <w:rsid w:val="5F436DCC"/>
    <w:rsid w:val="5F5B667A"/>
    <w:rsid w:val="5F6067D6"/>
    <w:rsid w:val="5F7E78A6"/>
    <w:rsid w:val="5F867CFA"/>
    <w:rsid w:val="5F8F74AA"/>
    <w:rsid w:val="5FD125EC"/>
    <w:rsid w:val="5FFE7DDC"/>
    <w:rsid w:val="602D6CC3"/>
    <w:rsid w:val="603D2D4A"/>
    <w:rsid w:val="605B0CF7"/>
    <w:rsid w:val="60A250CE"/>
    <w:rsid w:val="60D51B08"/>
    <w:rsid w:val="610552EA"/>
    <w:rsid w:val="611364CC"/>
    <w:rsid w:val="61162C50"/>
    <w:rsid w:val="61183586"/>
    <w:rsid w:val="61490A69"/>
    <w:rsid w:val="615A7643"/>
    <w:rsid w:val="616A3AE0"/>
    <w:rsid w:val="617203D0"/>
    <w:rsid w:val="61DD1CB1"/>
    <w:rsid w:val="61EC0543"/>
    <w:rsid w:val="622320AD"/>
    <w:rsid w:val="62460B06"/>
    <w:rsid w:val="6253724B"/>
    <w:rsid w:val="625F7466"/>
    <w:rsid w:val="626C41FD"/>
    <w:rsid w:val="62AA720C"/>
    <w:rsid w:val="62F7205C"/>
    <w:rsid w:val="62F95108"/>
    <w:rsid w:val="62FB5BED"/>
    <w:rsid w:val="6311467A"/>
    <w:rsid w:val="631840FD"/>
    <w:rsid w:val="63474774"/>
    <w:rsid w:val="634B16C2"/>
    <w:rsid w:val="63670A68"/>
    <w:rsid w:val="637E4DAB"/>
    <w:rsid w:val="638717D9"/>
    <w:rsid w:val="63D01E3F"/>
    <w:rsid w:val="63DD630A"/>
    <w:rsid w:val="64981C38"/>
    <w:rsid w:val="64A14715"/>
    <w:rsid w:val="64AE2EEE"/>
    <w:rsid w:val="64E71BB9"/>
    <w:rsid w:val="64F70EA9"/>
    <w:rsid w:val="654F1A47"/>
    <w:rsid w:val="6559389C"/>
    <w:rsid w:val="656C33A5"/>
    <w:rsid w:val="659B473A"/>
    <w:rsid w:val="659C25B2"/>
    <w:rsid w:val="65C03700"/>
    <w:rsid w:val="65D8322D"/>
    <w:rsid w:val="65EC15AB"/>
    <w:rsid w:val="65F45CF7"/>
    <w:rsid w:val="66541C3F"/>
    <w:rsid w:val="666B40A1"/>
    <w:rsid w:val="671B6AB8"/>
    <w:rsid w:val="673F51E4"/>
    <w:rsid w:val="676752DA"/>
    <w:rsid w:val="67996221"/>
    <w:rsid w:val="67EF2488"/>
    <w:rsid w:val="681E7F53"/>
    <w:rsid w:val="68B80585"/>
    <w:rsid w:val="68C46127"/>
    <w:rsid w:val="69610B03"/>
    <w:rsid w:val="697A4EF6"/>
    <w:rsid w:val="69A14E77"/>
    <w:rsid w:val="69A714AC"/>
    <w:rsid w:val="69A73642"/>
    <w:rsid w:val="69B407F3"/>
    <w:rsid w:val="69BA4804"/>
    <w:rsid w:val="6A045C96"/>
    <w:rsid w:val="6A1671DC"/>
    <w:rsid w:val="6A5C6700"/>
    <w:rsid w:val="6B2A6BD8"/>
    <w:rsid w:val="6B584AFC"/>
    <w:rsid w:val="6B590860"/>
    <w:rsid w:val="6B59453E"/>
    <w:rsid w:val="6B62792F"/>
    <w:rsid w:val="6B7B2B89"/>
    <w:rsid w:val="6BE66EA4"/>
    <w:rsid w:val="6C483FC4"/>
    <w:rsid w:val="6C642F64"/>
    <w:rsid w:val="6CD4200C"/>
    <w:rsid w:val="6CD8037E"/>
    <w:rsid w:val="6D137960"/>
    <w:rsid w:val="6D3A63A1"/>
    <w:rsid w:val="6D88336F"/>
    <w:rsid w:val="6DA305C4"/>
    <w:rsid w:val="6DC96202"/>
    <w:rsid w:val="6E0D6F64"/>
    <w:rsid w:val="6E5E537C"/>
    <w:rsid w:val="6E6061C6"/>
    <w:rsid w:val="6E627A21"/>
    <w:rsid w:val="6E957640"/>
    <w:rsid w:val="6EE33674"/>
    <w:rsid w:val="6EE442D1"/>
    <w:rsid w:val="6F0B1661"/>
    <w:rsid w:val="6F4921D7"/>
    <w:rsid w:val="6F4C3024"/>
    <w:rsid w:val="6FD2299D"/>
    <w:rsid w:val="70A424D4"/>
    <w:rsid w:val="70BA3726"/>
    <w:rsid w:val="71025602"/>
    <w:rsid w:val="71937D7A"/>
    <w:rsid w:val="71A224E9"/>
    <w:rsid w:val="71D074AE"/>
    <w:rsid w:val="71F43A18"/>
    <w:rsid w:val="72310D3B"/>
    <w:rsid w:val="72741EBA"/>
    <w:rsid w:val="72EA0AEA"/>
    <w:rsid w:val="73253CFE"/>
    <w:rsid w:val="734A6100"/>
    <w:rsid w:val="73767D80"/>
    <w:rsid w:val="738854C1"/>
    <w:rsid w:val="73EB3D22"/>
    <w:rsid w:val="74064BED"/>
    <w:rsid w:val="743B32D1"/>
    <w:rsid w:val="744A1799"/>
    <w:rsid w:val="744B5E8D"/>
    <w:rsid w:val="74533BD1"/>
    <w:rsid w:val="74546B21"/>
    <w:rsid w:val="7477393B"/>
    <w:rsid w:val="747948CE"/>
    <w:rsid w:val="750D56A3"/>
    <w:rsid w:val="75126D7A"/>
    <w:rsid w:val="755121D1"/>
    <w:rsid w:val="75A65E27"/>
    <w:rsid w:val="75BA5477"/>
    <w:rsid w:val="75E56AED"/>
    <w:rsid w:val="76832F25"/>
    <w:rsid w:val="769918E2"/>
    <w:rsid w:val="76AA1FA3"/>
    <w:rsid w:val="76BFAF13"/>
    <w:rsid w:val="76F27B63"/>
    <w:rsid w:val="77537603"/>
    <w:rsid w:val="77D07135"/>
    <w:rsid w:val="77D24FF7"/>
    <w:rsid w:val="77EF22C9"/>
    <w:rsid w:val="78230E94"/>
    <w:rsid w:val="783C2C9E"/>
    <w:rsid w:val="784A2730"/>
    <w:rsid w:val="785513ED"/>
    <w:rsid w:val="789336DE"/>
    <w:rsid w:val="78937CF7"/>
    <w:rsid w:val="789C7D13"/>
    <w:rsid w:val="78FBF684"/>
    <w:rsid w:val="799B69BD"/>
    <w:rsid w:val="799C2E68"/>
    <w:rsid w:val="79B37595"/>
    <w:rsid w:val="79DE2F9A"/>
    <w:rsid w:val="79ED6971"/>
    <w:rsid w:val="79FE2D83"/>
    <w:rsid w:val="7A057571"/>
    <w:rsid w:val="7A095BB6"/>
    <w:rsid w:val="7A263419"/>
    <w:rsid w:val="7A410003"/>
    <w:rsid w:val="7A7E02F0"/>
    <w:rsid w:val="7A903C7E"/>
    <w:rsid w:val="7AA33536"/>
    <w:rsid w:val="7AE5776E"/>
    <w:rsid w:val="7AE8472F"/>
    <w:rsid w:val="7B337FEA"/>
    <w:rsid w:val="7B484ED1"/>
    <w:rsid w:val="7B4D35F3"/>
    <w:rsid w:val="7B5F7D7E"/>
    <w:rsid w:val="7B7D91F1"/>
    <w:rsid w:val="7B892793"/>
    <w:rsid w:val="7B8C6D70"/>
    <w:rsid w:val="7BA75723"/>
    <w:rsid w:val="7BCD5242"/>
    <w:rsid w:val="7BED0CD8"/>
    <w:rsid w:val="7BF369A8"/>
    <w:rsid w:val="7BF88BF8"/>
    <w:rsid w:val="7BFE1E83"/>
    <w:rsid w:val="7C0A1EFB"/>
    <w:rsid w:val="7C490793"/>
    <w:rsid w:val="7CB7F70C"/>
    <w:rsid w:val="7CC455AC"/>
    <w:rsid w:val="7CF138FA"/>
    <w:rsid w:val="7CF32A66"/>
    <w:rsid w:val="7CF57DC6"/>
    <w:rsid w:val="7D673C72"/>
    <w:rsid w:val="7D6FFF83"/>
    <w:rsid w:val="7D71438E"/>
    <w:rsid w:val="7D872250"/>
    <w:rsid w:val="7DB67EA0"/>
    <w:rsid w:val="7DBF21A5"/>
    <w:rsid w:val="7DE93C59"/>
    <w:rsid w:val="7DFBF8B8"/>
    <w:rsid w:val="7E6D67B0"/>
    <w:rsid w:val="7E72183B"/>
    <w:rsid w:val="7E81225C"/>
    <w:rsid w:val="7EFF7F74"/>
    <w:rsid w:val="7F051702"/>
    <w:rsid w:val="7F3F6140"/>
    <w:rsid w:val="7F516B1D"/>
    <w:rsid w:val="7F7B7071"/>
    <w:rsid w:val="7FB33084"/>
    <w:rsid w:val="7FF36331"/>
    <w:rsid w:val="B69FF366"/>
    <w:rsid w:val="B7BE0BB5"/>
    <w:rsid w:val="D15D4F91"/>
    <w:rsid w:val="D1D7919C"/>
    <w:rsid w:val="DE7FF3CC"/>
    <w:rsid w:val="F3FBBAEA"/>
    <w:rsid w:val="FEF185FD"/>
    <w:rsid w:val="FF9FEFB3"/>
    <w:rsid w:val="FFAC0321"/>
    <w:rsid w:val="FFBD4E78"/>
    <w:rsid w:val="FFFF4AC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99" w:semiHidden="0" w:name="heading 5" w:locked="1"/>
    <w:lsdException w:qFormat="1" w:uiPriority="99"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39" w:semiHidden="0"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46"/>
    <w:autoRedefine/>
    <w:qFormat/>
    <w:uiPriority w:val="99"/>
    <w:pPr>
      <w:keepNext/>
      <w:keepLines/>
      <w:spacing w:line="576" w:lineRule="auto"/>
      <w:outlineLvl w:val="0"/>
    </w:pPr>
    <w:rPr>
      <w:rFonts w:ascii="Calibri" w:hAnsi="Calibri" w:cs="Calibri"/>
      <w:b/>
      <w:bCs/>
      <w:kern w:val="44"/>
      <w:sz w:val="44"/>
      <w:szCs w:val="44"/>
    </w:rPr>
  </w:style>
  <w:style w:type="paragraph" w:styleId="5">
    <w:name w:val="heading 2"/>
    <w:basedOn w:val="1"/>
    <w:next w:val="1"/>
    <w:link w:val="47"/>
    <w:autoRedefine/>
    <w:qFormat/>
    <w:uiPriority w:val="99"/>
    <w:pPr>
      <w:keepNext/>
      <w:spacing w:line="216" w:lineRule="auto"/>
      <w:outlineLvl w:val="1"/>
    </w:pPr>
    <w:rPr>
      <w:rFonts w:ascii="宋体" w:hAnsi="Calibri" w:cs="宋体"/>
      <w:b/>
      <w:bCs/>
      <w:sz w:val="28"/>
      <w:szCs w:val="28"/>
    </w:rPr>
  </w:style>
  <w:style w:type="paragraph" w:styleId="6">
    <w:name w:val="heading 3"/>
    <w:basedOn w:val="1"/>
    <w:next w:val="1"/>
    <w:link w:val="48"/>
    <w:autoRedefine/>
    <w:qFormat/>
    <w:uiPriority w:val="99"/>
    <w:pPr>
      <w:keepNext/>
      <w:numPr>
        <w:ilvl w:val="0"/>
        <w:numId w:val="1"/>
      </w:numPr>
      <w:spacing w:line="216" w:lineRule="auto"/>
      <w:outlineLvl w:val="2"/>
    </w:pPr>
    <w:rPr>
      <w:rFonts w:ascii="宋体" w:hAnsi="Calibri" w:cs="宋体"/>
      <w:b/>
      <w:bCs/>
      <w:sz w:val="28"/>
      <w:szCs w:val="28"/>
    </w:rPr>
  </w:style>
  <w:style w:type="paragraph" w:styleId="7">
    <w:name w:val="heading 4"/>
    <w:basedOn w:val="1"/>
    <w:next w:val="1"/>
    <w:autoRedefine/>
    <w:qFormat/>
    <w:locked/>
    <w:uiPriority w:val="0"/>
    <w:pPr>
      <w:keepLines/>
      <w:widowControl/>
      <w:autoSpaceDE w:val="0"/>
      <w:autoSpaceDN w:val="0"/>
      <w:adjustRightInd w:val="0"/>
      <w:jc w:val="left"/>
      <w:textAlignment w:val="baseline"/>
      <w:outlineLvl w:val="3"/>
    </w:pPr>
    <w:rPr>
      <w:rFonts w:eastAsia="楷体_GB2312"/>
      <w:b/>
      <w:snapToGrid w:val="0"/>
      <w:kern w:val="0"/>
      <w:sz w:val="24"/>
      <w:szCs w:val="20"/>
    </w:rPr>
  </w:style>
  <w:style w:type="paragraph" w:styleId="8">
    <w:name w:val="heading 5"/>
    <w:basedOn w:val="1"/>
    <w:next w:val="1"/>
    <w:autoRedefine/>
    <w:unhideWhenUsed/>
    <w:qFormat/>
    <w:locked/>
    <w:uiPriority w:val="99"/>
    <w:pPr>
      <w:keepNext/>
      <w:keepLines/>
      <w:widowControl w:val="0"/>
      <w:suppressLineNumbers w:val="0"/>
      <w:adjustRightInd w:val="0"/>
      <w:spacing w:before="280" w:beforeAutospacing="0" w:after="290" w:afterAutospacing="0" w:line="374" w:lineRule="auto"/>
      <w:ind w:left="1008" w:hanging="1008"/>
      <w:jc w:val="both"/>
      <w:outlineLvl w:val="4"/>
    </w:pPr>
    <w:rPr>
      <w:rFonts w:hint="default" w:ascii="Times New Roman" w:hAnsi="Times New Roman" w:eastAsia="宋体" w:cs="Times New Roman"/>
      <w:b/>
      <w:bCs/>
      <w:kern w:val="2"/>
      <w:sz w:val="28"/>
      <w:szCs w:val="28"/>
      <w:lang w:val="en-US" w:eastAsia="zh-CN" w:bidi="ar"/>
    </w:rPr>
  </w:style>
  <w:style w:type="paragraph" w:styleId="9">
    <w:name w:val="heading 6"/>
    <w:basedOn w:val="1"/>
    <w:next w:val="1"/>
    <w:autoRedefine/>
    <w:unhideWhenUsed/>
    <w:qFormat/>
    <w:locked/>
    <w:uiPriority w:val="99"/>
    <w:pPr>
      <w:keepNext/>
      <w:keepLines/>
      <w:widowControl w:val="0"/>
      <w:suppressLineNumbers w:val="0"/>
      <w:adjustRightInd w:val="0"/>
      <w:spacing w:before="240" w:beforeAutospacing="0" w:after="64" w:afterAutospacing="0" w:line="319" w:lineRule="auto"/>
      <w:ind w:left="1151" w:hanging="1151"/>
      <w:jc w:val="both"/>
      <w:outlineLvl w:val="5"/>
    </w:pPr>
    <w:rPr>
      <w:rFonts w:hint="default" w:ascii="Arial" w:hAnsi="Arial" w:eastAsia="黑体" w:cs="Times New Roman"/>
      <w:b/>
      <w:bCs/>
      <w:kern w:val="2"/>
      <w:sz w:val="24"/>
      <w:szCs w:val="24"/>
      <w:lang w:val="en-US" w:eastAsia="zh-CN" w:bidi="ar"/>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link w:val="49"/>
    <w:autoRedefine/>
    <w:qFormat/>
    <w:uiPriority w:val="99"/>
  </w:style>
  <w:style w:type="paragraph" w:customStyle="1" w:styleId="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0">
    <w:name w:val="Normal Indent"/>
    <w:basedOn w:val="1"/>
    <w:autoRedefine/>
    <w:qFormat/>
    <w:uiPriority w:val="99"/>
    <w:pPr>
      <w:ind w:firstLine="420"/>
    </w:pPr>
  </w:style>
  <w:style w:type="paragraph" w:styleId="11">
    <w:name w:val="annotation text"/>
    <w:basedOn w:val="1"/>
    <w:autoRedefine/>
    <w:semiHidden/>
    <w:unhideWhenUsed/>
    <w:qFormat/>
    <w:uiPriority w:val="99"/>
    <w:pPr>
      <w:jc w:val="left"/>
    </w:pPr>
  </w:style>
  <w:style w:type="paragraph" w:styleId="12">
    <w:name w:val="Body Text Indent"/>
    <w:basedOn w:val="1"/>
    <w:link w:val="55"/>
    <w:autoRedefine/>
    <w:qFormat/>
    <w:uiPriority w:val="99"/>
    <w:pPr>
      <w:adjustRightInd w:val="0"/>
      <w:spacing w:line="360" w:lineRule="auto"/>
      <w:ind w:firstLine="490"/>
      <w:jc w:val="left"/>
    </w:pPr>
    <w:rPr>
      <w:rFonts w:ascii="宋体" w:hAnsi="宋体" w:cs="宋体"/>
      <w:sz w:val="24"/>
      <w:szCs w:val="24"/>
    </w:rPr>
  </w:style>
  <w:style w:type="paragraph" w:styleId="13">
    <w:name w:val="Block Text"/>
    <w:basedOn w:val="1"/>
    <w:autoRedefine/>
    <w:qFormat/>
    <w:uiPriority w:val="0"/>
    <w:pPr>
      <w:spacing w:before="120" w:line="360" w:lineRule="auto"/>
      <w:ind w:left="824" w:right="202"/>
    </w:pPr>
    <w:rPr>
      <w:rFonts w:ascii="宋体" w:hAnsi="宋体"/>
      <w:sz w:val="24"/>
      <w:szCs w:val="21"/>
    </w:rPr>
  </w:style>
  <w:style w:type="paragraph" w:styleId="14">
    <w:name w:val="toc 3"/>
    <w:basedOn w:val="1"/>
    <w:next w:val="1"/>
    <w:autoRedefine/>
    <w:semiHidden/>
    <w:qFormat/>
    <w:uiPriority w:val="99"/>
    <w:pPr>
      <w:ind w:left="840" w:leftChars="400"/>
    </w:pPr>
  </w:style>
  <w:style w:type="paragraph" w:styleId="15">
    <w:name w:val="Plain Text"/>
    <w:basedOn w:val="1"/>
    <w:link w:val="56"/>
    <w:autoRedefine/>
    <w:qFormat/>
    <w:uiPriority w:val="99"/>
    <w:rPr>
      <w:rFonts w:ascii="宋体" w:hAnsi="Courier New" w:cs="宋体"/>
    </w:rPr>
  </w:style>
  <w:style w:type="paragraph" w:styleId="16">
    <w:name w:val="Date"/>
    <w:basedOn w:val="1"/>
    <w:next w:val="1"/>
    <w:link w:val="57"/>
    <w:autoRedefine/>
    <w:qFormat/>
    <w:uiPriority w:val="99"/>
    <w:pPr>
      <w:ind w:left="100" w:leftChars="2500"/>
    </w:pPr>
    <w:rPr>
      <w:rFonts w:ascii="宋体" w:hAnsi="宋体" w:cs="宋体"/>
      <w:color w:val="000000"/>
      <w:sz w:val="24"/>
      <w:szCs w:val="24"/>
    </w:rPr>
  </w:style>
  <w:style w:type="paragraph" w:styleId="17">
    <w:name w:val="Balloon Text"/>
    <w:basedOn w:val="1"/>
    <w:link w:val="58"/>
    <w:autoRedefine/>
    <w:semiHidden/>
    <w:qFormat/>
    <w:uiPriority w:val="99"/>
    <w:rPr>
      <w:sz w:val="18"/>
      <w:szCs w:val="18"/>
    </w:rPr>
  </w:style>
  <w:style w:type="paragraph" w:styleId="18">
    <w:name w:val="footer"/>
    <w:basedOn w:val="1"/>
    <w:link w:val="59"/>
    <w:autoRedefine/>
    <w:qFormat/>
    <w:uiPriority w:val="99"/>
    <w:pPr>
      <w:tabs>
        <w:tab w:val="center" w:pos="4153"/>
        <w:tab w:val="right" w:pos="8306"/>
      </w:tabs>
      <w:snapToGrid w:val="0"/>
      <w:jc w:val="left"/>
    </w:pPr>
    <w:rPr>
      <w:sz w:val="18"/>
      <w:szCs w:val="18"/>
    </w:rPr>
  </w:style>
  <w:style w:type="paragraph" w:styleId="19">
    <w:name w:val="header"/>
    <w:basedOn w:val="1"/>
    <w:link w:val="60"/>
    <w:autoRedefine/>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cs="宋体"/>
      <w:kern w:val="0"/>
      <w:sz w:val="18"/>
      <w:szCs w:val="18"/>
    </w:rPr>
  </w:style>
  <w:style w:type="paragraph" w:styleId="20">
    <w:name w:val="toc 1"/>
    <w:basedOn w:val="1"/>
    <w:next w:val="1"/>
    <w:autoRedefine/>
    <w:semiHidden/>
    <w:qFormat/>
    <w:uiPriority w:val="99"/>
  </w:style>
  <w:style w:type="paragraph" w:styleId="21">
    <w:name w:val="toc 4"/>
    <w:basedOn w:val="1"/>
    <w:next w:val="1"/>
    <w:autoRedefine/>
    <w:qFormat/>
    <w:uiPriority w:val="39"/>
    <w:pPr>
      <w:ind w:left="1260" w:leftChars="600"/>
    </w:pPr>
    <w:rPr>
      <w:szCs w:val="24"/>
    </w:rPr>
  </w:style>
  <w:style w:type="paragraph" w:styleId="22">
    <w:name w:val="toc 6"/>
    <w:basedOn w:val="1"/>
    <w:next w:val="1"/>
    <w:autoRedefine/>
    <w:qFormat/>
    <w:uiPriority w:val="0"/>
    <w:pPr>
      <w:spacing w:line="360" w:lineRule="auto"/>
      <w:ind w:left="1200" w:firstLine="200" w:firstLineChars="200"/>
      <w:jc w:val="left"/>
    </w:pPr>
    <w:rPr>
      <w:rFonts w:ascii="Calibri" w:hAnsi="Calibri" w:cs="Calibri"/>
      <w:sz w:val="18"/>
      <w:szCs w:val="18"/>
    </w:rPr>
  </w:style>
  <w:style w:type="paragraph" w:styleId="23">
    <w:name w:val="toc 2"/>
    <w:basedOn w:val="1"/>
    <w:next w:val="1"/>
    <w:autoRedefine/>
    <w:semiHidden/>
    <w:qFormat/>
    <w:uiPriority w:val="99"/>
    <w:pPr>
      <w:ind w:left="420" w:leftChars="200"/>
    </w:pPr>
  </w:style>
  <w:style w:type="paragraph" w:styleId="24">
    <w:name w:val="Body Text 2"/>
    <w:basedOn w:val="1"/>
    <w:qFormat/>
    <w:uiPriority w:val="0"/>
    <w:pPr>
      <w:spacing w:after="120" w:line="480" w:lineRule="auto"/>
    </w:pPr>
    <w:rPr>
      <w:rFonts w:ascii="Times New Roman" w:hAnsi="Times New Roman"/>
      <w:szCs w:val="20"/>
    </w:rPr>
  </w:style>
  <w:style w:type="paragraph" w:styleId="25">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6">
    <w:name w:val="Normal (Web)"/>
    <w:basedOn w:val="1"/>
    <w:autoRedefine/>
    <w:qFormat/>
    <w:uiPriority w:val="99"/>
    <w:pPr>
      <w:widowControl/>
      <w:spacing w:before="100" w:beforeAutospacing="1" w:after="100" w:afterAutospacing="1"/>
      <w:jc w:val="left"/>
    </w:pPr>
    <w:rPr>
      <w:rFonts w:ascii="宋体" w:hAnsi="宋体" w:cs="宋体"/>
      <w:sz w:val="24"/>
      <w:szCs w:val="24"/>
    </w:rPr>
  </w:style>
  <w:style w:type="paragraph" w:styleId="27">
    <w:name w:val="Body Text First Indent"/>
    <w:basedOn w:val="2"/>
    <w:next w:val="1"/>
    <w:link w:val="61"/>
    <w:autoRedefine/>
    <w:qFormat/>
    <w:uiPriority w:val="99"/>
    <w:pPr>
      <w:ind w:firstLine="420" w:firstLineChars="100"/>
    </w:pPr>
  </w:style>
  <w:style w:type="paragraph" w:styleId="28">
    <w:name w:val="Body Text First Indent 2"/>
    <w:basedOn w:val="12"/>
    <w:autoRedefine/>
    <w:qFormat/>
    <w:uiPriority w:val="0"/>
    <w:pPr>
      <w:ind w:firstLine="420"/>
    </w:pPr>
  </w:style>
  <w:style w:type="table" w:styleId="30">
    <w:name w:val="Table Grid"/>
    <w:basedOn w:val="29"/>
    <w:autoRedefine/>
    <w:qFormat/>
    <w:uiPriority w:val="5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autoRedefine/>
    <w:qFormat/>
    <w:uiPriority w:val="99"/>
    <w:rPr>
      <w:b/>
      <w:bCs/>
    </w:rPr>
  </w:style>
  <w:style w:type="character" w:styleId="33">
    <w:name w:val="page number"/>
    <w:basedOn w:val="31"/>
    <w:autoRedefine/>
    <w:qFormat/>
    <w:uiPriority w:val="99"/>
  </w:style>
  <w:style w:type="character" w:styleId="34">
    <w:name w:val="Hyperlink"/>
    <w:basedOn w:val="31"/>
    <w:autoRedefine/>
    <w:qFormat/>
    <w:uiPriority w:val="99"/>
    <w:rPr>
      <w:color w:val="0000FF"/>
      <w:u w:val="single"/>
    </w:rPr>
  </w:style>
  <w:style w:type="paragraph" w:customStyle="1" w:styleId="35">
    <w:name w:val="首行缩进"/>
    <w:basedOn w:val="1"/>
    <w:qFormat/>
    <w:uiPriority w:val="0"/>
    <w:pPr>
      <w:spacing w:line="360" w:lineRule="auto"/>
      <w:ind w:firstLine="480" w:firstLineChars="200"/>
    </w:pPr>
    <w:rPr>
      <w:rFonts w:ascii="宋体"/>
      <w:sz w:val="24"/>
      <w:szCs w:val="20"/>
    </w:rPr>
  </w:style>
  <w:style w:type="paragraph" w:customStyle="1" w:styleId="36">
    <w:name w:val="表格文字"/>
    <w:basedOn w:val="1"/>
    <w:next w:val="2"/>
    <w:autoRedefine/>
    <w:qFormat/>
    <w:uiPriority w:val="0"/>
    <w:pPr>
      <w:adjustRightInd w:val="0"/>
      <w:spacing w:line="420" w:lineRule="atLeast"/>
      <w:textAlignment w:val="baseline"/>
    </w:pPr>
  </w:style>
  <w:style w:type="paragraph" w:customStyle="1" w:styleId="37">
    <w:name w:val="xl53"/>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38">
    <w:name w:val="列出段落1"/>
    <w:basedOn w:val="1"/>
    <w:next w:val="1"/>
    <w:autoRedefine/>
    <w:qFormat/>
    <w:uiPriority w:val="99"/>
    <w:pPr>
      <w:ind w:firstLine="420"/>
      <w:jc w:val="left"/>
    </w:pPr>
  </w:style>
  <w:style w:type="paragraph" w:customStyle="1" w:styleId="39">
    <w:name w:val="BodyText1I2"/>
    <w:basedOn w:val="40"/>
    <w:autoRedefine/>
    <w:qFormat/>
    <w:uiPriority w:val="0"/>
    <w:pPr>
      <w:ind w:firstLine="420"/>
    </w:pPr>
    <w:rPr>
      <w:sz w:val="21"/>
    </w:rPr>
  </w:style>
  <w:style w:type="paragraph" w:customStyle="1" w:styleId="40">
    <w:name w:val="BodyTextIndent"/>
    <w:basedOn w:val="1"/>
    <w:next w:val="39"/>
    <w:autoRedefine/>
    <w:qFormat/>
    <w:uiPriority w:val="0"/>
    <w:pPr>
      <w:spacing w:line="360" w:lineRule="auto"/>
      <w:ind w:firstLine="490"/>
      <w:jc w:val="left"/>
    </w:pPr>
    <w:rPr>
      <w:rFonts w:ascii="宋体" w:hAnsi="宋体"/>
      <w:sz w:val="24"/>
    </w:rPr>
  </w:style>
  <w:style w:type="paragraph" w:styleId="41">
    <w:name w:val="Quote"/>
    <w:basedOn w:val="1"/>
    <w:next w:val="1"/>
    <w:autoRedefine/>
    <w:qFormat/>
    <w:uiPriority w:val="0"/>
    <w:pPr>
      <w:wordWrap w:val="0"/>
      <w:spacing w:before="200" w:after="160"/>
      <w:ind w:left="864" w:right="864"/>
      <w:jc w:val="center"/>
    </w:pPr>
    <w:rPr>
      <w:i/>
    </w:rPr>
  </w:style>
  <w:style w:type="paragraph" w:customStyle="1" w:styleId="42">
    <w:name w:val="Body Text First Indent1"/>
    <w:basedOn w:val="2"/>
    <w:autoRedefine/>
    <w:qFormat/>
    <w:uiPriority w:val="0"/>
    <w:pPr>
      <w:tabs>
        <w:tab w:val="left" w:pos="1275"/>
      </w:tabs>
      <w:ind w:firstLine="420" w:firstLineChars="100"/>
    </w:pPr>
  </w:style>
  <w:style w:type="paragraph" w:customStyle="1" w:styleId="43">
    <w:name w:val="章正文"/>
    <w:basedOn w:val="1"/>
    <w:autoRedefine/>
    <w:qFormat/>
    <w:uiPriority w:val="0"/>
    <w:pPr>
      <w:spacing w:beforeLines="50" w:after="120" w:line="300" w:lineRule="auto"/>
      <w:ind w:firstLine="480"/>
    </w:pPr>
    <w:rPr>
      <w:rFonts w:ascii="Helvetica" w:hAnsi="Helvetica"/>
      <w:kern w:val="0"/>
      <w:sz w:val="24"/>
      <w:szCs w:val="24"/>
    </w:rPr>
  </w:style>
  <w:style w:type="paragraph" w:customStyle="1" w:styleId="44">
    <w:name w:val="正文缩进1"/>
    <w:basedOn w:val="1"/>
    <w:autoRedefine/>
    <w:qFormat/>
    <w:uiPriority w:val="0"/>
    <w:pPr>
      <w:ind w:firstLine="420" w:firstLineChars="200"/>
    </w:pPr>
  </w:style>
  <w:style w:type="paragraph" w:customStyle="1" w:styleId="45">
    <w:name w:val="正文（首行缩进2字符）"/>
    <w:basedOn w:val="1"/>
    <w:autoRedefine/>
    <w:qFormat/>
    <w:uiPriority w:val="0"/>
    <w:pPr>
      <w:spacing w:line="360" w:lineRule="auto"/>
      <w:ind w:firstLine="480" w:firstLineChars="200"/>
    </w:pPr>
    <w:rPr>
      <w:sz w:val="24"/>
      <w:szCs w:val="20"/>
    </w:rPr>
  </w:style>
  <w:style w:type="character" w:customStyle="1" w:styleId="46">
    <w:name w:val="标题 1 Char"/>
    <w:basedOn w:val="31"/>
    <w:link w:val="4"/>
    <w:autoRedefine/>
    <w:qFormat/>
    <w:locked/>
    <w:uiPriority w:val="99"/>
    <w:rPr>
      <w:b/>
      <w:bCs/>
      <w:kern w:val="44"/>
      <w:sz w:val="44"/>
      <w:szCs w:val="44"/>
    </w:rPr>
  </w:style>
  <w:style w:type="character" w:customStyle="1" w:styleId="47">
    <w:name w:val="标题 2 Char"/>
    <w:basedOn w:val="31"/>
    <w:link w:val="5"/>
    <w:autoRedefine/>
    <w:qFormat/>
    <w:locked/>
    <w:uiPriority w:val="99"/>
    <w:rPr>
      <w:rFonts w:ascii="宋体" w:cs="宋体"/>
      <w:b/>
      <w:bCs/>
      <w:kern w:val="2"/>
      <w:sz w:val="28"/>
      <w:szCs w:val="28"/>
    </w:rPr>
  </w:style>
  <w:style w:type="character" w:customStyle="1" w:styleId="48">
    <w:name w:val="标题 3 Char"/>
    <w:basedOn w:val="31"/>
    <w:link w:val="6"/>
    <w:autoRedefine/>
    <w:qFormat/>
    <w:locked/>
    <w:uiPriority w:val="99"/>
    <w:rPr>
      <w:rFonts w:ascii="宋体" w:cs="宋体"/>
      <w:b/>
      <w:bCs/>
      <w:kern w:val="2"/>
      <w:sz w:val="28"/>
      <w:szCs w:val="28"/>
    </w:rPr>
  </w:style>
  <w:style w:type="character" w:customStyle="1" w:styleId="49">
    <w:name w:val="正文文本 Char"/>
    <w:basedOn w:val="31"/>
    <w:link w:val="2"/>
    <w:autoRedefine/>
    <w:semiHidden/>
    <w:qFormat/>
    <w:uiPriority w:val="99"/>
    <w:rPr>
      <w:rFonts w:ascii="Times New Roman" w:hAnsi="Times New Roman"/>
      <w:szCs w:val="21"/>
    </w:rPr>
  </w:style>
  <w:style w:type="paragraph" w:customStyle="1" w:styleId="50">
    <w:name w:val="样式 表格正文 + 两端对齐"/>
    <w:basedOn w:val="1"/>
    <w:next w:val="51"/>
    <w:autoRedefine/>
    <w:qFormat/>
    <w:uiPriority w:val="99"/>
    <w:pPr>
      <w:spacing w:line="300" w:lineRule="auto"/>
    </w:pPr>
    <w:rPr>
      <w:sz w:val="24"/>
      <w:szCs w:val="24"/>
    </w:rPr>
  </w:style>
  <w:style w:type="paragraph" w:customStyle="1" w:styleId="51">
    <w:name w:val="正文1"/>
    <w:basedOn w:val="1"/>
    <w:next w:val="52"/>
    <w:autoRedefine/>
    <w:qFormat/>
    <w:uiPriority w:val="99"/>
    <w:pPr>
      <w:widowControl/>
      <w:snapToGrid w:val="0"/>
      <w:spacing w:line="500" w:lineRule="exact"/>
      <w:ind w:firstLine="567"/>
    </w:pPr>
    <w:rPr>
      <w:rFonts w:ascii="楷体_GB2312" w:eastAsia="楷体_GB2312" w:cs="楷体_GB2312"/>
      <w:kern w:val="0"/>
      <w:sz w:val="28"/>
      <w:szCs w:val="28"/>
    </w:rPr>
  </w:style>
  <w:style w:type="paragraph" w:customStyle="1" w:styleId="52">
    <w:name w:val="自动更正"/>
    <w:next w:val="53"/>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3">
    <w:name w:val="xl39"/>
    <w:basedOn w:val="1"/>
    <w:next w:val="54"/>
    <w:autoRedefine/>
    <w:qFormat/>
    <w:uiPriority w:val="99"/>
    <w:pPr>
      <w:widowControl/>
      <w:pBdr>
        <w:top w:val="single" w:color="auto" w:sz="4" w:space="0"/>
        <w:bottom w:val="single" w:color="auto" w:sz="4" w:space="0"/>
        <w:right w:val="single" w:color="auto" w:sz="4" w:space="0"/>
      </w:pBdr>
      <w:spacing w:before="100" w:after="100"/>
      <w:jc w:val="left"/>
      <w:textAlignment w:val="center"/>
    </w:pPr>
    <w:rPr>
      <w:kern w:val="0"/>
    </w:rPr>
  </w:style>
  <w:style w:type="paragraph" w:customStyle="1" w:styleId="54">
    <w:name w:val="分手多日，近况如何？"/>
    <w:next w:val="1"/>
    <w:autoRedefine/>
    <w:qFormat/>
    <w:uiPriority w:val="99"/>
    <w:pPr>
      <w:widowControl w:val="0"/>
      <w:jc w:val="both"/>
    </w:pPr>
    <w:rPr>
      <w:rFonts w:ascii="Times New Roman" w:hAnsi="Times New Roman" w:eastAsia="宋体" w:cs="Times New Roman"/>
      <w:sz w:val="21"/>
      <w:szCs w:val="21"/>
      <w:lang w:val="en-US" w:eastAsia="zh-CN" w:bidi="ar-SA"/>
    </w:rPr>
  </w:style>
  <w:style w:type="character" w:customStyle="1" w:styleId="55">
    <w:name w:val="正文文本缩进 Char"/>
    <w:basedOn w:val="31"/>
    <w:link w:val="12"/>
    <w:autoRedefine/>
    <w:semiHidden/>
    <w:qFormat/>
    <w:uiPriority w:val="99"/>
    <w:rPr>
      <w:rFonts w:ascii="Times New Roman" w:hAnsi="Times New Roman"/>
      <w:szCs w:val="21"/>
    </w:rPr>
  </w:style>
  <w:style w:type="character" w:customStyle="1" w:styleId="56">
    <w:name w:val="纯文本 Char"/>
    <w:basedOn w:val="31"/>
    <w:link w:val="15"/>
    <w:autoRedefine/>
    <w:semiHidden/>
    <w:qFormat/>
    <w:uiPriority w:val="99"/>
    <w:rPr>
      <w:rFonts w:ascii="宋体" w:hAnsi="Courier New" w:cs="Courier New"/>
      <w:szCs w:val="21"/>
    </w:rPr>
  </w:style>
  <w:style w:type="character" w:customStyle="1" w:styleId="57">
    <w:name w:val="日期 Char"/>
    <w:basedOn w:val="31"/>
    <w:link w:val="16"/>
    <w:autoRedefine/>
    <w:semiHidden/>
    <w:qFormat/>
    <w:uiPriority w:val="99"/>
    <w:rPr>
      <w:rFonts w:ascii="Times New Roman" w:hAnsi="Times New Roman"/>
      <w:szCs w:val="21"/>
    </w:rPr>
  </w:style>
  <w:style w:type="character" w:customStyle="1" w:styleId="58">
    <w:name w:val="批注框文本 Char"/>
    <w:basedOn w:val="31"/>
    <w:link w:val="17"/>
    <w:autoRedefine/>
    <w:qFormat/>
    <w:locked/>
    <w:uiPriority w:val="99"/>
    <w:rPr>
      <w:kern w:val="2"/>
      <w:sz w:val="18"/>
      <w:szCs w:val="18"/>
    </w:rPr>
  </w:style>
  <w:style w:type="character" w:customStyle="1" w:styleId="59">
    <w:name w:val="页脚 Char"/>
    <w:basedOn w:val="31"/>
    <w:link w:val="18"/>
    <w:autoRedefine/>
    <w:semiHidden/>
    <w:qFormat/>
    <w:uiPriority w:val="99"/>
    <w:rPr>
      <w:rFonts w:ascii="Times New Roman" w:hAnsi="Times New Roman"/>
      <w:sz w:val="18"/>
      <w:szCs w:val="18"/>
    </w:rPr>
  </w:style>
  <w:style w:type="character" w:customStyle="1" w:styleId="60">
    <w:name w:val="页眉 Char"/>
    <w:basedOn w:val="31"/>
    <w:link w:val="19"/>
    <w:autoRedefine/>
    <w:semiHidden/>
    <w:qFormat/>
    <w:uiPriority w:val="99"/>
    <w:rPr>
      <w:rFonts w:ascii="Times New Roman" w:hAnsi="Times New Roman"/>
      <w:sz w:val="18"/>
      <w:szCs w:val="18"/>
    </w:rPr>
  </w:style>
  <w:style w:type="character" w:customStyle="1" w:styleId="61">
    <w:name w:val="正文首行缩进 Char"/>
    <w:basedOn w:val="49"/>
    <w:link w:val="27"/>
    <w:autoRedefine/>
    <w:semiHidden/>
    <w:qFormat/>
    <w:uiPriority w:val="99"/>
    <w:rPr>
      <w:rFonts w:ascii="Times New Roman" w:hAnsi="Times New Roman"/>
      <w:szCs w:val="21"/>
    </w:rPr>
  </w:style>
  <w:style w:type="paragraph" w:customStyle="1" w:styleId="62">
    <w:name w:val="正文2"/>
    <w:basedOn w:val="24"/>
    <w:autoRedefine/>
    <w:qFormat/>
    <w:uiPriority w:val="99"/>
    <w:pPr>
      <w:adjustRightInd w:val="0"/>
      <w:spacing w:before="156" w:line="360" w:lineRule="auto"/>
      <w:ind w:firstLine="510" w:firstLineChars="200"/>
    </w:pPr>
    <w:rPr>
      <w:sz w:val="24"/>
      <w:szCs w:val="24"/>
    </w:rPr>
  </w:style>
  <w:style w:type="paragraph" w:customStyle="1" w:styleId="63">
    <w:name w:val="List Paragraph1"/>
    <w:basedOn w:val="1"/>
    <w:autoRedefine/>
    <w:qFormat/>
    <w:uiPriority w:val="99"/>
    <w:pPr>
      <w:widowControl/>
      <w:ind w:firstLine="420" w:firstLineChars="200"/>
      <w:jc w:val="left"/>
    </w:pPr>
    <w:rPr>
      <w:rFonts w:ascii="Calibri" w:hAnsi="Calibri" w:cs="Calibri"/>
    </w:rPr>
  </w:style>
  <w:style w:type="character" w:customStyle="1" w:styleId="64">
    <w:name w:val="style81"/>
    <w:autoRedefine/>
    <w:qFormat/>
    <w:uiPriority w:val="99"/>
    <w:rPr>
      <w:sz w:val="20"/>
      <w:szCs w:val="20"/>
    </w:rPr>
  </w:style>
  <w:style w:type="paragraph" w:customStyle="1" w:styleId="65">
    <w:name w:val="表格"/>
    <w:basedOn w:val="1"/>
    <w:autoRedefine/>
    <w:qFormat/>
    <w:uiPriority w:val="99"/>
    <w:pPr>
      <w:autoSpaceDE w:val="0"/>
      <w:autoSpaceDN w:val="0"/>
      <w:jc w:val="center"/>
      <w:textAlignment w:val="baseline"/>
    </w:pPr>
    <w:rPr>
      <w:color w:val="000000"/>
      <w:kern w:val="0"/>
    </w:rPr>
  </w:style>
  <w:style w:type="character" w:customStyle="1" w:styleId="66">
    <w:name w:val="02 Char"/>
    <w:link w:val="67"/>
    <w:autoRedefine/>
    <w:qFormat/>
    <w:locked/>
    <w:uiPriority w:val="99"/>
    <w:rPr>
      <w:rFonts w:ascii="宋体" w:cs="宋体"/>
      <w:b/>
      <w:bCs/>
      <w:color w:val="FF0000"/>
      <w:kern w:val="2"/>
      <w:sz w:val="28"/>
      <w:szCs w:val="28"/>
    </w:rPr>
  </w:style>
  <w:style w:type="paragraph" w:customStyle="1" w:styleId="67">
    <w:name w:val="02"/>
    <w:basedOn w:val="5"/>
    <w:link w:val="66"/>
    <w:autoRedefine/>
    <w:qFormat/>
    <w:uiPriority w:val="99"/>
    <w:pPr>
      <w:jc w:val="center"/>
    </w:pPr>
    <w:rPr>
      <w:color w:val="FF0000"/>
    </w:rPr>
  </w:style>
  <w:style w:type="character" w:customStyle="1" w:styleId="68">
    <w:name w:val="03 Char"/>
    <w:link w:val="69"/>
    <w:autoRedefine/>
    <w:qFormat/>
    <w:locked/>
    <w:uiPriority w:val="99"/>
    <w:rPr>
      <w:rFonts w:ascii="宋体" w:cs="宋体"/>
      <w:b/>
      <w:bCs/>
      <w:kern w:val="2"/>
      <w:sz w:val="28"/>
      <w:szCs w:val="28"/>
    </w:rPr>
  </w:style>
  <w:style w:type="paragraph" w:customStyle="1" w:styleId="69">
    <w:name w:val="03"/>
    <w:basedOn w:val="6"/>
    <w:link w:val="68"/>
    <w:autoRedefine/>
    <w:qFormat/>
    <w:uiPriority w:val="99"/>
    <w:pPr>
      <w:numPr>
        <w:ilvl w:val="0"/>
        <w:numId w:val="0"/>
      </w:numPr>
    </w:pPr>
  </w:style>
  <w:style w:type="character" w:customStyle="1" w:styleId="70">
    <w:name w:val="宋体小四 Char"/>
    <w:link w:val="71"/>
    <w:autoRedefine/>
    <w:qFormat/>
    <w:locked/>
    <w:uiPriority w:val="99"/>
    <w:rPr>
      <w:rFonts w:ascii="宋体" w:eastAsia="宋体" w:cs="宋体"/>
      <w:kern w:val="2"/>
      <w:sz w:val="24"/>
      <w:szCs w:val="24"/>
    </w:rPr>
  </w:style>
  <w:style w:type="paragraph" w:customStyle="1" w:styleId="71">
    <w:name w:val="宋体小四"/>
    <w:basedOn w:val="1"/>
    <w:link w:val="70"/>
    <w:autoRedefine/>
    <w:qFormat/>
    <w:uiPriority w:val="99"/>
    <w:pPr>
      <w:spacing w:line="360" w:lineRule="auto"/>
      <w:ind w:firstLine="480" w:firstLineChars="200"/>
    </w:pPr>
    <w:rPr>
      <w:rFonts w:ascii="宋体" w:hAnsi="宋体" w:cs="宋体"/>
      <w:sz w:val="24"/>
      <w:szCs w:val="24"/>
    </w:rPr>
  </w:style>
  <w:style w:type="character" w:customStyle="1" w:styleId="72">
    <w:name w:val="fontstyle01"/>
    <w:basedOn w:val="31"/>
    <w:autoRedefine/>
    <w:qFormat/>
    <w:uiPriority w:val="99"/>
    <w:rPr>
      <w:rFonts w:ascii="宋体" w:eastAsia="宋体" w:cs="宋体"/>
      <w:color w:val="000000"/>
      <w:sz w:val="22"/>
      <w:szCs w:val="22"/>
    </w:rPr>
  </w:style>
  <w:style w:type="paragraph" w:customStyle="1" w:styleId="73">
    <w:name w:val="正文首行缩进2字符"/>
    <w:basedOn w:val="1"/>
    <w:autoRedefine/>
    <w:qFormat/>
    <w:uiPriority w:val="99"/>
    <w:pPr>
      <w:spacing w:line="360" w:lineRule="auto"/>
      <w:ind w:firstLine="200" w:firstLineChars="200"/>
    </w:pPr>
  </w:style>
  <w:style w:type="paragraph" w:customStyle="1" w:styleId="74">
    <w:name w:val="居中表格内容标题"/>
    <w:basedOn w:val="75"/>
    <w:autoRedefine/>
    <w:qFormat/>
    <w:uiPriority w:val="0"/>
    <w:pPr>
      <w:jc w:val="center"/>
    </w:pPr>
    <w:rPr>
      <w:b/>
    </w:rPr>
  </w:style>
  <w:style w:type="paragraph" w:customStyle="1" w:styleId="75">
    <w:name w:val="居中表格内容"/>
    <w:basedOn w:val="1"/>
    <w:next w:val="1"/>
    <w:autoRedefine/>
    <w:qFormat/>
    <w:uiPriority w:val="0"/>
    <w:pPr>
      <w:jc w:val="left"/>
    </w:pPr>
    <w:rPr>
      <w:szCs w:val="28"/>
    </w:rPr>
  </w:style>
  <w:style w:type="paragraph" w:customStyle="1" w:styleId="76">
    <w:name w:val="Body text|1"/>
    <w:basedOn w:val="1"/>
    <w:autoRedefine/>
    <w:qFormat/>
    <w:uiPriority w:val="0"/>
    <w:pPr>
      <w:spacing w:line="374" w:lineRule="auto"/>
      <w:ind w:firstLine="400"/>
    </w:pPr>
    <w:rPr>
      <w:rFonts w:ascii="宋体" w:hAnsi="宋体" w:cs="宋体"/>
      <w:sz w:val="30"/>
      <w:szCs w:val="30"/>
      <w:lang w:val="zh-TW" w:eastAsia="zh-TW" w:bidi="zh-TW"/>
    </w:rPr>
  </w:style>
  <w:style w:type="paragraph" w:customStyle="1" w:styleId="77">
    <w:name w:val="Body text|2"/>
    <w:basedOn w:val="1"/>
    <w:autoRedefine/>
    <w:qFormat/>
    <w:uiPriority w:val="0"/>
    <w:pPr>
      <w:spacing w:line="360" w:lineRule="auto"/>
      <w:ind w:firstLine="660"/>
    </w:pPr>
    <w:rPr>
      <w:sz w:val="32"/>
      <w:szCs w:val="32"/>
      <w:lang w:val="zh-TW" w:eastAsia="zh-TW" w:bidi="zh-TW"/>
    </w:rPr>
  </w:style>
  <w:style w:type="character" w:customStyle="1" w:styleId="78">
    <w:name w:val="NormalCharacter"/>
    <w:autoRedefine/>
    <w:semiHidden/>
    <w:qFormat/>
    <w:uiPriority w:val="0"/>
  </w:style>
  <w:style w:type="paragraph" w:customStyle="1" w:styleId="79">
    <w:name w:val="CM26"/>
    <w:basedOn w:val="1"/>
    <w:next w:val="1"/>
    <w:autoRedefine/>
    <w:qFormat/>
    <w:uiPriority w:val="0"/>
    <w:pPr>
      <w:autoSpaceDE w:val="0"/>
      <w:autoSpaceDN w:val="0"/>
      <w:adjustRightInd w:val="0"/>
      <w:spacing w:line="400" w:lineRule="atLeast"/>
      <w:jc w:val="left"/>
    </w:pPr>
    <w:rPr>
      <w:rFonts w:ascii="宋体" w:hAnsi="宋体"/>
      <w:kern w:val="0"/>
      <w:sz w:val="24"/>
    </w:rPr>
  </w:style>
  <w:style w:type="paragraph" w:customStyle="1" w:styleId="80">
    <w:name w:val="xc正文"/>
    <w:basedOn w:val="1"/>
    <w:autoRedefine/>
    <w:qFormat/>
    <w:uiPriority w:val="0"/>
    <w:pPr>
      <w:ind w:firstLine="200" w:firstLineChars="200"/>
    </w:pPr>
    <w:rPr>
      <w:szCs w:val="24"/>
    </w:rPr>
  </w:style>
  <w:style w:type="paragraph" w:styleId="81">
    <w:name w:val="List Paragraph"/>
    <w:basedOn w:val="1"/>
    <w:autoRedefine/>
    <w:qFormat/>
    <w:uiPriority w:val="1"/>
    <w:pPr>
      <w:ind w:firstLine="420" w:firstLineChars="200"/>
    </w:pPr>
    <w:rPr>
      <w:szCs w:val="24"/>
    </w:rPr>
  </w:style>
  <w:style w:type="character" w:customStyle="1" w:styleId="82">
    <w:name w:val="fontstyle21"/>
    <w:autoRedefine/>
    <w:qFormat/>
    <w:uiPriority w:val="0"/>
    <w:rPr>
      <w:rFonts w:hint="default" w:ascii="TimesNewRomanPSMT" w:hAnsi="TimesNewRomanPSMT"/>
      <w:color w:val="000000"/>
      <w:sz w:val="32"/>
      <w:szCs w:val="32"/>
    </w:rPr>
  </w:style>
  <w:style w:type="paragraph" w:customStyle="1" w:styleId="83">
    <w:name w:val="_Style 16"/>
    <w:next w:val="1"/>
    <w:autoRedefine/>
    <w:qFormat/>
    <w:uiPriority w:val="39"/>
    <w:pPr>
      <w:widowControl w:val="0"/>
      <w:tabs>
        <w:tab w:val="left" w:pos="540"/>
        <w:tab w:val="right" w:leader="dot" w:pos="8890"/>
      </w:tabs>
      <w:spacing w:beforeLines="15" w:afterLines="15" w:line="560" w:lineRule="exact"/>
    </w:pPr>
    <w:rPr>
      <w:rFonts w:ascii="Times New Roman" w:hAnsi="Times New Roman" w:eastAsia="黑体" w:cs="Times New Roman"/>
      <w:b/>
      <w:bCs/>
      <w:caps/>
      <w:kern w:val="2"/>
      <w:sz w:val="28"/>
      <w:szCs w:val="28"/>
      <w:lang w:val="en-US" w:eastAsia="zh-CN" w:bidi="ar-SA"/>
    </w:rPr>
  </w:style>
  <w:style w:type="paragraph" w:customStyle="1" w:styleId="84">
    <w:name w:val="_Style 76"/>
    <w:basedOn w:val="1"/>
    <w:next w:val="81"/>
    <w:autoRedefine/>
    <w:qFormat/>
    <w:uiPriority w:val="34"/>
    <w:pPr>
      <w:ind w:firstLine="420" w:firstLineChars="200"/>
    </w:pPr>
    <w:rPr>
      <w:szCs w:val="24"/>
    </w:rPr>
  </w:style>
  <w:style w:type="paragraph" w:customStyle="1" w:styleId="85">
    <w:name w:val="纯文本1"/>
    <w:basedOn w:val="1"/>
    <w:autoRedefine/>
    <w:qFormat/>
    <w:uiPriority w:val="0"/>
    <w:pPr>
      <w:ind w:firstLine="280" w:firstLineChars="100"/>
    </w:pPr>
    <w:rPr>
      <w:rFonts w:hAnsi="宋体" w:cs="Courier New"/>
    </w:rPr>
  </w:style>
  <w:style w:type="paragraph" w:customStyle="1" w:styleId="86">
    <w:name w:val="居中表名"/>
    <w:basedOn w:val="1"/>
    <w:next w:val="1"/>
    <w:autoRedefine/>
    <w:qFormat/>
    <w:uiPriority w:val="0"/>
    <w:pPr>
      <w:jc w:val="center"/>
    </w:pPr>
    <w:rPr>
      <w:rFonts w:eastAsia="黑体"/>
      <w:b/>
      <w:szCs w:val="28"/>
    </w:rPr>
  </w:style>
  <w:style w:type="paragraph" w:customStyle="1" w:styleId="87">
    <w:name w:val="列表段落1"/>
    <w:basedOn w:val="1"/>
    <w:autoRedefine/>
    <w:qFormat/>
    <w:uiPriority w:val="0"/>
    <w:pPr>
      <w:ind w:firstLine="420"/>
    </w:pPr>
  </w:style>
  <w:style w:type="paragraph" w:customStyle="1" w:styleId="88">
    <w:name w:val="[Normal]"/>
    <w:autoRedefine/>
    <w:qFormat/>
    <w:uiPriority w:val="0"/>
    <w:rPr>
      <w:rFonts w:ascii="宋体" w:hAnsi="宋体" w:eastAsia="宋体" w:cs="Times New Roman"/>
      <w:sz w:val="24"/>
      <w:szCs w:val="22"/>
      <w:lang w:val="zh-CN" w:eastAsia="zh-CN" w:bidi="ar-SA"/>
    </w:rPr>
  </w:style>
  <w:style w:type="paragraph" w:customStyle="1" w:styleId="89">
    <w:name w:val="列出段落2"/>
    <w:basedOn w:val="1"/>
    <w:autoRedefine/>
    <w:qFormat/>
    <w:uiPriority w:val="1"/>
    <w:pPr>
      <w:ind w:firstLine="420" w:firstLineChars="200"/>
    </w:pPr>
    <w:rPr>
      <w:szCs w:val="24"/>
    </w:rPr>
  </w:style>
  <w:style w:type="character" w:customStyle="1" w:styleId="90">
    <w:name w:val="font21"/>
    <w:autoRedefine/>
    <w:qFormat/>
    <w:uiPriority w:val="0"/>
    <w:rPr>
      <w:rFonts w:hint="eastAsia" w:ascii="宋体" w:hAnsi="宋体" w:eastAsia="宋体" w:cs="宋体"/>
      <w:b/>
      <w:color w:val="FF0000"/>
      <w:sz w:val="24"/>
      <w:szCs w:val="24"/>
      <w:u w:val="none"/>
    </w:rPr>
  </w:style>
  <w:style w:type="paragraph" w:customStyle="1" w:styleId="91">
    <w:name w:val="样式6"/>
    <w:basedOn w:val="15"/>
    <w:autoRedefine/>
    <w:qFormat/>
    <w:uiPriority w:val="0"/>
    <w:pPr>
      <w:adjustRightInd w:val="0"/>
      <w:spacing w:line="460" w:lineRule="exact"/>
      <w:outlineLvl w:val="2"/>
    </w:pPr>
    <w:rPr>
      <w:rFonts w:ascii="仿宋_GB2312" w:hAnsi="宋体" w:eastAsia="仿宋_GB2312" w:cs="Times New Roman"/>
      <w:b/>
      <w:bCs/>
      <w:sz w:val="24"/>
      <w:szCs w:val="24"/>
    </w:rPr>
  </w:style>
  <w:style w:type="paragraph" w:customStyle="1" w:styleId="92">
    <w:name w:val="Plain Text"/>
    <w:basedOn w:val="1"/>
    <w:autoRedefine/>
    <w:qFormat/>
    <w:uiPriority w:val="0"/>
    <w:rPr>
      <w:rFonts w:hint="eastAsia" w:ascii="宋体" w:hAnsi="Courier New"/>
      <w:szCs w:val="20"/>
    </w:rPr>
  </w:style>
  <w:style w:type="paragraph" w:customStyle="1" w:styleId="93">
    <w:name w:val="p0"/>
    <w:basedOn w:val="1"/>
    <w:autoRedefine/>
    <w:qFormat/>
    <w:uiPriority w:val="99"/>
    <w:pPr>
      <w:widowControl/>
    </w:pPr>
    <w:rPr>
      <w:kern w:val="0"/>
      <w:szCs w:val="21"/>
    </w:rPr>
  </w:style>
  <w:style w:type="paragraph" w:customStyle="1" w:styleId="94">
    <w:name w:val="*正文"/>
    <w:basedOn w:val="1"/>
    <w:autoRedefine/>
    <w:qFormat/>
    <w:uiPriority w:val="0"/>
    <w:pPr>
      <w:spacing w:line="300" w:lineRule="auto"/>
      <w:ind w:firstLine="480"/>
    </w:pPr>
    <w:rPr>
      <w:rFonts w:ascii="宋体" w:hAnsi="宋体"/>
      <w:kern w:val="0"/>
      <w:sz w:val="20"/>
      <w:szCs w:val="21"/>
    </w:rPr>
  </w:style>
  <w:style w:type="table" w:customStyle="1" w:styleId="95">
    <w:name w:val="网格型1"/>
    <w:basedOn w:val="29"/>
    <w:autoRedefine/>
    <w:qFormat/>
    <w:uiPriority w:val="0"/>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96">
    <w:name w:val="Default"/>
    <w:next w:val="97"/>
    <w:autoRedefine/>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97">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customStyle="1" w:styleId="98">
    <w:name w:val="样式1"/>
    <w:basedOn w:val="1"/>
    <w:autoRedefine/>
    <w:qFormat/>
    <w:uiPriority w:val="0"/>
    <w:pPr>
      <w:widowControl/>
      <w:ind w:firstLine="0" w:firstLineChars="0"/>
      <w:jc w:val="center"/>
    </w:pPr>
    <w:rPr>
      <w:rFonts w:hint="eastAsia" w:ascii="宋体" w:hAnsi="宋体" w:eastAsia="宋体"/>
      <w:szCs w:val="20"/>
    </w:rPr>
  </w:style>
  <w:style w:type="paragraph" w:customStyle="1" w:styleId="99">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54</Pages>
  <Words>18348</Words>
  <Characters>19546</Characters>
  <Lines>1</Lines>
  <Paragraphs>1</Paragraphs>
  <TotalTime>8</TotalTime>
  <ScaleCrop>false</ScaleCrop>
  <LinksUpToDate>false</LinksUpToDate>
  <CharactersWithSpaces>19785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2021-12-06T19:03:00Z</dcterms:created>
  <dc:creator>陈圣楠</dc:creator>
  <cp:lastModifiedBy>Administrator</cp:lastModifiedBy>
  <cp:lastPrinted>2023-05-23T07:11:00Z</cp:lastPrinted>
  <dcterms:modified xsi:type="dcterms:W3CDTF">2024-11-25T04:48:03Z</dcterms:modified>
  <dc:title>上虞区自然资源变更监测项目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D203EF5CB51148C892055BBDF21A281D_13</vt:lpwstr>
  </property>
  <property fmtid="{D5CDD505-2E9C-101B-9397-08002B2CF9AE}" pid="4" name="commondata">
    <vt:lpwstr>eyJoZGlkIjoiNjY1YWU2ZTk2MGU1NDNlZGY5MzE0NzM2ODJlNDA4NTkifQ==</vt:lpwstr>
  </property>
</Properties>
</file>