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C2D5EC">
      <w:pPr>
        <w:spacing w:line="360" w:lineRule="auto"/>
        <w:rPr>
          <w:rFonts w:hint="eastAsia" w:ascii="仿宋" w:hAnsi="仿宋" w:eastAsia="仿宋" w:cs="仿宋"/>
          <w:b/>
          <w:sz w:val="28"/>
          <w:szCs w:val="28"/>
        </w:rPr>
      </w:pPr>
      <w:r>
        <w:rPr>
          <w:rFonts w:hint="eastAsia" w:ascii="仿宋" w:hAnsi="仿宋" w:eastAsia="仿宋" w:cs="仿宋"/>
          <w:b/>
          <w:sz w:val="28"/>
          <w:szCs w:val="28"/>
        </w:rPr>
        <w:t>基本格式：</w:t>
      </w:r>
    </w:p>
    <w:p w14:paraId="55B3B0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关于对******************项目的意见建议</w:t>
      </w:r>
    </w:p>
    <w:p w14:paraId="56EB9A54">
      <w:pPr>
        <w:spacing w:line="360" w:lineRule="auto"/>
        <w:rPr>
          <w:rFonts w:hint="eastAsia" w:ascii="仿宋" w:hAnsi="仿宋" w:eastAsia="仿宋" w:cs="仿宋"/>
          <w:sz w:val="28"/>
          <w:szCs w:val="28"/>
        </w:rPr>
      </w:pPr>
      <w:r>
        <w:rPr>
          <w:rFonts w:hint="eastAsia" w:ascii="仿宋" w:hAnsi="仿宋" w:eastAsia="仿宋" w:cs="仿宋"/>
          <w:sz w:val="28"/>
          <w:szCs w:val="28"/>
        </w:rPr>
        <w:t>致：诸暨市宸佳工程管理有限公司</w:t>
      </w:r>
    </w:p>
    <w:p w14:paraId="76C38FE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年*月*日公示的*********************项目采购要素，我公司有如下意见建议：</w:t>
      </w:r>
    </w:p>
    <w:tbl>
      <w:tblPr>
        <w:tblStyle w:val="27"/>
        <w:tblW w:w="0" w:type="auto"/>
        <w:jc w:val="center"/>
        <w:tblLayout w:type="fixed"/>
        <w:tblCellMar>
          <w:top w:w="0" w:type="dxa"/>
          <w:left w:w="108" w:type="dxa"/>
          <w:bottom w:w="0" w:type="dxa"/>
          <w:right w:w="108" w:type="dxa"/>
        </w:tblCellMar>
      </w:tblPr>
      <w:tblGrid>
        <w:gridCol w:w="4261"/>
        <w:gridCol w:w="4261"/>
      </w:tblGrid>
      <w:tr w14:paraId="700B6A8C">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4433329F">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2D7A3DBA">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本公司意见建议</w:t>
            </w:r>
          </w:p>
        </w:tc>
      </w:tr>
      <w:tr w14:paraId="1FB76C11">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20C6900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6627415C">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6D45468C">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7547C33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F41F6D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61FAF6B5">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058A8259">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E6664B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bl>
    <w:p w14:paraId="7F74B79E">
      <w:pPr>
        <w:spacing w:line="360" w:lineRule="auto"/>
        <w:rPr>
          <w:rFonts w:hint="eastAsia" w:ascii="仿宋" w:hAnsi="仿宋" w:eastAsia="仿宋" w:cs="仿宋"/>
          <w:sz w:val="28"/>
          <w:szCs w:val="28"/>
        </w:rPr>
      </w:pPr>
    </w:p>
    <w:p w14:paraId="5B71E373">
      <w:pPr>
        <w:spacing w:line="360" w:lineRule="auto"/>
        <w:rPr>
          <w:rFonts w:hint="eastAsia" w:ascii="仿宋" w:hAnsi="仿宋" w:eastAsia="仿宋" w:cs="仿宋"/>
          <w:sz w:val="28"/>
          <w:szCs w:val="28"/>
        </w:rPr>
      </w:pPr>
      <w:r>
        <w:rPr>
          <w:rFonts w:hint="eastAsia" w:ascii="仿宋" w:hAnsi="仿宋" w:eastAsia="仿宋" w:cs="仿宋"/>
          <w:sz w:val="28"/>
          <w:szCs w:val="28"/>
        </w:rPr>
        <w:t>传真：********</w:t>
      </w:r>
    </w:p>
    <w:p w14:paraId="168AAF0B">
      <w:pPr>
        <w:spacing w:line="360" w:lineRule="auto"/>
        <w:rPr>
          <w:rFonts w:hint="eastAsia" w:ascii="仿宋" w:hAnsi="仿宋" w:eastAsia="仿宋" w:cs="仿宋"/>
          <w:sz w:val="28"/>
          <w:szCs w:val="28"/>
        </w:rPr>
      </w:pPr>
      <w:r>
        <w:rPr>
          <w:rFonts w:hint="eastAsia" w:ascii="仿宋" w:hAnsi="仿宋" w:eastAsia="仿宋" w:cs="仿宋"/>
          <w:sz w:val="28"/>
          <w:szCs w:val="28"/>
        </w:rPr>
        <w:t>联系人：********</w:t>
      </w:r>
    </w:p>
    <w:p w14:paraId="5FB3024C">
      <w:pPr>
        <w:spacing w:line="360" w:lineRule="auto"/>
        <w:rPr>
          <w:rFonts w:hint="eastAsia" w:ascii="仿宋" w:hAnsi="仿宋" w:eastAsia="仿宋" w:cs="仿宋"/>
          <w:sz w:val="28"/>
          <w:szCs w:val="28"/>
        </w:rPr>
      </w:pPr>
      <w:r>
        <w:rPr>
          <w:rFonts w:hint="eastAsia" w:ascii="仿宋" w:hAnsi="仿宋" w:eastAsia="仿宋" w:cs="仿宋"/>
          <w:sz w:val="28"/>
          <w:szCs w:val="28"/>
        </w:rPr>
        <w:t>联系电话：**********</w:t>
      </w:r>
    </w:p>
    <w:p w14:paraId="67EBCD6C">
      <w:pPr>
        <w:spacing w:line="360" w:lineRule="auto"/>
        <w:rPr>
          <w:rFonts w:hint="eastAsia" w:ascii="仿宋" w:hAnsi="仿宋" w:eastAsia="仿宋" w:cs="仿宋"/>
          <w:sz w:val="28"/>
          <w:szCs w:val="28"/>
        </w:rPr>
      </w:pPr>
      <w:r>
        <w:rPr>
          <w:rFonts w:hint="eastAsia" w:ascii="仿宋" w:hAnsi="仿宋" w:eastAsia="仿宋" w:cs="仿宋"/>
          <w:sz w:val="28"/>
          <w:szCs w:val="28"/>
        </w:rPr>
        <w:t>联系手机：**********</w:t>
      </w:r>
    </w:p>
    <w:p w14:paraId="2DEB6DB8">
      <w:pPr>
        <w:spacing w:line="360" w:lineRule="auto"/>
        <w:rPr>
          <w:rFonts w:hint="eastAsia" w:ascii="仿宋" w:hAnsi="仿宋" w:eastAsia="仿宋" w:cs="仿宋"/>
          <w:sz w:val="28"/>
          <w:szCs w:val="28"/>
        </w:rPr>
      </w:pPr>
    </w:p>
    <w:p w14:paraId="399D10A7">
      <w:pPr>
        <w:spacing w:line="360" w:lineRule="auto"/>
        <w:rPr>
          <w:rFonts w:hint="eastAsia" w:ascii="仿宋" w:hAnsi="仿宋" w:eastAsia="仿宋" w:cs="仿宋"/>
          <w:sz w:val="28"/>
          <w:szCs w:val="28"/>
        </w:rPr>
      </w:pPr>
    </w:p>
    <w:p w14:paraId="5B45ED03">
      <w:pPr>
        <w:spacing w:line="360" w:lineRule="auto"/>
        <w:ind w:left="4480" w:hanging="4480" w:hangingChars="1600"/>
        <w:jc w:val="right"/>
        <w:rPr>
          <w:rFonts w:hint="eastAsia" w:ascii="仿宋" w:hAnsi="仿宋" w:eastAsia="仿宋" w:cs="仿宋"/>
          <w:sz w:val="28"/>
          <w:szCs w:val="28"/>
        </w:rPr>
      </w:pPr>
      <w:r>
        <w:rPr>
          <w:rFonts w:hint="eastAsia" w:ascii="仿宋" w:hAnsi="仿宋" w:eastAsia="仿宋" w:cs="仿宋"/>
          <w:sz w:val="28"/>
          <w:szCs w:val="28"/>
        </w:rPr>
        <w:t>单位名称：（加盖公章）</w:t>
      </w:r>
    </w:p>
    <w:p w14:paraId="4DB385E8">
      <w:pPr>
        <w:spacing w:line="360" w:lineRule="auto"/>
        <w:ind w:left="4760" w:hanging="4760" w:hangingChars="1700"/>
        <w:jc w:val="right"/>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〇</w:t>
      </w:r>
      <w:r>
        <w:rPr>
          <w:rFonts w:hint="eastAsia" w:ascii="仿宋" w:hAnsi="仿宋" w:eastAsia="仿宋" w:cs="仿宋"/>
          <w:sz w:val="28"/>
          <w:szCs w:val="28"/>
        </w:rPr>
        <w:t>二</w:t>
      </w:r>
      <w:r>
        <w:rPr>
          <w:rFonts w:hint="eastAsia" w:ascii="仿宋" w:hAnsi="仿宋" w:eastAsia="仿宋" w:cs="仿宋"/>
          <w:sz w:val="28"/>
          <w:szCs w:val="28"/>
          <w:lang w:val="en-US" w:eastAsia="zh-CN"/>
        </w:rPr>
        <w:t>五</w:t>
      </w:r>
      <w:r>
        <w:rPr>
          <w:rFonts w:hint="eastAsia" w:ascii="仿宋" w:hAnsi="仿宋" w:eastAsia="仿宋" w:cs="仿宋"/>
          <w:sz w:val="28"/>
          <w:szCs w:val="28"/>
        </w:rPr>
        <w:t>年*月*日</w:t>
      </w:r>
    </w:p>
    <w:p w14:paraId="2AEF2057">
      <w:pPr>
        <w:jc w:val="right"/>
        <w:rPr>
          <w:rFonts w:hint="eastAsia" w:ascii="仿宋" w:hAnsi="仿宋" w:eastAsia="仿宋" w:cs="仿宋"/>
          <w:b/>
          <w:sz w:val="36"/>
          <w:szCs w:val="36"/>
        </w:rPr>
        <w:sectPr>
          <w:footerReference r:id="rId5" w:type="first"/>
          <w:headerReference r:id="rId3" w:type="default"/>
          <w:footerReference r:id="rId4" w:type="default"/>
          <w:pgSz w:w="11906" w:h="16838"/>
          <w:pgMar w:top="1134" w:right="1134" w:bottom="1021" w:left="1134" w:header="850" w:footer="567" w:gutter="0"/>
          <w:pgBorders>
            <w:top w:val="none" w:sz="0" w:space="0"/>
            <w:left w:val="none" w:sz="0" w:space="0"/>
            <w:bottom w:val="none" w:sz="0" w:space="0"/>
            <w:right w:val="none" w:sz="0" w:space="0"/>
          </w:pgBorders>
          <w:cols w:space="720" w:num="1"/>
          <w:docGrid w:type="linesAndChars" w:linePitch="312" w:charSpace="0"/>
        </w:sectPr>
      </w:pPr>
    </w:p>
    <w:p w14:paraId="43DE7814">
      <w:pPr>
        <w:keepNext w:val="0"/>
        <w:keepLines w:val="0"/>
        <w:pageBreakBefore w:val="0"/>
        <w:widowControl w:val="0"/>
        <w:kinsoku/>
        <w:wordWrap/>
        <w:overflowPunct/>
        <w:topLinePunct w:val="0"/>
        <w:autoSpaceDE/>
        <w:autoSpaceDN/>
        <w:bidi w:val="0"/>
        <w:adjustRightInd w:val="0"/>
        <w:snapToGrid w:val="0"/>
        <w:spacing w:before="120" w:after="120" w:line="420" w:lineRule="atLeast"/>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暨南街道2025年度工程设计服务项目采购-交通(公路)设计</w:t>
      </w:r>
      <w:r>
        <w:rPr>
          <w:rFonts w:hint="eastAsia" w:ascii="仿宋" w:hAnsi="仿宋" w:eastAsia="仿宋" w:cs="仿宋"/>
          <w:b/>
          <w:color w:val="auto"/>
          <w:sz w:val="32"/>
          <w:szCs w:val="32"/>
        </w:rPr>
        <w:t>采购</w:t>
      </w:r>
    </w:p>
    <w:p w14:paraId="5CB64DA1">
      <w:pPr>
        <w:keepNext w:val="0"/>
        <w:keepLines w:val="0"/>
        <w:pageBreakBefore w:val="0"/>
        <w:widowControl w:val="0"/>
        <w:kinsoku/>
        <w:wordWrap/>
        <w:overflowPunct/>
        <w:topLinePunct w:val="0"/>
        <w:autoSpaceDE/>
        <w:autoSpaceDN/>
        <w:bidi w:val="0"/>
        <w:adjustRightInd w:val="0"/>
        <w:snapToGrid w:val="0"/>
        <w:spacing w:before="120" w:after="120" w:line="420" w:lineRule="atLeast"/>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要素</w:t>
      </w:r>
    </w:p>
    <w:p w14:paraId="74BABD97">
      <w:pPr>
        <w:pStyle w:val="25"/>
        <w:keepNext w:val="0"/>
        <w:keepLines w:val="0"/>
        <w:pageBreakBefore w:val="0"/>
        <w:widowControl/>
        <w:numPr>
          <w:ilvl w:val="0"/>
          <w:numId w:val="5"/>
        </w:numPr>
        <w:kinsoku/>
        <w:wordWrap/>
        <w:overflowPunct/>
        <w:topLinePunct w:val="0"/>
        <w:autoSpaceDE/>
        <w:autoSpaceDN/>
        <w:bidi w:val="0"/>
        <w:adjustRightInd/>
        <w:snapToGrid/>
        <w:spacing w:before="0" w:beforeLines="0" w:beforeAutospacing="0" w:after="0" w:afterLines="0" w:afterAutospacing="0" w:line="420" w:lineRule="exact"/>
        <w:textAlignment w:val="auto"/>
        <w:rPr>
          <w:rFonts w:hint="eastAsia" w:ascii="仿宋" w:hAnsi="仿宋" w:eastAsia="仿宋" w:cs="仿宋"/>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color w:val="auto"/>
          <w:sz w:val="24"/>
          <w:lang w:eastAsia="zh-CN"/>
        </w:rPr>
        <w:t>：</w:t>
      </w:r>
      <w:r>
        <w:rPr>
          <w:rFonts w:hint="eastAsia" w:ascii="仿宋" w:hAnsi="仿宋" w:eastAsia="仿宋" w:cs="仿宋"/>
          <w:color w:val="auto"/>
          <w:sz w:val="24"/>
          <w:lang w:val="en-US" w:eastAsia="zh-CN"/>
        </w:rPr>
        <w:t xml:space="preserve">暨南街道2025年度工程设计服务项目采购-交通(公路)设计  </w:t>
      </w:r>
    </w:p>
    <w:p w14:paraId="2684A59E">
      <w:pPr>
        <w:pStyle w:val="25"/>
        <w:keepNext w:val="0"/>
        <w:keepLines w:val="0"/>
        <w:pageBreakBefore w:val="0"/>
        <w:widowControl/>
        <w:kinsoku/>
        <w:wordWrap w:val="0"/>
        <w:overflowPunct/>
        <w:topLinePunct/>
        <w:autoSpaceDE/>
        <w:autoSpaceDN/>
        <w:bidi w:val="0"/>
        <w:adjustRightInd/>
        <w:snapToGrid/>
        <w:spacing w:before="0" w:beforeAutospacing="0" w:after="0" w:afterAutospacing="0" w:line="420" w:lineRule="exact"/>
        <w:textAlignment w:val="auto"/>
        <w:rPr>
          <w:rFonts w:hint="eastAsia" w:ascii="仿宋" w:hAnsi="仿宋" w:eastAsia="仿宋" w:cs="仿宋"/>
          <w:sz w:val="24"/>
          <w:szCs w:val="24"/>
          <w:lang w:eastAsia="zh-CN"/>
        </w:rPr>
      </w:pPr>
      <w:r>
        <w:rPr>
          <w:rFonts w:hint="eastAsia" w:ascii="仿宋" w:hAnsi="仿宋" w:eastAsia="仿宋" w:cs="仿宋"/>
          <w:b/>
          <w:color w:val="auto"/>
          <w:sz w:val="24"/>
        </w:rPr>
        <w:t>二、项目内容及规模：</w:t>
      </w:r>
      <w:r>
        <w:rPr>
          <w:rFonts w:hint="eastAsia" w:ascii="仿宋" w:hAnsi="仿宋" w:eastAsia="仿宋" w:cs="仿宋"/>
          <w:color w:val="auto"/>
          <w:sz w:val="24"/>
          <w:lang w:val="en-US" w:eastAsia="zh-CN"/>
        </w:rPr>
        <w:t>暨南街道2025年度工程设计服务项目采购-交通(公路)设计</w:t>
      </w:r>
      <w:r>
        <w:rPr>
          <w:rFonts w:hint="eastAsia" w:ascii="仿宋" w:hAnsi="仿宋" w:eastAsia="仿宋" w:cs="仿宋"/>
          <w:sz w:val="24"/>
          <w:szCs w:val="24"/>
          <w:highlight w:val="none"/>
        </w:rPr>
        <w:t>，</w:t>
      </w:r>
      <w:r>
        <w:rPr>
          <w:rFonts w:hint="eastAsia" w:ascii="仿宋" w:hAnsi="仿宋" w:eastAsia="仿宋" w:cs="仿宋"/>
          <w:sz w:val="24"/>
          <w:szCs w:val="24"/>
        </w:rPr>
        <w:t>采购预算金额为</w:t>
      </w:r>
      <w:r>
        <w:rPr>
          <w:rFonts w:hint="eastAsia" w:ascii="仿宋" w:hAnsi="仿宋" w:eastAsia="仿宋" w:cs="仿宋"/>
          <w:sz w:val="24"/>
          <w:szCs w:val="24"/>
          <w:highlight w:val="none"/>
        </w:rPr>
        <w:t>人民币</w:t>
      </w:r>
      <w:r>
        <w:rPr>
          <w:rFonts w:hint="eastAsia" w:ascii="仿宋" w:hAnsi="仿宋" w:eastAsia="仿宋" w:cs="宋体"/>
          <w:sz w:val="24"/>
          <w:szCs w:val="24"/>
          <w:highlight w:val="none"/>
          <w:lang w:val="en-US" w:eastAsia="zh-CN"/>
        </w:rPr>
        <w:t>叁拾万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300000</w:t>
      </w:r>
      <w:r>
        <w:rPr>
          <w:rFonts w:hint="eastAsia" w:ascii="仿宋" w:hAnsi="仿宋" w:eastAsia="仿宋" w:cs="宋体"/>
          <w:bCs/>
          <w:sz w:val="24"/>
          <w:szCs w:val="24"/>
          <w:highlight w:val="none"/>
        </w:rPr>
        <w:t>.00）</w:t>
      </w:r>
      <w:r>
        <w:rPr>
          <w:rFonts w:hint="eastAsia" w:ascii="仿宋" w:hAnsi="仿宋" w:eastAsia="仿宋" w:cs="仿宋"/>
          <w:sz w:val="24"/>
          <w:szCs w:val="24"/>
        </w:rPr>
        <w:t>。</w:t>
      </w:r>
      <w:r>
        <w:rPr>
          <w:rFonts w:hint="eastAsia" w:ascii="仿宋" w:hAnsi="仿宋" w:eastAsia="仿宋" w:cs="仿宋"/>
          <w:b w:val="0"/>
          <w:bCs/>
          <w:color w:val="000000"/>
          <w:sz w:val="24"/>
          <w:szCs w:val="24"/>
          <w:highlight w:val="none"/>
          <w:lang w:val="en-US" w:eastAsia="zh-CN" w:bidi="ar-SA"/>
        </w:rPr>
        <w:t>按折扣招标，工程量按实结算，</w:t>
      </w:r>
      <w:r>
        <w:rPr>
          <w:rFonts w:hint="eastAsia" w:ascii="仿宋" w:hAnsi="仿宋" w:eastAsia="仿宋" w:cs="仿宋"/>
          <w:b w:val="0"/>
          <w:bCs w:val="0"/>
          <w:highlight w:val="none"/>
        </w:rPr>
        <w:t>具体内容详见采购需求</w:t>
      </w:r>
      <w:r>
        <w:rPr>
          <w:rFonts w:hint="eastAsia" w:ascii="仿宋" w:hAnsi="仿宋" w:eastAsia="仿宋" w:cs="仿宋"/>
          <w:b w:val="0"/>
          <w:bCs w:val="0"/>
          <w:highlight w:val="none"/>
          <w:lang w:eastAsia="zh-CN"/>
        </w:rPr>
        <w:t>。</w:t>
      </w:r>
    </w:p>
    <w:p w14:paraId="13545B68">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szCs w:val="24"/>
          <w:highlight w:val="none"/>
          <w:lang w:val="en-US" w:eastAsia="zh-CN"/>
        </w:rPr>
        <w:t>合同履约期限：</w:t>
      </w:r>
      <w:r>
        <w:rPr>
          <w:rFonts w:hint="eastAsia" w:ascii="仿宋" w:hAnsi="仿宋" w:eastAsia="仿宋" w:cs="仿宋"/>
          <w:sz w:val="24"/>
          <w:szCs w:val="24"/>
          <w:highlight w:val="none"/>
          <w:u w:val="none"/>
          <w:lang w:val="en-US" w:eastAsia="zh-CN"/>
        </w:rPr>
        <w:t>按招标文件要求</w:t>
      </w:r>
      <w:r>
        <w:rPr>
          <w:rFonts w:hint="eastAsia" w:ascii="仿宋" w:hAnsi="仿宋" w:eastAsia="仿宋" w:cs="仿宋"/>
          <w:color w:val="auto"/>
          <w:sz w:val="24"/>
          <w:lang w:eastAsia="zh-CN"/>
        </w:rPr>
        <w:t>。</w:t>
      </w:r>
    </w:p>
    <w:p w14:paraId="4B6D0414">
      <w:pPr>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三、投标人（供应商）资格要求：</w:t>
      </w:r>
    </w:p>
    <w:p w14:paraId="269F2253">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满足《中华人民共和国政府采购法》第二十二条规定</w:t>
      </w:r>
      <w:r>
        <w:rPr>
          <w:rFonts w:hint="eastAsia" w:ascii="仿宋" w:hAnsi="仿宋" w:eastAsia="仿宋" w:cs="仿宋"/>
          <w:color w:val="auto"/>
          <w:sz w:val="24"/>
          <w:szCs w:val="24"/>
          <w:lang w:eastAsia="zh-CN"/>
        </w:rPr>
        <w:t>。</w:t>
      </w:r>
    </w:p>
    <w:p w14:paraId="14FAC155">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lang w:eastAsia="zh-CN"/>
        </w:rPr>
        <w:t>。</w:t>
      </w:r>
    </w:p>
    <w:p w14:paraId="4BCC074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落实政府采购政策需满足的资格要求：专门面向中小企业</w:t>
      </w:r>
      <w:r>
        <w:rPr>
          <w:rFonts w:hint="eastAsia" w:ascii="仿宋" w:hAnsi="仿宋" w:eastAsia="仿宋" w:cs="仿宋"/>
          <w:bCs/>
          <w:sz w:val="24"/>
          <w:szCs w:val="24"/>
          <w:lang w:eastAsia="zh-CN"/>
        </w:rPr>
        <w:t>。</w:t>
      </w:r>
    </w:p>
    <w:p w14:paraId="16C9A01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
          <w:bCs w:val="0"/>
          <w:color w:val="auto"/>
          <w:sz w:val="24"/>
          <w:szCs w:val="24"/>
          <w:lang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本项目的特定资格要求：</w:t>
      </w:r>
      <w:r>
        <w:rPr>
          <w:rFonts w:hint="eastAsia" w:ascii="仿宋" w:hAnsi="仿宋" w:eastAsia="仿宋" w:cs="仿宋"/>
          <w:b/>
          <w:bCs w:val="0"/>
          <w:color w:val="auto"/>
          <w:sz w:val="24"/>
          <w:highlight w:val="none"/>
          <w:lang w:val="en-US" w:eastAsia="zh-CN"/>
        </w:rPr>
        <w:t>供应商须</w:t>
      </w:r>
      <w:r>
        <w:rPr>
          <w:rFonts w:hint="eastAsia" w:ascii="仿宋" w:hAnsi="仿宋" w:eastAsia="仿宋" w:cs="仿宋"/>
          <w:b/>
          <w:bCs w:val="0"/>
          <w:color w:val="auto"/>
          <w:sz w:val="24"/>
          <w:highlight w:val="none"/>
        </w:rPr>
        <w:t>具备公路行业（公路）</w:t>
      </w:r>
      <w:r>
        <w:rPr>
          <w:rFonts w:hint="eastAsia" w:ascii="仿宋" w:hAnsi="仿宋" w:eastAsia="仿宋" w:cs="仿宋"/>
          <w:b/>
          <w:bCs w:val="0"/>
          <w:color w:val="auto"/>
          <w:sz w:val="24"/>
          <w:highlight w:val="none"/>
          <w:lang w:val="en-US" w:eastAsia="zh-CN"/>
        </w:rPr>
        <w:t>专业设计丙级及以上</w:t>
      </w:r>
      <w:r>
        <w:rPr>
          <w:rFonts w:hint="eastAsia" w:ascii="仿宋" w:hAnsi="仿宋" w:eastAsia="仿宋" w:cs="仿宋"/>
          <w:b/>
          <w:bCs w:val="0"/>
          <w:color w:val="auto"/>
          <w:sz w:val="24"/>
          <w:highlight w:val="none"/>
        </w:rPr>
        <w:t>资质</w:t>
      </w:r>
      <w:r>
        <w:rPr>
          <w:rFonts w:hint="eastAsia" w:ascii="仿宋" w:hAnsi="仿宋" w:eastAsia="仿宋" w:cs="仿宋"/>
          <w:b/>
          <w:bCs w:val="0"/>
          <w:color w:val="auto"/>
          <w:sz w:val="24"/>
          <w:szCs w:val="24"/>
          <w:lang w:eastAsia="zh-CN"/>
        </w:rPr>
        <w:t>。</w:t>
      </w:r>
    </w:p>
    <w:p w14:paraId="2A7AF04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w:t>
      </w:r>
      <w:r>
        <w:rPr>
          <w:rFonts w:hint="eastAsia" w:ascii="仿宋" w:hAnsi="仿宋" w:eastAsia="仿宋" w:cs="仿宋"/>
          <w:b/>
          <w:bCs/>
          <w:sz w:val="24"/>
          <w:szCs w:val="24"/>
          <w:u w:val="single"/>
        </w:rPr>
        <w:t>不</w:t>
      </w:r>
      <w:r>
        <w:rPr>
          <w:rFonts w:hint="eastAsia" w:ascii="仿宋" w:hAnsi="仿宋" w:eastAsia="仿宋" w:cs="仿宋"/>
          <w:sz w:val="24"/>
          <w:szCs w:val="24"/>
        </w:rPr>
        <w:t>接受联合体投标。</w:t>
      </w:r>
    </w:p>
    <w:p w14:paraId="6A8F2F00">
      <w:pPr>
        <w:keepNext w:val="0"/>
        <w:keepLines w:val="0"/>
        <w:pageBreakBefore w:val="0"/>
        <w:kinsoku/>
        <w:wordWrap/>
        <w:overflowPunct/>
        <w:topLinePunct w:val="0"/>
        <w:bidi w:val="0"/>
        <w:adjustRightInd w:val="0"/>
        <w:snapToGrid w:val="0"/>
        <w:spacing w:line="420" w:lineRule="exact"/>
        <w:jc w:val="left"/>
        <w:textAlignment w:val="auto"/>
        <w:rPr>
          <w:rFonts w:hint="eastAsia" w:ascii="仿宋" w:hAnsi="仿宋" w:eastAsia="仿宋" w:cs="仿宋"/>
          <w:b/>
          <w:bCs/>
          <w:color w:val="auto"/>
          <w:sz w:val="24"/>
        </w:rPr>
      </w:pPr>
      <w:r>
        <w:rPr>
          <w:rFonts w:hint="eastAsia" w:ascii="仿宋" w:hAnsi="仿宋" w:eastAsia="仿宋" w:cs="仿宋"/>
          <w:b/>
          <w:color w:val="auto"/>
          <w:sz w:val="24"/>
        </w:rPr>
        <w:t>四、评标办法：综合评分法</w:t>
      </w:r>
    </w:p>
    <w:p w14:paraId="32D9363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（1）满分为100分。总得分=商务技术得分+报价得分；</w:t>
      </w:r>
    </w:p>
    <w:p w14:paraId="0F59175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（2）商务技术得分=商务技术评分，商务技术评分=</w:t>
      </w:r>
      <w:r>
        <w:rPr>
          <w:rFonts w:hint="eastAsia" w:ascii="仿宋" w:hAnsi="仿宋" w:eastAsia="仿宋" w:cs="仿宋"/>
          <w:color w:val="auto"/>
          <w:spacing w:val="-6"/>
          <w:sz w:val="24"/>
        </w:rPr>
        <w:t>所有评委的有效评分的算术平均数</w:t>
      </w:r>
      <w:r>
        <w:rPr>
          <w:rFonts w:hint="eastAsia" w:ascii="仿宋" w:hAnsi="仿宋" w:eastAsia="仿宋" w:cs="仿宋"/>
          <w:color w:val="auto"/>
          <w:sz w:val="24"/>
        </w:rPr>
        <w:t>；</w:t>
      </w:r>
    </w:p>
    <w:p w14:paraId="60176D0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（3）报价得分=（评标基准价/</w:t>
      </w:r>
      <w:r>
        <w:rPr>
          <w:rFonts w:hint="eastAsia" w:ascii="仿宋" w:hAnsi="仿宋" w:eastAsia="仿宋" w:cs="仿宋"/>
          <w:bCs/>
          <w:color w:val="auto"/>
          <w:sz w:val="24"/>
        </w:rPr>
        <w:t>投标</w:t>
      </w:r>
      <w:r>
        <w:rPr>
          <w:rFonts w:hint="eastAsia" w:ascii="仿宋" w:hAnsi="仿宋" w:eastAsia="仿宋" w:cs="仿宋"/>
          <w:bCs/>
          <w:color w:val="auto"/>
          <w:sz w:val="24"/>
          <w:lang w:val="en-US" w:eastAsia="zh-CN"/>
        </w:rPr>
        <w:t>报价</w:t>
      </w:r>
      <w:r>
        <w:rPr>
          <w:rFonts w:hint="eastAsia" w:ascii="仿宋" w:hAnsi="仿宋" w:eastAsia="仿宋" w:cs="仿宋"/>
          <w:color w:val="auto"/>
          <w:sz w:val="24"/>
        </w:rPr>
        <w:t>）*价格权值*100，评标基准价=有效</w:t>
      </w:r>
      <w:r>
        <w:rPr>
          <w:rFonts w:hint="eastAsia" w:ascii="仿宋" w:hAnsi="仿宋" w:eastAsia="仿宋" w:cs="仿宋"/>
          <w:color w:val="auto"/>
          <w:sz w:val="24"/>
          <w:lang w:eastAsia="zh-CN"/>
        </w:rPr>
        <w:t>供应商</w:t>
      </w:r>
      <w:r>
        <w:rPr>
          <w:rFonts w:hint="eastAsia" w:ascii="仿宋" w:hAnsi="仿宋" w:eastAsia="仿宋" w:cs="仿宋"/>
          <w:color w:val="auto"/>
          <w:sz w:val="24"/>
        </w:rPr>
        <w:t>的最低投标报价，价格权值=</w:t>
      </w:r>
      <w:r>
        <w:rPr>
          <w:rFonts w:hint="eastAsia" w:ascii="仿宋" w:hAnsi="仿宋" w:eastAsia="仿宋" w:cs="仿宋"/>
          <w:color w:val="auto"/>
          <w:sz w:val="24"/>
          <w:lang w:val="en-US" w:eastAsia="zh-CN"/>
        </w:rPr>
        <w:t>2</w:t>
      </w:r>
      <w:r>
        <w:rPr>
          <w:rFonts w:hint="eastAsia" w:ascii="仿宋" w:hAnsi="仿宋" w:eastAsia="仿宋" w:cs="仿宋"/>
          <w:color w:val="auto"/>
          <w:sz w:val="24"/>
        </w:rPr>
        <w:t>0%；</w:t>
      </w:r>
    </w:p>
    <w:p w14:paraId="4B8EFC67">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bl>
      <w:tblPr>
        <w:tblStyle w:val="27"/>
        <w:tblW w:w="101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187"/>
        <w:gridCol w:w="7145"/>
        <w:gridCol w:w="1005"/>
      </w:tblGrid>
      <w:tr w14:paraId="464E4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63" w:type="dxa"/>
            <w:tcBorders>
              <w:tl2br w:val="nil"/>
              <w:tr2bl w:val="nil"/>
            </w:tcBorders>
            <w:noWrap w:val="0"/>
            <w:vAlign w:val="center"/>
          </w:tcPr>
          <w:p w14:paraId="5DF512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w:t>
            </w:r>
          </w:p>
        </w:tc>
        <w:tc>
          <w:tcPr>
            <w:tcW w:w="1187" w:type="dxa"/>
            <w:tcBorders>
              <w:tl2br w:val="nil"/>
              <w:tr2bl w:val="nil"/>
            </w:tcBorders>
            <w:noWrap w:val="0"/>
            <w:vAlign w:val="center"/>
          </w:tcPr>
          <w:p w14:paraId="6A5B4E0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项目</w:t>
            </w:r>
          </w:p>
        </w:tc>
        <w:tc>
          <w:tcPr>
            <w:tcW w:w="7145" w:type="dxa"/>
            <w:tcBorders>
              <w:tl2br w:val="nil"/>
              <w:tr2bl w:val="nil"/>
            </w:tcBorders>
            <w:noWrap w:val="0"/>
            <w:vAlign w:val="center"/>
          </w:tcPr>
          <w:p w14:paraId="45F755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评分标准</w:t>
            </w:r>
          </w:p>
        </w:tc>
        <w:tc>
          <w:tcPr>
            <w:tcW w:w="1005" w:type="dxa"/>
            <w:tcBorders>
              <w:tl2br w:val="nil"/>
              <w:tr2bl w:val="nil"/>
            </w:tcBorders>
            <w:noWrap w:val="0"/>
            <w:vAlign w:val="center"/>
          </w:tcPr>
          <w:p w14:paraId="24A21BE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分值</w:t>
            </w:r>
          </w:p>
          <w:p w14:paraId="0C3028D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范围</w:t>
            </w:r>
          </w:p>
        </w:tc>
      </w:tr>
      <w:tr w14:paraId="3C122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63" w:type="dxa"/>
            <w:tcBorders>
              <w:tl2br w:val="nil"/>
              <w:tr2bl w:val="nil"/>
            </w:tcBorders>
            <w:noWrap w:val="0"/>
            <w:vAlign w:val="center"/>
          </w:tcPr>
          <w:p w14:paraId="4A2593CB">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1</w:t>
            </w:r>
          </w:p>
        </w:tc>
        <w:tc>
          <w:tcPr>
            <w:tcW w:w="1187" w:type="dxa"/>
            <w:tcBorders>
              <w:tl2br w:val="nil"/>
              <w:tr2bl w:val="nil"/>
            </w:tcBorders>
            <w:noWrap w:val="0"/>
            <w:vAlign w:val="center"/>
          </w:tcPr>
          <w:p w14:paraId="2A358E2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企业资信</w:t>
            </w:r>
          </w:p>
        </w:tc>
        <w:tc>
          <w:tcPr>
            <w:tcW w:w="7145" w:type="dxa"/>
            <w:tcBorders>
              <w:tl2br w:val="nil"/>
              <w:tr2bl w:val="nil"/>
            </w:tcBorders>
            <w:noWrap w:val="0"/>
            <w:vAlign w:val="center"/>
          </w:tcPr>
          <w:p w14:paraId="7E3F2F3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lang w:eastAsia="zh-CN"/>
              </w:rPr>
              <w:t>供应商</w:t>
            </w:r>
            <w:r>
              <w:rPr>
                <w:rFonts w:hint="eastAsia" w:ascii="仿宋" w:hAnsi="仿宋" w:eastAsia="仿宋" w:cs="仿宋"/>
                <w:bCs/>
                <w:sz w:val="24"/>
              </w:rPr>
              <w:t>具有有效期内的质量管理体系认证证书、环境管理体系认证证书、职业健康安全管理体系认证证书的，每提供一项得</w:t>
            </w:r>
            <w:r>
              <w:rPr>
                <w:rFonts w:hint="eastAsia" w:ascii="仿宋" w:hAnsi="仿宋" w:eastAsia="仿宋" w:cs="仿宋"/>
                <w:bCs/>
                <w:sz w:val="24"/>
                <w:lang w:val="en-US" w:eastAsia="zh-CN"/>
              </w:rPr>
              <w:t>1</w:t>
            </w:r>
            <w:r>
              <w:rPr>
                <w:rFonts w:hint="eastAsia" w:ascii="仿宋" w:hAnsi="仿宋" w:eastAsia="仿宋" w:cs="仿宋"/>
                <w:bCs/>
                <w:sz w:val="24"/>
              </w:rPr>
              <w:t>分，本项最高得</w:t>
            </w:r>
            <w:r>
              <w:rPr>
                <w:rFonts w:hint="eastAsia" w:ascii="仿宋" w:hAnsi="仿宋" w:eastAsia="仿宋" w:cs="仿宋"/>
                <w:bCs/>
                <w:sz w:val="24"/>
                <w:lang w:val="en-US" w:eastAsia="zh-CN"/>
              </w:rPr>
              <w:t>3</w:t>
            </w:r>
            <w:r>
              <w:rPr>
                <w:rFonts w:hint="eastAsia" w:ascii="仿宋" w:hAnsi="仿宋" w:eastAsia="仿宋" w:cs="仿宋"/>
                <w:bCs/>
                <w:sz w:val="24"/>
              </w:rPr>
              <w:t>分。</w:t>
            </w:r>
          </w:p>
          <w:p w14:paraId="7CE5E28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lang w:val="en-US" w:eastAsia="zh-CN"/>
              </w:rPr>
              <w:t>注：需提供有效期内证书复印件并加盖供应商CA签章，</w:t>
            </w:r>
            <w:r>
              <w:rPr>
                <w:rFonts w:hint="eastAsia" w:ascii="仿宋" w:hAnsi="仿宋" w:eastAsia="仿宋" w:cs="仿宋"/>
                <w:color w:val="auto"/>
                <w:sz w:val="24"/>
                <w:szCs w:val="24"/>
              </w:rPr>
              <w:t>不提供或提供不全不得分</w:t>
            </w:r>
            <w:r>
              <w:rPr>
                <w:rFonts w:hint="eastAsia" w:ascii="仿宋" w:hAnsi="仿宋" w:eastAsia="仿宋" w:cs="仿宋"/>
                <w:bCs/>
                <w:sz w:val="24"/>
                <w:lang w:val="en-US" w:eastAsia="zh-CN"/>
              </w:rPr>
              <w:t>。</w:t>
            </w:r>
          </w:p>
        </w:tc>
        <w:tc>
          <w:tcPr>
            <w:tcW w:w="1005" w:type="dxa"/>
            <w:tcBorders>
              <w:tl2br w:val="nil"/>
              <w:tr2bl w:val="nil"/>
            </w:tcBorders>
            <w:noWrap w:val="0"/>
            <w:vAlign w:val="center"/>
          </w:tcPr>
          <w:p w14:paraId="6FB5356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0-3</w:t>
            </w:r>
            <w:r>
              <w:rPr>
                <w:rFonts w:hint="eastAsia" w:ascii="仿宋" w:hAnsi="仿宋" w:eastAsia="仿宋" w:cs="仿宋"/>
                <w:b/>
                <w:bCs w:val="0"/>
                <w:color w:val="auto"/>
                <w:sz w:val="24"/>
                <w:szCs w:val="24"/>
              </w:rPr>
              <w:t>分</w:t>
            </w:r>
          </w:p>
        </w:tc>
      </w:tr>
      <w:tr w14:paraId="1DA8C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77F2A89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2</w:t>
            </w:r>
          </w:p>
        </w:tc>
        <w:tc>
          <w:tcPr>
            <w:tcW w:w="1187" w:type="dxa"/>
            <w:tcBorders>
              <w:tl2br w:val="nil"/>
              <w:tr2bl w:val="nil"/>
            </w:tcBorders>
            <w:noWrap w:val="0"/>
            <w:vAlign w:val="center"/>
          </w:tcPr>
          <w:p w14:paraId="1F70B2F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项目经验</w:t>
            </w:r>
          </w:p>
        </w:tc>
        <w:tc>
          <w:tcPr>
            <w:tcW w:w="7145" w:type="dxa"/>
            <w:tcBorders>
              <w:tl2br w:val="nil"/>
              <w:tr2bl w:val="nil"/>
            </w:tcBorders>
            <w:noWrap w:val="0"/>
            <w:vAlign w:val="center"/>
          </w:tcPr>
          <w:p w14:paraId="69C8506A">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rPr>
              <w:t>自202</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年1月1日以来（以合同签订时间为准），具有同类项目经验的，每提供一</w:t>
            </w:r>
            <w:r>
              <w:rPr>
                <w:rFonts w:hint="eastAsia" w:ascii="仿宋" w:hAnsi="仿宋" w:eastAsia="仿宋" w:cs="仿宋"/>
                <w:bCs/>
                <w:color w:val="auto"/>
                <w:sz w:val="24"/>
                <w:lang w:val="en-US" w:eastAsia="zh-CN"/>
              </w:rPr>
              <w:t>个</w:t>
            </w:r>
            <w:r>
              <w:rPr>
                <w:rFonts w:hint="eastAsia" w:ascii="仿宋" w:hAnsi="仿宋" w:eastAsia="仿宋" w:cs="仿宋"/>
                <w:bCs/>
                <w:color w:val="auto"/>
                <w:sz w:val="24"/>
              </w:rPr>
              <w:t>得1分，</w:t>
            </w:r>
            <w:r>
              <w:rPr>
                <w:rFonts w:hint="eastAsia" w:ascii="仿宋" w:hAnsi="仿宋" w:eastAsia="仿宋" w:cs="仿宋"/>
                <w:bCs/>
                <w:sz w:val="24"/>
              </w:rPr>
              <w:t>本项</w:t>
            </w:r>
            <w:r>
              <w:rPr>
                <w:rFonts w:hint="eastAsia" w:ascii="仿宋" w:hAnsi="仿宋" w:eastAsia="仿宋" w:cs="仿宋"/>
                <w:bCs/>
                <w:color w:val="auto"/>
                <w:sz w:val="24"/>
              </w:rPr>
              <w:t>最高得2分。</w:t>
            </w:r>
          </w:p>
          <w:p w14:paraId="11EC3C33">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color w:val="auto"/>
                <w:sz w:val="24"/>
              </w:rPr>
              <w:t>注：需提供</w:t>
            </w:r>
            <w:r>
              <w:rPr>
                <w:rFonts w:hint="eastAsia" w:ascii="仿宋" w:hAnsi="仿宋" w:eastAsia="仿宋" w:cs="仿宋"/>
                <w:color w:val="auto"/>
                <w:sz w:val="24"/>
                <w:szCs w:val="24"/>
              </w:rPr>
              <w:t>合同复印件</w:t>
            </w:r>
            <w:r>
              <w:rPr>
                <w:rFonts w:hint="eastAsia" w:ascii="仿宋" w:hAnsi="仿宋" w:eastAsia="仿宋" w:cs="仿宋"/>
                <w:bCs/>
                <w:color w:val="auto"/>
                <w:sz w:val="24"/>
              </w:rPr>
              <w:t>并加盖</w:t>
            </w:r>
            <w:r>
              <w:rPr>
                <w:rFonts w:hint="eastAsia" w:ascii="仿宋" w:hAnsi="仿宋" w:eastAsia="仿宋" w:cs="仿宋"/>
                <w:bCs/>
                <w:color w:val="auto"/>
                <w:sz w:val="24"/>
                <w:lang w:eastAsia="zh-CN"/>
              </w:rPr>
              <w:t>供应商</w:t>
            </w:r>
            <w:r>
              <w:rPr>
                <w:rFonts w:hint="eastAsia" w:ascii="仿宋" w:hAnsi="仿宋" w:eastAsia="仿宋" w:cs="仿宋"/>
                <w:bCs/>
                <w:color w:val="auto"/>
                <w:sz w:val="24"/>
              </w:rPr>
              <w:t>CA签章，</w:t>
            </w:r>
            <w:r>
              <w:rPr>
                <w:rFonts w:hint="eastAsia" w:ascii="仿宋" w:hAnsi="仿宋" w:eastAsia="仿宋" w:cs="仿宋"/>
                <w:color w:val="auto"/>
                <w:sz w:val="24"/>
                <w:szCs w:val="24"/>
              </w:rPr>
              <w:t>不提供或提供不全不得分</w:t>
            </w:r>
            <w:r>
              <w:rPr>
                <w:rFonts w:hint="eastAsia" w:ascii="仿宋" w:hAnsi="仿宋" w:eastAsia="仿宋" w:cs="仿宋"/>
                <w:bCs/>
                <w:color w:val="auto"/>
                <w:sz w:val="24"/>
              </w:rPr>
              <w:t>。</w:t>
            </w:r>
          </w:p>
        </w:tc>
        <w:tc>
          <w:tcPr>
            <w:tcW w:w="1005" w:type="dxa"/>
            <w:tcBorders>
              <w:tl2br w:val="nil"/>
              <w:tr2bl w:val="nil"/>
            </w:tcBorders>
            <w:noWrap w:val="0"/>
            <w:vAlign w:val="center"/>
          </w:tcPr>
          <w:p w14:paraId="064EE9F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0-2</w:t>
            </w:r>
            <w:r>
              <w:rPr>
                <w:rFonts w:hint="eastAsia" w:ascii="仿宋" w:hAnsi="仿宋" w:eastAsia="仿宋" w:cs="仿宋"/>
                <w:b/>
                <w:bCs w:val="0"/>
                <w:color w:val="auto"/>
                <w:sz w:val="24"/>
                <w:szCs w:val="24"/>
              </w:rPr>
              <w:t>分</w:t>
            </w:r>
          </w:p>
        </w:tc>
      </w:tr>
      <w:tr w14:paraId="467C6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456594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3</w:t>
            </w:r>
          </w:p>
        </w:tc>
        <w:tc>
          <w:tcPr>
            <w:tcW w:w="1187" w:type="dxa"/>
            <w:tcBorders>
              <w:tl2br w:val="nil"/>
              <w:tr2bl w:val="nil"/>
            </w:tcBorders>
            <w:shd w:val="clear" w:color="auto" w:fill="auto"/>
            <w:noWrap w:val="0"/>
            <w:vAlign w:val="center"/>
          </w:tcPr>
          <w:p w14:paraId="28D7CDAE">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人员</w:t>
            </w:r>
            <w:r>
              <w:rPr>
                <w:rFonts w:hint="eastAsia" w:ascii="仿宋" w:hAnsi="仿宋" w:eastAsia="仿宋" w:cs="仿宋"/>
                <w:b/>
                <w:bCs/>
                <w:color w:val="auto"/>
                <w:sz w:val="24"/>
                <w:szCs w:val="24"/>
                <w:lang w:val="en-US" w:eastAsia="zh-CN"/>
              </w:rPr>
              <w:t>配置</w:t>
            </w:r>
          </w:p>
        </w:tc>
        <w:tc>
          <w:tcPr>
            <w:tcW w:w="7145" w:type="dxa"/>
            <w:tcBorders>
              <w:tl2br w:val="nil"/>
              <w:tr2bl w:val="nil"/>
            </w:tcBorders>
            <w:shd w:val="clear" w:color="auto" w:fill="auto"/>
            <w:noWrap w:val="0"/>
            <w:vAlign w:val="center"/>
          </w:tcPr>
          <w:p w14:paraId="414C1314">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 w:val="0"/>
                <w:bCs/>
                <w:color w:val="auto"/>
                <w:sz w:val="24"/>
                <w:lang w:val="en-US" w:eastAsia="en-US"/>
              </w:rPr>
            </w:pPr>
            <w:r>
              <w:rPr>
                <w:rFonts w:hint="eastAsia" w:ascii="仿宋" w:hAnsi="仿宋" w:eastAsia="仿宋" w:cs="仿宋"/>
                <w:b w:val="0"/>
                <w:bCs/>
                <w:color w:val="auto"/>
                <w:sz w:val="24"/>
                <w:lang w:val="en-US" w:eastAsia="en-US"/>
              </w:rPr>
              <w:t>（1</w:t>
            </w:r>
            <w:r>
              <w:rPr>
                <w:rFonts w:hint="eastAsia" w:ascii="仿宋" w:hAnsi="仿宋" w:eastAsia="仿宋" w:cs="仿宋"/>
                <w:b w:val="0"/>
                <w:bCs/>
                <w:color w:val="auto"/>
                <w:sz w:val="24"/>
                <w:lang w:val="en-US" w:eastAsia="zh-CN"/>
              </w:rPr>
              <w:t>）项目负责人：具有道桥相关专业高级及以上工程师职称，同时具有注册土木工程师（道路工程）或一级注册造价师证书的得4分，本项最高得4分</w:t>
            </w:r>
            <w:r>
              <w:rPr>
                <w:rFonts w:hint="eastAsia" w:ascii="仿宋" w:hAnsi="仿宋" w:eastAsia="仿宋" w:cs="仿宋"/>
                <w:b w:val="0"/>
                <w:bCs/>
                <w:color w:val="auto"/>
                <w:sz w:val="24"/>
                <w:lang w:val="en-US" w:eastAsia="en-US"/>
              </w:rPr>
              <w:t>；</w:t>
            </w:r>
          </w:p>
          <w:p w14:paraId="30B004D3">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 w:val="0"/>
                <w:bCs/>
                <w:color w:val="auto"/>
                <w:sz w:val="24"/>
                <w:lang w:val="en-US" w:eastAsia="en-US"/>
              </w:rPr>
            </w:pPr>
            <w:r>
              <w:rPr>
                <w:rFonts w:hint="eastAsia" w:ascii="仿宋" w:hAnsi="仿宋" w:eastAsia="仿宋" w:cs="仿宋"/>
                <w:b w:val="0"/>
                <w:bCs/>
                <w:color w:val="auto"/>
                <w:sz w:val="24"/>
                <w:lang w:val="en-US" w:eastAsia="en-US"/>
              </w:rPr>
              <w:t>（</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lang w:val="en-US" w:eastAsia="en-US"/>
              </w:rPr>
              <w:t>）造价负责人：同时具有工程造价高级及以上工程师职称</w:t>
            </w:r>
            <w:r>
              <w:rPr>
                <w:rFonts w:hint="eastAsia" w:ascii="仿宋" w:hAnsi="仿宋" w:eastAsia="仿宋" w:cs="仿宋"/>
                <w:b w:val="0"/>
                <w:bCs/>
                <w:color w:val="auto"/>
                <w:sz w:val="24"/>
                <w:lang w:val="en-US" w:eastAsia="zh-CN"/>
              </w:rPr>
              <w:t>和</w:t>
            </w:r>
            <w:r>
              <w:rPr>
                <w:rFonts w:hint="eastAsia" w:ascii="仿宋" w:hAnsi="仿宋" w:eastAsia="仿宋" w:cs="仿宋"/>
                <w:b w:val="0"/>
                <w:bCs/>
                <w:color w:val="auto"/>
                <w:sz w:val="24"/>
                <w:lang w:val="en-US" w:eastAsia="en-US"/>
              </w:rPr>
              <w:t>注册一级造价工程师（类别：公路工程）</w:t>
            </w:r>
            <w:r>
              <w:rPr>
                <w:rFonts w:hint="eastAsia" w:ascii="仿宋" w:hAnsi="仿宋" w:eastAsia="仿宋" w:cs="仿宋"/>
                <w:b w:val="0"/>
                <w:bCs/>
                <w:color w:val="auto"/>
                <w:sz w:val="24"/>
                <w:lang w:val="en-US" w:eastAsia="zh-CN"/>
              </w:rPr>
              <w:t>证书</w:t>
            </w:r>
            <w:r>
              <w:rPr>
                <w:rFonts w:hint="eastAsia" w:ascii="仿宋" w:hAnsi="仿宋" w:eastAsia="仿宋" w:cs="仿宋"/>
                <w:b w:val="0"/>
                <w:bCs/>
                <w:color w:val="auto"/>
                <w:sz w:val="24"/>
                <w:lang w:val="en-US" w:eastAsia="en-US"/>
              </w:rPr>
              <w:t>的得</w:t>
            </w: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lang w:val="en-US" w:eastAsia="en-US"/>
              </w:rPr>
              <w:t>分，本项最高得</w:t>
            </w: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lang w:val="en-US" w:eastAsia="en-US"/>
              </w:rPr>
              <w:t>分；</w:t>
            </w:r>
          </w:p>
          <w:p w14:paraId="27239EFA">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en-US"/>
              </w:rPr>
              <w:t>（</w:t>
            </w: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lang w:val="en-US" w:eastAsia="en-US"/>
              </w:rPr>
              <w:t>）其他团队人员：具有公路交通类（如道桥、交通）中级及以上工程师职称的，每一人得2分，本项最高得</w:t>
            </w:r>
            <w:r>
              <w:rPr>
                <w:rFonts w:hint="eastAsia" w:ascii="仿宋" w:hAnsi="仿宋" w:eastAsia="仿宋" w:cs="仿宋"/>
                <w:b w:val="0"/>
                <w:bCs/>
                <w:color w:val="auto"/>
                <w:sz w:val="24"/>
                <w:lang w:val="en-US" w:eastAsia="zh-CN"/>
              </w:rPr>
              <w:t>6</w:t>
            </w:r>
            <w:r>
              <w:rPr>
                <w:rFonts w:hint="eastAsia" w:ascii="仿宋" w:hAnsi="仿宋" w:eastAsia="仿宋" w:cs="仿宋"/>
                <w:b w:val="0"/>
                <w:bCs/>
                <w:color w:val="auto"/>
                <w:sz w:val="24"/>
                <w:lang w:val="en-US" w:eastAsia="en-US"/>
              </w:rPr>
              <w:t>分。</w:t>
            </w:r>
          </w:p>
          <w:p w14:paraId="1FC636F5">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Cs/>
                <w:color w:val="auto"/>
                <w:sz w:val="24"/>
                <w:lang w:val="en-US" w:eastAsia="en-US"/>
              </w:rPr>
            </w:pPr>
            <w:r>
              <w:rPr>
                <w:rFonts w:hint="eastAsia" w:ascii="仿宋" w:hAnsi="仿宋" w:eastAsia="仿宋" w:cs="仿宋"/>
                <w:bCs/>
                <w:color w:val="auto"/>
                <w:sz w:val="24"/>
                <w:lang w:val="en-US" w:eastAsia="en-US"/>
              </w:rPr>
              <w:t>一人拥有多个专业、多本证书不能重复得分。</w:t>
            </w:r>
          </w:p>
          <w:p w14:paraId="33745B33">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lang w:val="en-US" w:eastAsia="zh-CN"/>
              </w:rPr>
            </w:pPr>
            <w:r>
              <w:rPr>
                <w:rFonts w:hint="eastAsia" w:ascii="仿宋" w:hAnsi="仿宋" w:eastAsia="仿宋" w:cs="仿宋"/>
                <w:bCs/>
                <w:color w:val="auto"/>
                <w:sz w:val="24"/>
                <w:lang w:val="en-US" w:eastAsia="zh-CN"/>
              </w:rPr>
              <w:t>注：需</w:t>
            </w:r>
            <w:r>
              <w:rPr>
                <w:rFonts w:hint="eastAsia" w:ascii="仿宋" w:hAnsi="仿宋" w:eastAsia="仿宋" w:cs="仿宋"/>
                <w:bCs/>
                <w:color w:val="auto"/>
                <w:sz w:val="24"/>
                <w:lang w:val="en-US" w:eastAsia="en-US"/>
              </w:rPr>
              <w:t>提供</w:t>
            </w:r>
            <w:r>
              <w:rPr>
                <w:rFonts w:hint="eastAsia" w:ascii="仿宋" w:hAnsi="仿宋" w:eastAsia="仿宋" w:cs="仿宋"/>
                <w:bCs/>
                <w:sz w:val="24"/>
                <w:lang w:val="en-US" w:eastAsia="zh-CN"/>
              </w:rPr>
              <w:t>人员清单、</w:t>
            </w:r>
            <w:r>
              <w:rPr>
                <w:rFonts w:hint="eastAsia" w:ascii="仿宋" w:hAnsi="仿宋" w:eastAsia="仿宋" w:cs="仿宋"/>
                <w:bCs/>
                <w:color w:val="auto"/>
                <w:sz w:val="24"/>
                <w:lang w:val="en-US" w:eastAsia="en-US"/>
              </w:rPr>
              <w:t>相关人员证书和</w:t>
            </w: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lang w:val="en-US" w:eastAsia="en-US"/>
              </w:rPr>
              <w:t>为其缴纳的近三个月社保证明材料(社保缴纳证明以社保机构出具的社保证明为准</w:t>
            </w:r>
            <w:r>
              <w:rPr>
                <w:rFonts w:hint="eastAsia" w:ascii="仿宋" w:hAnsi="仿宋" w:eastAsia="仿宋" w:cs="仿宋"/>
                <w:bCs/>
                <w:color w:val="auto"/>
                <w:sz w:val="24"/>
                <w:lang w:val="en-US" w:eastAsia="zh-CN"/>
              </w:rPr>
              <w:t>；</w:t>
            </w:r>
            <w:r>
              <w:rPr>
                <w:rFonts w:hint="eastAsia" w:ascii="仿宋" w:hAnsi="仿宋" w:eastAsia="仿宋" w:cs="仿宋"/>
                <w:bCs/>
                <w:color w:val="auto"/>
                <w:sz w:val="24"/>
                <w:lang w:val="en-US" w:eastAsia="en-US"/>
              </w:rPr>
              <w:t>具有事业双重性质的单位人员社保情况需出具主管部门的意见，视同</w:t>
            </w: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lang w:val="en-US" w:eastAsia="en-US"/>
              </w:rPr>
              <w:t>缴纳)</w:t>
            </w:r>
            <w:r>
              <w:rPr>
                <w:rFonts w:hint="eastAsia" w:ascii="仿宋" w:hAnsi="仿宋" w:eastAsia="仿宋" w:cs="仿宋"/>
                <w:bCs/>
                <w:color w:val="auto"/>
                <w:sz w:val="24"/>
                <w:lang w:val="en-US" w:eastAsia="zh-CN"/>
              </w:rPr>
              <w:t>并加盖供应商CA签章；未按要求提供社保证明的，不视为供应商所配置人员，以上材料缺一不得分。</w:t>
            </w:r>
          </w:p>
        </w:tc>
        <w:tc>
          <w:tcPr>
            <w:tcW w:w="1005" w:type="dxa"/>
            <w:tcBorders>
              <w:tl2br w:val="nil"/>
              <w:tr2bl w:val="nil"/>
            </w:tcBorders>
            <w:shd w:val="clear" w:color="auto" w:fill="auto"/>
            <w:noWrap w:val="0"/>
            <w:vAlign w:val="center"/>
          </w:tcPr>
          <w:p w14:paraId="79E24227">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0-14</w:t>
            </w:r>
            <w:r>
              <w:rPr>
                <w:rFonts w:hint="eastAsia" w:ascii="仿宋" w:hAnsi="仿宋" w:eastAsia="仿宋" w:cs="仿宋"/>
                <w:b/>
                <w:bCs/>
                <w:color w:val="auto"/>
                <w:sz w:val="24"/>
                <w:szCs w:val="24"/>
              </w:rPr>
              <w:t>分</w:t>
            </w:r>
          </w:p>
        </w:tc>
      </w:tr>
      <w:tr w14:paraId="18A98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757C5DFC">
            <w:pPr>
              <w:autoSpaceDE/>
              <w:autoSpaceDN/>
              <w:spacing w:line="320" w:lineRule="exact"/>
              <w:ind w:firstLine="0" w:firstLineChars="0"/>
              <w:jc w:val="center"/>
              <w:rPr>
                <w:rFonts w:hint="eastAsia" w:ascii="仿宋" w:hAnsi="仿宋" w:eastAsia="仿宋" w:cs="仿宋"/>
                <w:b/>
                <w:bCs w:val="0"/>
                <w:color w:val="auto"/>
                <w:sz w:val="24"/>
                <w:szCs w:val="24"/>
                <w:lang w:val="en-US" w:eastAsia="zh-CN"/>
              </w:rPr>
            </w:pPr>
            <w:r>
              <w:rPr>
                <w:rFonts w:hint="eastAsia" w:ascii="仿宋" w:hAnsi="仿宋" w:eastAsia="仿宋" w:cs="仿宋"/>
                <w:b/>
                <w:bCs/>
                <w:kern w:val="2"/>
                <w:sz w:val="24"/>
                <w:szCs w:val="24"/>
                <w:lang w:val="en-US" w:eastAsia="zh-CN"/>
              </w:rPr>
              <w:t>4</w:t>
            </w:r>
          </w:p>
        </w:tc>
        <w:tc>
          <w:tcPr>
            <w:tcW w:w="1187" w:type="dxa"/>
            <w:tcBorders>
              <w:tl2br w:val="nil"/>
              <w:tr2bl w:val="nil"/>
            </w:tcBorders>
            <w:noWrap w:val="0"/>
            <w:vAlign w:val="center"/>
          </w:tcPr>
          <w:p w14:paraId="0F6E8CAA">
            <w:pPr>
              <w:autoSpaceDE/>
              <w:autoSpaceDN/>
              <w:spacing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kern w:val="2"/>
                <w:sz w:val="24"/>
                <w:szCs w:val="24"/>
              </w:rPr>
              <w:t>设计方案</w:t>
            </w:r>
          </w:p>
        </w:tc>
        <w:tc>
          <w:tcPr>
            <w:tcW w:w="7145" w:type="dxa"/>
            <w:tcBorders>
              <w:tl2br w:val="nil"/>
              <w:tr2bl w:val="nil"/>
            </w:tcBorders>
            <w:noWrap w:val="0"/>
            <w:vAlign w:val="center"/>
          </w:tcPr>
          <w:p w14:paraId="1067F11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rPr>
              <w:t>根据</w:t>
            </w:r>
            <w:r>
              <w:rPr>
                <w:rFonts w:hint="eastAsia" w:ascii="仿宋" w:hAnsi="仿宋" w:eastAsia="仿宋" w:cs="仿宋"/>
                <w:bCs/>
                <w:sz w:val="24"/>
                <w:lang w:eastAsia="zh-CN"/>
              </w:rPr>
              <w:t>供应商</w:t>
            </w:r>
            <w:r>
              <w:rPr>
                <w:rFonts w:hint="eastAsia" w:ascii="仿宋" w:hAnsi="仿宋" w:eastAsia="仿宋" w:cs="仿宋"/>
                <w:bCs/>
                <w:sz w:val="24"/>
              </w:rPr>
              <w:t>针对本项目实际情况并结合自身经验进行分析</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bCs/>
                <w:sz w:val="24"/>
              </w:rPr>
              <w:t>。包括以下几个方面：</w:t>
            </w:r>
          </w:p>
          <w:p w14:paraId="3A2CCEB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rPr>
              <w:t>（1）路网整体路况的分析、完成项目的后期实际使用情况分析、现状旧路调查及分析等情况的合理性进行打分，最高得</w:t>
            </w:r>
            <w:r>
              <w:rPr>
                <w:rFonts w:hint="eastAsia" w:ascii="仿宋" w:hAnsi="仿宋" w:eastAsia="仿宋" w:cs="仿宋"/>
                <w:bCs/>
                <w:sz w:val="24"/>
                <w:lang w:val="en-US" w:eastAsia="zh-CN"/>
              </w:rPr>
              <w:t>5</w:t>
            </w:r>
            <w:r>
              <w:rPr>
                <w:rFonts w:hint="eastAsia" w:ascii="仿宋" w:hAnsi="仿宋" w:eastAsia="仿宋" w:cs="仿宋"/>
                <w:bCs/>
                <w:sz w:val="24"/>
              </w:rPr>
              <w:t>分；</w:t>
            </w:r>
          </w:p>
          <w:p w14:paraId="7B3FD390">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rPr>
              <w:t>（2）总体设计思路（包括设计思路、设计原则、技术标准、一般设计方案等情况的合理性进行打分，最高得</w:t>
            </w:r>
            <w:r>
              <w:rPr>
                <w:rFonts w:hint="eastAsia" w:ascii="仿宋" w:hAnsi="仿宋" w:eastAsia="仿宋" w:cs="仿宋"/>
                <w:bCs/>
                <w:sz w:val="24"/>
                <w:lang w:val="en-US" w:eastAsia="zh-CN"/>
              </w:rPr>
              <w:t>5</w:t>
            </w:r>
            <w:r>
              <w:rPr>
                <w:rFonts w:hint="eastAsia" w:ascii="仿宋" w:hAnsi="仿宋" w:eastAsia="仿宋" w:cs="仿宋"/>
                <w:bCs/>
                <w:sz w:val="24"/>
              </w:rPr>
              <w:t>分；</w:t>
            </w:r>
          </w:p>
          <w:p w14:paraId="72C2F934">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rPr>
              <w:t>（3）对项目勘察设计的特点、关键性技术问题的认识及其对策措施等情况的合理性进行打分，最高得</w:t>
            </w:r>
            <w:r>
              <w:rPr>
                <w:rFonts w:hint="eastAsia" w:ascii="仿宋" w:hAnsi="仿宋" w:eastAsia="仿宋" w:cs="仿宋"/>
                <w:bCs/>
                <w:sz w:val="24"/>
                <w:lang w:val="en-US" w:eastAsia="zh-CN"/>
              </w:rPr>
              <w:t>5</w:t>
            </w:r>
            <w:r>
              <w:rPr>
                <w:rFonts w:hint="eastAsia" w:ascii="仿宋" w:hAnsi="仿宋" w:eastAsia="仿宋" w:cs="仿宋"/>
                <w:bCs/>
                <w:sz w:val="24"/>
              </w:rPr>
              <w:t>分；</w:t>
            </w:r>
          </w:p>
          <w:p w14:paraId="66A574F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rPr>
              <w:t>（4）</w:t>
            </w:r>
            <w:r>
              <w:rPr>
                <w:rFonts w:hint="eastAsia" w:ascii="仿宋" w:hAnsi="仿宋" w:eastAsia="仿宋" w:cs="仿宋"/>
                <w:bCs/>
                <w:sz w:val="24"/>
                <w:lang w:val="en-US" w:eastAsia="zh-CN"/>
              </w:rPr>
              <w:t>对</w:t>
            </w:r>
            <w:r>
              <w:rPr>
                <w:rFonts w:hint="eastAsia" w:ascii="仿宋" w:hAnsi="仿宋" w:eastAsia="仿宋" w:cs="仿宋"/>
                <w:bCs/>
                <w:sz w:val="24"/>
              </w:rPr>
              <w:t>现状实际情况的分析，提出的合理的</w:t>
            </w:r>
            <w:r>
              <w:rPr>
                <w:rFonts w:hint="eastAsia" w:ascii="仿宋" w:hAnsi="仿宋" w:eastAsia="仿宋" w:cs="仿宋"/>
                <w:bCs/>
                <w:sz w:val="24"/>
                <w:highlight w:val="none"/>
              </w:rPr>
              <w:t>病害处理及</w:t>
            </w:r>
            <w:r>
              <w:rPr>
                <w:rFonts w:hint="eastAsia" w:ascii="仿宋" w:hAnsi="仿宋" w:eastAsia="仿宋" w:cs="仿宋"/>
                <w:bCs/>
                <w:sz w:val="24"/>
              </w:rPr>
              <w:t>设计方案（举例说明））是否理解透彻、分析全面进行打分，最高得</w:t>
            </w:r>
            <w:r>
              <w:rPr>
                <w:rFonts w:hint="eastAsia" w:ascii="仿宋" w:hAnsi="仿宋" w:eastAsia="仿宋" w:cs="仿宋"/>
                <w:bCs/>
                <w:sz w:val="24"/>
                <w:lang w:val="en-US" w:eastAsia="zh-CN"/>
              </w:rPr>
              <w:t>5</w:t>
            </w:r>
            <w:r>
              <w:rPr>
                <w:rFonts w:hint="eastAsia" w:ascii="仿宋" w:hAnsi="仿宋" w:eastAsia="仿宋" w:cs="仿宋"/>
                <w:bCs/>
                <w:sz w:val="24"/>
              </w:rPr>
              <w:t>分。</w:t>
            </w:r>
          </w:p>
          <w:p w14:paraId="7573B98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①阐述详尽、合理，切合项目的得5分；</w:t>
            </w:r>
            <w:bookmarkStart w:id="0" w:name="_GoBack"/>
            <w:bookmarkEnd w:id="0"/>
          </w:p>
          <w:p w14:paraId="5D2E047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②阐述较为详尽、合理，较为切合项目的得3分；</w:t>
            </w:r>
          </w:p>
          <w:p w14:paraId="317A10CC">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③阐述粗略，缺陷较多、欠缺合理性，部分切合项目的得1分；</w:t>
            </w:r>
          </w:p>
          <w:p w14:paraId="4A8FEB93">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469B575C">
            <w:pPr>
              <w:autoSpaceDE/>
              <w:autoSpaceDN/>
              <w:spacing w:line="320" w:lineRule="exact"/>
              <w:ind w:firstLine="0" w:firstLineChars="0"/>
              <w:jc w:val="center"/>
              <w:rPr>
                <w:rFonts w:hint="eastAsia" w:ascii="仿宋" w:hAnsi="仿宋" w:eastAsia="仿宋" w:cs="仿宋"/>
                <w:b/>
                <w:bCs w:val="0"/>
                <w:color w:val="auto"/>
                <w:sz w:val="24"/>
                <w:szCs w:val="24"/>
                <w:lang w:val="en-US" w:eastAsia="zh-CN"/>
              </w:rPr>
            </w:pPr>
            <w:r>
              <w:rPr>
                <w:rFonts w:hint="eastAsia" w:ascii="仿宋" w:hAnsi="仿宋" w:eastAsia="仿宋" w:cs="仿宋"/>
                <w:b/>
                <w:bCs/>
                <w:kern w:val="2"/>
                <w:sz w:val="24"/>
                <w:szCs w:val="24"/>
                <w:lang w:val="en-US" w:eastAsia="zh-CN"/>
              </w:rPr>
              <w:t>0-20</w:t>
            </w:r>
            <w:r>
              <w:rPr>
                <w:rFonts w:hint="eastAsia" w:ascii="仿宋" w:hAnsi="仿宋" w:eastAsia="仿宋" w:cs="仿宋"/>
                <w:b/>
                <w:bCs/>
                <w:kern w:val="2"/>
                <w:sz w:val="24"/>
                <w:szCs w:val="24"/>
              </w:rPr>
              <w:t>分</w:t>
            </w:r>
          </w:p>
        </w:tc>
      </w:tr>
      <w:tr w14:paraId="4C001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vMerge w:val="restart"/>
            <w:tcBorders>
              <w:tl2br w:val="nil"/>
              <w:tr2bl w:val="nil"/>
            </w:tcBorders>
            <w:noWrap w:val="0"/>
            <w:vAlign w:val="center"/>
          </w:tcPr>
          <w:p w14:paraId="1B5C313A">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5</w:t>
            </w:r>
          </w:p>
        </w:tc>
        <w:tc>
          <w:tcPr>
            <w:tcW w:w="1187" w:type="dxa"/>
            <w:vMerge w:val="restart"/>
            <w:tcBorders>
              <w:tl2br w:val="nil"/>
              <w:tr2bl w:val="nil"/>
            </w:tcBorders>
            <w:noWrap w:val="0"/>
            <w:vAlign w:val="center"/>
          </w:tcPr>
          <w:p w14:paraId="16F24E1D">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技术方案</w:t>
            </w:r>
          </w:p>
        </w:tc>
        <w:tc>
          <w:tcPr>
            <w:tcW w:w="7145" w:type="dxa"/>
            <w:tcBorders>
              <w:tl2br w:val="nil"/>
              <w:tr2bl w:val="nil"/>
            </w:tcBorders>
            <w:noWrap w:val="0"/>
            <w:vAlign w:val="center"/>
          </w:tcPr>
          <w:p w14:paraId="6CFDB9F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组织机构是否健全、管理运作流程（包括内部校审制度等）</w:t>
            </w:r>
            <w:r>
              <w:rPr>
                <w:rFonts w:hint="eastAsia" w:ascii="仿宋" w:hAnsi="仿宋" w:eastAsia="仿宋" w:cs="仿宋"/>
                <w:sz w:val="24"/>
                <w:szCs w:val="24"/>
                <w:lang w:val="en-US" w:eastAsia="zh-CN"/>
              </w:rPr>
              <w:t>的合理性、科学性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6E6CA342">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①阐述详尽、合理，切合项目的得6分；</w:t>
            </w:r>
          </w:p>
          <w:p w14:paraId="4E37C1D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②阐述较为详尽、合理，较为切合项目的得4分；</w:t>
            </w:r>
          </w:p>
          <w:p w14:paraId="55131D0C">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5A0DCDE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6BC8840E">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分</w:t>
            </w:r>
          </w:p>
        </w:tc>
      </w:tr>
      <w:tr w14:paraId="30B9C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vMerge w:val="continue"/>
            <w:tcBorders>
              <w:tl2br w:val="nil"/>
              <w:tr2bl w:val="nil"/>
            </w:tcBorders>
            <w:noWrap w:val="0"/>
            <w:vAlign w:val="center"/>
          </w:tcPr>
          <w:p w14:paraId="4811592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1187" w:type="dxa"/>
            <w:vMerge w:val="continue"/>
            <w:tcBorders>
              <w:tl2br w:val="nil"/>
              <w:tr2bl w:val="nil"/>
            </w:tcBorders>
            <w:noWrap w:val="0"/>
            <w:vAlign w:val="center"/>
          </w:tcPr>
          <w:p w14:paraId="537EB8F0">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snapToGrid w:val="0"/>
                <w:color w:val="000000"/>
                <w:spacing w:val="-6"/>
                <w:kern w:val="0"/>
                <w:sz w:val="24"/>
                <w:szCs w:val="24"/>
                <w:lang w:val="en-US" w:eastAsia="en-US" w:bidi="ar-SA"/>
              </w:rPr>
            </w:pPr>
          </w:p>
        </w:tc>
        <w:tc>
          <w:tcPr>
            <w:tcW w:w="7145" w:type="dxa"/>
            <w:tcBorders>
              <w:tl2br w:val="nil"/>
              <w:tr2bl w:val="nil"/>
            </w:tcBorders>
            <w:noWrap w:val="0"/>
            <w:vAlign w:val="center"/>
          </w:tcPr>
          <w:p w14:paraId="658D7FF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提供的项目实施进度方案（包括项目进度计划及相应的进度控制措施）的合理性、可行性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789BDA6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①阐述详尽、合理，切合项目的得6分；</w:t>
            </w:r>
          </w:p>
          <w:p w14:paraId="3B84AA61">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②阐述较为详尽、合理，较为切合项目的得4分；</w:t>
            </w:r>
          </w:p>
          <w:p w14:paraId="7514E660">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7CE1112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63CA0508">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分</w:t>
            </w:r>
          </w:p>
        </w:tc>
      </w:tr>
      <w:tr w14:paraId="34EA4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vMerge w:val="continue"/>
            <w:tcBorders>
              <w:tl2br w:val="nil"/>
              <w:tr2bl w:val="nil"/>
            </w:tcBorders>
            <w:noWrap w:val="0"/>
            <w:vAlign w:val="center"/>
          </w:tcPr>
          <w:p w14:paraId="3BFE0FF3">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1187" w:type="dxa"/>
            <w:vMerge w:val="continue"/>
            <w:tcBorders>
              <w:tl2br w:val="nil"/>
              <w:tr2bl w:val="nil"/>
            </w:tcBorders>
            <w:noWrap w:val="0"/>
            <w:vAlign w:val="center"/>
          </w:tcPr>
          <w:p w14:paraId="3711E774">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snapToGrid w:val="0"/>
                <w:color w:val="000000"/>
                <w:spacing w:val="-6"/>
                <w:kern w:val="0"/>
                <w:sz w:val="24"/>
                <w:szCs w:val="24"/>
                <w:lang w:val="en-US" w:eastAsia="en-US" w:bidi="ar-SA"/>
              </w:rPr>
            </w:pPr>
          </w:p>
        </w:tc>
        <w:tc>
          <w:tcPr>
            <w:tcW w:w="7145" w:type="dxa"/>
            <w:tcBorders>
              <w:tl2br w:val="nil"/>
              <w:tr2bl w:val="nil"/>
            </w:tcBorders>
            <w:noWrap w:val="0"/>
            <w:vAlign w:val="center"/>
          </w:tcPr>
          <w:p w14:paraId="0A1498D6">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i w:val="0"/>
                <w:iCs w:val="0"/>
                <w:color w:val="auto"/>
                <w:sz w:val="24"/>
                <w:szCs w:val="24"/>
                <w:highlight w:val="none"/>
                <w:lang w:val="en-US"/>
              </w:rPr>
              <w:t>根据</w:t>
            </w:r>
            <w:r>
              <w:rPr>
                <w:rFonts w:hint="eastAsia" w:ascii="仿宋" w:hAnsi="仿宋" w:eastAsia="仿宋" w:cs="仿宋"/>
                <w:sz w:val="24"/>
                <w:szCs w:val="24"/>
                <w:lang w:eastAsia="zh-CN"/>
              </w:rPr>
              <w:t>供应商</w:t>
            </w:r>
            <w:r>
              <w:rPr>
                <w:rFonts w:hint="eastAsia" w:ascii="仿宋" w:hAnsi="仿宋" w:eastAsia="仿宋" w:cs="仿宋"/>
                <w:i w:val="0"/>
                <w:iCs w:val="0"/>
                <w:color w:val="auto"/>
                <w:sz w:val="24"/>
                <w:szCs w:val="24"/>
                <w:highlight w:val="none"/>
                <w:lang w:val="en-US"/>
              </w:rPr>
              <w:t>提供的针对本项目的质量保证方案（包括质量目标、质量承诺及相应的质量保障措施</w:t>
            </w:r>
            <w:r>
              <w:rPr>
                <w:rFonts w:hint="eastAsia" w:ascii="仿宋" w:hAnsi="仿宋" w:eastAsia="仿宋" w:cs="仿宋"/>
                <w:i w:val="0"/>
                <w:iCs w:val="0"/>
                <w:color w:val="auto"/>
                <w:sz w:val="24"/>
                <w:szCs w:val="24"/>
                <w:highlight w:val="none"/>
                <w:lang w:val="en-US" w:eastAsia="zh-CN"/>
              </w:rPr>
              <w:t>的完整性</w:t>
            </w:r>
            <w:r>
              <w:rPr>
                <w:rFonts w:hint="eastAsia" w:ascii="仿宋" w:hAnsi="仿宋" w:eastAsia="仿宋" w:cs="仿宋"/>
                <w:i w:val="0"/>
                <w:iCs w:val="0"/>
                <w:color w:val="auto"/>
                <w:sz w:val="24"/>
                <w:szCs w:val="24"/>
                <w:highlight w:val="none"/>
                <w:lang w:val="en-US"/>
              </w:rPr>
              <w:t>、合理性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41EADBC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①阐述详尽、合理，切合项目的得6分；</w:t>
            </w:r>
          </w:p>
          <w:p w14:paraId="719938A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②阐述较为详尽、合理，较为切合项目的得4分；</w:t>
            </w:r>
          </w:p>
          <w:p w14:paraId="5DCF44D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755AD89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0AE06D6C">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分</w:t>
            </w:r>
          </w:p>
        </w:tc>
      </w:tr>
      <w:tr w14:paraId="2CBB5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vMerge w:val="continue"/>
            <w:tcBorders>
              <w:tl2br w:val="nil"/>
              <w:tr2bl w:val="nil"/>
            </w:tcBorders>
            <w:noWrap w:val="0"/>
            <w:vAlign w:val="center"/>
          </w:tcPr>
          <w:p w14:paraId="2F46E8BB">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1187" w:type="dxa"/>
            <w:vMerge w:val="continue"/>
            <w:tcBorders>
              <w:tl2br w:val="nil"/>
              <w:tr2bl w:val="nil"/>
            </w:tcBorders>
            <w:noWrap w:val="0"/>
            <w:vAlign w:val="center"/>
          </w:tcPr>
          <w:p w14:paraId="714220E1">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color w:val="auto"/>
                <w:sz w:val="24"/>
                <w:szCs w:val="24"/>
                <w:lang w:val="en-US" w:eastAsia="zh-CN"/>
              </w:rPr>
            </w:pPr>
          </w:p>
        </w:tc>
        <w:tc>
          <w:tcPr>
            <w:tcW w:w="7145" w:type="dxa"/>
            <w:tcBorders>
              <w:tl2br w:val="nil"/>
              <w:tr2bl w:val="nil"/>
            </w:tcBorders>
            <w:noWrap w:val="0"/>
            <w:vAlign w:val="center"/>
          </w:tcPr>
          <w:p w14:paraId="53A9A5E6">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i w:val="0"/>
                <w:iCs w:val="0"/>
                <w:color w:val="auto"/>
                <w:sz w:val="24"/>
                <w:szCs w:val="24"/>
                <w:highlight w:val="none"/>
              </w:rPr>
              <w:t>根据</w:t>
            </w:r>
            <w:r>
              <w:rPr>
                <w:rFonts w:hint="eastAsia" w:ascii="仿宋" w:hAnsi="仿宋" w:eastAsia="仿宋" w:cs="仿宋"/>
                <w:sz w:val="24"/>
                <w:szCs w:val="24"/>
                <w:lang w:eastAsia="zh-CN"/>
              </w:rPr>
              <w:t>供应商</w:t>
            </w:r>
            <w:r>
              <w:rPr>
                <w:rFonts w:hint="eastAsia" w:ascii="仿宋" w:hAnsi="仿宋" w:eastAsia="仿宋" w:cs="仿宋"/>
                <w:i w:val="0"/>
                <w:iCs w:val="0"/>
                <w:color w:val="auto"/>
                <w:sz w:val="24"/>
                <w:szCs w:val="24"/>
                <w:highlight w:val="none"/>
              </w:rPr>
              <w:t>提供的针对本项目的前期对接、设计过程及项目实施中与各方沟通协调的措施的合理性、可行性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2CC8E952">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①阐述详尽、合理，切合项目的得6分；</w:t>
            </w:r>
          </w:p>
          <w:p w14:paraId="459B7EF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②阐述较为详尽、合理，较为切合项目的得4分；</w:t>
            </w:r>
          </w:p>
          <w:p w14:paraId="6374387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196E3B9C">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0A6961FB">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分</w:t>
            </w:r>
          </w:p>
        </w:tc>
      </w:tr>
      <w:tr w14:paraId="1B8D9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763" w:type="dxa"/>
            <w:tcBorders>
              <w:tl2br w:val="nil"/>
              <w:tr2bl w:val="nil"/>
            </w:tcBorders>
            <w:noWrap w:val="0"/>
            <w:vAlign w:val="center"/>
          </w:tcPr>
          <w:p w14:paraId="12A43A7E">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6</w:t>
            </w:r>
          </w:p>
        </w:tc>
        <w:tc>
          <w:tcPr>
            <w:tcW w:w="1187" w:type="dxa"/>
            <w:tcBorders>
              <w:tl2br w:val="nil"/>
              <w:tr2bl w:val="nil"/>
            </w:tcBorders>
            <w:noWrap w:val="0"/>
            <w:vAlign w:val="center"/>
          </w:tcPr>
          <w:p w14:paraId="7846FC74">
            <w:pPr>
              <w:keepNext w:val="0"/>
              <w:keepLines w:val="0"/>
              <w:pageBreakBefore w:val="0"/>
              <w:kinsoku w:val="0"/>
              <w:wordWrap/>
              <w:overflowPunct/>
              <w:topLinePunct w:val="0"/>
              <w:autoSpaceDE w:val="0"/>
              <w:autoSpaceDN w:val="0"/>
              <w:bidi w:val="0"/>
              <w:adjustRightInd w:val="0"/>
              <w:snapToGrid w:val="0"/>
              <w:spacing w:line="288" w:lineRule="auto"/>
              <w:ind w:left="0" w:leftChars="0" w:right="0" w:rightChars="0" w:firstLine="0" w:firstLineChars="0"/>
              <w:jc w:val="center"/>
              <w:textAlignment w:val="baseline"/>
              <w:rPr>
                <w:rFonts w:hint="eastAsia" w:ascii="仿宋" w:hAnsi="仿宋" w:eastAsia="仿宋" w:cs="仿宋"/>
                <w:b/>
                <w:bCs/>
                <w:color w:val="auto"/>
                <w:sz w:val="24"/>
                <w:szCs w:val="24"/>
                <w:lang w:val="en-US" w:eastAsia="zh-CN"/>
              </w:rPr>
            </w:pPr>
            <w:r>
              <w:rPr>
                <w:rFonts w:ascii="仿宋" w:hAnsi="仿宋" w:eastAsia="仿宋" w:cs="仿宋"/>
                <w:b/>
                <w:bCs/>
                <w:snapToGrid w:val="0"/>
                <w:color w:val="000000"/>
                <w:spacing w:val="-7"/>
                <w:kern w:val="0"/>
                <w:sz w:val="24"/>
                <w:szCs w:val="24"/>
                <w:lang w:val="en-US" w:eastAsia="en-US" w:bidi="ar-SA"/>
              </w:rPr>
              <w:t>造价</w:t>
            </w:r>
            <w:r>
              <w:rPr>
                <w:rFonts w:hint="eastAsia" w:ascii="仿宋" w:hAnsi="仿宋" w:eastAsia="仿宋" w:cs="仿宋"/>
                <w:b/>
                <w:bCs/>
                <w:snapToGrid w:val="0"/>
                <w:color w:val="000000"/>
                <w:spacing w:val="-7"/>
                <w:kern w:val="0"/>
                <w:sz w:val="24"/>
                <w:szCs w:val="24"/>
                <w:lang w:val="en-US" w:eastAsia="zh-CN" w:bidi="ar-SA"/>
              </w:rPr>
              <w:t>控制</w:t>
            </w:r>
            <w:r>
              <w:rPr>
                <w:rFonts w:ascii="仿宋" w:hAnsi="仿宋" w:eastAsia="仿宋" w:cs="仿宋"/>
                <w:b/>
                <w:bCs/>
                <w:snapToGrid w:val="0"/>
                <w:color w:val="000000"/>
                <w:spacing w:val="-11"/>
                <w:kern w:val="0"/>
                <w:sz w:val="24"/>
                <w:szCs w:val="24"/>
                <w:lang w:val="en-US" w:eastAsia="en-US" w:bidi="ar-SA"/>
              </w:rPr>
              <w:t>措施</w:t>
            </w:r>
          </w:p>
        </w:tc>
        <w:tc>
          <w:tcPr>
            <w:tcW w:w="7145" w:type="dxa"/>
            <w:tcBorders>
              <w:tl2br w:val="nil"/>
              <w:tr2bl w:val="nil"/>
            </w:tcBorders>
            <w:noWrap w:val="0"/>
            <w:vAlign w:val="top"/>
          </w:tcPr>
          <w:p w14:paraId="7369B390">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i w:val="0"/>
                <w:iCs w:val="0"/>
                <w:color w:val="auto"/>
                <w:sz w:val="24"/>
                <w:szCs w:val="24"/>
                <w:highlight w:val="none"/>
              </w:rPr>
              <w:t>提供的针对</w:t>
            </w:r>
            <w:r>
              <w:rPr>
                <w:rFonts w:hint="eastAsia" w:ascii="仿宋" w:hAnsi="仿宋" w:eastAsia="仿宋" w:cs="仿宋"/>
                <w:sz w:val="24"/>
                <w:szCs w:val="24"/>
              </w:rPr>
              <w:t>采购单位政府性投资项目对工程设计阶段控制造价措施</w:t>
            </w:r>
            <w:r>
              <w:rPr>
                <w:rFonts w:hint="eastAsia" w:ascii="仿宋" w:hAnsi="仿宋" w:eastAsia="仿宋" w:cs="仿宋"/>
                <w:i w:val="0"/>
                <w:iCs w:val="0"/>
                <w:color w:val="auto"/>
                <w:sz w:val="24"/>
                <w:szCs w:val="24"/>
                <w:highlight w:val="none"/>
              </w:rPr>
              <w:t>情况的合理性、可行性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26082D7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①阐述详尽、合理，切合项目的得7分；</w:t>
            </w:r>
          </w:p>
          <w:p w14:paraId="5A4B13E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②阐述较为详尽、合理，较为切合项目的得4分；</w:t>
            </w:r>
          </w:p>
          <w:p w14:paraId="515291F4">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29288A79">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28965029">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0-7</w:t>
            </w:r>
            <w:r>
              <w:rPr>
                <w:rFonts w:hint="eastAsia" w:ascii="仿宋" w:hAnsi="仿宋" w:eastAsia="仿宋" w:cs="仿宋"/>
                <w:b/>
                <w:bCs/>
                <w:color w:val="auto"/>
                <w:sz w:val="24"/>
                <w:szCs w:val="24"/>
              </w:rPr>
              <w:t>分</w:t>
            </w:r>
          </w:p>
        </w:tc>
      </w:tr>
      <w:tr w14:paraId="0F139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tcBorders>
              <w:tl2br w:val="nil"/>
              <w:tr2bl w:val="nil"/>
            </w:tcBorders>
            <w:noWrap w:val="0"/>
            <w:vAlign w:val="center"/>
          </w:tcPr>
          <w:p w14:paraId="2880ECAA">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7</w:t>
            </w:r>
          </w:p>
        </w:tc>
        <w:tc>
          <w:tcPr>
            <w:tcW w:w="1187" w:type="dxa"/>
            <w:tcBorders>
              <w:tl2br w:val="nil"/>
              <w:tr2bl w:val="nil"/>
            </w:tcBorders>
            <w:noWrap w:val="0"/>
            <w:vAlign w:val="center"/>
          </w:tcPr>
          <w:p w14:paraId="4F376BF8">
            <w:pPr>
              <w:spacing w:line="24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rPr>
              <w:t>应急预案</w:t>
            </w:r>
          </w:p>
        </w:tc>
        <w:tc>
          <w:tcPr>
            <w:tcW w:w="7145" w:type="dxa"/>
            <w:tcBorders>
              <w:tl2br w:val="nil"/>
              <w:tr2bl w:val="nil"/>
            </w:tcBorders>
            <w:noWrap w:val="0"/>
            <w:vAlign w:val="center"/>
          </w:tcPr>
          <w:p w14:paraId="5D346E2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针对</w:t>
            </w:r>
            <w:r>
              <w:rPr>
                <w:rFonts w:hint="eastAsia" w:ascii="仿宋" w:hAnsi="仿宋" w:eastAsia="仿宋" w:cs="仿宋"/>
                <w:i w:val="0"/>
                <w:iCs w:val="0"/>
                <w:color w:val="auto"/>
                <w:sz w:val="24"/>
                <w:szCs w:val="24"/>
                <w:highlight w:val="none"/>
                <w:lang w:val="en-US" w:eastAsia="en-US"/>
              </w:rPr>
              <w:t>本项目编制的应急服务方案，包括但不限于项目实施过程中可能出现的应急情况的判断与分析、应急处理措施等内容的合理及完整程度等是否科学可行</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4868ED8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①有效避免风险或者能够及时有效处理风险的得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3914605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②有提出一定的风险说明，制定的措施存在欠缺但基本合理明确，具有一定可行性的得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5534A39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③有提出风险说明，但措施等内容阐述粗略、欠缺合理性，可行性较弱的得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23941532">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④未提供相关内容阐述或不符合项目的不得分。</w:t>
            </w:r>
          </w:p>
        </w:tc>
        <w:tc>
          <w:tcPr>
            <w:tcW w:w="1005" w:type="dxa"/>
            <w:tcBorders>
              <w:tl2br w:val="nil"/>
              <w:tr2bl w:val="nil"/>
            </w:tcBorders>
            <w:noWrap w:val="0"/>
            <w:vAlign w:val="center"/>
          </w:tcPr>
          <w:p w14:paraId="2A8F4BE0">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分</w:t>
            </w:r>
          </w:p>
        </w:tc>
      </w:tr>
      <w:tr w14:paraId="67EFC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tcBorders>
              <w:tl2br w:val="nil"/>
              <w:tr2bl w:val="nil"/>
            </w:tcBorders>
            <w:noWrap w:val="0"/>
            <w:vAlign w:val="center"/>
          </w:tcPr>
          <w:p w14:paraId="19AEDBD1">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w:t>
            </w:r>
          </w:p>
        </w:tc>
        <w:tc>
          <w:tcPr>
            <w:tcW w:w="1187" w:type="dxa"/>
            <w:tcBorders>
              <w:tl2br w:val="nil"/>
              <w:tr2bl w:val="nil"/>
            </w:tcBorders>
            <w:noWrap w:val="0"/>
            <w:vAlign w:val="center"/>
          </w:tcPr>
          <w:p w14:paraId="24DFA6C5">
            <w:pPr>
              <w:keepNext w:val="0"/>
              <w:keepLines w:val="0"/>
              <w:pageBreakBefore w:val="0"/>
              <w:widowControl/>
              <w:kinsoku/>
              <w:wordWrap/>
              <w:overflowPunct/>
              <w:topLinePunct w:val="0"/>
              <w:bidi w:val="0"/>
              <w:snapToGrid/>
              <w:spacing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廉洁服务</w:t>
            </w:r>
          </w:p>
          <w:p w14:paraId="3B5CBFC5">
            <w:pPr>
              <w:keepNext w:val="0"/>
              <w:keepLines w:val="0"/>
              <w:pageBreakBefore w:val="0"/>
              <w:widowControl/>
              <w:kinsoku/>
              <w:wordWrap/>
              <w:overflowPunct/>
              <w:topLinePunct w:val="0"/>
              <w:bidi w:val="0"/>
              <w:snapToGrid/>
              <w:spacing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措施</w:t>
            </w:r>
          </w:p>
        </w:tc>
        <w:tc>
          <w:tcPr>
            <w:tcW w:w="7145" w:type="dxa"/>
            <w:tcBorders>
              <w:tl2br w:val="nil"/>
              <w:tr2bl w:val="nil"/>
            </w:tcBorders>
            <w:noWrap w:val="0"/>
            <w:vAlign w:val="center"/>
          </w:tcPr>
          <w:p w14:paraId="28D85AA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针对本项目从业人员廉洁方面的控制及采取的措施</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3CC0F8C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①内容阐述详细，措施合理明确，可行性强的得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1C052DC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②内容阐述较为详细，措施较为合理，具有一定可行性的得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45A1893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③内容阐述较为粗略，措施欠缺合理性，可行性较弱的得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18EF282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④未提供相关内容阐述或不符合项目的不得分。</w:t>
            </w:r>
          </w:p>
        </w:tc>
        <w:tc>
          <w:tcPr>
            <w:tcW w:w="1005" w:type="dxa"/>
            <w:tcBorders>
              <w:tl2br w:val="nil"/>
              <w:tr2bl w:val="nil"/>
            </w:tcBorders>
            <w:noWrap w:val="0"/>
            <w:vAlign w:val="center"/>
          </w:tcPr>
          <w:p w14:paraId="1470D8ED">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0-3</w:t>
            </w:r>
            <w:r>
              <w:rPr>
                <w:rFonts w:hint="eastAsia" w:ascii="仿宋" w:hAnsi="仿宋" w:eastAsia="仿宋" w:cs="仿宋"/>
                <w:b/>
                <w:bCs/>
                <w:color w:val="auto"/>
                <w:sz w:val="24"/>
                <w:szCs w:val="24"/>
              </w:rPr>
              <w:t>分</w:t>
            </w:r>
          </w:p>
        </w:tc>
      </w:tr>
      <w:tr w14:paraId="4E3FE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tcBorders>
              <w:tl2br w:val="nil"/>
              <w:tr2bl w:val="nil"/>
            </w:tcBorders>
            <w:noWrap w:val="0"/>
            <w:vAlign w:val="center"/>
          </w:tcPr>
          <w:p w14:paraId="6E093EE8">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default"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9</w:t>
            </w:r>
          </w:p>
        </w:tc>
        <w:tc>
          <w:tcPr>
            <w:tcW w:w="1187" w:type="dxa"/>
            <w:tcBorders>
              <w:tl2br w:val="nil"/>
              <w:tr2bl w:val="nil"/>
            </w:tcBorders>
            <w:noWrap w:val="0"/>
            <w:vAlign w:val="center"/>
          </w:tcPr>
          <w:p w14:paraId="709794A4">
            <w:pPr>
              <w:widowControl/>
              <w:spacing w:line="240" w:lineRule="auto"/>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售后服务方案</w:t>
            </w:r>
          </w:p>
        </w:tc>
        <w:tc>
          <w:tcPr>
            <w:tcW w:w="7145" w:type="dxa"/>
            <w:tcBorders>
              <w:tl2br w:val="nil"/>
              <w:tr2bl w:val="nil"/>
            </w:tcBorders>
            <w:noWrap w:val="0"/>
            <w:vAlign w:val="center"/>
          </w:tcPr>
          <w:p w14:paraId="60BBF911">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针对本项目</w:t>
            </w:r>
            <w:r>
              <w:rPr>
                <w:rFonts w:hint="eastAsia" w:ascii="仿宋" w:hAnsi="仿宋" w:eastAsia="仿宋" w:cs="仿宋"/>
                <w:i w:val="0"/>
                <w:iCs w:val="0"/>
                <w:color w:val="auto"/>
                <w:sz w:val="24"/>
                <w:szCs w:val="24"/>
                <w:highlight w:val="none"/>
              </w:rPr>
              <w:t>拟投入人员制定</w:t>
            </w:r>
            <w:r>
              <w:rPr>
                <w:rFonts w:hint="eastAsia" w:ascii="仿宋" w:hAnsi="仿宋" w:eastAsia="仿宋" w:cs="仿宋"/>
                <w:i w:val="0"/>
                <w:iCs w:val="0"/>
                <w:color w:val="auto"/>
                <w:sz w:val="24"/>
                <w:szCs w:val="24"/>
                <w:highlight w:val="none"/>
                <w:lang w:val="en-US" w:eastAsia="zh-CN"/>
              </w:rPr>
              <w:t>的</w:t>
            </w:r>
            <w:r>
              <w:rPr>
                <w:rFonts w:hint="eastAsia" w:ascii="仿宋" w:hAnsi="仿宋" w:eastAsia="仿宋" w:cs="仿宋"/>
                <w:i w:val="0"/>
                <w:iCs w:val="0"/>
                <w:color w:val="auto"/>
                <w:sz w:val="24"/>
                <w:szCs w:val="24"/>
                <w:highlight w:val="none"/>
              </w:rPr>
              <w:t>服务工作计划，确保技术人员到位的保障措施</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承诺的其他增值服务的</w:t>
            </w:r>
            <w:r>
              <w:rPr>
                <w:rFonts w:hint="eastAsia" w:ascii="仿宋" w:hAnsi="仿宋" w:eastAsia="仿宋" w:cs="仿宋"/>
                <w:i w:val="0"/>
                <w:iCs w:val="0"/>
                <w:color w:val="auto"/>
                <w:sz w:val="24"/>
                <w:szCs w:val="24"/>
                <w:highlight w:val="none"/>
              </w:rPr>
              <w:t>详细</w:t>
            </w:r>
            <w:r>
              <w:rPr>
                <w:rFonts w:hint="eastAsia" w:ascii="仿宋" w:hAnsi="仿宋" w:eastAsia="仿宋" w:cs="仿宋"/>
                <w:i w:val="0"/>
                <w:iCs w:val="0"/>
                <w:color w:val="auto"/>
                <w:sz w:val="24"/>
                <w:szCs w:val="24"/>
                <w:highlight w:val="none"/>
                <w:lang w:val="en-US" w:eastAsia="zh-CN"/>
              </w:rPr>
              <w:t>性、完整性</w:t>
            </w:r>
            <w:r>
              <w:rPr>
                <w:rFonts w:hint="eastAsia" w:ascii="仿宋" w:hAnsi="仿宋" w:eastAsia="仿宋" w:cs="仿宋"/>
                <w:i w:val="0"/>
                <w:iCs w:val="0"/>
                <w:color w:val="auto"/>
                <w:sz w:val="24"/>
                <w:szCs w:val="24"/>
                <w:highlight w:val="none"/>
              </w:rPr>
              <w:t>、可行</w:t>
            </w:r>
            <w:r>
              <w:rPr>
                <w:rFonts w:hint="eastAsia" w:ascii="仿宋" w:hAnsi="仿宋" w:eastAsia="仿宋" w:cs="仿宋"/>
                <w:i w:val="0"/>
                <w:iCs w:val="0"/>
                <w:color w:val="auto"/>
                <w:sz w:val="24"/>
                <w:szCs w:val="24"/>
                <w:highlight w:val="none"/>
                <w:lang w:val="en-US"/>
              </w:rPr>
              <w:t>性</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0F6192B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①售后服务方案内容科学、完整、详细、全面、可行性高的得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5DDC9A5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②售后服务方案方案内容比较科学完整、详细、全面的得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7B841AB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③售后服务方案方案内容完整、详细、但不够全面的得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6A153B66">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④未提供相关内容或不符合项目的不得分</w:t>
            </w:r>
            <w:r>
              <w:rPr>
                <w:rFonts w:hint="eastAsia" w:ascii="仿宋" w:hAnsi="仿宋" w:eastAsia="仿宋" w:cs="仿宋"/>
                <w:sz w:val="24"/>
                <w:szCs w:val="24"/>
                <w:lang w:eastAsia="zh-CN"/>
              </w:rPr>
              <w:t>。</w:t>
            </w:r>
          </w:p>
        </w:tc>
        <w:tc>
          <w:tcPr>
            <w:tcW w:w="1005" w:type="dxa"/>
            <w:tcBorders>
              <w:tl2br w:val="nil"/>
              <w:tr2bl w:val="nil"/>
            </w:tcBorders>
            <w:noWrap w:val="0"/>
            <w:vAlign w:val="center"/>
          </w:tcPr>
          <w:p w14:paraId="4C631852">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0-3</w:t>
            </w:r>
            <w:r>
              <w:rPr>
                <w:rFonts w:hint="eastAsia" w:ascii="仿宋" w:hAnsi="仿宋" w:eastAsia="仿宋" w:cs="仿宋"/>
                <w:b/>
                <w:bCs/>
                <w:color w:val="auto"/>
                <w:sz w:val="24"/>
                <w:szCs w:val="24"/>
              </w:rPr>
              <w:t>分</w:t>
            </w:r>
          </w:p>
        </w:tc>
      </w:tr>
    </w:tbl>
    <w:p w14:paraId="53A78CA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Cs/>
          <w:color w:val="auto"/>
          <w:sz w:val="24"/>
        </w:rPr>
      </w:pPr>
      <w:r>
        <w:rPr>
          <w:rFonts w:hint="eastAsia" w:ascii="仿宋" w:hAnsi="仿宋" w:eastAsia="仿宋" w:cs="宋体"/>
          <w:b/>
          <w:bCs w:val="0"/>
          <w:sz w:val="24"/>
          <w:szCs w:val="24"/>
          <w:lang w:eastAsia="zh-CN"/>
        </w:rPr>
        <w:t>（</w:t>
      </w:r>
      <w:r>
        <w:rPr>
          <w:rFonts w:hint="eastAsia" w:ascii="仿宋" w:hAnsi="仿宋" w:eastAsia="仿宋" w:cs="宋体"/>
          <w:b/>
          <w:bCs w:val="0"/>
          <w:sz w:val="24"/>
          <w:szCs w:val="24"/>
          <w:lang w:val="en-US" w:eastAsia="zh-CN"/>
        </w:rPr>
        <w:t>5</w:t>
      </w:r>
      <w:r>
        <w:rPr>
          <w:rFonts w:hint="eastAsia" w:ascii="仿宋" w:hAnsi="仿宋" w:eastAsia="仿宋" w:cs="宋体"/>
          <w:b/>
          <w:bCs w:val="0"/>
          <w:sz w:val="24"/>
          <w:szCs w:val="24"/>
          <w:lang w:eastAsia="zh-CN"/>
        </w:rPr>
        <w:t>）</w:t>
      </w:r>
      <w:r>
        <w:rPr>
          <w:rFonts w:hint="eastAsia" w:ascii="仿宋" w:hAnsi="仿宋" w:eastAsia="仿宋" w:cs="宋体"/>
          <w:b/>
          <w:bCs w:val="0"/>
          <w:color w:val="auto"/>
          <w:sz w:val="24"/>
          <w:szCs w:val="24"/>
          <w:highlight w:val="none"/>
          <w:lang w:eastAsia="zh-CN"/>
        </w:rPr>
        <w:t>通过资格评审和符合性评审的供应商全部入围进行报价评审</w:t>
      </w:r>
      <w:r>
        <w:rPr>
          <w:rFonts w:hint="eastAsia" w:ascii="仿宋" w:hAnsi="仿宋" w:eastAsia="仿宋" w:cs="宋体"/>
          <w:b/>
          <w:bCs w:val="0"/>
          <w:sz w:val="24"/>
          <w:szCs w:val="24"/>
        </w:rPr>
        <w:t>。</w:t>
      </w:r>
    </w:p>
    <w:p w14:paraId="0DDC7B08">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rPr>
        <w:t>注：</w:t>
      </w:r>
      <w:r>
        <w:rPr>
          <w:rFonts w:hint="eastAsia" w:ascii="仿宋" w:hAnsi="仿宋" w:eastAsia="仿宋" w:cs="仿宋"/>
          <w:color w:val="auto"/>
          <w:sz w:val="24"/>
          <w:lang w:eastAsia="zh-CN"/>
        </w:rPr>
        <w:t>供应商</w:t>
      </w:r>
      <w:r>
        <w:rPr>
          <w:rFonts w:hint="eastAsia" w:ascii="仿宋" w:hAnsi="仿宋" w:eastAsia="仿宋" w:cs="仿宋"/>
          <w:color w:val="auto"/>
          <w:sz w:val="24"/>
        </w:rPr>
        <w:t>编制投标文件（商务技术文件部分）时，建议按此目录（序号和内容）提供评标标准相应的商务技术资料。</w:t>
      </w:r>
    </w:p>
    <w:p w14:paraId="07713D54">
      <w:pPr>
        <w:keepNext w:val="0"/>
        <w:keepLines w:val="0"/>
        <w:pageBreakBefore w:val="0"/>
        <w:widowControl w:val="0"/>
        <w:numPr>
          <w:ilvl w:val="0"/>
          <w:numId w:val="0"/>
        </w:numPr>
        <w:kinsoku/>
        <w:wordWrap/>
        <w:overflowPunct/>
        <w:topLinePunct w:val="0"/>
        <w:autoSpaceDE/>
        <w:autoSpaceDN/>
        <w:bidi w:val="0"/>
        <w:spacing w:line="420" w:lineRule="exact"/>
        <w:ind w:left="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五、采购需求</w:t>
      </w:r>
    </w:p>
    <w:p w14:paraId="7A99396F">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一</w:t>
      </w:r>
      <w:r>
        <w:rPr>
          <w:rFonts w:hint="eastAsia" w:ascii="仿宋" w:hAnsi="仿宋" w:eastAsia="仿宋"/>
          <w:b/>
          <w:bCs/>
          <w:sz w:val="24"/>
          <w:szCs w:val="24"/>
          <w:u w:val="none"/>
          <w:lang w:eastAsia="zh-CN"/>
        </w:rPr>
        <w:t>）</w:t>
      </w:r>
      <w:r>
        <w:rPr>
          <w:rFonts w:hint="eastAsia" w:ascii="仿宋" w:hAnsi="仿宋" w:eastAsia="仿宋"/>
          <w:b/>
          <w:bCs/>
          <w:sz w:val="24"/>
          <w:szCs w:val="24"/>
          <w:u w:val="none"/>
        </w:rPr>
        <w:t>项目概况</w:t>
      </w:r>
    </w:p>
    <w:p w14:paraId="5B2541A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1</w:t>
      </w:r>
      <w:r>
        <w:rPr>
          <w:rFonts w:hint="eastAsia" w:ascii="仿宋" w:hAnsi="仿宋" w:eastAsia="仿宋"/>
          <w:bCs/>
          <w:sz w:val="24"/>
          <w:szCs w:val="24"/>
          <w:lang w:eastAsia="zh-CN"/>
        </w:rPr>
        <w:t>、</w:t>
      </w:r>
      <w:r>
        <w:rPr>
          <w:rFonts w:hint="eastAsia" w:ascii="仿宋" w:hAnsi="仿宋" w:eastAsia="仿宋"/>
          <w:bCs/>
          <w:sz w:val="24"/>
          <w:szCs w:val="24"/>
          <w:lang w:val="en-US" w:eastAsia="zh-CN"/>
        </w:rPr>
        <w:t>项目</w:t>
      </w:r>
      <w:r>
        <w:rPr>
          <w:rFonts w:hint="eastAsia" w:ascii="仿宋" w:hAnsi="仿宋" w:eastAsia="仿宋"/>
          <w:bCs/>
          <w:sz w:val="24"/>
          <w:szCs w:val="24"/>
        </w:rPr>
        <w:t>规模：</w:t>
      </w:r>
      <w:r>
        <w:rPr>
          <w:rFonts w:hint="eastAsia" w:ascii="仿宋" w:hAnsi="仿宋" w:eastAsia="仿宋" w:cs="仿宋"/>
          <w:color w:val="auto"/>
          <w:sz w:val="24"/>
          <w:lang w:val="en-US" w:eastAsia="zh-CN"/>
        </w:rPr>
        <w:t>暨南街道2025年度工程设计服务项目采购-交通(公路)设计</w:t>
      </w:r>
      <w:r>
        <w:rPr>
          <w:rFonts w:hint="eastAsia" w:ascii="仿宋" w:hAnsi="仿宋" w:eastAsia="仿宋" w:cs="仿宋"/>
          <w:sz w:val="24"/>
          <w:szCs w:val="24"/>
          <w:highlight w:val="none"/>
        </w:rPr>
        <w:t>，</w:t>
      </w:r>
      <w:r>
        <w:rPr>
          <w:rFonts w:hint="eastAsia" w:ascii="仿宋" w:hAnsi="仿宋" w:eastAsia="仿宋" w:cs="仿宋"/>
          <w:sz w:val="24"/>
          <w:szCs w:val="24"/>
        </w:rPr>
        <w:t>采购预算金额为</w:t>
      </w:r>
      <w:r>
        <w:rPr>
          <w:rFonts w:hint="eastAsia" w:ascii="仿宋" w:hAnsi="仿宋" w:eastAsia="仿宋" w:cs="仿宋"/>
          <w:sz w:val="24"/>
          <w:szCs w:val="24"/>
          <w:highlight w:val="none"/>
        </w:rPr>
        <w:t>人民币</w:t>
      </w:r>
      <w:r>
        <w:rPr>
          <w:rFonts w:hint="eastAsia" w:ascii="仿宋" w:hAnsi="仿宋" w:eastAsia="仿宋" w:cs="宋体"/>
          <w:sz w:val="24"/>
          <w:szCs w:val="24"/>
          <w:highlight w:val="none"/>
          <w:lang w:val="en-US" w:eastAsia="zh-CN"/>
        </w:rPr>
        <w:t>叁拾万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300000</w:t>
      </w:r>
      <w:r>
        <w:rPr>
          <w:rFonts w:hint="eastAsia" w:ascii="仿宋" w:hAnsi="仿宋" w:eastAsia="仿宋" w:cs="宋体"/>
          <w:bCs/>
          <w:sz w:val="24"/>
          <w:szCs w:val="24"/>
          <w:highlight w:val="none"/>
        </w:rPr>
        <w:t>.00）</w:t>
      </w:r>
      <w:r>
        <w:rPr>
          <w:rFonts w:hint="eastAsia" w:ascii="仿宋" w:hAnsi="仿宋" w:eastAsia="仿宋" w:cs="仿宋"/>
          <w:sz w:val="24"/>
          <w:szCs w:val="24"/>
        </w:rPr>
        <w:t>。</w:t>
      </w:r>
      <w:r>
        <w:rPr>
          <w:rFonts w:hint="eastAsia" w:ascii="仿宋" w:hAnsi="仿宋" w:eastAsia="仿宋" w:cs="仿宋"/>
          <w:b w:val="0"/>
          <w:bCs/>
          <w:color w:val="000000"/>
          <w:sz w:val="24"/>
          <w:szCs w:val="24"/>
          <w:highlight w:val="none"/>
          <w:lang w:val="en-US" w:eastAsia="zh-CN" w:bidi="ar-SA"/>
        </w:rPr>
        <w:t>按折扣招标，工程量按实结算</w:t>
      </w:r>
      <w:r>
        <w:rPr>
          <w:rFonts w:ascii="仿宋" w:hAnsi="仿宋" w:eastAsia="仿宋"/>
          <w:bCs/>
          <w:sz w:val="24"/>
          <w:szCs w:val="24"/>
        </w:rPr>
        <w:t>；</w:t>
      </w:r>
      <w:r>
        <w:rPr>
          <w:rFonts w:hint="eastAsia" w:ascii="仿宋" w:hAnsi="仿宋" w:eastAsia="仿宋"/>
          <w:bCs/>
          <w:sz w:val="24"/>
          <w:szCs w:val="24"/>
          <w:u w:val="none"/>
        </w:rPr>
        <w:t>年度服务期限内，</w:t>
      </w:r>
      <w:r>
        <w:rPr>
          <w:rFonts w:hint="eastAsia" w:ascii="仿宋" w:hAnsi="仿宋" w:eastAsia="仿宋"/>
          <w:bCs/>
          <w:sz w:val="24"/>
          <w:szCs w:val="24"/>
          <w:u w:val="none"/>
          <w:lang w:eastAsia="zh-CN"/>
        </w:rPr>
        <w:t>成交供应商</w:t>
      </w:r>
      <w:r>
        <w:rPr>
          <w:rFonts w:hint="eastAsia" w:ascii="仿宋" w:hAnsi="仿宋" w:eastAsia="仿宋"/>
          <w:bCs/>
          <w:sz w:val="24"/>
          <w:szCs w:val="24"/>
          <w:u w:val="none"/>
        </w:rPr>
        <w:t>累计结算金额最高不超过人民币</w:t>
      </w:r>
      <w:r>
        <w:rPr>
          <w:rFonts w:hint="eastAsia" w:ascii="仿宋" w:hAnsi="仿宋" w:eastAsia="仿宋"/>
          <w:bCs/>
          <w:sz w:val="24"/>
          <w:szCs w:val="24"/>
          <w:u w:val="none"/>
          <w:lang w:val="en-US" w:eastAsia="zh-CN"/>
        </w:rPr>
        <w:t>30</w:t>
      </w:r>
      <w:r>
        <w:rPr>
          <w:rFonts w:hint="eastAsia" w:ascii="仿宋" w:hAnsi="仿宋" w:eastAsia="仿宋"/>
          <w:bCs/>
          <w:sz w:val="24"/>
          <w:szCs w:val="24"/>
          <w:u w:val="none"/>
        </w:rPr>
        <w:t>万元</w:t>
      </w:r>
      <w:r>
        <w:rPr>
          <w:rFonts w:hint="eastAsia" w:ascii="仿宋" w:hAnsi="仿宋" w:eastAsia="仿宋"/>
          <w:bCs/>
          <w:sz w:val="24"/>
          <w:szCs w:val="24"/>
        </w:rPr>
        <w:t>。</w:t>
      </w:r>
    </w:p>
    <w:p w14:paraId="1D5F8DF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
          <w:bCs/>
          <w:sz w:val="24"/>
          <w:szCs w:val="24"/>
        </w:rPr>
      </w:pPr>
      <w:r>
        <w:rPr>
          <w:rFonts w:hint="eastAsia" w:ascii="仿宋" w:hAnsi="仿宋" w:eastAsia="仿宋"/>
          <w:bCs/>
          <w:sz w:val="24"/>
          <w:szCs w:val="24"/>
        </w:rPr>
        <w:t>2</w:t>
      </w:r>
      <w:r>
        <w:rPr>
          <w:rFonts w:hint="eastAsia" w:ascii="仿宋" w:hAnsi="仿宋" w:eastAsia="仿宋"/>
          <w:bCs/>
          <w:sz w:val="24"/>
          <w:szCs w:val="24"/>
          <w:lang w:eastAsia="zh-CN"/>
        </w:rPr>
        <w:t>、</w:t>
      </w:r>
      <w:r>
        <w:rPr>
          <w:rFonts w:hint="eastAsia" w:ascii="仿宋" w:hAnsi="仿宋" w:eastAsia="仿宋"/>
          <w:sz w:val="24"/>
        </w:rPr>
        <w:t>收费标准：</w:t>
      </w:r>
    </w:p>
    <w:tbl>
      <w:tblPr>
        <w:tblStyle w:val="27"/>
        <w:tblW w:w="97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5564"/>
        <w:gridCol w:w="1950"/>
      </w:tblGrid>
      <w:tr w14:paraId="7F433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215" w:type="dxa"/>
            <w:tcBorders>
              <w:tl2br w:val="nil"/>
              <w:tr2bl w:val="nil"/>
            </w:tcBorders>
            <w:noWrap/>
            <w:vAlign w:val="center"/>
          </w:tcPr>
          <w:p w14:paraId="5879B05B">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hint="eastAsia" w:ascii="仿宋" w:hAnsi="仿宋" w:eastAsia="仿宋" w:cs="宋体"/>
                <w:sz w:val="24"/>
                <w:szCs w:val="24"/>
              </w:rPr>
              <w:t>采购内容</w:t>
            </w:r>
          </w:p>
        </w:tc>
        <w:tc>
          <w:tcPr>
            <w:tcW w:w="5564" w:type="dxa"/>
            <w:tcBorders>
              <w:tl2br w:val="nil"/>
              <w:tr2bl w:val="nil"/>
            </w:tcBorders>
            <w:noWrap/>
            <w:vAlign w:val="center"/>
          </w:tcPr>
          <w:p w14:paraId="5B6A7682">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hint="eastAsia" w:ascii="仿宋" w:hAnsi="仿宋" w:eastAsia="仿宋" w:cs="宋体"/>
                <w:sz w:val="24"/>
                <w:szCs w:val="24"/>
              </w:rPr>
              <w:t>收费标准</w:t>
            </w:r>
          </w:p>
        </w:tc>
        <w:tc>
          <w:tcPr>
            <w:tcW w:w="1950" w:type="dxa"/>
            <w:tcBorders>
              <w:tl2br w:val="nil"/>
              <w:tr2bl w:val="nil"/>
            </w:tcBorders>
            <w:vAlign w:val="center"/>
          </w:tcPr>
          <w:p w14:paraId="27D18F88">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ascii="仿宋" w:hAnsi="仿宋" w:eastAsia="仿宋" w:cs="宋体"/>
                <w:sz w:val="24"/>
                <w:szCs w:val="24"/>
              </w:rPr>
              <w:t>最高限价</w:t>
            </w:r>
          </w:p>
        </w:tc>
      </w:tr>
      <w:tr w14:paraId="0ED1C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5" w:type="dxa"/>
            <w:tcBorders>
              <w:tl2br w:val="nil"/>
              <w:tr2bl w:val="nil"/>
            </w:tcBorders>
            <w:noWrap/>
            <w:vAlign w:val="center"/>
          </w:tcPr>
          <w:p w14:paraId="17C3C22E">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hint="eastAsia" w:ascii="仿宋" w:hAnsi="仿宋" w:eastAsia="仿宋" w:cs="宋体"/>
                <w:sz w:val="24"/>
                <w:szCs w:val="24"/>
              </w:rPr>
              <w:t>合同履行期限内交通(公路)工程设计服务工作</w:t>
            </w:r>
          </w:p>
        </w:tc>
        <w:tc>
          <w:tcPr>
            <w:tcW w:w="5564" w:type="dxa"/>
            <w:tcBorders>
              <w:tl2br w:val="nil"/>
              <w:tr2bl w:val="nil"/>
            </w:tcBorders>
            <w:noWrap/>
            <w:vAlign w:val="center"/>
          </w:tcPr>
          <w:p w14:paraId="5BDD050C">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hint="eastAsia" w:ascii="仿宋" w:hAnsi="仿宋" w:eastAsia="仿宋" w:cs="宋体"/>
                <w:spacing w:val="-4"/>
                <w:sz w:val="24"/>
                <w:szCs w:val="24"/>
              </w:rPr>
              <w:t>《工程勘察设计收费标准》（2002年修订本）为收费基价，按中标折扣和诸暨市人民政府办公室关于加强政府性投资项目工程勘察设计规范管理的意见（试行）（诸政办发〔2016〕69号）文件规定结算服务费。</w:t>
            </w:r>
          </w:p>
        </w:tc>
        <w:tc>
          <w:tcPr>
            <w:tcW w:w="1950" w:type="dxa"/>
            <w:tcBorders>
              <w:tl2br w:val="nil"/>
              <w:tr2bl w:val="nil"/>
            </w:tcBorders>
            <w:vAlign w:val="center"/>
          </w:tcPr>
          <w:p w14:paraId="3EC3D9D0">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ascii="仿宋" w:hAnsi="仿宋" w:eastAsia="仿宋" w:cs="宋体"/>
                <w:sz w:val="24"/>
                <w:szCs w:val="24"/>
              </w:rPr>
              <w:t>收费标准×</w:t>
            </w:r>
            <w:r>
              <w:rPr>
                <w:rFonts w:hint="eastAsia" w:ascii="仿宋" w:hAnsi="仿宋" w:eastAsia="仿宋" w:cs="宋体"/>
                <w:sz w:val="24"/>
                <w:szCs w:val="24"/>
                <w:lang w:eastAsia="zh-CN"/>
              </w:rPr>
              <w:t>70</w:t>
            </w:r>
            <w:r>
              <w:rPr>
                <w:rFonts w:hint="eastAsia" w:ascii="仿宋" w:hAnsi="仿宋" w:eastAsia="仿宋" w:cs="宋体"/>
                <w:sz w:val="24"/>
                <w:szCs w:val="24"/>
              </w:rPr>
              <w:t>%（折扣）</w:t>
            </w:r>
          </w:p>
        </w:tc>
      </w:tr>
    </w:tbl>
    <w:p w14:paraId="17BD206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cs="宋体"/>
          <w:sz w:val="24"/>
          <w:szCs w:val="24"/>
        </w:rPr>
      </w:pPr>
      <w:r>
        <w:rPr>
          <w:rFonts w:hint="eastAsia" w:ascii="仿宋" w:hAnsi="仿宋" w:eastAsia="仿宋" w:cs="宋体"/>
          <w:sz w:val="24"/>
          <w:szCs w:val="24"/>
        </w:rPr>
        <w:t>基本设计收费=工程设计收费基价×专业调整系数×工程复杂程度调整系数×工程附加调整系数（专业调整系数为1，工程附加调整系数为1，工程复杂程度调整系数为1）；</w:t>
      </w:r>
    </w:p>
    <w:p w14:paraId="38013AF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cs="宋体"/>
          <w:sz w:val="24"/>
          <w:szCs w:val="24"/>
        </w:rPr>
      </w:pPr>
      <w:r>
        <w:rPr>
          <w:rFonts w:hint="eastAsia" w:ascii="仿宋" w:hAnsi="仿宋" w:eastAsia="仿宋" w:cs="宋体"/>
          <w:sz w:val="24"/>
          <w:szCs w:val="24"/>
        </w:rPr>
        <w:t>本项目最终设计收费=基本设计收费×中标折扣。</w:t>
      </w:r>
    </w:p>
    <w:p w14:paraId="6926C9B3">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lang w:eastAsia="zh-CN"/>
        </w:rPr>
        <w:t>、</w:t>
      </w:r>
      <w:r>
        <w:rPr>
          <w:rFonts w:hint="eastAsia" w:ascii="仿宋" w:hAnsi="仿宋" w:eastAsia="仿宋" w:cs="宋体"/>
          <w:sz w:val="24"/>
          <w:szCs w:val="24"/>
        </w:rPr>
        <w:t>服务期限</w:t>
      </w:r>
      <w:r>
        <w:rPr>
          <w:rFonts w:hint="eastAsia" w:ascii="仿宋" w:hAnsi="仿宋" w:eastAsia="仿宋" w:cs="仿宋"/>
          <w:sz w:val="24"/>
          <w:szCs w:val="24"/>
          <w:u w:val="none"/>
        </w:rPr>
        <w:t>（以先到为准）</w:t>
      </w:r>
      <w:r>
        <w:rPr>
          <w:rFonts w:hint="eastAsia" w:ascii="仿宋" w:hAnsi="仿宋" w:eastAsia="仿宋" w:cs="宋体"/>
          <w:sz w:val="24"/>
          <w:szCs w:val="24"/>
        </w:rPr>
        <w:t>：</w:t>
      </w:r>
      <w:r>
        <w:rPr>
          <w:rFonts w:hint="eastAsia" w:ascii="仿宋" w:hAnsi="仿宋" w:eastAsia="仿宋" w:cs="仿宋"/>
          <w:sz w:val="24"/>
          <w:szCs w:val="24"/>
        </w:rPr>
        <w:t>自合同签订之日起1年或本标项采购预算金额满止。</w:t>
      </w:r>
    </w:p>
    <w:p w14:paraId="07408246">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二</w:t>
      </w:r>
      <w:r>
        <w:rPr>
          <w:rFonts w:hint="eastAsia" w:ascii="仿宋" w:hAnsi="仿宋" w:eastAsia="仿宋"/>
          <w:b/>
          <w:bCs/>
          <w:sz w:val="24"/>
          <w:szCs w:val="24"/>
          <w:u w:val="none"/>
          <w:lang w:eastAsia="zh-CN"/>
        </w:rPr>
        <w:t>）</w:t>
      </w:r>
      <w:r>
        <w:rPr>
          <w:rFonts w:hint="eastAsia" w:ascii="仿宋" w:hAnsi="仿宋" w:eastAsia="仿宋"/>
          <w:b/>
          <w:bCs/>
          <w:sz w:val="24"/>
          <w:szCs w:val="24"/>
          <w:u w:val="none"/>
        </w:rPr>
        <w:t>基本要求</w:t>
      </w:r>
    </w:p>
    <w:p w14:paraId="3A8AFD96">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
          <w:bCs/>
          <w:sz w:val="24"/>
          <w:szCs w:val="24"/>
          <w:u w:val="single"/>
        </w:rPr>
      </w:pPr>
      <w:r>
        <w:rPr>
          <w:rFonts w:ascii="仿宋" w:hAnsi="仿宋" w:eastAsia="仿宋"/>
          <w:bCs/>
          <w:sz w:val="24"/>
          <w:szCs w:val="24"/>
        </w:rPr>
        <w:t>完成项目方案设计及深化、初步设计、施工图设计、概算编制、报批审查配合、按审查和招标人意见对整个设计过程的修改、深化整合和优化设计；按文件要求提供纸质和电子图纸；设计补图和工程施工阶段的变更联系单；施工配合、验收配合等相关服务；根据工程实际需要提供现场服务等。</w:t>
      </w:r>
    </w:p>
    <w:p w14:paraId="129FCB7A">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三</w:t>
      </w:r>
      <w:r>
        <w:rPr>
          <w:rFonts w:hint="eastAsia" w:ascii="仿宋" w:hAnsi="仿宋" w:eastAsia="仿宋"/>
          <w:b/>
          <w:bCs/>
          <w:sz w:val="24"/>
          <w:szCs w:val="24"/>
          <w:u w:val="none"/>
          <w:lang w:eastAsia="zh-CN"/>
        </w:rPr>
        <w:t>）</w:t>
      </w:r>
      <w:r>
        <w:rPr>
          <w:rFonts w:hint="eastAsia" w:ascii="仿宋" w:hAnsi="仿宋" w:eastAsia="仿宋"/>
          <w:b/>
          <w:bCs/>
          <w:sz w:val="24"/>
          <w:szCs w:val="24"/>
          <w:u w:val="none"/>
        </w:rPr>
        <w:t>主要技术标准</w:t>
      </w:r>
    </w:p>
    <w:p w14:paraId="7193BCBC">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设计过程和成果必须符合国家有关标准强制性条文现行的标准、规范、规程、定额、办法、示例，以及招标项目所在地设计方面的文件、规定。</w:t>
      </w:r>
    </w:p>
    <w:p w14:paraId="51C046B5">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成交供应商</w:t>
      </w:r>
      <w:r>
        <w:rPr>
          <w:rFonts w:hint="eastAsia" w:ascii="仿宋" w:hAnsi="仿宋" w:eastAsia="仿宋" w:cs="仿宋"/>
          <w:sz w:val="24"/>
          <w:szCs w:val="24"/>
        </w:rPr>
        <w:t>在工作中使用或参考上述标准、规范以外的技术标准、规范时，应征得采购人或采购人的指定代表人的同意。</w:t>
      </w:r>
    </w:p>
    <w:p w14:paraId="01B585B9">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在合同履行过程中，如果国家或有关部门颁布了新的技术标准或规范，则应采用新的标准或规范进行设计。</w:t>
      </w:r>
    </w:p>
    <w:p w14:paraId="0C6A05BE">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 w:hAnsi="仿宋" w:eastAsia="仿宋"/>
          <w:b/>
          <w:bCs/>
          <w:sz w:val="24"/>
          <w:szCs w:val="24"/>
          <w:u w:val="single"/>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成交供应商</w:t>
      </w:r>
      <w:r>
        <w:rPr>
          <w:rFonts w:hint="eastAsia" w:ascii="仿宋" w:hAnsi="仿宋" w:eastAsia="仿宋" w:cs="仿宋"/>
          <w:sz w:val="24"/>
          <w:szCs w:val="24"/>
        </w:rPr>
        <w:t>在工作中使用下述标准、规范（包含但不限于）：</w:t>
      </w:r>
    </w:p>
    <w:p w14:paraId="067C2C6A">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《公路工程技术标准》(JTG B01-2014)；</w:t>
      </w:r>
    </w:p>
    <w:p w14:paraId="715C3539">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《公路路线设计规范》(JTG D20-2017)；</w:t>
      </w:r>
    </w:p>
    <w:p w14:paraId="6ACF2658">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《公路路基设计规范》(JTG D30-2015)；</w:t>
      </w:r>
    </w:p>
    <w:p w14:paraId="5372DE2A">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《公路沥青路面设计规范》（JTG D50-2017）；</w:t>
      </w:r>
    </w:p>
    <w:p w14:paraId="07E2C453">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《公路沥青路面养护技术规范》（JTJ 073.2-2001）；</w:t>
      </w:r>
    </w:p>
    <w:p w14:paraId="3B40B952">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《公路排水设计规范》（JTG/T D33-2012）；</w:t>
      </w:r>
    </w:p>
    <w:p w14:paraId="218C4DD5">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《公路沥青路面施工技术规范》（JTJ F40-2004）；</w:t>
      </w:r>
    </w:p>
    <w:p w14:paraId="5B97BDA1">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《公路路基施工技术规范》（JTG/T 3610-2019）；</w:t>
      </w:r>
    </w:p>
    <w:p w14:paraId="08B15383">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《公路桥涵设计通用规范》（JTG D60-2015）；</w:t>
      </w:r>
    </w:p>
    <w:p w14:paraId="28225A36">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《公路圬工桥涵设计规范》（JTG D61-2005）；</w:t>
      </w:r>
    </w:p>
    <w:p w14:paraId="740097AF">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《公路钢筋混凝土及预应力混凝土桥涵设计规范》（JTG  3362-2018）；</w:t>
      </w:r>
    </w:p>
    <w:p w14:paraId="51D5EF2A">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《公路桥涵地基与基础设计规范》（JTG 3363-2019）；</w:t>
      </w:r>
    </w:p>
    <w:p w14:paraId="30DA51DA">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hint="eastAsia" w:ascii="仿宋" w:hAnsi="仿宋" w:eastAsia="仿宋" w:cs="宋体"/>
          <w:sz w:val="24"/>
          <w:szCs w:val="24"/>
        </w:rPr>
        <w:t>《公路交通安全设施设计规范》(JTG D81-2017)；</w:t>
      </w:r>
    </w:p>
    <w:p w14:paraId="1D28C9DC">
      <w:pPr>
        <w:keepNext w:val="0"/>
        <w:keepLines w:val="0"/>
        <w:pageBreakBefore w:val="0"/>
        <w:widowControl w:val="0"/>
        <w:kinsoku/>
        <w:wordWrap/>
        <w:overflowPunct/>
        <w:topLinePunct w:val="0"/>
        <w:autoSpaceDE/>
        <w:autoSpaceDN/>
        <w:bidi w:val="0"/>
        <w:spacing w:line="420" w:lineRule="exact"/>
        <w:ind w:right="210" w:rightChars="100" w:firstLine="600" w:firstLineChars="250"/>
        <w:textAlignment w:val="auto"/>
        <w:rPr>
          <w:rFonts w:ascii="仿宋" w:hAnsi="仿宋" w:eastAsia="仿宋" w:cs="宋体"/>
          <w:sz w:val="24"/>
          <w:szCs w:val="24"/>
        </w:rPr>
      </w:pPr>
      <w:r>
        <w:rPr>
          <w:rFonts w:hint="eastAsia" w:ascii="仿宋" w:hAnsi="仿宋" w:eastAsia="仿宋" w:cs="宋体"/>
          <w:sz w:val="24"/>
          <w:szCs w:val="24"/>
        </w:rPr>
        <w:t>交通运输部关于推进“四好农村公路”建设的意见交公路发【2015】73号文件；</w:t>
      </w:r>
    </w:p>
    <w:p w14:paraId="08191FA2">
      <w:pPr>
        <w:keepNext w:val="0"/>
        <w:keepLines w:val="0"/>
        <w:pageBreakBefore w:val="0"/>
        <w:widowControl w:val="0"/>
        <w:kinsoku/>
        <w:wordWrap/>
        <w:overflowPunct/>
        <w:topLinePunct w:val="0"/>
        <w:autoSpaceDE/>
        <w:autoSpaceDN/>
        <w:bidi w:val="0"/>
        <w:spacing w:line="420" w:lineRule="exact"/>
        <w:ind w:firstLine="600" w:firstLineChars="250"/>
        <w:textAlignment w:val="auto"/>
        <w:rPr>
          <w:rFonts w:ascii="仿宋" w:hAnsi="仿宋" w:eastAsia="仿宋" w:cs="宋体"/>
          <w:sz w:val="24"/>
          <w:szCs w:val="24"/>
        </w:rPr>
      </w:pPr>
      <w:r>
        <w:rPr>
          <w:rFonts w:ascii="仿宋" w:hAnsi="仿宋" w:eastAsia="仿宋" w:cs="宋体"/>
          <w:sz w:val="24"/>
          <w:szCs w:val="24"/>
        </w:rPr>
        <w:t>其他相关现行的国家标准及行业标准。</w:t>
      </w:r>
    </w:p>
    <w:p w14:paraId="43BFB53C">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四</w:t>
      </w:r>
      <w:r>
        <w:rPr>
          <w:rFonts w:hint="eastAsia" w:ascii="仿宋" w:hAnsi="仿宋" w:eastAsia="仿宋"/>
          <w:b/>
          <w:bCs/>
          <w:sz w:val="24"/>
          <w:szCs w:val="24"/>
          <w:u w:val="none"/>
          <w:lang w:eastAsia="zh-CN"/>
        </w:rPr>
        <w:t>）</w:t>
      </w:r>
      <w:r>
        <w:rPr>
          <w:rFonts w:hint="eastAsia" w:ascii="仿宋" w:hAnsi="仿宋" w:eastAsia="仿宋"/>
          <w:b/>
          <w:bCs/>
          <w:sz w:val="24"/>
          <w:szCs w:val="24"/>
          <w:u w:val="none"/>
        </w:rPr>
        <w:t>主要服务内容</w:t>
      </w:r>
    </w:p>
    <w:p w14:paraId="02526C04">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1</w:t>
      </w:r>
      <w:r>
        <w:rPr>
          <w:rFonts w:hint="eastAsia" w:ascii="仿宋" w:hAnsi="仿宋" w:eastAsia="仿宋"/>
          <w:bCs/>
          <w:sz w:val="24"/>
          <w:szCs w:val="24"/>
          <w:lang w:eastAsia="zh-CN"/>
        </w:rPr>
        <w:t>、成交供应商</w:t>
      </w:r>
      <w:r>
        <w:rPr>
          <w:rFonts w:hint="eastAsia" w:ascii="仿宋" w:hAnsi="仿宋" w:eastAsia="仿宋"/>
          <w:bCs/>
          <w:sz w:val="24"/>
          <w:szCs w:val="24"/>
        </w:rPr>
        <w:t>应按国家规定和本合同约定的技术规范、标准进行设计，按规定的内容、 时间及份数向采购单位交付设计文件并对提交的设计文件的质量负责。</w:t>
      </w:r>
    </w:p>
    <w:p w14:paraId="0C9BE32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2</w:t>
      </w:r>
      <w:r>
        <w:rPr>
          <w:rFonts w:hint="eastAsia" w:ascii="仿宋" w:hAnsi="仿宋" w:eastAsia="仿宋"/>
          <w:bCs/>
          <w:sz w:val="24"/>
          <w:szCs w:val="24"/>
          <w:lang w:eastAsia="zh-CN"/>
        </w:rPr>
        <w:t>、成交供应商</w:t>
      </w:r>
      <w:r>
        <w:rPr>
          <w:rFonts w:ascii="仿宋" w:hAnsi="仿宋" w:eastAsia="仿宋"/>
          <w:bCs/>
          <w:sz w:val="24"/>
          <w:szCs w:val="24"/>
        </w:rPr>
        <w:t>确保在规定的时间内提交设计成果</w:t>
      </w:r>
      <w:r>
        <w:rPr>
          <w:rFonts w:hint="eastAsia" w:ascii="仿宋" w:hAnsi="仿宋" w:eastAsia="仿宋"/>
          <w:bCs/>
          <w:sz w:val="24"/>
          <w:szCs w:val="24"/>
        </w:rPr>
        <w:t>，</w:t>
      </w:r>
      <w:r>
        <w:rPr>
          <w:rFonts w:ascii="仿宋" w:hAnsi="仿宋" w:eastAsia="仿宋"/>
          <w:bCs/>
          <w:sz w:val="24"/>
          <w:szCs w:val="24"/>
        </w:rPr>
        <w:t>对设计文件出现的遗漏或错误负责修改或补充。由于</w:t>
      </w:r>
      <w:r>
        <w:rPr>
          <w:rFonts w:hint="eastAsia" w:ascii="仿宋" w:hAnsi="仿宋" w:eastAsia="仿宋"/>
          <w:bCs/>
          <w:sz w:val="24"/>
          <w:szCs w:val="24"/>
          <w:lang w:eastAsia="zh-CN"/>
        </w:rPr>
        <w:t>成交供应商</w:t>
      </w:r>
      <w:r>
        <w:rPr>
          <w:rFonts w:ascii="仿宋" w:hAnsi="仿宋" w:eastAsia="仿宋"/>
          <w:bCs/>
          <w:sz w:val="24"/>
          <w:szCs w:val="24"/>
        </w:rPr>
        <w:t>设计错误</w:t>
      </w:r>
      <w:r>
        <w:rPr>
          <w:rFonts w:hint="eastAsia" w:ascii="仿宋" w:hAnsi="仿宋" w:eastAsia="仿宋"/>
          <w:bCs/>
          <w:sz w:val="24"/>
          <w:szCs w:val="24"/>
        </w:rPr>
        <w:t>造成工程质量事故损失，</w:t>
      </w:r>
      <w:r>
        <w:rPr>
          <w:rFonts w:hint="eastAsia" w:ascii="仿宋" w:hAnsi="仿宋" w:eastAsia="仿宋"/>
          <w:bCs/>
          <w:sz w:val="24"/>
          <w:szCs w:val="24"/>
          <w:lang w:eastAsia="zh-CN"/>
        </w:rPr>
        <w:t>成交供应商</w:t>
      </w:r>
      <w:r>
        <w:rPr>
          <w:rFonts w:hint="eastAsia" w:ascii="仿宋" w:hAnsi="仿宋" w:eastAsia="仿宋"/>
          <w:bCs/>
          <w:sz w:val="24"/>
          <w:szCs w:val="24"/>
        </w:rPr>
        <w:t>除负责采取补救措施外，应免收损失部分的设计费。</w:t>
      </w:r>
    </w:p>
    <w:p w14:paraId="7C4C50CD">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3</w:t>
      </w:r>
      <w:r>
        <w:rPr>
          <w:rFonts w:hint="eastAsia" w:ascii="仿宋" w:hAnsi="仿宋" w:eastAsia="仿宋"/>
          <w:bCs/>
          <w:sz w:val="24"/>
          <w:szCs w:val="24"/>
          <w:lang w:eastAsia="zh-CN"/>
        </w:rPr>
        <w:t>、成交供应商</w:t>
      </w:r>
      <w:r>
        <w:rPr>
          <w:rFonts w:hint="eastAsia" w:ascii="仿宋" w:hAnsi="仿宋" w:eastAsia="仿宋"/>
          <w:bCs/>
          <w:sz w:val="24"/>
          <w:szCs w:val="24"/>
        </w:rPr>
        <w:t>服务质量差，设计内容出错导致承包人损失的，</w:t>
      </w:r>
      <w:r>
        <w:rPr>
          <w:rFonts w:hint="eastAsia" w:ascii="仿宋" w:hAnsi="仿宋" w:eastAsia="仿宋"/>
          <w:bCs/>
          <w:sz w:val="24"/>
          <w:szCs w:val="24"/>
          <w:lang w:eastAsia="zh-CN"/>
        </w:rPr>
        <w:t>成交供应商</w:t>
      </w:r>
      <w:r>
        <w:rPr>
          <w:rFonts w:hint="eastAsia" w:ascii="仿宋" w:hAnsi="仿宋" w:eastAsia="仿宋"/>
          <w:bCs/>
          <w:sz w:val="24"/>
          <w:szCs w:val="24"/>
        </w:rPr>
        <w:t>需承担相应损失，情节严重的采购单位可直接解除合同，由此造成的一切后果由</w:t>
      </w:r>
      <w:r>
        <w:rPr>
          <w:rFonts w:hint="eastAsia" w:ascii="仿宋" w:hAnsi="仿宋" w:eastAsia="仿宋"/>
          <w:bCs/>
          <w:sz w:val="24"/>
          <w:szCs w:val="24"/>
          <w:lang w:eastAsia="zh-CN"/>
        </w:rPr>
        <w:t>成交供应商</w:t>
      </w:r>
      <w:r>
        <w:rPr>
          <w:rFonts w:hint="eastAsia" w:ascii="仿宋" w:hAnsi="仿宋" w:eastAsia="仿宋"/>
          <w:bCs/>
          <w:sz w:val="24"/>
          <w:szCs w:val="24"/>
        </w:rPr>
        <w:t>承担。</w:t>
      </w:r>
    </w:p>
    <w:p w14:paraId="32DD547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4</w:t>
      </w:r>
      <w:r>
        <w:rPr>
          <w:rFonts w:hint="eastAsia" w:ascii="仿宋" w:hAnsi="仿宋" w:eastAsia="仿宋"/>
          <w:bCs/>
          <w:sz w:val="24"/>
          <w:szCs w:val="24"/>
          <w:lang w:eastAsia="zh-CN"/>
        </w:rPr>
        <w:t>、成交供应商</w:t>
      </w:r>
      <w:r>
        <w:rPr>
          <w:rFonts w:hint="eastAsia" w:ascii="仿宋" w:hAnsi="仿宋" w:eastAsia="仿宋"/>
          <w:bCs/>
          <w:sz w:val="24"/>
          <w:szCs w:val="24"/>
        </w:rPr>
        <w:t>在没有得到采购单位的书面同意下，不得将部分或全部服务内容分包给他人。</w:t>
      </w:r>
    </w:p>
    <w:p w14:paraId="1FC9F427">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5</w:t>
      </w:r>
      <w:r>
        <w:rPr>
          <w:rFonts w:hint="eastAsia" w:ascii="仿宋" w:hAnsi="仿宋" w:eastAsia="仿宋"/>
          <w:bCs/>
          <w:sz w:val="24"/>
          <w:szCs w:val="24"/>
          <w:lang w:eastAsia="zh-CN"/>
        </w:rPr>
        <w:t>、成交供应商</w:t>
      </w:r>
      <w:r>
        <w:rPr>
          <w:rFonts w:hint="eastAsia" w:ascii="仿宋" w:hAnsi="仿宋" w:eastAsia="仿宋"/>
          <w:bCs/>
          <w:sz w:val="24"/>
          <w:szCs w:val="24"/>
        </w:rPr>
        <w:t>交付设计文件后，按规定参加有关上级部门的设计审查，并根据审查结论负责不超出原定范围的内容做必要调整补充，所需费用由</w:t>
      </w:r>
      <w:r>
        <w:rPr>
          <w:rFonts w:hint="eastAsia" w:ascii="仿宋" w:hAnsi="仿宋" w:eastAsia="仿宋"/>
          <w:bCs/>
          <w:sz w:val="24"/>
          <w:szCs w:val="24"/>
          <w:lang w:eastAsia="zh-CN"/>
        </w:rPr>
        <w:t>成交供应商</w:t>
      </w:r>
      <w:r>
        <w:rPr>
          <w:rFonts w:hint="eastAsia" w:ascii="仿宋" w:hAnsi="仿宋" w:eastAsia="仿宋"/>
          <w:bCs/>
          <w:sz w:val="24"/>
          <w:szCs w:val="24"/>
        </w:rPr>
        <w:t>负责。</w:t>
      </w:r>
    </w:p>
    <w:p w14:paraId="5561E555">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6</w:t>
      </w:r>
      <w:r>
        <w:rPr>
          <w:rFonts w:hint="eastAsia" w:ascii="仿宋" w:hAnsi="仿宋" w:eastAsia="仿宋"/>
          <w:bCs/>
          <w:sz w:val="24"/>
          <w:szCs w:val="24"/>
          <w:lang w:eastAsia="zh-CN"/>
        </w:rPr>
        <w:t>、</w:t>
      </w:r>
      <w:r>
        <w:rPr>
          <w:rFonts w:hint="eastAsia" w:ascii="仿宋" w:hAnsi="仿宋" w:eastAsia="仿宋" w:cs="宋体"/>
          <w:sz w:val="24"/>
          <w:szCs w:val="24"/>
          <w:lang w:eastAsia="zh-CN"/>
        </w:rPr>
        <w:t>成交供应商</w:t>
      </w:r>
      <w:r>
        <w:rPr>
          <w:rFonts w:hint="eastAsia" w:ascii="仿宋" w:hAnsi="仿宋" w:eastAsia="仿宋" w:cs="宋体"/>
          <w:sz w:val="24"/>
          <w:szCs w:val="24"/>
        </w:rPr>
        <w:t>的日常管理，由诸暨市人民政府暨南街道办事处相关办公室共同负责。</w:t>
      </w:r>
    </w:p>
    <w:p w14:paraId="38A1060C">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7</w:t>
      </w:r>
      <w:r>
        <w:rPr>
          <w:rFonts w:hint="eastAsia" w:ascii="仿宋" w:hAnsi="仿宋" w:eastAsia="仿宋"/>
          <w:bCs/>
          <w:sz w:val="24"/>
          <w:szCs w:val="24"/>
          <w:lang w:eastAsia="zh-CN"/>
        </w:rPr>
        <w:t>、成交供应商</w:t>
      </w:r>
      <w:r>
        <w:rPr>
          <w:rFonts w:hint="eastAsia" w:ascii="仿宋" w:hAnsi="仿宋" w:eastAsia="仿宋"/>
          <w:bCs/>
          <w:sz w:val="24"/>
          <w:szCs w:val="24"/>
        </w:rPr>
        <w:t>在承接设计任务期间应在30分钟内对项目采购人相关要求作出响应，3小时内到达项目服务地点，若累计3次以上未按上述要求及时响应的，采购人有权取消</w:t>
      </w:r>
      <w:r>
        <w:rPr>
          <w:rFonts w:hint="eastAsia" w:ascii="仿宋" w:hAnsi="仿宋" w:eastAsia="仿宋"/>
          <w:bCs/>
          <w:sz w:val="24"/>
          <w:szCs w:val="24"/>
          <w:lang w:eastAsia="zh-CN"/>
        </w:rPr>
        <w:t>成交供应商</w:t>
      </w:r>
      <w:r>
        <w:rPr>
          <w:rFonts w:hint="eastAsia" w:ascii="仿宋" w:hAnsi="仿宋" w:eastAsia="仿宋"/>
          <w:bCs/>
          <w:sz w:val="24"/>
          <w:szCs w:val="24"/>
        </w:rPr>
        <w:t>资格。</w:t>
      </w:r>
    </w:p>
    <w:p w14:paraId="19793FAC">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五</w:t>
      </w:r>
      <w:r>
        <w:rPr>
          <w:rFonts w:hint="eastAsia" w:ascii="仿宋" w:hAnsi="仿宋" w:eastAsia="仿宋"/>
          <w:b/>
          <w:bCs/>
          <w:sz w:val="24"/>
          <w:szCs w:val="24"/>
          <w:u w:val="none"/>
          <w:lang w:eastAsia="zh-CN"/>
        </w:rPr>
        <w:t>）</w:t>
      </w:r>
      <w:r>
        <w:rPr>
          <w:rFonts w:hint="eastAsia" w:ascii="仿宋" w:hAnsi="仿宋" w:eastAsia="仿宋"/>
          <w:b/>
          <w:bCs/>
          <w:sz w:val="24"/>
          <w:szCs w:val="24"/>
          <w:u w:val="none"/>
        </w:rPr>
        <w:t>验收</w:t>
      </w:r>
    </w:p>
    <w:p w14:paraId="63A2F13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 w:hAnsi="仿宋" w:eastAsia="仿宋"/>
          <w:b/>
          <w:bCs/>
          <w:sz w:val="24"/>
          <w:szCs w:val="24"/>
          <w:u w:val="single"/>
        </w:rPr>
      </w:pPr>
      <w:r>
        <w:rPr>
          <w:rFonts w:hint="eastAsia" w:ascii="仿宋" w:hAnsi="仿宋" w:eastAsia="仿宋" w:cs="仿宋"/>
          <w:sz w:val="24"/>
          <w:szCs w:val="24"/>
        </w:rPr>
        <w:t>严格遵循国家和行业质量验收相关规范、标准执行。</w:t>
      </w:r>
    </w:p>
    <w:p w14:paraId="6741D41E">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六</w:t>
      </w:r>
      <w:r>
        <w:rPr>
          <w:rFonts w:hint="eastAsia" w:ascii="仿宋" w:hAnsi="仿宋" w:eastAsia="仿宋"/>
          <w:b/>
          <w:bCs/>
          <w:sz w:val="24"/>
          <w:szCs w:val="24"/>
          <w:u w:val="none"/>
          <w:lang w:eastAsia="zh-CN"/>
        </w:rPr>
        <w:t>）</w:t>
      </w:r>
      <w:r>
        <w:rPr>
          <w:rFonts w:hint="eastAsia" w:ascii="仿宋" w:hAnsi="仿宋" w:eastAsia="仿宋"/>
          <w:b/>
          <w:bCs/>
          <w:sz w:val="24"/>
          <w:szCs w:val="24"/>
          <w:u w:val="none"/>
        </w:rPr>
        <w:t>项目成果</w:t>
      </w:r>
    </w:p>
    <w:p w14:paraId="6AAEF79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ascii="仿宋" w:hAnsi="仿宋" w:eastAsia="仿宋" w:cs="仿宋"/>
          <w:sz w:val="24"/>
          <w:szCs w:val="24"/>
        </w:rPr>
        <w:t>具体成果及数量按采购人实际要求为准。</w:t>
      </w:r>
    </w:p>
    <w:p w14:paraId="5AA52C96">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七</w:t>
      </w:r>
      <w:r>
        <w:rPr>
          <w:rFonts w:hint="eastAsia" w:ascii="仿宋" w:hAnsi="仿宋" w:eastAsia="仿宋"/>
          <w:b/>
          <w:bCs/>
          <w:sz w:val="24"/>
          <w:szCs w:val="24"/>
          <w:u w:val="none"/>
          <w:lang w:eastAsia="zh-CN"/>
        </w:rPr>
        <w:t>）</w:t>
      </w:r>
      <w:r>
        <w:rPr>
          <w:rFonts w:hint="eastAsia" w:ascii="仿宋" w:hAnsi="仿宋" w:eastAsia="仿宋"/>
          <w:b/>
          <w:bCs/>
          <w:sz w:val="24"/>
          <w:szCs w:val="24"/>
          <w:u w:val="none"/>
        </w:rPr>
        <w:t>报价要求</w:t>
      </w:r>
    </w:p>
    <w:p w14:paraId="53921A87">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本标项投标报价采用折扣方式报价；</w:t>
      </w:r>
      <w:r>
        <w:rPr>
          <w:rFonts w:hint="eastAsia" w:ascii="仿宋" w:hAnsi="仿宋" w:eastAsia="仿宋" w:cs="仿宋"/>
          <w:sz w:val="24"/>
          <w:szCs w:val="24"/>
          <w:u w:val="none"/>
        </w:rPr>
        <w:t>折扣报价上限为</w:t>
      </w:r>
      <w:r>
        <w:rPr>
          <w:rFonts w:hint="eastAsia" w:ascii="仿宋" w:hAnsi="仿宋" w:eastAsia="仿宋" w:cs="仿宋"/>
          <w:sz w:val="24"/>
          <w:szCs w:val="24"/>
          <w:u w:val="none"/>
          <w:lang w:eastAsia="zh-CN"/>
        </w:rPr>
        <w:t>70</w:t>
      </w:r>
      <w:r>
        <w:rPr>
          <w:rFonts w:hint="eastAsia" w:ascii="仿宋" w:hAnsi="仿宋" w:eastAsia="仿宋" w:cs="仿宋"/>
          <w:sz w:val="24"/>
          <w:szCs w:val="24"/>
          <w:u w:val="none"/>
        </w:rPr>
        <w:t>%，任何高于</w:t>
      </w:r>
      <w:r>
        <w:rPr>
          <w:rFonts w:hint="eastAsia" w:ascii="仿宋" w:hAnsi="仿宋" w:eastAsia="仿宋" w:cs="仿宋"/>
          <w:sz w:val="24"/>
          <w:szCs w:val="24"/>
          <w:u w:val="none"/>
          <w:lang w:eastAsia="zh-CN"/>
        </w:rPr>
        <w:t>70</w:t>
      </w:r>
      <w:r>
        <w:rPr>
          <w:rFonts w:hint="eastAsia" w:ascii="仿宋" w:hAnsi="仿宋" w:eastAsia="仿宋" w:cs="仿宋"/>
          <w:sz w:val="24"/>
          <w:szCs w:val="24"/>
          <w:u w:val="none"/>
        </w:rPr>
        <w:t>%的报价将被认定为无效报价，作无效投标处理</w:t>
      </w:r>
      <w:r>
        <w:rPr>
          <w:rFonts w:hint="eastAsia" w:ascii="仿宋" w:hAnsi="仿宋" w:eastAsia="仿宋" w:cs="仿宋"/>
          <w:sz w:val="24"/>
          <w:szCs w:val="24"/>
        </w:rPr>
        <w:t>。</w:t>
      </w:r>
    </w:p>
    <w:p w14:paraId="658AD922">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投标折扣</w:t>
      </w:r>
      <w:r>
        <w:rPr>
          <w:rFonts w:hint="eastAsia" w:ascii="仿宋" w:hAnsi="仿宋" w:eastAsia="仿宋"/>
          <w:sz w:val="24"/>
          <w:szCs w:val="24"/>
        </w:rPr>
        <w:t>在合同实施期间均保持不变，</w:t>
      </w:r>
      <w:r>
        <w:rPr>
          <w:rFonts w:hint="eastAsia" w:ascii="仿宋" w:hAnsi="仿宋" w:eastAsia="仿宋"/>
          <w:spacing w:val="-6"/>
          <w:sz w:val="24"/>
          <w:szCs w:val="24"/>
        </w:rPr>
        <w:t>报价包括履行本项目所有规定服务所产生的全部</w:t>
      </w:r>
      <w:r>
        <w:rPr>
          <w:rFonts w:hint="eastAsia" w:ascii="仿宋" w:hAnsi="仿宋" w:eastAsia="仿宋"/>
          <w:sz w:val="24"/>
          <w:szCs w:val="24"/>
        </w:rPr>
        <w:t>税金、利润和费用</w:t>
      </w:r>
      <w:r>
        <w:rPr>
          <w:rFonts w:hint="eastAsia" w:ascii="仿宋" w:hAnsi="仿宋" w:eastAsia="仿宋"/>
          <w:spacing w:val="-6"/>
          <w:sz w:val="24"/>
          <w:szCs w:val="24"/>
        </w:rPr>
        <w:t>，</w:t>
      </w:r>
      <w:r>
        <w:rPr>
          <w:rFonts w:hint="eastAsia" w:ascii="仿宋" w:hAnsi="仿宋" w:eastAsia="仿宋" w:cs="宋体"/>
          <w:sz w:val="24"/>
          <w:szCs w:val="24"/>
          <w:lang w:eastAsia="zh-CN"/>
        </w:rPr>
        <w:t>供应商</w:t>
      </w:r>
      <w:r>
        <w:rPr>
          <w:rFonts w:hint="eastAsia" w:ascii="仿宋" w:hAnsi="仿宋" w:eastAsia="仿宋" w:cs="宋体"/>
          <w:sz w:val="24"/>
          <w:szCs w:val="24"/>
        </w:rPr>
        <w:t>应充分考虑并将</w:t>
      </w:r>
      <w:r>
        <w:rPr>
          <w:rFonts w:hint="eastAsia" w:ascii="仿宋" w:hAnsi="仿宋" w:eastAsia="仿宋" w:cs="仿宋_GB2312"/>
          <w:sz w:val="24"/>
          <w:lang w:val="zh-CN"/>
        </w:rPr>
        <w:t>有关本项目实施所涉及的一切费用均计入报价。</w:t>
      </w:r>
    </w:p>
    <w:p w14:paraId="26F3A4E4">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八</w:t>
      </w:r>
      <w:r>
        <w:rPr>
          <w:rFonts w:hint="eastAsia" w:ascii="仿宋" w:hAnsi="仿宋" w:eastAsia="仿宋"/>
          <w:b/>
          <w:bCs/>
          <w:sz w:val="24"/>
          <w:szCs w:val="24"/>
          <w:u w:val="none"/>
          <w:lang w:eastAsia="zh-CN"/>
        </w:rPr>
        <w:t>）</w:t>
      </w:r>
      <w:r>
        <w:rPr>
          <w:rFonts w:hint="eastAsia" w:ascii="仿宋" w:hAnsi="仿宋" w:eastAsia="仿宋"/>
          <w:b/>
          <w:bCs/>
          <w:sz w:val="24"/>
          <w:szCs w:val="24"/>
          <w:u w:val="none"/>
        </w:rPr>
        <w:t>履约保证金、付款方式</w:t>
      </w:r>
    </w:p>
    <w:p w14:paraId="38B9D12C">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宋体"/>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w:t>
      </w:r>
      <w:r>
        <w:rPr>
          <w:rFonts w:hint="eastAsia" w:ascii="仿宋" w:hAnsi="仿宋" w:eastAsia="仿宋" w:cs="仿宋"/>
          <w:b/>
          <w:bCs/>
          <w:sz w:val="24"/>
          <w:szCs w:val="24"/>
        </w:rPr>
        <w:t>履约保证金</w:t>
      </w:r>
      <w:r>
        <w:rPr>
          <w:rFonts w:hint="eastAsia" w:ascii="仿宋" w:hAnsi="仿宋" w:eastAsia="仿宋" w:cs="仿宋"/>
          <w:b/>
          <w:bCs/>
          <w:sz w:val="24"/>
          <w:szCs w:val="24"/>
          <w:lang w:eastAsia="zh-CN"/>
        </w:rPr>
        <w:t>：</w:t>
      </w:r>
      <w:r>
        <w:rPr>
          <w:rFonts w:hint="eastAsia" w:ascii="仿宋" w:hAnsi="仿宋" w:eastAsia="仿宋" w:cs="宋体"/>
          <w:sz w:val="24"/>
          <w:szCs w:val="24"/>
        </w:rPr>
        <w:t>合同签订</w:t>
      </w:r>
      <w:r>
        <w:rPr>
          <w:rFonts w:hint="eastAsia" w:ascii="仿宋" w:hAnsi="仿宋" w:eastAsia="仿宋" w:cs="宋体"/>
          <w:sz w:val="24"/>
          <w:szCs w:val="24"/>
          <w:lang w:val="en-US" w:eastAsia="zh-CN"/>
        </w:rPr>
        <w:t>前</w:t>
      </w:r>
      <w:r>
        <w:rPr>
          <w:rFonts w:hint="eastAsia" w:ascii="仿宋" w:hAnsi="仿宋" w:eastAsia="仿宋" w:cs="宋体"/>
          <w:sz w:val="24"/>
          <w:szCs w:val="24"/>
        </w:rPr>
        <w:t>，</w:t>
      </w:r>
      <w:r>
        <w:rPr>
          <w:rFonts w:hint="eastAsia" w:ascii="仿宋" w:hAnsi="仿宋" w:eastAsia="仿宋" w:cs="宋体"/>
          <w:sz w:val="24"/>
          <w:szCs w:val="24"/>
          <w:lang w:eastAsia="zh-CN"/>
        </w:rPr>
        <w:t>成交供应商</w:t>
      </w:r>
      <w:r>
        <w:rPr>
          <w:rFonts w:hint="eastAsia" w:ascii="仿宋" w:hAnsi="仿宋" w:eastAsia="仿宋" w:cs="宋体"/>
          <w:sz w:val="24"/>
          <w:szCs w:val="24"/>
        </w:rPr>
        <w:t>须向采购人缴纳</w:t>
      </w:r>
      <w:r>
        <w:rPr>
          <w:rFonts w:hint="eastAsia" w:ascii="仿宋" w:hAnsi="仿宋" w:eastAsia="仿宋" w:cs="宋体"/>
          <w:sz w:val="24"/>
          <w:szCs w:val="24"/>
          <w:lang w:val="en-US" w:eastAsia="zh-CN"/>
        </w:rPr>
        <w:t>合同</w:t>
      </w:r>
      <w:r>
        <w:rPr>
          <w:rFonts w:hint="eastAsia" w:ascii="仿宋" w:hAnsi="仿宋" w:eastAsia="仿宋" w:cs="宋体"/>
          <w:sz w:val="24"/>
          <w:szCs w:val="24"/>
        </w:rPr>
        <w:t>金额的</w:t>
      </w:r>
      <w:r>
        <w:rPr>
          <w:rFonts w:hint="eastAsia" w:ascii="仿宋" w:hAnsi="仿宋" w:eastAsia="仿宋" w:cs="宋体"/>
          <w:bCs/>
          <w:sz w:val="24"/>
          <w:szCs w:val="24"/>
        </w:rPr>
        <w:t>1%</w:t>
      </w:r>
      <w:r>
        <w:rPr>
          <w:rFonts w:hint="eastAsia" w:ascii="仿宋" w:hAnsi="仿宋" w:eastAsia="仿宋" w:cs="宋体"/>
          <w:sz w:val="24"/>
          <w:szCs w:val="24"/>
        </w:rPr>
        <w:t>作为履约保证金，合同期满且无任何问题15天内退还（不计息）。</w:t>
      </w:r>
    </w:p>
    <w:p w14:paraId="061068E7">
      <w:pPr>
        <w:keepNext w:val="0"/>
        <w:keepLines w:val="0"/>
        <w:pageBreakBefore w:val="0"/>
        <w:widowControl w:val="0"/>
        <w:kinsoku/>
        <w:wordWrap/>
        <w:overflowPunct/>
        <w:topLinePunct w:val="0"/>
        <w:autoSpaceDE/>
        <w:autoSpaceDN/>
        <w:bidi w:val="0"/>
        <w:spacing w:line="420" w:lineRule="exact"/>
        <w:ind w:firstLine="480"/>
        <w:textAlignment w:val="auto"/>
        <w:rPr>
          <w:rFonts w:hint="eastAsia" w:ascii="仿宋" w:hAnsi="仿宋" w:eastAsia="仿宋" w:cs="宋体"/>
          <w:sz w:val="24"/>
          <w:szCs w:val="24"/>
          <w:lang w:eastAsia="zh-CN"/>
        </w:rPr>
      </w:pPr>
      <w:r>
        <w:rPr>
          <w:rFonts w:hint="eastAsia" w:ascii="仿宋" w:hAnsi="仿宋" w:eastAsia="仿宋" w:cs="宋体"/>
          <w:b/>
          <w:bCs/>
          <w:sz w:val="24"/>
          <w:szCs w:val="24"/>
        </w:rPr>
        <w:t>2</w:t>
      </w:r>
      <w:r>
        <w:rPr>
          <w:rFonts w:hint="eastAsia" w:ascii="仿宋" w:hAnsi="仿宋" w:eastAsia="仿宋" w:cs="宋体"/>
          <w:b/>
          <w:bCs/>
          <w:sz w:val="24"/>
          <w:szCs w:val="24"/>
          <w:lang w:eastAsia="zh-CN"/>
        </w:rPr>
        <w:t>、</w:t>
      </w:r>
      <w:r>
        <w:rPr>
          <w:rFonts w:hint="eastAsia" w:ascii="仿宋" w:hAnsi="仿宋" w:eastAsia="仿宋" w:cs="宋体"/>
          <w:b/>
          <w:bCs/>
          <w:sz w:val="24"/>
          <w:szCs w:val="24"/>
        </w:rPr>
        <w:t>付款方式</w:t>
      </w:r>
      <w:r>
        <w:rPr>
          <w:rFonts w:hint="eastAsia" w:ascii="仿宋" w:hAnsi="仿宋" w:eastAsia="仿宋" w:cs="宋体"/>
          <w:b/>
          <w:bCs/>
          <w:sz w:val="24"/>
          <w:szCs w:val="24"/>
          <w:lang w:eastAsia="zh-CN"/>
        </w:rPr>
        <w:t>：</w:t>
      </w:r>
    </w:p>
    <w:p w14:paraId="6CFBF738">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宋体"/>
          <w:sz w:val="24"/>
          <w:szCs w:val="24"/>
        </w:rPr>
      </w:pPr>
      <w:r>
        <w:rPr>
          <w:rFonts w:hint="eastAsia" w:ascii="仿宋" w:hAnsi="仿宋" w:eastAsia="仿宋" w:cs="宋体"/>
          <w:sz w:val="24"/>
          <w:szCs w:val="24"/>
        </w:rPr>
        <w:t>2.1设计费按《工程勘察设计收费标准》（2002年修订本）乘以中标折扣进行计取，所有项目设计费用不设最低价。</w:t>
      </w:r>
    </w:p>
    <w:p w14:paraId="2954ED8E">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宋体"/>
          <w:sz w:val="24"/>
          <w:szCs w:val="24"/>
        </w:rPr>
      </w:pPr>
      <w:r>
        <w:rPr>
          <w:rFonts w:hint="eastAsia" w:ascii="仿宋" w:hAnsi="仿宋" w:eastAsia="仿宋" w:cs="宋体"/>
          <w:sz w:val="24"/>
          <w:szCs w:val="24"/>
        </w:rPr>
        <w:t>2.2项目竣工验收后由</w:t>
      </w:r>
      <w:r>
        <w:rPr>
          <w:rFonts w:hint="eastAsia" w:ascii="仿宋" w:hAnsi="仿宋" w:eastAsia="仿宋" w:cs="宋体"/>
          <w:sz w:val="24"/>
          <w:szCs w:val="24"/>
          <w:lang w:eastAsia="zh-CN"/>
        </w:rPr>
        <w:t>成交供应商</w:t>
      </w:r>
      <w:r>
        <w:rPr>
          <w:rFonts w:hint="eastAsia" w:ascii="仿宋" w:hAnsi="仿宋" w:eastAsia="仿宋" w:cs="宋体"/>
          <w:sz w:val="24"/>
          <w:szCs w:val="24"/>
        </w:rPr>
        <w:t>出具费用结算清单及正式的税务发票，</w:t>
      </w:r>
      <w:r>
        <w:rPr>
          <w:rFonts w:hint="eastAsia" w:ascii="仿宋" w:hAnsi="仿宋" w:eastAsia="仿宋" w:cs="宋体"/>
          <w:sz w:val="24"/>
          <w:szCs w:val="24"/>
          <w:lang w:val="en-US" w:eastAsia="zh-CN"/>
        </w:rPr>
        <w:t>采购人</w:t>
      </w:r>
      <w:r>
        <w:rPr>
          <w:rFonts w:hint="eastAsia" w:ascii="仿宋" w:hAnsi="仿宋" w:eastAsia="仿宋" w:cs="宋体"/>
          <w:sz w:val="24"/>
          <w:szCs w:val="24"/>
        </w:rPr>
        <w:t>审核无异议后15个工作日内支付。</w:t>
      </w:r>
    </w:p>
    <w:p w14:paraId="5537185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b/>
          <w:color w:val="auto"/>
          <w:sz w:val="36"/>
          <w:szCs w:val="36"/>
        </w:rPr>
      </w:pPr>
      <w:r>
        <w:rPr>
          <w:rFonts w:ascii="仿宋" w:hAnsi="仿宋" w:eastAsia="仿宋" w:cs="仿宋_GB2312"/>
          <w:kern w:val="16"/>
          <w:sz w:val="24"/>
        </w:rPr>
        <w:t>注：支付前</w:t>
      </w:r>
      <w:r>
        <w:rPr>
          <w:rFonts w:hint="eastAsia" w:ascii="仿宋" w:hAnsi="仿宋" w:eastAsia="仿宋" w:cs="仿宋_GB2312"/>
          <w:kern w:val="16"/>
          <w:sz w:val="24"/>
          <w:lang w:eastAsia="zh-CN"/>
        </w:rPr>
        <w:t>成交供应商</w:t>
      </w:r>
      <w:r>
        <w:rPr>
          <w:rFonts w:ascii="仿宋" w:hAnsi="仿宋" w:eastAsia="仿宋" w:cs="仿宋_GB2312"/>
          <w:kern w:val="16"/>
          <w:sz w:val="24"/>
        </w:rPr>
        <w:t>需根据采购人要求</w:t>
      </w:r>
      <w:r>
        <w:rPr>
          <w:rFonts w:hint="eastAsia" w:ascii="仿宋" w:hAnsi="仿宋" w:eastAsia="仿宋" w:cs="仿宋_GB2312"/>
          <w:kern w:val="16"/>
          <w:sz w:val="24"/>
        </w:rPr>
        <w:t>提供结算清单及正式的税务发票</w:t>
      </w:r>
      <w:r>
        <w:rPr>
          <w:rFonts w:ascii="仿宋" w:hAnsi="仿宋" w:eastAsia="仿宋" w:cs="仿宋_GB2312"/>
          <w:kern w:val="16"/>
          <w:sz w:val="24"/>
        </w:rPr>
        <w:t>，</w:t>
      </w:r>
      <w:r>
        <w:rPr>
          <w:rFonts w:hint="eastAsia" w:ascii="仿宋" w:hAnsi="仿宋" w:eastAsia="仿宋" w:cs="仿宋_GB2312"/>
          <w:kern w:val="16"/>
          <w:sz w:val="24"/>
        </w:rPr>
        <w:t>因未按要求提供结算清单及正式的税务发票而引起的延迟付款由</w:t>
      </w:r>
      <w:r>
        <w:rPr>
          <w:rFonts w:hint="eastAsia" w:ascii="仿宋" w:hAnsi="仿宋" w:eastAsia="仿宋" w:cs="仿宋_GB2312"/>
          <w:kern w:val="16"/>
          <w:sz w:val="24"/>
          <w:lang w:eastAsia="zh-CN"/>
        </w:rPr>
        <w:t>成交供应商</w:t>
      </w:r>
      <w:r>
        <w:rPr>
          <w:rFonts w:hint="eastAsia" w:ascii="仿宋" w:hAnsi="仿宋" w:eastAsia="仿宋" w:cs="仿宋_GB2312"/>
          <w:kern w:val="16"/>
          <w:sz w:val="24"/>
        </w:rPr>
        <w:t>自行承担责任</w:t>
      </w:r>
      <w:r>
        <w:rPr>
          <w:rFonts w:ascii="仿宋" w:hAnsi="仿宋" w:eastAsia="仿宋" w:cs="仿宋_GB2312"/>
          <w:kern w:val="16"/>
          <w:sz w:val="24"/>
        </w:rPr>
        <w:t>；</w:t>
      </w:r>
      <w:r>
        <w:rPr>
          <w:rFonts w:hint="eastAsia" w:ascii="仿宋" w:hAnsi="仿宋" w:eastAsia="仿宋" w:cs="宋体"/>
          <w:sz w:val="24"/>
          <w:szCs w:val="24"/>
        </w:rPr>
        <w:t>以上付款时间是指采购人完成向财政部门申报支付手续的时间，因财政部门资金申报、审查、拨付造成的支付时间延误的，不视为采购人违约。</w:t>
      </w:r>
    </w:p>
    <w:p w14:paraId="01BB4294">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（九）最高限价</w:t>
      </w:r>
    </w:p>
    <w:p w14:paraId="28E40211">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val="0"/>
          <w:sz w:val="24"/>
        </w:rPr>
      </w:pPr>
      <w:r>
        <w:rPr>
          <w:rFonts w:hint="eastAsia" w:ascii="仿宋" w:hAnsi="仿宋" w:eastAsia="仿宋" w:cs="仿宋"/>
          <w:b/>
          <w:bCs w:val="0"/>
          <w:sz w:val="24"/>
          <w:highlight w:val="none"/>
        </w:rPr>
        <w:t>本项目按折扣招标，具体数量按实结算，最高折扣限价为</w:t>
      </w:r>
      <w:r>
        <w:rPr>
          <w:rFonts w:hint="eastAsia" w:ascii="仿宋" w:hAnsi="仿宋" w:eastAsia="仿宋" w:cs="仿宋"/>
          <w:b/>
          <w:bCs w:val="0"/>
          <w:sz w:val="24"/>
          <w:highlight w:val="none"/>
          <w:lang w:val="en-US" w:eastAsia="zh-CN"/>
        </w:rPr>
        <w:t>70.00</w:t>
      </w:r>
      <w:r>
        <w:rPr>
          <w:rFonts w:hint="eastAsia" w:ascii="仿宋" w:hAnsi="仿宋" w:eastAsia="仿宋" w:cs="仿宋"/>
          <w:b/>
          <w:bCs w:val="0"/>
          <w:sz w:val="24"/>
          <w:highlight w:val="none"/>
        </w:rPr>
        <w:t>%，任何超过最高限价的报价将被认定为无效报价，报价包含了与本项目设计服务相关的一切费用</w:t>
      </w:r>
      <w:r>
        <w:rPr>
          <w:rFonts w:hint="eastAsia" w:ascii="仿宋" w:hAnsi="仿宋" w:eastAsia="仿宋" w:cs="仿宋"/>
          <w:b/>
          <w:bCs w:val="0"/>
          <w:sz w:val="24"/>
        </w:rPr>
        <w:t>。</w:t>
      </w:r>
    </w:p>
    <w:p w14:paraId="78AC2CC6">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val="0"/>
          <w:sz w:val="36"/>
          <w:szCs w:val="36"/>
        </w:rPr>
      </w:pPr>
      <w:r>
        <w:rPr>
          <w:rFonts w:hint="eastAsia" w:ascii="仿宋" w:hAnsi="仿宋" w:eastAsia="仿宋" w:cs="仿宋"/>
          <w:b/>
          <w:bCs w:val="0"/>
          <w:sz w:val="24"/>
          <w:u w:val="single"/>
        </w:rPr>
        <w:t>最高合同金额为人民币</w:t>
      </w:r>
      <w:r>
        <w:rPr>
          <w:rFonts w:hint="eastAsia" w:ascii="仿宋" w:hAnsi="仿宋" w:eastAsia="仿宋" w:cs="仿宋"/>
          <w:b/>
          <w:bCs w:val="0"/>
          <w:sz w:val="24"/>
          <w:u w:val="single"/>
          <w:lang w:val="en-US" w:eastAsia="zh-CN"/>
        </w:rPr>
        <w:t>叁拾万</w:t>
      </w:r>
      <w:r>
        <w:rPr>
          <w:rFonts w:hint="eastAsia" w:ascii="仿宋" w:hAnsi="仿宋" w:eastAsia="仿宋" w:cs="仿宋"/>
          <w:b/>
          <w:bCs w:val="0"/>
          <w:sz w:val="24"/>
          <w:u w:val="single"/>
        </w:rPr>
        <w:t>元整（¥</w:t>
      </w:r>
      <w:r>
        <w:rPr>
          <w:rFonts w:hint="eastAsia" w:ascii="仿宋" w:hAnsi="仿宋" w:eastAsia="仿宋" w:cs="仿宋"/>
          <w:b/>
          <w:bCs w:val="0"/>
          <w:sz w:val="24"/>
          <w:u w:val="single"/>
          <w:lang w:val="en-US" w:eastAsia="zh-CN"/>
        </w:rPr>
        <w:t>300000</w:t>
      </w:r>
      <w:r>
        <w:rPr>
          <w:rFonts w:hint="eastAsia" w:ascii="仿宋" w:hAnsi="仿宋" w:eastAsia="仿宋" w:cs="仿宋"/>
          <w:b/>
          <w:bCs w:val="0"/>
          <w:sz w:val="24"/>
          <w:u w:val="single"/>
        </w:rPr>
        <w:t>.00）</w:t>
      </w:r>
      <w:r>
        <w:rPr>
          <w:rFonts w:hint="eastAsia" w:ascii="仿宋" w:hAnsi="仿宋" w:eastAsia="仿宋" w:cs="仿宋"/>
          <w:b/>
          <w:bCs w:val="0"/>
          <w:sz w:val="24"/>
        </w:rPr>
        <w:t>。</w:t>
      </w:r>
    </w:p>
    <w:p w14:paraId="6D07046D">
      <w:pPr>
        <w:widowControl/>
        <w:autoSpaceDE/>
        <w:autoSpaceDN/>
        <w:adjustRightInd/>
        <w:spacing w:line="420" w:lineRule="exact"/>
        <w:ind w:firstLine="420" w:firstLineChars="200"/>
        <w:jc w:val="left"/>
        <w:rPr>
          <w:rFonts w:hint="default"/>
          <w:color w:val="auto"/>
          <w:lang w:val="en-US" w:eastAsia="zh-CN"/>
        </w:rPr>
      </w:pPr>
    </w:p>
    <w:sectPr>
      <w:headerReference r:id="rId6" w:type="default"/>
      <w:footerReference r:id="rId7" w:type="default"/>
      <w:pgSz w:w="11906" w:h="16838"/>
      <w:pgMar w:top="1236" w:right="1247" w:bottom="1236"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w:altName w:val="Times New Roman"/>
    <w:panose1 w:val="0204060405050502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DA52">
    <w:pPr>
      <w:pStyle w:val="18"/>
      <w:jc w:val="center"/>
    </w:pPr>
  </w:p>
  <w:p w14:paraId="3C11237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8E15">
    <w:pPr>
      <w:pStyle w:val="18"/>
      <w:jc w:val="center"/>
    </w:pPr>
  </w:p>
  <w:p w14:paraId="5948A118">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224A">
    <w:pPr>
      <w:pStyle w:val="18"/>
      <w:tabs>
        <w:tab w:val="left" w:pos="5051"/>
        <w:tab w:val="clear" w:pos="4153"/>
      </w:tabs>
      <w:ind w:right="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69BE3">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29069BE3">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E8EC">
    <w:pPr>
      <w:pStyle w:val="19"/>
      <w:rPr>
        <w:rFonts w:hint="eastAsia" w:ascii="宋体" w:hAnsi="宋体" w:eastAsia="宋体" w:cs="宋体"/>
        <w:sz w:val="21"/>
        <w:szCs w:val="21"/>
      </w:rPr>
    </w:pPr>
    <w:r>
      <w:rPr>
        <w:rFonts w:hint="eastAsia" w:ascii="宋体" w:hAnsi="宋体" w:eastAsia="宋体" w:cs="宋体"/>
        <w:sz w:val="21"/>
        <w:szCs w:val="21"/>
      </w:rPr>
      <w:t>诸暨市宸佳工程管理有限公司采购要素文件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5CE2">
    <w:pPr>
      <w:pStyle w:val="19"/>
      <w:rPr>
        <w:rFonts w:hint="eastAsia" w:ascii="宋体" w:hAnsi="宋体" w:eastAsia="宋体" w:cs="宋体"/>
        <w:sz w:val="21"/>
        <w:szCs w:val="21"/>
      </w:rPr>
    </w:pPr>
    <w:r>
      <w:rPr>
        <w:rFonts w:hint="eastAsia" w:ascii="宋体" w:hAnsi="宋体" w:eastAsia="宋体" w:cs="宋体"/>
        <w:sz w:val="21"/>
        <w:szCs w:val="21"/>
      </w:rPr>
      <w:t>诸暨市宸佳工程管理有限公司采购要素文件</w:t>
    </w:r>
  </w:p>
  <w:p w14:paraId="2241E1B3">
    <w:pPr>
      <w:pStyle w:val="19"/>
      <w:pBdr>
        <w:bottom w:val="none" w:color="auto" w:sz="0" w:space="0"/>
      </w:pBdr>
      <w:rPr>
        <w:rFonts w:hint="eastAsia"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61FC5"/>
    <w:multiLevelType w:val="singleLevel"/>
    <w:tmpl w:val="CB161FC5"/>
    <w:lvl w:ilvl="0" w:tentative="0">
      <w:start w:val="1"/>
      <w:numFmt w:val="chineseCounting"/>
      <w:suff w:val="nothing"/>
      <w:lvlText w:val="%1、"/>
      <w:lvlJc w:val="left"/>
      <w:rPr>
        <w:rFonts w:hint="eastAsia"/>
      </w:rPr>
    </w:lvl>
  </w:abstractNum>
  <w:abstractNum w:abstractNumId="1">
    <w:nsid w:val="D595E0FD"/>
    <w:multiLevelType w:val="singleLevel"/>
    <w:tmpl w:val="D595E0FD"/>
    <w:lvl w:ilvl="0" w:tentative="0">
      <w:start w:val="1"/>
      <w:numFmt w:val="decimal"/>
      <w:pStyle w:val="6"/>
      <w:lvlText w:val="%1."/>
      <w:lvlJc w:val="left"/>
      <w:pPr>
        <w:tabs>
          <w:tab w:val="left" w:pos="360"/>
        </w:tabs>
        <w:ind w:left="360" w:hanging="360"/>
      </w:pPr>
    </w:lvl>
  </w:abstractNum>
  <w:abstractNum w:abstractNumId="2">
    <w:nsid w:val="00000000"/>
    <w:multiLevelType w:val="multilevel"/>
    <w:tmpl w:val="00000000"/>
    <w:lvl w:ilvl="0" w:tentative="0">
      <w:start w:val="1"/>
      <w:numFmt w:val="decimal"/>
      <w:pStyle w:val="5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01"/>
    <w:multiLevelType w:val="multilevel"/>
    <w:tmpl w:val="00000001"/>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67"/>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00000002"/>
    <w:multiLevelType w:val="singleLevel"/>
    <w:tmpl w:val="00000002"/>
    <w:lvl w:ilvl="0" w:tentative="0">
      <w:start w:val="1"/>
      <w:numFmt w:val="decimal"/>
      <w:pStyle w:val="14"/>
      <w:lvlText w:val="%1."/>
      <w:lvlJc w:val="left"/>
      <w:pPr>
        <w:tabs>
          <w:tab w:val="left" w:pos="1200"/>
        </w:tabs>
        <w:ind w:left="120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B866983"/>
    <w:rsid w:val="000D3C7F"/>
    <w:rsid w:val="00144938"/>
    <w:rsid w:val="00315BF5"/>
    <w:rsid w:val="003C0401"/>
    <w:rsid w:val="00424EA3"/>
    <w:rsid w:val="00652195"/>
    <w:rsid w:val="006553C5"/>
    <w:rsid w:val="00836A07"/>
    <w:rsid w:val="0094398B"/>
    <w:rsid w:val="009A7373"/>
    <w:rsid w:val="00A06B6D"/>
    <w:rsid w:val="00B2640A"/>
    <w:rsid w:val="00C7343A"/>
    <w:rsid w:val="00D227EA"/>
    <w:rsid w:val="00D31C19"/>
    <w:rsid w:val="00D93454"/>
    <w:rsid w:val="00DA45EC"/>
    <w:rsid w:val="00EC5B5A"/>
    <w:rsid w:val="014028DB"/>
    <w:rsid w:val="01424D98"/>
    <w:rsid w:val="0189021D"/>
    <w:rsid w:val="01DC7E4F"/>
    <w:rsid w:val="02A42670"/>
    <w:rsid w:val="030F7077"/>
    <w:rsid w:val="039E15CC"/>
    <w:rsid w:val="03AA73D4"/>
    <w:rsid w:val="043313F4"/>
    <w:rsid w:val="045F11F9"/>
    <w:rsid w:val="04750A55"/>
    <w:rsid w:val="049525BD"/>
    <w:rsid w:val="049F65CF"/>
    <w:rsid w:val="04A10ECD"/>
    <w:rsid w:val="04AC558B"/>
    <w:rsid w:val="04B443CB"/>
    <w:rsid w:val="04EF1AD4"/>
    <w:rsid w:val="05773687"/>
    <w:rsid w:val="05816FE5"/>
    <w:rsid w:val="059B5DCD"/>
    <w:rsid w:val="059D74F7"/>
    <w:rsid w:val="05AF76AE"/>
    <w:rsid w:val="05D11D1B"/>
    <w:rsid w:val="05FE4E3E"/>
    <w:rsid w:val="063C58C8"/>
    <w:rsid w:val="06B73228"/>
    <w:rsid w:val="06D47C35"/>
    <w:rsid w:val="06ED645A"/>
    <w:rsid w:val="071C6568"/>
    <w:rsid w:val="072061EE"/>
    <w:rsid w:val="0756268B"/>
    <w:rsid w:val="08283748"/>
    <w:rsid w:val="083A1F2B"/>
    <w:rsid w:val="08664804"/>
    <w:rsid w:val="089537EA"/>
    <w:rsid w:val="09244C7B"/>
    <w:rsid w:val="093261C8"/>
    <w:rsid w:val="09684618"/>
    <w:rsid w:val="09AB0AD5"/>
    <w:rsid w:val="09CB4843"/>
    <w:rsid w:val="0A1C68D5"/>
    <w:rsid w:val="0A522B7B"/>
    <w:rsid w:val="0A6025D0"/>
    <w:rsid w:val="0ABA1E84"/>
    <w:rsid w:val="0AF3096D"/>
    <w:rsid w:val="0B353DB6"/>
    <w:rsid w:val="0B540CD3"/>
    <w:rsid w:val="0B7F2C90"/>
    <w:rsid w:val="0B866983"/>
    <w:rsid w:val="0BB85309"/>
    <w:rsid w:val="0C046E83"/>
    <w:rsid w:val="0C255F57"/>
    <w:rsid w:val="0C5E13E0"/>
    <w:rsid w:val="0C5F7261"/>
    <w:rsid w:val="0C6135B9"/>
    <w:rsid w:val="0D302659"/>
    <w:rsid w:val="0D42494F"/>
    <w:rsid w:val="0D4E59FF"/>
    <w:rsid w:val="0D891309"/>
    <w:rsid w:val="0D9F5915"/>
    <w:rsid w:val="0DC6347A"/>
    <w:rsid w:val="0DF8167C"/>
    <w:rsid w:val="0E162E85"/>
    <w:rsid w:val="0E921F3A"/>
    <w:rsid w:val="0EB236F4"/>
    <w:rsid w:val="0ECC797F"/>
    <w:rsid w:val="0F3845C8"/>
    <w:rsid w:val="0F9A4F2B"/>
    <w:rsid w:val="0FB32491"/>
    <w:rsid w:val="0FDA488D"/>
    <w:rsid w:val="10016618"/>
    <w:rsid w:val="1021134F"/>
    <w:rsid w:val="10A062EA"/>
    <w:rsid w:val="10AE34B4"/>
    <w:rsid w:val="10C314BD"/>
    <w:rsid w:val="10CA0562"/>
    <w:rsid w:val="113D4C3F"/>
    <w:rsid w:val="117417AC"/>
    <w:rsid w:val="121A0CAB"/>
    <w:rsid w:val="12D82725"/>
    <w:rsid w:val="1311032E"/>
    <w:rsid w:val="13667A48"/>
    <w:rsid w:val="13863A69"/>
    <w:rsid w:val="13972906"/>
    <w:rsid w:val="139859AB"/>
    <w:rsid w:val="13C7650B"/>
    <w:rsid w:val="13F80B52"/>
    <w:rsid w:val="14780201"/>
    <w:rsid w:val="14947AFB"/>
    <w:rsid w:val="14B22D17"/>
    <w:rsid w:val="14B53341"/>
    <w:rsid w:val="14BE790E"/>
    <w:rsid w:val="14F670A8"/>
    <w:rsid w:val="14F677A8"/>
    <w:rsid w:val="155A041D"/>
    <w:rsid w:val="15770AE9"/>
    <w:rsid w:val="15886E67"/>
    <w:rsid w:val="15B57D93"/>
    <w:rsid w:val="165A3666"/>
    <w:rsid w:val="169A7825"/>
    <w:rsid w:val="16C13E0A"/>
    <w:rsid w:val="16ED510D"/>
    <w:rsid w:val="174A36DB"/>
    <w:rsid w:val="17B52034"/>
    <w:rsid w:val="17B71316"/>
    <w:rsid w:val="17EE1542"/>
    <w:rsid w:val="189D783A"/>
    <w:rsid w:val="193951E7"/>
    <w:rsid w:val="1970498E"/>
    <w:rsid w:val="19B4308D"/>
    <w:rsid w:val="19BB266E"/>
    <w:rsid w:val="19EA6083"/>
    <w:rsid w:val="1A1F435C"/>
    <w:rsid w:val="1A601E3C"/>
    <w:rsid w:val="1A64341E"/>
    <w:rsid w:val="1A7A7E5C"/>
    <w:rsid w:val="1A8011C2"/>
    <w:rsid w:val="1AB85FB0"/>
    <w:rsid w:val="1AC63078"/>
    <w:rsid w:val="1ACD2659"/>
    <w:rsid w:val="1AF31DA5"/>
    <w:rsid w:val="1AF7786B"/>
    <w:rsid w:val="1B733CCE"/>
    <w:rsid w:val="1B754311"/>
    <w:rsid w:val="1B756B4E"/>
    <w:rsid w:val="1C202158"/>
    <w:rsid w:val="1C691F81"/>
    <w:rsid w:val="1C906977"/>
    <w:rsid w:val="1CC014D3"/>
    <w:rsid w:val="1D3A55EB"/>
    <w:rsid w:val="1D5050EB"/>
    <w:rsid w:val="1D5645B6"/>
    <w:rsid w:val="1D610362"/>
    <w:rsid w:val="1DC3554C"/>
    <w:rsid w:val="1DDE33ED"/>
    <w:rsid w:val="1E237BE7"/>
    <w:rsid w:val="1E81650C"/>
    <w:rsid w:val="1E8412C6"/>
    <w:rsid w:val="1E85149C"/>
    <w:rsid w:val="1EFF3E71"/>
    <w:rsid w:val="1F297FCA"/>
    <w:rsid w:val="1F4B6242"/>
    <w:rsid w:val="1F4D3D68"/>
    <w:rsid w:val="1F634696"/>
    <w:rsid w:val="1FE826AB"/>
    <w:rsid w:val="20A21226"/>
    <w:rsid w:val="20AC4FFF"/>
    <w:rsid w:val="21354BDD"/>
    <w:rsid w:val="218A57AF"/>
    <w:rsid w:val="22034BB2"/>
    <w:rsid w:val="2279049E"/>
    <w:rsid w:val="22B066AC"/>
    <w:rsid w:val="22C429E7"/>
    <w:rsid w:val="2366764B"/>
    <w:rsid w:val="23695816"/>
    <w:rsid w:val="238503DD"/>
    <w:rsid w:val="23B5012E"/>
    <w:rsid w:val="23E623D9"/>
    <w:rsid w:val="23F7096A"/>
    <w:rsid w:val="241C3434"/>
    <w:rsid w:val="245D4732"/>
    <w:rsid w:val="2516191C"/>
    <w:rsid w:val="2557160A"/>
    <w:rsid w:val="255D282B"/>
    <w:rsid w:val="2581740A"/>
    <w:rsid w:val="25DF154D"/>
    <w:rsid w:val="26843677"/>
    <w:rsid w:val="26BA332E"/>
    <w:rsid w:val="26C75CDF"/>
    <w:rsid w:val="26DA1227"/>
    <w:rsid w:val="270218C6"/>
    <w:rsid w:val="270D202F"/>
    <w:rsid w:val="272E0923"/>
    <w:rsid w:val="273A2F28"/>
    <w:rsid w:val="274079DC"/>
    <w:rsid w:val="276C144B"/>
    <w:rsid w:val="2799500F"/>
    <w:rsid w:val="28041684"/>
    <w:rsid w:val="280D7C44"/>
    <w:rsid w:val="28840E74"/>
    <w:rsid w:val="28B549CD"/>
    <w:rsid w:val="28D74BA3"/>
    <w:rsid w:val="28FE0A96"/>
    <w:rsid w:val="290060A6"/>
    <w:rsid w:val="2914136F"/>
    <w:rsid w:val="29627EB4"/>
    <w:rsid w:val="29DD3B05"/>
    <w:rsid w:val="2A1E3F76"/>
    <w:rsid w:val="2A46683F"/>
    <w:rsid w:val="2A7D4E88"/>
    <w:rsid w:val="2A983A74"/>
    <w:rsid w:val="2AAB3408"/>
    <w:rsid w:val="2B2F07C6"/>
    <w:rsid w:val="2B547FCD"/>
    <w:rsid w:val="2B905F7A"/>
    <w:rsid w:val="2BB12875"/>
    <w:rsid w:val="2BE27F2E"/>
    <w:rsid w:val="2BF51A0F"/>
    <w:rsid w:val="2C04468E"/>
    <w:rsid w:val="2C36731D"/>
    <w:rsid w:val="2C5461C7"/>
    <w:rsid w:val="2C7238E6"/>
    <w:rsid w:val="2C8C000B"/>
    <w:rsid w:val="2CB74F17"/>
    <w:rsid w:val="2CE542FE"/>
    <w:rsid w:val="2CEC01C2"/>
    <w:rsid w:val="2CEE369C"/>
    <w:rsid w:val="2D8E4D9B"/>
    <w:rsid w:val="2D9827FA"/>
    <w:rsid w:val="2DBA5021"/>
    <w:rsid w:val="2DC31A33"/>
    <w:rsid w:val="2E0629C2"/>
    <w:rsid w:val="2E1C520C"/>
    <w:rsid w:val="2E942599"/>
    <w:rsid w:val="2E9E04C0"/>
    <w:rsid w:val="2EBA6133"/>
    <w:rsid w:val="2EC96E86"/>
    <w:rsid w:val="2F083808"/>
    <w:rsid w:val="2F261365"/>
    <w:rsid w:val="2F4F4BF5"/>
    <w:rsid w:val="2FCD5520"/>
    <w:rsid w:val="300633DF"/>
    <w:rsid w:val="303659AA"/>
    <w:rsid w:val="303C3610"/>
    <w:rsid w:val="30452D1C"/>
    <w:rsid w:val="306E3B3E"/>
    <w:rsid w:val="30BB0C62"/>
    <w:rsid w:val="30C2441E"/>
    <w:rsid w:val="315F3043"/>
    <w:rsid w:val="316567D8"/>
    <w:rsid w:val="31794A44"/>
    <w:rsid w:val="31841701"/>
    <w:rsid w:val="31A737AC"/>
    <w:rsid w:val="31DD1C95"/>
    <w:rsid w:val="31E9544A"/>
    <w:rsid w:val="32531D24"/>
    <w:rsid w:val="32773E91"/>
    <w:rsid w:val="32806ADE"/>
    <w:rsid w:val="32857243"/>
    <w:rsid w:val="32D00AE0"/>
    <w:rsid w:val="32FF52D5"/>
    <w:rsid w:val="331210F9"/>
    <w:rsid w:val="3341543E"/>
    <w:rsid w:val="33536440"/>
    <w:rsid w:val="336500C4"/>
    <w:rsid w:val="3365436E"/>
    <w:rsid w:val="349D49F2"/>
    <w:rsid w:val="352F5C2B"/>
    <w:rsid w:val="35545734"/>
    <w:rsid w:val="356A7B49"/>
    <w:rsid w:val="35747E71"/>
    <w:rsid w:val="358E513C"/>
    <w:rsid w:val="35A04DD9"/>
    <w:rsid w:val="35B00755"/>
    <w:rsid w:val="35B57E04"/>
    <w:rsid w:val="36740C02"/>
    <w:rsid w:val="368D57B6"/>
    <w:rsid w:val="3695175A"/>
    <w:rsid w:val="36C556E2"/>
    <w:rsid w:val="36EF34FF"/>
    <w:rsid w:val="37732382"/>
    <w:rsid w:val="37757AC5"/>
    <w:rsid w:val="37AF23FC"/>
    <w:rsid w:val="37C1055A"/>
    <w:rsid w:val="37C56FEC"/>
    <w:rsid w:val="37CA561C"/>
    <w:rsid w:val="381535C3"/>
    <w:rsid w:val="38D81B5A"/>
    <w:rsid w:val="39364FB6"/>
    <w:rsid w:val="39572C33"/>
    <w:rsid w:val="39A62258"/>
    <w:rsid w:val="39EF2740"/>
    <w:rsid w:val="39F32F94"/>
    <w:rsid w:val="3A3A411E"/>
    <w:rsid w:val="3B0D607B"/>
    <w:rsid w:val="3B23472E"/>
    <w:rsid w:val="3B5276C4"/>
    <w:rsid w:val="3B55117D"/>
    <w:rsid w:val="3BBD5F71"/>
    <w:rsid w:val="3C483740"/>
    <w:rsid w:val="3C6D114E"/>
    <w:rsid w:val="3CA728A4"/>
    <w:rsid w:val="3D0A2E41"/>
    <w:rsid w:val="3D625B7C"/>
    <w:rsid w:val="3D876D59"/>
    <w:rsid w:val="3DB03E61"/>
    <w:rsid w:val="3DDD34D6"/>
    <w:rsid w:val="3E042F22"/>
    <w:rsid w:val="3E057DD2"/>
    <w:rsid w:val="3E57313A"/>
    <w:rsid w:val="3EAA2A7A"/>
    <w:rsid w:val="3EBC016B"/>
    <w:rsid w:val="3EE6168C"/>
    <w:rsid w:val="3EE85C79"/>
    <w:rsid w:val="3F1340AC"/>
    <w:rsid w:val="3F6A5E19"/>
    <w:rsid w:val="3F9A4950"/>
    <w:rsid w:val="3F9D3EC4"/>
    <w:rsid w:val="3FA330D9"/>
    <w:rsid w:val="3FAB300F"/>
    <w:rsid w:val="3FAF7C65"/>
    <w:rsid w:val="40B7471D"/>
    <w:rsid w:val="40CD0934"/>
    <w:rsid w:val="40DE7B8B"/>
    <w:rsid w:val="40DF6392"/>
    <w:rsid w:val="417314BA"/>
    <w:rsid w:val="417F497B"/>
    <w:rsid w:val="420A5521"/>
    <w:rsid w:val="42427EF4"/>
    <w:rsid w:val="42733338"/>
    <w:rsid w:val="42A2370B"/>
    <w:rsid w:val="42CD6DEA"/>
    <w:rsid w:val="42F238F2"/>
    <w:rsid w:val="432E265D"/>
    <w:rsid w:val="43513EFC"/>
    <w:rsid w:val="438A5AEF"/>
    <w:rsid w:val="44061F0A"/>
    <w:rsid w:val="440B4E4B"/>
    <w:rsid w:val="440F6DC5"/>
    <w:rsid w:val="443F5AC6"/>
    <w:rsid w:val="444C6E1C"/>
    <w:rsid w:val="44580936"/>
    <w:rsid w:val="451A074A"/>
    <w:rsid w:val="45E4064C"/>
    <w:rsid w:val="461E5753"/>
    <w:rsid w:val="46A676CF"/>
    <w:rsid w:val="46E0403D"/>
    <w:rsid w:val="472B67C3"/>
    <w:rsid w:val="479E4324"/>
    <w:rsid w:val="47E856D7"/>
    <w:rsid w:val="48432720"/>
    <w:rsid w:val="488E4ABD"/>
    <w:rsid w:val="48C93BD4"/>
    <w:rsid w:val="49010A0D"/>
    <w:rsid w:val="49301E81"/>
    <w:rsid w:val="49724563"/>
    <w:rsid w:val="49755C46"/>
    <w:rsid w:val="498707CA"/>
    <w:rsid w:val="498F638C"/>
    <w:rsid w:val="49C26C25"/>
    <w:rsid w:val="49D46CB0"/>
    <w:rsid w:val="49F9466E"/>
    <w:rsid w:val="4A081D25"/>
    <w:rsid w:val="4A156FFB"/>
    <w:rsid w:val="4A1E0625"/>
    <w:rsid w:val="4A250F4B"/>
    <w:rsid w:val="4A631B54"/>
    <w:rsid w:val="4AF6175C"/>
    <w:rsid w:val="4AFB201B"/>
    <w:rsid w:val="4B0C6ADE"/>
    <w:rsid w:val="4B3E1F9C"/>
    <w:rsid w:val="4C1911C5"/>
    <w:rsid w:val="4C270F45"/>
    <w:rsid w:val="4C6820C8"/>
    <w:rsid w:val="4C757679"/>
    <w:rsid w:val="4CAD39C5"/>
    <w:rsid w:val="4CB86415"/>
    <w:rsid w:val="4D3A3052"/>
    <w:rsid w:val="4D414153"/>
    <w:rsid w:val="4D592654"/>
    <w:rsid w:val="4D811007"/>
    <w:rsid w:val="4D8254A6"/>
    <w:rsid w:val="4DAF311B"/>
    <w:rsid w:val="4DD265CD"/>
    <w:rsid w:val="4E770C5E"/>
    <w:rsid w:val="4E855F0E"/>
    <w:rsid w:val="4EA40E15"/>
    <w:rsid w:val="4F990BE7"/>
    <w:rsid w:val="4FC86685"/>
    <w:rsid w:val="4FF93B03"/>
    <w:rsid w:val="50217059"/>
    <w:rsid w:val="50AC3C63"/>
    <w:rsid w:val="50C37EA5"/>
    <w:rsid w:val="50C6022D"/>
    <w:rsid w:val="50F463E4"/>
    <w:rsid w:val="51334ADB"/>
    <w:rsid w:val="513D513B"/>
    <w:rsid w:val="515D558A"/>
    <w:rsid w:val="51622217"/>
    <w:rsid w:val="51870B8D"/>
    <w:rsid w:val="52072CD9"/>
    <w:rsid w:val="5215316C"/>
    <w:rsid w:val="52416FED"/>
    <w:rsid w:val="52650390"/>
    <w:rsid w:val="52A05E11"/>
    <w:rsid w:val="52E0112D"/>
    <w:rsid w:val="53715570"/>
    <w:rsid w:val="53E00550"/>
    <w:rsid w:val="53FD25F1"/>
    <w:rsid w:val="542063D4"/>
    <w:rsid w:val="543E3FCA"/>
    <w:rsid w:val="54482775"/>
    <w:rsid w:val="54536E63"/>
    <w:rsid w:val="547C74AB"/>
    <w:rsid w:val="549F68B2"/>
    <w:rsid w:val="54AE3C90"/>
    <w:rsid w:val="54DB39F7"/>
    <w:rsid w:val="54F90E1E"/>
    <w:rsid w:val="54FE2E33"/>
    <w:rsid w:val="550B021A"/>
    <w:rsid w:val="5527238A"/>
    <w:rsid w:val="55B87486"/>
    <w:rsid w:val="55FB7373"/>
    <w:rsid w:val="561C6065"/>
    <w:rsid w:val="565C12CB"/>
    <w:rsid w:val="56EA74EF"/>
    <w:rsid w:val="56EF5983"/>
    <w:rsid w:val="571B13D6"/>
    <w:rsid w:val="572403FF"/>
    <w:rsid w:val="572F08E2"/>
    <w:rsid w:val="57431F00"/>
    <w:rsid w:val="57B80311"/>
    <w:rsid w:val="57F64993"/>
    <w:rsid w:val="5827444F"/>
    <w:rsid w:val="58584251"/>
    <w:rsid w:val="58AB7F37"/>
    <w:rsid w:val="59434B2C"/>
    <w:rsid w:val="595F1AC8"/>
    <w:rsid w:val="59851AF0"/>
    <w:rsid w:val="59AB3A69"/>
    <w:rsid w:val="59E537AB"/>
    <w:rsid w:val="59F979B3"/>
    <w:rsid w:val="5A275064"/>
    <w:rsid w:val="5A5623AB"/>
    <w:rsid w:val="5A93602F"/>
    <w:rsid w:val="5A9F7D20"/>
    <w:rsid w:val="5ACA0EAE"/>
    <w:rsid w:val="5B164FBF"/>
    <w:rsid w:val="5B423FE2"/>
    <w:rsid w:val="5B6A7475"/>
    <w:rsid w:val="5BCF7B23"/>
    <w:rsid w:val="5BDE74F6"/>
    <w:rsid w:val="5C0320BC"/>
    <w:rsid w:val="5C316820"/>
    <w:rsid w:val="5C8F79FB"/>
    <w:rsid w:val="5CA618F9"/>
    <w:rsid w:val="5D3F1695"/>
    <w:rsid w:val="5D5932FD"/>
    <w:rsid w:val="5D854249"/>
    <w:rsid w:val="5DC61589"/>
    <w:rsid w:val="5E036B6F"/>
    <w:rsid w:val="5E077666"/>
    <w:rsid w:val="5E176D14"/>
    <w:rsid w:val="5E437B09"/>
    <w:rsid w:val="5E694317"/>
    <w:rsid w:val="5E781EA8"/>
    <w:rsid w:val="5EB17168"/>
    <w:rsid w:val="5F2006DC"/>
    <w:rsid w:val="5F353619"/>
    <w:rsid w:val="5F3A31CA"/>
    <w:rsid w:val="5F4F2C8A"/>
    <w:rsid w:val="5F721090"/>
    <w:rsid w:val="5FA81AA2"/>
    <w:rsid w:val="5FB674F4"/>
    <w:rsid w:val="5FD10582"/>
    <w:rsid w:val="60033A2C"/>
    <w:rsid w:val="600F2399"/>
    <w:rsid w:val="607642AD"/>
    <w:rsid w:val="60A30D33"/>
    <w:rsid w:val="60C44682"/>
    <w:rsid w:val="60CF27C1"/>
    <w:rsid w:val="60E44C4E"/>
    <w:rsid w:val="61541695"/>
    <w:rsid w:val="6178384E"/>
    <w:rsid w:val="61E573C4"/>
    <w:rsid w:val="62057B6D"/>
    <w:rsid w:val="62165DE2"/>
    <w:rsid w:val="621E7371"/>
    <w:rsid w:val="62314CE7"/>
    <w:rsid w:val="629B41A8"/>
    <w:rsid w:val="62C95C4A"/>
    <w:rsid w:val="63354D8E"/>
    <w:rsid w:val="63367153"/>
    <w:rsid w:val="63B273B5"/>
    <w:rsid w:val="63E155AF"/>
    <w:rsid w:val="641E704E"/>
    <w:rsid w:val="643757A7"/>
    <w:rsid w:val="646138EF"/>
    <w:rsid w:val="64754794"/>
    <w:rsid w:val="64835F8C"/>
    <w:rsid w:val="64AA2233"/>
    <w:rsid w:val="64B925E8"/>
    <w:rsid w:val="650469DA"/>
    <w:rsid w:val="65291E74"/>
    <w:rsid w:val="65510D5D"/>
    <w:rsid w:val="657A4002"/>
    <w:rsid w:val="65C15181"/>
    <w:rsid w:val="65CC0F7A"/>
    <w:rsid w:val="65DD7042"/>
    <w:rsid w:val="65E60D9D"/>
    <w:rsid w:val="667659F0"/>
    <w:rsid w:val="66951CCE"/>
    <w:rsid w:val="66E243BE"/>
    <w:rsid w:val="67077884"/>
    <w:rsid w:val="67650AF0"/>
    <w:rsid w:val="67976B38"/>
    <w:rsid w:val="6810652C"/>
    <w:rsid w:val="688B6422"/>
    <w:rsid w:val="68B13416"/>
    <w:rsid w:val="68E10B2C"/>
    <w:rsid w:val="6904558B"/>
    <w:rsid w:val="69B517BB"/>
    <w:rsid w:val="69CE3C2F"/>
    <w:rsid w:val="69F43B0C"/>
    <w:rsid w:val="69FD3262"/>
    <w:rsid w:val="6A624A68"/>
    <w:rsid w:val="6A7826E8"/>
    <w:rsid w:val="6A910EB2"/>
    <w:rsid w:val="6AAF6C52"/>
    <w:rsid w:val="6B1643AE"/>
    <w:rsid w:val="6B494814"/>
    <w:rsid w:val="6B6D5DD4"/>
    <w:rsid w:val="6BD36970"/>
    <w:rsid w:val="6BDA7CFF"/>
    <w:rsid w:val="6BE52EA3"/>
    <w:rsid w:val="6BF40302"/>
    <w:rsid w:val="6C0615B6"/>
    <w:rsid w:val="6D171789"/>
    <w:rsid w:val="6D8116A5"/>
    <w:rsid w:val="6DB2171D"/>
    <w:rsid w:val="6E8C0650"/>
    <w:rsid w:val="6E984440"/>
    <w:rsid w:val="6F2779FA"/>
    <w:rsid w:val="6F4E19BC"/>
    <w:rsid w:val="6F8D3271"/>
    <w:rsid w:val="6FA06137"/>
    <w:rsid w:val="6FAE771C"/>
    <w:rsid w:val="6FD27809"/>
    <w:rsid w:val="6FD470DF"/>
    <w:rsid w:val="6FDD3A71"/>
    <w:rsid w:val="6FF70753"/>
    <w:rsid w:val="70122E03"/>
    <w:rsid w:val="70172021"/>
    <w:rsid w:val="703872D9"/>
    <w:rsid w:val="703B2D36"/>
    <w:rsid w:val="703C797C"/>
    <w:rsid w:val="70AD4135"/>
    <w:rsid w:val="70AF71F9"/>
    <w:rsid w:val="71243C59"/>
    <w:rsid w:val="714E08D3"/>
    <w:rsid w:val="72347EB3"/>
    <w:rsid w:val="72AA66C1"/>
    <w:rsid w:val="72E46276"/>
    <w:rsid w:val="72ED4EAB"/>
    <w:rsid w:val="731B5745"/>
    <w:rsid w:val="737A314E"/>
    <w:rsid w:val="740A6D83"/>
    <w:rsid w:val="746E51E2"/>
    <w:rsid w:val="74814BF7"/>
    <w:rsid w:val="752F5A50"/>
    <w:rsid w:val="75EF39D8"/>
    <w:rsid w:val="762E4374"/>
    <w:rsid w:val="768E058B"/>
    <w:rsid w:val="76C07A85"/>
    <w:rsid w:val="774626EC"/>
    <w:rsid w:val="774719CA"/>
    <w:rsid w:val="776048C8"/>
    <w:rsid w:val="776F429E"/>
    <w:rsid w:val="777A2396"/>
    <w:rsid w:val="77FE6B23"/>
    <w:rsid w:val="780D0D05"/>
    <w:rsid w:val="78FC1A12"/>
    <w:rsid w:val="79070ACB"/>
    <w:rsid w:val="794D3878"/>
    <w:rsid w:val="79C96D9D"/>
    <w:rsid w:val="79F37642"/>
    <w:rsid w:val="7A021FB2"/>
    <w:rsid w:val="7A2E1215"/>
    <w:rsid w:val="7A635A42"/>
    <w:rsid w:val="7AB22A12"/>
    <w:rsid w:val="7B2D1E41"/>
    <w:rsid w:val="7B341B20"/>
    <w:rsid w:val="7B4243D6"/>
    <w:rsid w:val="7B66335D"/>
    <w:rsid w:val="7B7F7F7B"/>
    <w:rsid w:val="7BA06ED1"/>
    <w:rsid w:val="7BB90B5B"/>
    <w:rsid w:val="7BC07AB0"/>
    <w:rsid w:val="7C0F6C70"/>
    <w:rsid w:val="7C362005"/>
    <w:rsid w:val="7C5111D1"/>
    <w:rsid w:val="7C730801"/>
    <w:rsid w:val="7C8F68E3"/>
    <w:rsid w:val="7CD6006E"/>
    <w:rsid w:val="7CF7002F"/>
    <w:rsid w:val="7D684D3E"/>
    <w:rsid w:val="7DA4453E"/>
    <w:rsid w:val="7DFD7EAA"/>
    <w:rsid w:val="7E8A7E0E"/>
    <w:rsid w:val="7E8B05F4"/>
    <w:rsid w:val="7F112F7E"/>
    <w:rsid w:val="7F2866ED"/>
    <w:rsid w:val="7F71001F"/>
    <w:rsid w:val="7F9B53E8"/>
    <w:rsid w:val="7FFA46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rFonts w:ascii="Times New Roman" w:hAnsi="Times New Roman" w:eastAsia="宋体" w:cs="Times New Roman"/>
      <w:b/>
      <w:kern w:val="44"/>
      <w:sz w:val="44"/>
    </w:rPr>
  </w:style>
  <w:style w:type="paragraph" w:styleId="3">
    <w:name w:val="heading 2"/>
    <w:basedOn w:val="1"/>
    <w:next w:val="1"/>
    <w:autoRedefine/>
    <w:qFormat/>
    <w:uiPriority w:val="0"/>
    <w:pPr>
      <w:keepNext/>
      <w:keepLines/>
      <w:autoSpaceDE/>
      <w:autoSpaceDN/>
      <w:adjustRightInd/>
      <w:spacing w:before="260" w:beforeLines="0" w:after="260" w:afterLines="0" w:line="413" w:lineRule="auto"/>
      <w:outlineLvl w:val="1"/>
    </w:pPr>
    <w:rPr>
      <w:rFonts w:ascii="Arial" w:hAnsi="Arial" w:eastAsia="黑体" w:cs="Times New Roman"/>
      <w:b/>
      <w:bCs/>
      <w:color w:val="auto"/>
      <w:kern w:val="2"/>
      <w:sz w:val="32"/>
      <w:szCs w:val="32"/>
    </w:rPr>
  </w:style>
  <w:style w:type="paragraph" w:styleId="4">
    <w:name w:val="heading 3"/>
    <w:basedOn w:val="1"/>
    <w:next w:val="1"/>
    <w:autoRedefine/>
    <w:qFormat/>
    <w:uiPriority w:val="0"/>
    <w:pPr>
      <w:keepNext/>
      <w:keepLines/>
      <w:autoSpaceDE w:val="0"/>
      <w:autoSpaceDN w:val="0"/>
      <w:adjustRightInd w:val="0"/>
      <w:spacing w:before="260" w:beforeLines="0" w:after="260" w:afterLines="0" w:line="413" w:lineRule="auto"/>
      <w:outlineLvl w:val="2"/>
    </w:pPr>
    <w:rPr>
      <w:rFonts w:ascii="Times New Roman" w:hAnsi="Times New Roman" w:eastAsia="宋体" w:cs="Times New Roman"/>
      <w:b/>
      <w:bCs/>
      <w:color w:val="000000"/>
      <w:kern w:val="0"/>
      <w:sz w:val="32"/>
      <w:szCs w:val="32"/>
    </w:rPr>
  </w:style>
  <w:style w:type="paragraph" w:styleId="5">
    <w:name w:val="heading 4"/>
    <w:basedOn w:val="1"/>
    <w:next w:val="1"/>
    <w:autoRedefine/>
    <w:qFormat/>
    <w:uiPriority w:val="0"/>
    <w:pPr>
      <w:keepNext/>
      <w:keepLines/>
      <w:spacing w:before="280" w:after="290" w:line="377" w:lineRule="auto"/>
      <w:outlineLvl w:val="3"/>
    </w:pPr>
    <w:rPr>
      <w:rFonts w:ascii="Cambria" w:hAnsi="Cambria" w:eastAsia="黑体"/>
      <w:b/>
      <w:bCs/>
      <w:kern w:val="2"/>
      <w:sz w:val="24"/>
      <w:szCs w:val="28"/>
      <w:lang w:val="en-US" w:eastAsia="zh-CN" w:bidi="ar-SA"/>
    </w:rPr>
  </w:style>
  <w:style w:type="character" w:default="1" w:styleId="29">
    <w:name w:val="Default Paragraph Font"/>
    <w:autoRedefine/>
    <w:qFormat/>
    <w:uiPriority w:val="0"/>
    <w:rPr>
      <w:rFonts w:ascii="Tahoma" w:hAnsi="Tahoma" w:eastAsia="宋体" w:cs="Times New Roman"/>
      <w:color w:val="auto"/>
      <w:kern w:val="2"/>
      <w:sz w:val="24"/>
      <w:szCs w:val="20"/>
    </w:rPr>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autoRedefine/>
    <w:qFormat/>
    <w:uiPriority w:val="0"/>
    <w:pPr>
      <w:ind w:firstLine="420"/>
    </w:pPr>
    <w:rPr>
      <w:rFonts w:ascii="Calibri" w:hAnsi="Calibri" w:eastAsia="宋体" w:cs="Times New Roman"/>
      <w:szCs w:val="22"/>
    </w:rPr>
  </w:style>
  <w:style w:type="paragraph" w:styleId="8">
    <w:name w:val="index 5"/>
    <w:basedOn w:val="1"/>
    <w:next w:val="1"/>
    <w:autoRedefine/>
    <w:qFormat/>
    <w:uiPriority w:val="0"/>
    <w:pPr>
      <w:ind w:left="800" w:leftChars="800"/>
    </w:pPr>
  </w:style>
  <w:style w:type="paragraph" w:styleId="9">
    <w:name w:val="annotation text"/>
    <w:basedOn w:val="1"/>
    <w:autoRedefine/>
    <w:unhideWhenUsed/>
    <w:qFormat/>
    <w:uiPriority w:val="0"/>
    <w:pPr>
      <w:jc w:val="left"/>
    </w:pPr>
  </w:style>
  <w:style w:type="paragraph" w:styleId="10">
    <w:name w:val="Body Text"/>
    <w:basedOn w:val="1"/>
    <w:next w:val="11"/>
    <w:autoRedefine/>
    <w:qFormat/>
    <w:uiPriority w:val="0"/>
    <w:pPr>
      <w:spacing w:after="120" w:afterLines="0"/>
    </w:pPr>
    <w:rPr>
      <w:rFonts w:ascii="Times New Roman" w:hAnsi="Times New Roman" w:eastAsia="宋体" w:cs="Times New Roman"/>
    </w:rPr>
  </w:style>
  <w:style w:type="paragraph" w:styleId="11">
    <w:name w:val="Body Text First Indent"/>
    <w:basedOn w:val="10"/>
    <w:next w:val="12"/>
    <w:autoRedefine/>
    <w:qFormat/>
    <w:uiPriority w:val="0"/>
    <w:pPr>
      <w:spacing w:line="312" w:lineRule="auto"/>
      <w:ind w:firstLine="420"/>
    </w:pPr>
    <w:rPr>
      <w:szCs w:val="24"/>
    </w:rPr>
  </w:style>
  <w:style w:type="paragraph" w:styleId="12">
    <w:name w:val="toc 6"/>
    <w:basedOn w:val="1"/>
    <w:next w:val="1"/>
    <w:autoRedefine/>
    <w:unhideWhenUsed/>
    <w:qFormat/>
    <w:uiPriority w:val="39"/>
    <w:pPr>
      <w:widowControl w:val="0"/>
      <w:ind w:left="2100" w:leftChars="1000"/>
      <w:jc w:val="both"/>
    </w:pPr>
    <w:rPr>
      <w:rFonts w:ascii="等线" w:hAnsi="等线" w:eastAsia="等线" w:cs="Times New Roman"/>
      <w:kern w:val="2"/>
      <w:sz w:val="21"/>
      <w:szCs w:val="22"/>
      <w:lang w:val="en-US" w:eastAsia="zh-CN" w:bidi="ar-SA"/>
    </w:rPr>
  </w:style>
  <w:style w:type="paragraph" w:styleId="13">
    <w:name w:val="Body Text Indent"/>
    <w:basedOn w:val="1"/>
    <w:next w:val="1"/>
    <w:link w:val="37"/>
    <w:autoRedefine/>
    <w:qFormat/>
    <w:uiPriority w:val="0"/>
    <w:pPr>
      <w:spacing w:before="156" w:beforeLines="50"/>
      <w:ind w:firstLine="420" w:firstLineChars="200"/>
    </w:pPr>
    <w:rPr>
      <w:rFonts w:ascii="仿宋_GB2312" w:hAnsi="Tahoma" w:eastAsia="仿宋_GB2312"/>
      <w:sz w:val="32"/>
      <w:szCs w:val="21"/>
    </w:rPr>
  </w:style>
  <w:style w:type="paragraph" w:styleId="14">
    <w:name w:val="List Number 3"/>
    <w:basedOn w:val="1"/>
    <w:autoRedefine/>
    <w:qFormat/>
    <w:uiPriority w:val="0"/>
    <w:pPr>
      <w:numPr>
        <w:ilvl w:val="0"/>
        <w:numId w:val="2"/>
      </w:numPr>
    </w:pPr>
    <w:rPr>
      <w:rFonts w:ascii="Times New Roman" w:hAnsi="Times New Roman" w:eastAsia="宋体" w:cs="Times New Roman"/>
    </w:rPr>
  </w:style>
  <w:style w:type="paragraph" w:styleId="15">
    <w:name w:val="Plain Text"/>
    <w:basedOn w:val="1"/>
    <w:next w:val="16"/>
    <w:autoRedefine/>
    <w:qFormat/>
    <w:uiPriority w:val="0"/>
    <w:pPr>
      <w:autoSpaceDE/>
      <w:autoSpaceDN/>
      <w:adjustRightInd/>
    </w:pPr>
    <w:rPr>
      <w:rFonts w:ascii="Times New Roman" w:hAnsi="Times New Roman" w:eastAsia="宋体" w:cs="Times New Roman"/>
      <w:color w:val="auto"/>
      <w:kern w:val="2"/>
      <w:sz w:val="24"/>
      <w:szCs w:val="20"/>
    </w:rPr>
  </w:style>
  <w:style w:type="paragraph" w:styleId="16">
    <w:name w:val="index 7"/>
    <w:basedOn w:val="1"/>
    <w:next w:val="1"/>
    <w:autoRedefine/>
    <w:qFormat/>
    <w:uiPriority w:val="0"/>
    <w:pPr>
      <w:ind w:left="1200" w:leftChars="1200"/>
    </w:pPr>
    <w:rPr>
      <w:rFonts w:ascii="Times New Roman" w:hAnsi="Times New Roman" w:eastAsia="宋体" w:cs="Times New Roman"/>
    </w:rPr>
  </w:style>
  <w:style w:type="paragraph" w:styleId="17">
    <w:name w:val="Balloon Text"/>
    <w:basedOn w:val="1"/>
    <w:autoRedefine/>
    <w:qFormat/>
    <w:uiPriority w:val="0"/>
    <w:rPr>
      <w:rFonts w:ascii="Times New Roman" w:hAnsi="Times New Roman" w:eastAsia="宋体" w:cs="Times New Roman"/>
      <w:sz w:val="18"/>
      <w:szCs w:val="18"/>
    </w:rPr>
  </w:style>
  <w:style w:type="paragraph" w:styleId="1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Body Text Indent 3"/>
    <w:basedOn w:val="1"/>
    <w:autoRedefine/>
    <w:qFormat/>
    <w:uiPriority w:val="0"/>
    <w:pPr>
      <w:autoSpaceDE/>
      <w:autoSpaceDN/>
      <w:adjustRightInd/>
      <w:ind w:firstLine="435"/>
    </w:pPr>
    <w:rPr>
      <w:color w:val="auto"/>
      <w:kern w:val="2"/>
      <w:szCs w:val="24"/>
    </w:rPr>
  </w:style>
  <w:style w:type="paragraph" w:styleId="21">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2">
    <w:name w:val="toc 2"/>
    <w:basedOn w:val="1"/>
    <w:next w:val="1"/>
    <w:autoRedefine/>
    <w:qFormat/>
    <w:uiPriority w:val="0"/>
    <w:pPr>
      <w:ind w:left="420" w:leftChars="200"/>
    </w:pPr>
    <w:rPr>
      <w:szCs w:val="20"/>
    </w:rPr>
  </w:style>
  <w:style w:type="paragraph" w:styleId="23">
    <w:name w:val="Body Text 2"/>
    <w:basedOn w:val="1"/>
    <w:next w:val="1"/>
    <w:autoRedefine/>
    <w:qFormat/>
    <w:uiPriority w:val="0"/>
    <w:pPr>
      <w:spacing w:after="120" w:afterLines="0" w:line="480" w:lineRule="auto"/>
    </w:pPr>
  </w:style>
  <w:style w:type="paragraph" w:styleId="2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5">
    <w:name w:val="Normal (Web)"/>
    <w:basedOn w:val="1"/>
    <w:autoRedefine/>
    <w:qFormat/>
    <w:uiPriority w:val="0"/>
    <w:pPr>
      <w:widowControl/>
      <w:autoSpaceDE/>
      <w:autoSpaceDN/>
      <w:adjustRightInd/>
      <w:spacing w:before="100" w:beforeLines="0" w:beforeAutospacing="1" w:after="100" w:afterLines="0" w:afterAutospacing="1"/>
      <w:jc w:val="left"/>
    </w:pPr>
    <w:rPr>
      <w:rFonts w:ascii="宋体" w:hAnsi="宋体" w:eastAsia="宋体" w:cs="宋体"/>
      <w:color w:val="auto"/>
      <w:sz w:val="24"/>
      <w:szCs w:val="24"/>
    </w:rPr>
  </w:style>
  <w:style w:type="paragraph" w:styleId="26">
    <w:name w:val="Body Text First Indent 2"/>
    <w:basedOn w:val="13"/>
    <w:next w:val="1"/>
    <w:autoRedefine/>
    <w:qFormat/>
    <w:uiPriority w:val="99"/>
    <w:pPr>
      <w:autoSpaceDE/>
      <w:autoSpaceDN/>
      <w:adjustRightInd/>
      <w:spacing w:line="360" w:lineRule="auto"/>
      <w:ind w:firstLine="420" w:firstLineChars="200"/>
    </w:pPr>
    <w:rPr>
      <w:rFonts w:ascii="Calibri" w:hAnsi="Calibri"/>
      <w:color w:val="auto"/>
      <w:kern w:val="2"/>
      <w:sz w:val="24"/>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autoRedefine/>
    <w:qFormat/>
    <w:uiPriority w:val="0"/>
    <w:rPr>
      <w:rFonts w:ascii="Times New Roman" w:hAnsi="Times New Roman" w:eastAsia="宋体" w:cs="Times New Roman"/>
      <w:color w:val="auto"/>
      <w:kern w:val="2"/>
      <w:sz w:val="24"/>
      <w:szCs w:val="20"/>
    </w:rPr>
  </w:style>
  <w:style w:type="character" w:styleId="32">
    <w:name w:val="Hyperlink"/>
    <w:basedOn w:val="29"/>
    <w:autoRedefine/>
    <w:unhideWhenUsed/>
    <w:qFormat/>
    <w:uiPriority w:val="99"/>
    <w:rPr>
      <w:color w:val="0000FF"/>
      <w:u w:val="single"/>
    </w:rPr>
  </w:style>
  <w:style w:type="paragraph" w:customStyle="1" w:styleId="33">
    <w:name w:val="Body Text First Indent 21"/>
    <w:basedOn w:val="34"/>
    <w:autoRedefine/>
    <w:qFormat/>
    <w:uiPriority w:val="0"/>
    <w:pPr>
      <w:ind w:firstLine="420"/>
    </w:pPr>
    <w:rPr>
      <w:rFonts w:cs="宋体"/>
    </w:rPr>
  </w:style>
  <w:style w:type="paragraph" w:customStyle="1" w:styleId="34">
    <w:name w:val="Body Text Indent1"/>
    <w:basedOn w:val="1"/>
    <w:next w:val="1"/>
    <w:autoRedefine/>
    <w:qFormat/>
    <w:uiPriority w:val="0"/>
    <w:pPr>
      <w:spacing w:after="120"/>
      <w:ind w:left="420" w:leftChars="200"/>
    </w:pPr>
  </w:style>
  <w:style w:type="paragraph" w:customStyle="1" w:styleId="35">
    <w:name w:val="表格文字"/>
    <w:basedOn w:val="36"/>
    <w:next w:val="10"/>
    <w:autoRedefine/>
    <w:qFormat/>
    <w:uiPriority w:val="0"/>
    <w:pPr>
      <w:widowControl w:val="0"/>
      <w:adjustRightInd w:val="0"/>
      <w:spacing w:line="420" w:lineRule="atLeast"/>
      <w:textAlignment w:val="baseline"/>
    </w:pPr>
  </w:style>
  <w:style w:type="paragraph" w:customStyle="1" w:styleId="36">
    <w:name w:val="表格文字（两侧对齐）"/>
    <w:basedOn w:val="1"/>
    <w:autoRedefine/>
    <w:qFormat/>
    <w:uiPriority w:val="0"/>
    <w:pPr>
      <w:snapToGrid w:val="0"/>
    </w:pPr>
    <w:rPr>
      <w:sz w:val="20"/>
      <w:szCs w:val="24"/>
    </w:rPr>
  </w:style>
  <w:style w:type="character" w:customStyle="1" w:styleId="37">
    <w:name w:val="正文文本缩进 Char"/>
    <w:link w:val="13"/>
    <w:autoRedefine/>
    <w:qFormat/>
    <w:uiPriority w:val="0"/>
    <w:rPr>
      <w:rFonts w:ascii="仿宋_GB2312" w:hAnsi="Tahoma" w:eastAsia="仿宋_GB2312" w:cs="Times New Roman"/>
      <w:color w:val="auto"/>
      <w:kern w:val="2"/>
      <w:sz w:val="32"/>
      <w:szCs w:val="21"/>
    </w:rPr>
  </w:style>
  <w:style w:type="paragraph" w:customStyle="1" w:styleId="38">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39">
    <w:name w:val="apple-style-span"/>
    <w:autoRedefine/>
    <w:qFormat/>
    <w:uiPriority w:val="0"/>
    <w:rPr>
      <w:rFonts w:ascii="Times New Roman" w:hAnsi="Times New Roman" w:eastAsia="宋体" w:cs="Times New Roman"/>
    </w:rPr>
  </w:style>
  <w:style w:type="character" w:customStyle="1" w:styleId="40">
    <w:name w:val="font41"/>
    <w:basedOn w:val="29"/>
    <w:autoRedefine/>
    <w:qFormat/>
    <w:uiPriority w:val="0"/>
    <w:rPr>
      <w:rFonts w:hint="eastAsia" w:ascii="宋体" w:hAnsi="宋体" w:eastAsia="宋体" w:cs="宋体"/>
      <w:color w:val="000000"/>
      <w:kern w:val="2"/>
      <w:sz w:val="20"/>
      <w:szCs w:val="20"/>
      <w:u w:val="none"/>
    </w:rPr>
  </w:style>
  <w:style w:type="character" w:customStyle="1" w:styleId="41">
    <w:name w:val="font31"/>
    <w:basedOn w:val="29"/>
    <w:autoRedefine/>
    <w:qFormat/>
    <w:uiPriority w:val="0"/>
    <w:rPr>
      <w:rFonts w:hint="eastAsia" w:ascii="宋体" w:hAnsi="宋体" w:eastAsia="宋体" w:cs="宋体"/>
      <w:color w:val="000000"/>
      <w:kern w:val="2"/>
      <w:sz w:val="20"/>
      <w:szCs w:val="20"/>
      <w:u w:val="none"/>
    </w:rPr>
  </w:style>
  <w:style w:type="character" w:customStyle="1" w:styleId="42">
    <w:name w:val="正文文本缩进 字符"/>
    <w:autoRedefine/>
    <w:qFormat/>
    <w:uiPriority w:val="0"/>
    <w:rPr>
      <w:rFonts w:ascii="Tahoma" w:hAnsi="Tahoma" w:eastAsia="宋体" w:cs="Times New Roman"/>
      <w:color w:val="auto"/>
      <w:kern w:val="2"/>
      <w:sz w:val="21"/>
      <w:szCs w:val="24"/>
    </w:rPr>
  </w:style>
  <w:style w:type="character" w:customStyle="1" w:styleId="43">
    <w:name w:val="明显强调1"/>
    <w:autoRedefine/>
    <w:qFormat/>
    <w:uiPriority w:val="0"/>
    <w:rPr>
      <w:rFonts w:ascii="Times New Roman" w:hAnsi="Times New Roman" w:eastAsia="宋体" w:cs="Times New Roman"/>
      <w:b/>
      <w:bCs/>
      <w:i/>
      <w:iCs/>
      <w:color w:val="4F81BD"/>
    </w:rPr>
  </w:style>
  <w:style w:type="character" w:customStyle="1" w:styleId="44">
    <w:name w:val="font01"/>
    <w:autoRedefine/>
    <w:qFormat/>
    <w:uiPriority w:val="0"/>
    <w:rPr>
      <w:rFonts w:hint="eastAsia" w:ascii="宋体" w:hAnsi="宋体" w:eastAsia="宋体" w:cs="宋体"/>
      <w:color w:val="000000"/>
      <w:kern w:val="2"/>
      <w:sz w:val="22"/>
      <w:szCs w:val="22"/>
      <w:u w:val="none"/>
    </w:rPr>
  </w:style>
  <w:style w:type="character" w:customStyle="1" w:styleId="45">
    <w:name w:val="标题 1 Char Char"/>
    <w:autoRedefine/>
    <w:qFormat/>
    <w:uiPriority w:val="0"/>
    <w:rPr>
      <w:rFonts w:ascii="Times New Roman" w:hAnsi="Times New Roman" w:eastAsia="宋体" w:cs="Times New Roman"/>
      <w:b/>
      <w:spacing w:val="-2"/>
      <w:sz w:val="24"/>
      <w:lang w:val="en-US" w:eastAsia="zh-CN"/>
    </w:rPr>
  </w:style>
  <w:style w:type="paragraph" w:customStyle="1" w:styleId="46">
    <w:name w:val=" Char3 Char Char Char"/>
    <w:basedOn w:val="1"/>
    <w:autoRedefine/>
    <w:qFormat/>
    <w:uiPriority w:val="0"/>
    <w:rPr>
      <w:rFonts w:ascii="Tahoma" w:hAnsi="Tahoma" w:eastAsia="宋体" w:cs="Times New Roman"/>
      <w:color w:val="auto"/>
      <w:kern w:val="2"/>
      <w:sz w:val="24"/>
      <w:szCs w:val="20"/>
    </w:rPr>
  </w:style>
  <w:style w:type="paragraph" w:customStyle="1" w:styleId="47">
    <w:name w:val="章正文"/>
    <w:basedOn w:val="1"/>
    <w:autoRedefine/>
    <w:qFormat/>
    <w:uiPriority w:val="0"/>
    <w:pPr>
      <w:spacing w:before="156" w:beforeLines="50" w:after="120" w:line="300" w:lineRule="auto"/>
      <w:ind w:firstLine="480"/>
    </w:pPr>
    <w:rPr>
      <w:rFonts w:ascii="Helvetica" w:hAnsi="Helvetica"/>
      <w:sz w:val="24"/>
      <w:szCs w:val="24"/>
    </w:rPr>
  </w:style>
  <w:style w:type="paragraph" w:customStyle="1" w:styleId="48">
    <w:name w:val="cucd-0"/>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49">
    <w:name w:val="列出段落2"/>
    <w:basedOn w:val="1"/>
    <w:autoRedefine/>
    <w:unhideWhenUsed/>
    <w:qFormat/>
    <w:uiPriority w:val="34"/>
    <w:pPr>
      <w:ind w:firstLine="420" w:firstLineChars="200"/>
    </w:pPr>
    <w:rPr>
      <w:rFonts w:ascii="等线" w:hAnsi="等线" w:eastAsia="等线"/>
      <w:szCs w:val="22"/>
    </w:rPr>
  </w:style>
  <w:style w:type="paragraph" w:customStyle="1" w:styleId="50">
    <w:name w:val="封面标准文稿编辑信息"/>
    <w:autoRedefine/>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51">
    <w:name w:val="Body Text First Indent 2"/>
    <w:basedOn w:val="52"/>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52">
    <w:name w:val="Body Text Indent"/>
    <w:basedOn w:val="1"/>
    <w:next w:val="1"/>
    <w:autoRedefine/>
    <w:qFormat/>
    <w:uiPriority w:val="0"/>
    <w:pPr>
      <w:spacing w:after="120" w:afterLines="0"/>
      <w:ind w:left="420" w:leftChars="200"/>
    </w:pPr>
    <w:rPr>
      <w:color w:val="000000"/>
      <w:sz w:val="21"/>
      <w:szCs w:val="21"/>
    </w:rPr>
  </w:style>
  <w:style w:type="paragraph" w:customStyle="1" w:styleId="53">
    <w:name w:val="列出段落1"/>
    <w:basedOn w:val="1"/>
    <w:autoRedefine/>
    <w:qFormat/>
    <w:uiPriority w:val="0"/>
    <w:pPr>
      <w:autoSpaceDE/>
      <w:autoSpaceDN/>
      <w:adjustRightInd/>
      <w:spacing w:line="360" w:lineRule="auto"/>
      <w:ind w:firstLine="200" w:firstLineChars="200"/>
    </w:pPr>
    <w:rPr>
      <w:rFonts w:ascii="Times New Roman" w:hAnsi="Times New Roman" w:eastAsia="楷体_GB2312" w:cs="Lucida Sans"/>
      <w:color w:val="auto"/>
      <w:kern w:val="2"/>
      <w:sz w:val="24"/>
      <w:szCs w:val="24"/>
    </w:rPr>
  </w:style>
  <w:style w:type="paragraph" w:customStyle="1" w:styleId="54">
    <w:name w:val="正文文本首行缩进11"/>
    <w:basedOn w:val="10"/>
    <w:autoRedefine/>
    <w:qFormat/>
    <w:uiPriority w:val="0"/>
    <w:pPr>
      <w:ind w:firstLine="420" w:firstLineChars="100"/>
    </w:pPr>
  </w:style>
  <w:style w:type="paragraph" w:customStyle="1" w:styleId="55">
    <w:name w:val="p0"/>
    <w:next w:val="16"/>
    <w:autoRedefine/>
    <w:qFormat/>
    <w:uiPriority w:val="0"/>
    <w:pPr>
      <w:snapToGrid w:val="0"/>
    </w:pPr>
    <w:rPr>
      <w:rFonts w:ascii="Times New Roman" w:hAnsi="Times New Roman" w:eastAsia="宋体" w:cs="Times New Roman"/>
      <w:sz w:val="21"/>
      <w:szCs w:val="21"/>
      <w:lang w:val="en-US" w:eastAsia="zh-CN" w:bidi="ar-SA"/>
    </w:rPr>
  </w:style>
  <w:style w:type="paragraph" w:customStyle="1" w:styleId="56">
    <w:name w:val="正文表标题"/>
    <w:next w:val="1"/>
    <w:autoRedefine/>
    <w:qFormat/>
    <w:uiPriority w:val="0"/>
    <w:pPr>
      <w:numPr>
        <w:ilvl w:val="0"/>
        <w:numId w:val="3"/>
      </w:numPr>
      <w:tabs>
        <w:tab w:val="left" w:pos="360"/>
        <w:tab w:val="clear" w:pos="432"/>
      </w:tabs>
      <w:spacing w:before="156" w:beforeLines="50" w:after="156" w:afterLines="50"/>
      <w:jc w:val="center"/>
    </w:pPr>
    <w:rPr>
      <w:rFonts w:ascii="黑体" w:hAnsi="Times New Roman" w:eastAsia="黑体" w:cs="Times New Roman"/>
      <w:sz w:val="21"/>
      <w:szCs w:val="22"/>
      <w:lang w:val="en-US" w:eastAsia="zh-CN" w:bidi="ar-SA"/>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正文段"/>
    <w:basedOn w:val="1"/>
    <w:next w:val="8"/>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59">
    <w:name w:val="xc正文"/>
    <w:basedOn w:val="1"/>
    <w:autoRedefine/>
    <w:qFormat/>
    <w:uiPriority w:val="0"/>
    <w:pPr>
      <w:ind w:firstLine="200" w:firstLineChars="200"/>
    </w:pPr>
    <w:rPr>
      <w:rFonts w:ascii="Times New Roman" w:hAnsi="Times New Roman" w:eastAsia="宋体" w:cs="Times New Roman"/>
      <w:szCs w:val="24"/>
    </w:rPr>
  </w:style>
  <w:style w:type="paragraph" w:customStyle="1" w:styleId="60">
    <w:name w:val="正文01"/>
    <w:basedOn w:val="1"/>
    <w:autoRedefine/>
    <w:qFormat/>
    <w:uiPriority w:val="0"/>
    <w:pPr>
      <w:spacing w:before="60" w:beforeLines="0" w:line="460" w:lineRule="exact"/>
      <w:ind w:firstLine="200" w:firstLineChars="200"/>
    </w:pPr>
    <w:rPr>
      <w:bCs/>
      <w:sz w:val="24"/>
      <w:szCs w:val="24"/>
    </w:rPr>
  </w:style>
  <w:style w:type="paragraph" w:customStyle="1" w:styleId="61">
    <w:name w:val="H 正文"/>
    <w:basedOn w:val="13"/>
    <w:autoRedefine/>
    <w:qFormat/>
    <w:uiPriority w:val="0"/>
    <w:pPr>
      <w:tabs>
        <w:tab w:val="left" w:pos="0"/>
      </w:tabs>
      <w:spacing w:line="360" w:lineRule="auto"/>
      <w:ind w:firstLine="480" w:firstLineChars="196"/>
    </w:pPr>
    <w:rPr>
      <w:rFonts w:ascii="宋体" w:hAnsi="宋体" w:eastAsia="Arial" w:cs="Century"/>
      <w:spacing w:val="2"/>
      <w:sz w:val="24"/>
      <w:szCs w:val="24"/>
      <w:lang w:val="zh-CN"/>
    </w:rPr>
  </w:style>
  <w:style w:type="paragraph" w:customStyle="1" w:styleId="62">
    <w:name w:val="Body Text First Indent"/>
    <w:basedOn w:val="10"/>
    <w:autoRedefine/>
    <w:qFormat/>
    <w:uiPriority w:val="0"/>
    <w:pPr>
      <w:ind w:firstLine="420" w:firstLineChars="100"/>
    </w:pPr>
  </w:style>
  <w:style w:type="paragraph" w:customStyle="1" w:styleId="63">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64">
    <w:name w:val="Char Char Char Char1"/>
    <w:basedOn w:val="1"/>
    <w:autoRedefine/>
    <w:qFormat/>
    <w:uiPriority w:val="0"/>
    <w:pPr>
      <w:autoSpaceDE/>
      <w:autoSpaceDN/>
      <w:adjustRightInd/>
    </w:pPr>
    <w:rPr>
      <w:rFonts w:ascii="Tahoma" w:hAnsi="Tahoma" w:eastAsia="宋体" w:cs="Times New Roman"/>
      <w:color w:val="auto"/>
      <w:kern w:val="2"/>
      <w:sz w:val="24"/>
      <w:szCs w:val="20"/>
    </w:rPr>
  </w:style>
  <w:style w:type="paragraph" w:customStyle="1" w:styleId="65">
    <w:name w:val="正文文字2"/>
    <w:basedOn w:val="10"/>
    <w:next w:val="6"/>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paragraph" w:customStyle="1" w:styleId="66">
    <w:name w:val="纯文本1"/>
    <w:basedOn w:val="1"/>
    <w:autoRedefine/>
    <w:qFormat/>
    <w:uiPriority w:val="0"/>
    <w:pPr>
      <w:ind w:firstLine="280" w:firstLineChars="100"/>
    </w:pPr>
    <w:rPr>
      <w:rFonts w:ascii="Times New Roman" w:hAnsi="宋体" w:eastAsia="宋体" w:cs="Courier New"/>
      <w:szCs w:val="21"/>
    </w:rPr>
  </w:style>
  <w:style w:type="paragraph" w:customStyle="1" w:styleId="67">
    <w:name w:val="二级条标题"/>
    <w:basedOn w:val="1"/>
    <w:next w:val="1"/>
    <w:autoRedefine/>
    <w:qFormat/>
    <w:uiPriority w:val="0"/>
    <w:pPr>
      <w:numPr>
        <w:ilvl w:val="2"/>
        <w:numId w:val="4"/>
      </w:numPr>
      <w:adjustRightInd/>
      <w:snapToGrid/>
      <w:spacing w:before="50" w:beforeLines="0" w:after="50" w:afterLines="0"/>
      <w:outlineLvl w:val="3"/>
    </w:pPr>
    <w:rPr>
      <w:rFonts w:ascii="黑体" w:hAnsi="Times New Roman" w:eastAsia="黑体" w:cs="Times New Roman"/>
      <w:sz w:val="21"/>
      <w:szCs w:val="21"/>
    </w:rPr>
  </w:style>
  <w:style w:type="paragraph" w:customStyle="1" w:styleId="68">
    <w:name w:val="Table Paragraph"/>
    <w:basedOn w:val="1"/>
    <w:autoRedefine/>
    <w:qFormat/>
    <w:uiPriority w:val="1"/>
    <w:pPr>
      <w:autoSpaceDE w:val="0"/>
      <w:autoSpaceDN w:val="0"/>
      <w:adjustRightInd w:val="0"/>
      <w:jc w:val="left"/>
    </w:pPr>
    <w:rPr>
      <w:kern w:val="0"/>
      <w:sz w:val="24"/>
    </w:rPr>
  </w:style>
  <w:style w:type="paragraph" w:customStyle="1" w:styleId="69">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70">
    <w:name w:val="List Paragraph"/>
    <w:basedOn w:val="1"/>
    <w:autoRedefine/>
    <w:qFormat/>
    <w:uiPriority w:val="0"/>
    <w:pPr>
      <w:ind w:firstLine="420" w:firstLineChars="200"/>
    </w:pPr>
    <w:rPr>
      <w:rFonts w:ascii="Times New Roman" w:hAnsi="Times New Roman" w:eastAsia="宋体" w:cs="Times New Roman"/>
    </w:rPr>
  </w:style>
  <w:style w:type="character" w:customStyle="1" w:styleId="71">
    <w:name w:val="font101"/>
    <w:autoRedefine/>
    <w:qFormat/>
    <w:uiPriority w:val="0"/>
    <w:rPr>
      <w:rFonts w:hint="eastAsia" w:ascii="宋体" w:hAnsi="宋体" w:eastAsia="宋体" w:cs="宋体"/>
      <w:color w:val="000000"/>
      <w:sz w:val="20"/>
      <w:szCs w:val="20"/>
      <w:u w:val="none"/>
    </w:rPr>
  </w:style>
  <w:style w:type="character" w:customStyle="1" w:styleId="72">
    <w:name w:val="font71"/>
    <w:autoRedefine/>
    <w:qFormat/>
    <w:uiPriority w:val="0"/>
    <w:rPr>
      <w:rFonts w:hint="eastAsia" w:ascii="宋体" w:hAnsi="宋体" w:eastAsia="宋体" w:cs="宋体"/>
      <w:color w:val="000000"/>
      <w:sz w:val="20"/>
      <w:szCs w:val="20"/>
      <w:u w:val="none"/>
    </w:rPr>
  </w:style>
  <w:style w:type="paragraph" w:customStyle="1" w:styleId="73">
    <w:name w:val="reader-word-layer reader-word-s19-6"/>
    <w:basedOn w:val="1"/>
    <w:autoRedefine/>
    <w:qFormat/>
    <w:uiPriority w:val="0"/>
    <w:pPr>
      <w:widowControl/>
      <w:autoSpaceDE/>
      <w:autoSpaceDN/>
      <w:adjustRightInd/>
      <w:spacing w:before="100" w:beforeLines="0" w:beforeAutospacing="1" w:after="100" w:afterLines="0" w:afterAutospacing="1"/>
      <w:jc w:val="left"/>
    </w:pPr>
    <w:rPr>
      <w:rFonts w:ascii="宋体" w:hAnsi="宋体" w:cs="宋体"/>
      <w:color w:val="auto"/>
      <w:sz w:val="24"/>
      <w:szCs w:val="24"/>
    </w:rPr>
  </w:style>
  <w:style w:type="paragraph" w:customStyle="1" w:styleId="74">
    <w:name w:val="reader-word-layer reader-word-s19-4"/>
    <w:basedOn w:val="1"/>
    <w:autoRedefine/>
    <w:qFormat/>
    <w:uiPriority w:val="0"/>
    <w:pPr>
      <w:widowControl/>
      <w:autoSpaceDE/>
      <w:autoSpaceDN/>
      <w:adjustRightInd/>
      <w:spacing w:before="100" w:beforeLines="0" w:beforeAutospacing="1" w:after="100" w:afterLines="0" w:afterAutospacing="1"/>
      <w:jc w:val="left"/>
    </w:pPr>
    <w:rPr>
      <w:rFonts w:ascii="宋体" w:hAnsi="宋体" w:cs="宋体"/>
      <w:color w:val="auto"/>
      <w:sz w:val="24"/>
      <w:szCs w:val="24"/>
    </w:rPr>
  </w:style>
  <w:style w:type="character" w:customStyle="1" w:styleId="75">
    <w:name w:val="font122"/>
    <w:basedOn w:val="29"/>
    <w:autoRedefine/>
    <w:qFormat/>
    <w:uiPriority w:val="0"/>
    <w:rPr>
      <w:rFonts w:hint="eastAsia" w:ascii="宋体" w:hAnsi="宋体" w:eastAsia="宋体" w:cs="宋体"/>
      <w:color w:val="000000"/>
      <w:sz w:val="22"/>
      <w:szCs w:val="22"/>
      <w:u w:val="none"/>
      <w:vertAlign w:val="superscript"/>
    </w:rPr>
  </w:style>
  <w:style w:type="paragraph" w:customStyle="1" w:styleId="76">
    <w:name w:val="Body Text 31"/>
    <w:basedOn w:val="1"/>
    <w:autoRedefine/>
    <w:qFormat/>
    <w:uiPriority w:val="0"/>
    <w:pPr>
      <w:spacing w:after="120" w:afterLines="0"/>
    </w:pPr>
    <w:rPr>
      <w:sz w:val="16"/>
      <w:szCs w:val="16"/>
    </w:rPr>
  </w:style>
  <w:style w:type="table" w:customStyle="1" w:styleId="7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7425;&#22366;&#38215;&#39135;&#22530;&#37319;&#36141;&#35201;&#32032;&#38468;&#20214;&#21021;&#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次坞镇食堂采购要素附件初稿</Template>
  <Pages>7</Pages>
  <Words>4993</Words>
  <Characters>5348</Characters>
  <Lines>106</Lines>
  <Paragraphs>29</Paragraphs>
  <TotalTime>8</TotalTime>
  <ScaleCrop>false</ScaleCrop>
  <LinksUpToDate>false</LinksUpToDate>
  <CharactersWithSpaces>5365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2020-04-01T09:02:00Z</dcterms:created>
  <dc:creator>广和政府采购代理</dc:creator>
  <cp:lastModifiedBy>青夏夏夏</cp:lastModifiedBy>
  <cp:lastPrinted>2024-02-29T01:00:00Z</cp:lastPrinted>
  <dcterms:modified xsi:type="dcterms:W3CDTF">2025-03-03T05:02:12Z</dcterms:modified>
  <dc:title>诸暨市残疾人联合会大病医疗和意外伤害补充商业保险</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6519A9BCDFA647088F29D9A1BCBEF7EA_13</vt:lpwstr>
  </property>
  <property fmtid="{D5CDD505-2E9C-101B-9397-08002B2CF9AE}" pid="4" name="KSOTemplateDocerSaveRecord">
    <vt:lpwstr>eyJoZGlkIjoiY2ZiOTQwM2Q1MWJhZmQ3MzFmZTU4OTNhNDBlM2Y0MDYiLCJ1c2VySWQiOiIzMTk5MDMwNDgifQ==</vt:lpwstr>
  </property>
</Properties>
</file>