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CC431">
      <w:pPr>
        <w:jc w:val="center"/>
        <w:rPr>
          <w:rFonts w:hint="eastAsia" w:ascii="宋体" w:hAnsi="宋体" w:eastAsia="宋体" w:cs="宋体"/>
          <w:b/>
          <w:sz w:val="32"/>
          <w:szCs w:val="32"/>
        </w:rPr>
      </w:pPr>
      <w:r>
        <w:rPr>
          <w:rFonts w:hint="eastAsia" w:ascii="宋体" w:hAnsi="宋体" w:eastAsia="宋体" w:cs="宋体"/>
          <w:b/>
          <w:sz w:val="32"/>
          <w:szCs w:val="32"/>
          <w:lang w:eastAsia="zh-CN"/>
        </w:rPr>
        <w:t>诸暨市人民政府陶朱街道办事处2025年度工程项目造价咨询服务采购项目</w:t>
      </w:r>
      <w:r>
        <w:rPr>
          <w:rFonts w:hint="eastAsia" w:ascii="宋体" w:hAnsi="宋体" w:eastAsia="宋体" w:cs="宋体"/>
          <w:b/>
          <w:sz w:val="32"/>
          <w:szCs w:val="32"/>
        </w:rPr>
        <w:t>要素</w:t>
      </w:r>
    </w:p>
    <w:p w14:paraId="7ACC5389">
      <w:pPr>
        <w:numPr>
          <w:ilvl w:val="0"/>
          <w:numId w:val="1"/>
        </w:numPr>
        <w:spacing w:line="360" w:lineRule="auto"/>
        <w:rPr>
          <w:rFonts w:hint="eastAsia" w:ascii="宋体" w:hAnsi="宋体" w:eastAsia="宋体" w:cs="宋体"/>
          <w:b w:val="0"/>
          <w:bCs/>
          <w:sz w:val="24"/>
          <w:szCs w:val="24"/>
          <w:lang w:eastAsia="zh-CN"/>
        </w:rPr>
      </w:pPr>
      <w:r>
        <w:rPr>
          <w:rFonts w:hint="eastAsia" w:ascii="宋体" w:hAnsi="宋体" w:eastAsia="宋体" w:cs="宋体"/>
          <w:b/>
          <w:sz w:val="24"/>
          <w:szCs w:val="24"/>
        </w:rPr>
        <w:t>项目</w:t>
      </w:r>
      <w:bookmarkStart w:id="0" w:name="_Hlk44572922"/>
      <w:r>
        <w:rPr>
          <w:rFonts w:hint="eastAsia" w:ascii="宋体" w:hAnsi="宋体" w:eastAsia="宋体" w:cs="宋体"/>
          <w:b/>
          <w:sz w:val="24"/>
          <w:szCs w:val="24"/>
        </w:rPr>
        <w:t>名称：</w:t>
      </w:r>
      <w:r>
        <w:rPr>
          <w:rFonts w:hint="eastAsia" w:ascii="宋体" w:hAnsi="宋体" w:eastAsia="宋体" w:cs="宋体"/>
          <w:b w:val="0"/>
          <w:bCs/>
          <w:sz w:val="24"/>
          <w:szCs w:val="24"/>
          <w:lang w:eastAsia="zh-CN"/>
        </w:rPr>
        <w:t>诸暨市人民政府陶朱街道办事处2025年度工程项目造价咨询服务采购项目</w:t>
      </w:r>
    </w:p>
    <w:p w14:paraId="4EB9C052">
      <w:pPr>
        <w:numPr>
          <w:ilvl w:val="0"/>
          <w:numId w:val="0"/>
        </w:numPr>
        <w:spacing w:line="360" w:lineRule="auto"/>
        <w:rPr>
          <w:rFonts w:hint="eastAsia" w:ascii="宋体" w:hAnsi="宋体" w:eastAsia="宋体" w:cs="宋体"/>
          <w:b/>
          <w:sz w:val="24"/>
          <w:szCs w:val="24"/>
        </w:rPr>
      </w:pPr>
      <w:r>
        <w:rPr>
          <w:rFonts w:hint="eastAsia" w:ascii="宋体" w:hAnsi="宋体" w:eastAsia="宋体" w:cs="宋体"/>
          <w:b/>
          <w:sz w:val="24"/>
          <w:szCs w:val="24"/>
        </w:rPr>
        <w:t>二、项目内容及规模</w:t>
      </w:r>
    </w:p>
    <w:bookmarkEnd w:id="0"/>
    <w:p w14:paraId="4713EB0C">
      <w:pPr>
        <w:spacing w:line="360" w:lineRule="auto"/>
        <w:ind w:firstLine="480" w:firstLineChars="200"/>
        <w:rPr>
          <w:rFonts w:hint="eastAsia" w:ascii="宋体" w:hAnsi="宋体" w:eastAsia="宋体" w:cs="宋体"/>
          <w:sz w:val="24"/>
          <w:szCs w:val="24"/>
        </w:rPr>
      </w:pPr>
      <w:bookmarkStart w:id="1" w:name="_Hlk44574602"/>
      <w:r>
        <w:rPr>
          <w:rFonts w:hint="eastAsia" w:ascii="宋体" w:hAnsi="宋体" w:eastAsia="宋体" w:cs="宋体"/>
          <w:b w:val="0"/>
          <w:bCs/>
          <w:sz w:val="24"/>
          <w:szCs w:val="24"/>
          <w:lang w:eastAsia="zh-CN"/>
        </w:rPr>
        <w:t>诸暨市人民政府陶朱街道办事处2025年度工程项目造价咨询服务采购项目</w:t>
      </w:r>
      <w:r>
        <w:rPr>
          <w:rFonts w:hint="eastAsia" w:ascii="宋体" w:hAnsi="宋体" w:eastAsia="宋体" w:cs="宋体"/>
          <w:sz w:val="24"/>
          <w:szCs w:val="24"/>
        </w:rPr>
        <w:t>，采购预算总金额为人民币</w:t>
      </w:r>
      <w:r>
        <w:rPr>
          <w:rFonts w:hint="eastAsia" w:ascii="宋体" w:hAnsi="宋体" w:eastAsia="宋体" w:cs="宋体"/>
          <w:sz w:val="24"/>
          <w:szCs w:val="24"/>
          <w:lang w:val="en-US" w:eastAsia="zh-CN"/>
        </w:rPr>
        <w:t>60</w:t>
      </w:r>
      <w:r>
        <w:rPr>
          <w:rFonts w:hint="eastAsia" w:ascii="宋体" w:hAnsi="宋体" w:eastAsia="宋体" w:cs="宋体"/>
          <w:sz w:val="24"/>
          <w:szCs w:val="24"/>
        </w:rPr>
        <w:t>万元。本项目共分</w:t>
      </w:r>
      <w:r>
        <w:rPr>
          <w:rFonts w:hint="eastAsia" w:ascii="宋体" w:hAnsi="宋体" w:eastAsia="宋体" w:cs="宋体"/>
          <w:sz w:val="24"/>
          <w:szCs w:val="24"/>
          <w:lang w:val="en-US" w:eastAsia="zh-CN"/>
        </w:rPr>
        <w:t>2</w:t>
      </w:r>
      <w:r>
        <w:rPr>
          <w:rFonts w:hint="eastAsia" w:ascii="宋体" w:hAnsi="宋体" w:eastAsia="宋体" w:cs="宋体"/>
          <w:sz w:val="24"/>
          <w:szCs w:val="24"/>
        </w:rPr>
        <w:t>个标项，每个标项的预算金额见下表，具体内容详见采购需求。</w:t>
      </w:r>
    </w:p>
    <w:tbl>
      <w:tblPr>
        <w:tblStyle w:val="22"/>
        <w:tblW w:w="81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5"/>
        <w:gridCol w:w="5103"/>
        <w:gridCol w:w="1800"/>
      </w:tblGrid>
      <w:tr w14:paraId="14FA3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235" w:type="dxa"/>
            <w:vAlign w:val="center"/>
          </w:tcPr>
          <w:p w14:paraId="622CFC5B">
            <w:pPr>
              <w:spacing w:line="276" w:lineRule="auto"/>
              <w:jc w:val="center"/>
              <w:rPr>
                <w:rFonts w:hint="eastAsia" w:ascii="宋体" w:hAnsi="宋体" w:eastAsia="宋体" w:cs="宋体"/>
                <w:bCs/>
                <w:sz w:val="24"/>
              </w:rPr>
            </w:pPr>
            <w:r>
              <w:rPr>
                <w:rFonts w:hint="eastAsia" w:ascii="宋体" w:hAnsi="宋体" w:eastAsia="宋体" w:cs="宋体"/>
                <w:bCs/>
                <w:sz w:val="24"/>
              </w:rPr>
              <w:t>标项</w:t>
            </w:r>
          </w:p>
        </w:tc>
        <w:tc>
          <w:tcPr>
            <w:tcW w:w="5103" w:type="dxa"/>
            <w:vAlign w:val="center"/>
          </w:tcPr>
          <w:p w14:paraId="72DA1675">
            <w:pPr>
              <w:spacing w:line="276" w:lineRule="auto"/>
              <w:jc w:val="center"/>
              <w:rPr>
                <w:rFonts w:hint="eastAsia" w:ascii="宋体" w:hAnsi="宋体" w:eastAsia="宋体" w:cs="宋体"/>
                <w:bCs/>
                <w:sz w:val="24"/>
              </w:rPr>
            </w:pPr>
            <w:r>
              <w:rPr>
                <w:rFonts w:hint="eastAsia" w:ascii="宋体" w:hAnsi="宋体" w:eastAsia="宋体" w:cs="宋体"/>
                <w:bCs/>
                <w:sz w:val="24"/>
              </w:rPr>
              <w:t>标项名称</w:t>
            </w:r>
          </w:p>
        </w:tc>
        <w:tc>
          <w:tcPr>
            <w:tcW w:w="1800" w:type="dxa"/>
            <w:vAlign w:val="center"/>
          </w:tcPr>
          <w:p w14:paraId="339C79D2">
            <w:pPr>
              <w:spacing w:line="276" w:lineRule="auto"/>
              <w:jc w:val="center"/>
              <w:rPr>
                <w:rFonts w:hint="eastAsia" w:ascii="宋体" w:hAnsi="宋体" w:eastAsia="宋体" w:cs="宋体"/>
                <w:bCs/>
                <w:sz w:val="24"/>
              </w:rPr>
            </w:pPr>
            <w:r>
              <w:rPr>
                <w:rFonts w:hint="eastAsia" w:ascii="宋体" w:hAnsi="宋体" w:eastAsia="宋体" w:cs="宋体"/>
                <w:bCs/>
                <w:sz w:val="24"/>
              </w:rPr>
              <w:t>预算金额（元）</w:t>
            </w:r>
          </w:p>
        </w:tc>
      </w:tr>
      <w:tr w14:paraId="7E237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5" w:type="dxa"/>
            <w:vAlign w:val="center"/>
          </w:tcPr>
          <w:p w14:paraId="5DECACAA">
            <w:pPr>
              <w:spacing w:line="276" w:lineRule="auto"/>
              <w:jc w:val="center"/>
              <w:rPr>
                <w:rFonts w:hint="eastAsia" w:ascii="宋体" w:hAnsi="宋体" w:eastAsia="宋体" w:cs="宋体"/>
                <w:bCs/>
                <w:sz w:val="24"/>
              </w:rPr>
            </w:pPr>
            <w:r>
              <w:rPr>
                <w:rFonts w:hint="eastAsia" w:ascii="宋体" w:hAnsi="宋体" w:eastAsia="宋体" w:cs="宋体"/>
                <w:bCs/>
                <w:sz w:val="24"/>
              </w:rPr>
              <w:t>标项一</w:t>
            </w:r>
          </w:p>
        </w:tc>
        <w:tc>
          <w:tcPr>
            <w:tcW w:w="5103" w:type="dxa"/>
            <w:vAlign w:val="center"/>
          </w:tcPr>
          <w:p w14:paraId="5BA8CC26">
            <w:pPr>
              <w:spacing w:line="276" w:lineRule="auto"/>
              <w:rPr>
                <w:rFonts w:hint="eastAsia" w:ascii="宋体" w:hAnsi="宋体" w:eastAsia="宋体" w:cs="宋体"/>
                <w:bCs/>
                <w:sz w:val="24"/>
              </w:rPr>
            </w:pPr>
            <w:r>
              <w:rPr>
                <w:rFonts w:hint="eastAsia" w:ascii="宋体" w:hAnsi="宋体" w:eastAsia="宋体" w:cs="宋体"/>
                <w:sz w:val="24"/>
                <w:szCs w:val="24"/>
              </w:rPr>
              <w:t>400万元以内工程项目预算审核服务</w:t>
            </w:r>
          </w:p>
        </w:tc>
        <w:tc>
          <w:tcPr>
            <w:tcW w:w="1800" w:type="dxa"/>
            <w:vAlign w:val="center"/>
          </w:tcPr>
          <w:p w14:paraId="75ACB833">
            <w:pPr>
              <w:spacing w:line="276" w:lineRule="auto"/>
              <w:jc w:val="center"/>
              <w:rPr>
                <w:rFonts w:hint="eastAsia" w:ascii="宋体" w:hAnsi="宋体" w:eastAsia="宋体" w:cs="宋体"/>
                <w:bCs/>
                <w:sz w:val="24"/>
              </w:rPr>
            </w:pPr>
            <w:r>
              <w:rPr>
                <w:rFonts w:hint="eastAsia" w:ascii="宋体" w:hAnsi="宋体" w:eastAsia="宋体" w:cs="宋体"/>
                <w:bCs/>
                <w:sz w:val="24"/>
              </w:rPr>
              <w:t>200000</w:t>
            </w:r>
          </w:p>
        </w:tc>
      </w:tr>
      <w:tr w14:paraId="6250D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5" w:type="dxa"/>
            <w:vAlign w:val="center"/>
          </w:tcPr>
          <w:p w14:paraId="320D6856">
            <w:pPr>
              <w:spacing w:line="276" w:lineRule="auto"/>
              <w:jc w:val="center"/>
              <w:rPr>
                <w:rFonts w:hint="eastAsia" w:ascii="宋体" w:hAnsi="宋体" w:eastAsia="宋体" w:cs="宋体"/>
                <w:bCs/>
                <w:sz w:val="24"/>
              </w:rPr>
            </w:pPr>
            <w:r>
              <w:rPr>
                <w:rFonts w:hint="eastAsia" w:ascii="宋体" w:hAnsi="宋体" w:eastAsia="宋体" w:cs="宋体"/>
                <w:bCs/>
                <w:sz w:val="24"/>
              </w:rPr>
              <w:t>标项二</w:t>
            </w:r>
          </w:p>
        </w:tc>
        <w:tc>
          <w:tcPr>
            <w:tcW w:w="5103" w:type="dxa"/>
            <w:vAlign w:val="center"/>
          </w:tcPr>
          <w:p w14:paraId="47688694">
            <w:pPr>
              <w:spacing w:line="276" w:lineRule="auto"/>
              <w:rPr>
                <w:rFonts w:hint="eastAsia" w:ascii="宋体" w:hAnsi="宋体" w:eastAsia="宋体" w:cs="宋体"/>
                <w:sz w:val="24"/>
                <w:szCs w:val="24"/>
              </w:rPr>
            </w:pPr>
            <w:r>
              <w:rPr>
                <w:rFonts w:hint="eastAsia" w:ascii="宋体" w:hAnsi="宋体" w:eastAsia="宋体" w:cs="宋体"/>
                <w:sz w:val="24"/>
                <w:szCs w:val="24"/>
              </w:rPr>
              <w:t>200万元以内工程项目结</w:t>
            </w:r>
            <w:r>
              <w:rPr>
                <w:rFonts w:hint="eastAsia" w:ascii="宋体" w:hAnsi="宋体" w:eastAsia="宋体" w:cs="宋体"/>
                <w:sz w:val="24"/>
                <w:szCs w:val="24"/>
                <w:highlight w:val="none"/>
              </w:rPr>
              <w:t>算审核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概算审核</w:t>
            </w:r>
            <w:r>
              <w:rPr>
                <w:rFonts w:hint="eastAsia" w:ascii="宋体" w:hAnsi="宋体" w:eastAsia="宋体" w:cs="宋体"/>
                <w:sz w:val="24"/>
                <w:szCs w:val="24"/>
                <w:highlight w:val="none"/>
                <w:lang w:val="en-US" w:eastAsia="zh-CN"/>
              </w:rPr>
              <w:t>服</w:t>
            </w:r>
            <w:r>
              <w:rPr>
                <w:rFonts w:hint="eastAsia" w:ascii="宋体" w:hAnsi="宋体" w:eastAsia="宋体" w:cs="宋体"/>
                <w:sz w:val="24"/>
                <w:szCs w:val="24"/>
                <w:highlight w:val="none"/>
              </w:rPr>
              <w:t>务</w:t>
            </w:r>
          </w:p>
        </w:tc>
        <w:tc>
          <w:tcPr>
            <w:tcW w:w="1800" w:type="dxa"/>
            <w:vAlign w:val="center"/>
          </w:tcPr>
          <w:p w14:paraId="0FFFC5B8">
            <w:pPr>
              <w:spacing w:line="276" w:lineRule="auto"/>
              <w:jc w:val="center"/>
              <w:rPr>
                <w:rFonts w:hint="eastAsia" w:ascii="宋体" w:hAnsi="宋体" w:eastAsia="宋体" w:cs="宋体"/>
                <w:bCs/>
                <w:sz w:val="24"/>
              </w:rPr>
            </w:pPr>
            <w:r>
              <w:rPr>
                <w:rFonts w:hint="eastAsia" w:ascii="宋体" w:hAnsi="宋体" w:eastAsia="宋体" w:cs="宋体"/>
                <w:bCs/>
                <w:sz w:val="24"/>
              </w:rPr>
              <w:t>400000</w:t>
            </w:r>
          </w:p>
        </w:tc>
      </w:tr>
      <w:bookmarkEnd w:id="1"/>
    </w:tbl>
    <w:p w14:paraId="330EA8BB">
      <w:pPr>
        <w:spacing w:line="360" w:lineRule="auto"/>
        <w:rPr>
          <w:rFonts w:hint="eastAsia" w:ascii="宋体" w:hAnsi="宋体" w:eastAsia="宋体" w:cs="宋体"/>
          <w:b/>
          <w:sz w:val="24"/>
        </w:rPr>
      </w:pPr>
      <w:r>
        <w:rPr>
          <w:rFonts w:hint="eastAsia" w:ascii="宋体" w:hAnsi="宋体" w:eastAsia="宋体" w:cs="宋体"/>
          <w:b/>
          <w:sz w:val="24"/>
        </w:rPr>
        <w:t>三、投标人（供应商）资格要求</w:t>
      </w:r>
    </w:p>
    <w:p w14:paraId="546BEEF7">
      <w:pPr>
        <w:adjustRightInd w:val="0"/>
        <w:snapToGrid w:val="0"/>
        <w:spacing w:line="360" w:lineRule="auto"/>
        <w:ind w:firstLine="480" w:firstLineChars="200"/>
        <w:rPr>
          <w:rFonts w:hint="eastAsia" w:ascii="宋体" w:hAnsi="宋体" w:eastAsia="宋体" w:cs="宋体"/>
          <w:sz w:val="24"/>
          <w:szCs w:val="24"/>
        </w:rPr>
      </w:pPr>
      <w:bookmarkStart w:id="2" w:name="_Hlk44574667"/>
      <w:r>
        <w:rPr>
          <w:rFonts w:hint="eastAsia" w:ascii="宋体" w:hAnsi="宋体" w:eastAsia="宋体" w:cs="宋体"/>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4BBB5C30">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2、落实政府采购政策需满足的资格要求：</w:t>
      </w:r>
      <w:r>
        <w:rPr>
          <w:rFonts w:hint="eastAsia" w:ascii="宋体" w:hAnsi="宋体" w:eastAsia="宋体" w:cs="宋体"/>
          <w:sz w:val="24"/>
          <w:szCs w:val="24"/>
        </w:rPr>
        <w:t>【标项1、2】：</w:t>
      </w:r>
      <w:r>
        <w:rPr>
          <w:rFonts w:hint="eastAsia" w:ascii="宋体" w:hAnsi="宋体" w:eastAsia="宋体" w:cs="宋体"/>
          <w:bCs/>
          <w:sz w:val="24"/>
          <w:szCs w:val="24"/>
        </w:rPr>
        <w:t>专门面向中小企业，服务全部由符合政策要求的中小企业承接，提供中小企业声明函。</w:t>
      </w:r>
    </w:p>
    <w:p w14:paraId="6DCC6AD6">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3、本项目的特定资格要求：无。</w:t>
      </w:r>
    </w:p>
    <w:p w14:paraId="562B85E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4、本项目【不接受】联合体投标。</w:t>
      </w:r>
    </w:p>
    <w:bookmarkEnd w:id="2"/>
    <w:p w14:paraId="38640654">
      <w:pPr>
        <w:spacing w:line="300" w:lineRule="auto"/>
        <w:rPr>
          <w:rFonts w:hint="eastAsia" w:ascii="宋体" w:hAnsi="宋体" w:eastAsia="宋体" w:cs="宋体"/>
          <w:b/>
          <w:sz w:val="24"/>
        </w:rPr>
      </w:pPr>
      <w:r>
        <w:rPr>
          <w:rFonts w:hint="eastAsia" w:ascii="宋体" w:hAnsi="宋体" w:eastAsia="宋体" w:cs="宋体"/>
          <w:b/>
          <w:sz w:val="24"/>
        </w:rPr>
        <w:t>四、评标办法：综合评分法</w:t>
      </w:r>
      <w:r>
        <w:rPr>
          <w:rFonts w:hint="eastAsia" w:ascii="宋体" w:hAnsi="宋体" w:eastAsia="宋体" w:cs="宋体"/>
          <w:b/>
          <w:sz w:val="24"/>
          <w:lang w:eastAsia="zh-CN"/>
        </w:rPr>
        <w:t>（</w:t>
      </w:r>
      <w:r>
        <w:rPr>
          <w:rFonts w:hint="eastAsia" w:ascii="宋体" w:hAnsi="宋体" w:eastAsia="宋体" w:cs="宋体"/>
          <w:spacing w:val="36"/>
          <w:sz w:val="24"/>
          <w:u w:val="single"/>
        </w:rPr>
        <w:t>标项1、2</w:t>
      </w:r>
      <w:r>
        <w:rPr>
          <w:rFonts w:hint="eastAsia" w:ascii="宋体" w:hAnsi="宋体" w:eastAsia="宋体" w:cs="宋体"/>
          <w:spacing w:val="36"/>
          <w:sz w:val="24"/>
          <w:u w:val="single"/>
          <w:lang w:eastAsia="zh-CN"/>
        </w:rPr>
        <w:t>）</w:t>
      </w:r>
      <w:r>
        <w:rPr>
          <w:rFonts w:hint="eastAsia" w:ascii="宋体" w:hAnsi="宋体" w:eastAsia="宋体" w:cs="宋体"/>
          <w:b/>
          <w:sz w:val="24"/>
        </w:rPr>
        <w:t>：</w:t>
      </w:r>
    </w:p>
    <w:p w14:paraId="70539968">
      <w:pPr>
        <w:adjustRightInd w:val="0"/>
        <w:snapToGrid w:val="0"/>
        <w:spacing w:line="300" w:lineRule="auto"/>
        <w:ind w:firstLine="480" w:firstLineChars="200"/>
        <w:rPr>
          <w:rFonts w:hint="eastAsia" w:ascii="宋体" w:hAnsi="宋体" w:eastAsia="宋体" w:cs="宋体"/>
          <w:sz w:val="24"/>
        </w:rPr>
      </w:pPr>
      <w:r>
        <w:rPr>
          <w:rFonts w:hint="eastAsia" w:ascii="宋体" w:hAnsi="宋体" w:eastAsia="宋体" w:cs="宋体"/>
          <w:sz w:val="24"/>
          <w:szCs w:val="24"/>
        </w:rPr>
        <w:t>1、投标人的综合得分=商务技术得分+报价得分，综合得分满分为100分。</w:t>
      </w:r>
    </w:p>
    <w:p w14:paraId="52312344">
      <w:pPr>
        <w:adjustRightInd w:val="0"/>
        <w:snapToGrid w:val="0"/>
        <w:spacing w:line="300" w:lineRule="auto"/>
        <w:ind w:firstLine="480" w:firstLineChars="200"/>
        <w:rPr>
          <w:rFonts w:hint="eastAsia" w:ascii="宋体" w:hAnsi="宋体" w:eastAsia="宋体" w:cs="宋体"/>
          <w:sz w:val="24"/>
        </w:rPr>
      </w:pPr>
      <w:r>
        <w:rPr>
          <w:rFonts w:hint="eastAsia" w:ascii="宋体" w:hAnsi="宋体" w:eastAsia="宋体" w:cs="宋体"/>
          <w:sz w:val="24"/>
          <w:szCs w:val="24"/>
        </w:rPr>
        <w:t>2、 商务技术得分=商务技术评分，商务技术评分=</w:t>
      </w:r>
      <w:r>
        <w:rPr>
          <w:rFonts w:hint="eastAsia" w:ascii="宋体" w:hAnsi="宋体" w:eastAsia="宋体" w:cs="宋体"/>
          <w:spacing w:val="-6"/>
          <w:sz w:val="24"/>
          <w:szCs w:val="24"/>
        </w:rPr>
        <w:t>所有评委的有效评分的算术平均数</w:t>
      </w:r>
      <w:r>
        <w:rPr>
          <w:rFonts w:hint="eastAsia" w:ascii="宋体" w:hAnsi="宋体" w:eastAsia="宋体" w:cs="宋体"/>
          <w:sz w:val="24"/>
          <w:szCs w:val="24"/>
        </w:rPr>
        <w:t>。</w:t>
      </w:r>
    </w:p>
    <w:p w14:paraId="4222C48A">
      <w:pPr>
        <w:adjustRightInd w:val="0"/>
        <w:snapToGrid w:val="0"/>
        <w:spacing w:line="300" w:lineRule="auto"/>
        <w:ind w:firstLine="480" w:firstLineChars="200"/>
        <w:rPr>
          <w:rFonts w:hint="eastAsia" w:ascii="宋体" w:hAnsi="宋体" w:eastAsia="宋体" w:cs="宋体"/>
          <w:sz w:val="24"/>
        </w:rPr>
      </w:pPr>
      <w:r>
        <w:rPr>
          <w:rFonts w:hint="eastAsia" w:ascii="宋体" w:hAnsi="宋体" w:eastAsia="宋体" w:cs="宋体"/>
          <w:sz w:val="24"/>
          <w:szCs w:val="24"/>
        </w:rPr>
        <w:t>3、报价得分=（评标基准价/投标报价）×价格权值×100，评标基准价=有效投标人的最低投标报价，价格权值=30%。</w:t>
      </w:r>
    </w:p>
    <w:p w14:paraId="4ADABDFF">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4、商务技术分评分细则（70分）</w:t>
      </w:r>
    </w:p>
    <w:tbl>
      <w:tblPr>
        <w:tblStyle w:val="22"/>
        <w:tblW w:w="101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9"/>
        <w:gridCol w:w="982"/>
        <w:gridCol w:w="7655"/>
        <w:gridCol w:w="828"/>
      </w:tblGrid>
      <w:tr w14:paraId="6AEDE4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699" w:type="dxa"/>
            <w:vAlign w:val="center"/>
          </w:tcPr>
          <w:p w14:paraId="44B7ADA3">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982" w:type="dxa"/>
            <w:vAlign w:val="center"/>
          </w:tcPr>
          <w:p w14:paraId="558D236D">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7655" w:type="dxa"/>
            <w:vAlign w:val="center"/>
          </w:tcPr>
          <w:p w14:paraId="2294E4F1">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828" w:type="dxa"/>
            <w:vAlign w:val="center"/>
          </w:tcPr>
          <w:p w14:paraId="451FAAF2">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分值</w:t>
            </w:r>
          </w:p>
        </w:tc>
      </w:tr>
      <w:tr w14:paraId="15CC3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699" w:type="dxa"/>
            <w:vAlign w:val="center"/>
          </w:tcPr>
          <w:p w14:paraId="4376F7BC">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982" w:type="dxa"/>
            <w:vAlign w:val="center"/>
          </w:tcPr>
          <w:p w14:paraId="460AACC1">
            <w:pPr>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业绩</w:t>
            </w:r>
          </w:p>
          <w:p w14:paraId="22925091">
            <w:pPr>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经验</w:t>
            </w:r>
          </w:p>
        </w:tc>
        <w:tc>
          <w:tcPr>
            <w:tcW w:w="7655" w:type="dxa"/>
            <w:vAlign w:val="center"/>
          </w:tcPr>
          <w:p w14:paraId="62298618">
            <w:pPr>
              <w:spacing w:line="300" w:lineRule="auto"/>
              <w:rPr>
                <w:rFonts w:hint="eastAsia" w:ascii="宋体" w:hAnsi="宋体" w:eastAsia="宋体" w:cs="宋体"/>
                <w:sz w:val="24"/>
                <w:szCs w:val="24"/>
              </w:rPr>
            </w:pPr>
            <w:r>
              <w:rPr>
                <w:rFonts w:hint="eastAsia" w:ascii="宋体" w:hAnsi="宋体" w:eastAsia="宋体" w:cs="宋体"/>
                <w:sz w:val="24"/>
                <w:szCs w:val="24"/>
              </w:rPr>
              <w:t>投</w:t>
            </w:r>
            <w:r>
              <w:rPr>
                <w:rFonts w:hint="eastAsia" w:ascii="宋体" w:hAnsi="宋体" w:eastAsia="宋体" w:cs="宋体"/>
                <w:color w:val="auto"/>
                <w:sz w:val="24"/>
                <w:szCs w:val="24"/>
                <w:highlight w:val="none"/>
              </w:rPr>
              <w:t>标人自20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年1月1日至今（以</w:t>
            </w:r>
            <w:r>
              <w:rPr>
                <w:rFonts w:hint="eastAsia" w:ascii="宋体" w:hAnsi="宋体" w:eastAsia="宋体" w:cs="宋体"/>
                <w:sz w:val="24"/>
                <w:szCs w:val="24"/>
              </w:rPr>
              <w:t>合同签订时间为准），具有承接过类似审核业绩的，每个业绩得1分，最高得3分。（注：类似审核业绩：标项1指含有工程造价咨询预算审核服务内容的业绩，标项2指含有工程造价咨询结算审核服务或者含有工程造价咨询概算审核服务内容的业绩；业绩个数及时间以合同为准，同一个合同含有多个项目审核的按一个业绩计算；商务技术文件中需提供合同复印件并加盖投标人CA签章，否则不得分。）</w:t>
            </w:r>
          </w:p>
        </w:tc>
        <w:tc>
          <w:tcPr>
            <w:tcW w:w="828" w:type="dxa"/>
            <w:vAlign w:val="center"/>
          </w:tcPr>
          <w:p w14:paraId="6E0A2221">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3分</w:t>
            </w:r>
          </w:p>
        </w:tc>
      </w:tr>
      <w:tr w14:paraId="4DFAF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1" w:hRule="atLeast"/>
          <w:jc w:val="center"/>
        </w:trPr>
        <w:tc>
          <w:tcPr>
            <w:tcW w:w="699" w:type="dxa"/>
            <w:vAlign w:val="center"/>
          </w:tcPr>
          <w:p w14:paraId="57495FEE">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982" w:type="dxa"/>
            <w:vAlign w:val="center"/>
          </w:tcPr>
          <w:p w14:paraId="34F20A86">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拟派项目人员情况</w:t>
            </w:r>
          </w:p>
        </w:tc>
        <w:tc>
          <w:tcPr>
            <w:tcW w:w="7655" w:type="dxa"/>
            <w:vAlign w:val="center"/>
          </w:tcPr>
          <w:p w14:paraId="448A8115">
            <w:pPr>
              <w:spacing w:line="300" w:lineRule="auto"/>
              <w:rPr>
                <w:rFonts w:hint="eastAsia" w:ascii="宋体" w:hAnsi="宋体" w:eastAsia="宋体" w:cs="宋体"/>
                <w:b/>
                <w:bCs/>
                <w:sz w:val="24"/>
                <w:szCs w:val="24"/>
              </w:rPr>
            </w:pPr>
            <w:r>
              <w:rPr>
                <w:rFonts w:hint="eastAsia" w:ascii="宋体" w:hAnsi="宋体" w:eastAsia="宋体" w:cs="宋体"/>
                <w:b/>
                <w:bCs/>
                <w:sz w:val="24"/>
                <w:szCs w:val="24"/>
              </w:rPr>
              <w:t>1.拟派项目负责人：</w:t>
            </w:r>
          </w:p>
          <w:p w14:paraId="1086EAA2">
            <w:pPr>
              <w:spacing w:line="300" w:lineRule="auto"/>
              <w:rPr>
                <w:rFonts w:hint="eastAsia" w:ascii="宋体" w:hAnsi="宋体" w:eastAsia="宋体" w:cs="宋体"/>
                <w:sz w:val="24"/>
                <w:szCs w:val="24"/>
              </w:rPr>
            </w:pPr>
            <w:r>
              <w:rPr>
                <w:rFonts w:hint="eastAsia" w:ascii="宋体" w:hAnsi="宋体" w:eastAsia="宋体" w:cs="宋体"/>
                <w:bCs/>
                <w:sz w:val="24"/>
                <w:szCs w:val="24"/>
              </w:rPr>
              <w:t>投标人拟派项目负责人具备注册一级造价工程师执业资格的得5分。</w:t>
            </w:r>
          </w:p>
          <w:p w14:paraId="22E400D3">
            <w:pPr>
              <w:spacing w:line="300" w:lineRule="auto"/>
              <w:rPr>
                <w:rFonts w:hint="eastAsia" w:ascii="宋体" w:hAnsi="宋体" w:eastAsia="宋体" w:cs="宋体"/>
                <w:b/>
                <w:bCs/>
                <w:sz w:val="24"/>
                <w:szCs w:val="24"/>
              </w:rPr>
            </w:pPr>
            <w:r>
              <w:rPr>
                <w:rFonts w:hint="eastAsia" w:ascii="宋体" w:hAnsi="宋体" w:eastAsia="宋体" w:cs="宋体"/>
                <w:b/>
                <w:bCs/>
                <w:sz w:val="24"/>
                <w:szCs w:val="24"/>
              </w:rPr>
              <w:t>2.拟派其他技术人员（不含项目负责人）：</w:t>
            </w:r>
          </w:p>
          <w:p w14:paraId="20006C6E">
            <w:pPr>
              <w:spacing w:line="300" w:lineRule="auto"/>
              <w:rPr>
                <w:rFonts w:hint="eastAsia" w:ascii="宋体" w:hAnsi="宋体" w:eastAsia="宋体" w:cs="宋体"/>
                <w:bCs/>
                <w:sz w:val="24"/>
                <w:szCs w:val="24"/>
              </w:rPr>
            </w:pPr>
            <w:r>
              <w:rPr>
                <w:rFonts w:hint="eastAsia" w:ascii="宋体" w:hAnsi="宋体" w:eastAsia="宋体" w:cs="宋体"/>
                <w:bCs/>
                <w:sz w:val="24"/>
                <w:szCs w:val="24"/>
              </w:rPr>
              <w:t>投标人拟派其他技术人员具有二级造价师资格的，每提供1人得1分；具备一级造价师资格的，每人得3分。本项最高得17分（同一人按最高资质得分，不得累加计分）。</w:t>
            </w:r>
          </w:p>
          <w:p w14:paraId="4B4C8044">
            <w:pPr>
              <w:spacing w:line="300" w:lineRule="auto"/>
              <w:rPr>
                <w:rFonts w:hint="eastAsia" w:ascii="宋体" w:hAnsi="宋体" w:eastAsia="宋体" w:cs="宋体"/>
                <w:bCs/>
                <w:sz w:val="24"/>
                <w:szCs w:val="24"/>
              </w:rPr>
            </w:pPr>
            <w:r>
              <w:rPr>
                <w:rFonts w:hint="eastAsia" w:ascii="宋体" w:hAnsi="宋体" w:eastAsia="宋体" w:cs="宋体"/>
                <w:bCs/>
                <w:sz w:val="24"/>
                <w:szCs w:val="24"/>
              </w:rPr>
              <w:t>注（以下材料均需加盖投标人CA签章）：</w:t>
            </w:r>
          </w:p>
          <w:p w14:paraId="50E19568">
            <w:pPr>
              <w:spacing w:line="300" w:lineRule="auto"/>
              <w:rPr>
                <w:rFonts w:hint="eastAsia" w:ascii="宋体" w:hAnsi="宋体" w:eastAsia="宋体" w:cs="宋体"/>
                <w:bCs/>
                <w:sz w:val="24"/>
                <w:szCs w:val="24"/>
                <w:highlight w:val="none"/>
              </w:rPr>
            </w:pPr>
            <w:r>
              <w:rPr>
                <w:rFonts w:hint="eastAsia" w:ascii="宋体" w:hAnsi="宋体" w:eastAsia="宋体" w:cs="宋体"/>
                <w:bCs/>
                <w:sz w:val="24"/>
                <w:szCs w:val="24"/>
              </w:rPr>
              <w:t>①需提供人员相关证书复印件以及投标人为其缴纳的近三个月内任意一个月的社保证明（社保缴纳证明以社保机构出具的社保证明为准），不</w:t>
            </w:r>
            <w:r>
              <w:rPr>
                <w:rFonts w:hint="eastAsia" w:ascii="宋体" w:hAnsi="宋体" w:eastAsia="宋体" w:cs="宋体"/>
                <w:bCs/>
                <w:sz w:val="24"/>
                <w:szCs w:val="24"/>
                <w:highlight w:val="none"/>
              </w:rPr>
              <w:t>提供或提供不全的不得分。</w:t>
            </w:r>
          </w:p>
          <w:p w14:paraId="792D956A">
            <w:pPr>
              <w:spacing w:line="30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②一级造价工程师（土建、安装、水利）提供注册证书。一级造价工程师（交通运输）提供资格证书。</w:t>
            </w:r>
          </w:p>
          <w:p w14:paraId="64C9ED28">
            <w:pPr>
              <w:spacing w:line="300" w:lineRule="auto"/>
              <w:rPr>
                <w:rFonts w:hint="eastAsia" w:ascii="宋体" w:hAnsi="宋体" w:eastAsia="宋体" w:cs="宋体"/>
                <w:bCs/>
                <w:sz w:val="24"/>
                <w:szCs w:val="24"/>
              </w:rPr>
            </w:pPr>
            <w:r>
              <w:rPr>
                <w:rFonts w:hint="eastAsia" w:ascii="宋体" w:hAnsi="宋体" w:eastAsia="宋体" w:cs="宋体"/>
                <w:bCs/>
                <w:sz w:val="24"/>
                <w:szCs w:val="24"/>
                <w:highlight w:val="none"/>
              </w:rPr>
              <w:t>③二级造价工程师（土建、安装）提</w:t>
            </w:r>
            <w:r>
              <w:rPr>
                <w:rFonts w:hint="eastAsia" w:ascii="宋体" w:hAnsi="宋体" w:eastAsia="宋体" w:cs="宋体"/>
                <w:bCs/>
                <w:sz w:val="24"/>
                <w:szCs w:val="24"/>
              </w:rPr>
              <w:t>供注册证书。二级造价工程师水利专业提供职业资格考试成绩合格证明，交通运输专业提供职业资格考试成绩合格证明及在全国公路造价人员注册管理系统上的资格证书编号和职业证章号。原造价员证书不得分。</w:t>
            </w:r>
          </w:p>
          <w:p w14:paraId="319BF5DE">
            <w:pPr>
              <w:spacing w:line="300" w:lineRule="auto"/>
              <w:rPr>
                <w:rFonts w:hint="eastAsia" w:ascii="宋体" w:hAnsi="宋体" w:eastAsia="宋体" w:cs="宋体"/>
                <w:bCs/>
                <w:sz w:val="24"/>
                <w:szCs w:val="24"/>
              </w:rPr>
            </w:pPr>
            <w:r>
              <w:rPr>
                <w:rFonts w:hint="eastAsia" w:ascii="宋体" w:hAnsi="宋体" w:eastAsia="宋体" w:cs="宋体"/>
                <w:bCs/>
                <w:sz w:val="24"/>
                <w:szCs w:val="24"/>
              </w:rPr>
              <w:t>④原注册造价师中公路和水运造价工程师等级为甲级的视为一级造价工程师（交通运输）专业。</w:t>
            </w:r>
          </w:p>
          <w:p w14:paraId="4734136D">
            <w:pPr>
              <w:spacing w:line="300" w:lineRule="auto"/>
              <w:rPr>
                <w:rFonts w:hint="eastAsia" w:ascii="宋体" w:hAnsi="宋体" w:eastAsia="宋体" w:cs="宋体"/>
                <w:sz w:val="24"/>
                <w:szCs w:val="24"/>
              </w:rPr>
            </w:pPr>
            <w:r>
              <w:rPr>
                <w:rFonts w:hint="eastAsia" w:ascii="宋体" w:hAnsi="宋体" w:eastAsia="宋体" w:cs="宋体"/>
                <w:bCs/>
                <w:sz w:val="24"/>
                <w:szCs w:val="24"/>
              </w:rPr>
              <w:t>⑤如资格证书中不能体现投标人信息，需提供相关证明材料并加盖单位公章。</w:t>
            </w:r>
          </w:p>
        </w:tc>
        <w:tc>
          <w:tcPr>
            <w:tcW w:w="828" w:type="dxa"/>
            <w:vAlign w:val="center"/>
          </w:tcPr>
          <w:p w14:paraId="33DA04E8">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22分</w:t>
            </w:r>
          </w:p>
        </w:tc>
      </w:tr>
      <w:tr w14:paraId="61B2E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699" w:type="dxa"/>
            <w:vAlign w:val="center"/>
          </w:tcPr>
          <w:p w14:paraId="2FD41066">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982" w:type="dxa"/>
            <w:vAlign w:val="center"/>
          </w:tcPr>
          <w:p w14:paraId="7585DC56">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审核方案</w:t>
            </w:r>
          </w:p>
        </w:tc>
        <w:tc>
          <w:tcPr>
            <w:tcW w:w="7655" w:type="dxa"/>
            <w:vAlign w:val="center"/>
          </w:tcPr>
          <w:p w14:paraId="2B62D3CB">
            <w:pPr>
              <w:spacing w:line="300" w:lineRule="auto"/>
              <w:rPr>
                <w:rFonts w:hint="eastAsia" w:ascii="宋体" w:hAnsi="宋体" w:eastAsia="宋体" w:cs="宋体"/>
                <w:sz w:val="24"/>
                <w:szCs w:val="24"/>
              </w:rPr>
            </w:pPr>
            <w:r>
              <w:rPr>
                <w:rFonts w:hint="eastAsia" w:ascii="宋体" w:hAnsi="宋体" w:eastAsia="宋体" w:cs="宋体"/>
                <w:sz w:val="24"/>
                <w:szCs w:val="24"/>
              </w:rPr>
              <w:t>投标人需结合政府投资项目特点，针对造价审核服务及自身的技术优势，提出思路清晰、技术规范、内容明确的项目审核方案，审核方案应包括以下5项：①审核人员分工及保障措施（5分）、②审核、复核工作方法流程及关键环节控制措施（5分）、③审核质量及进度保障措施（5分）、④档案数据管理措施（5分）、⑤廉洁管理措施（5分）。评委根据每个分项内容是否详细明确、合理可行进行综合评价。</w:t>
            </w:r>
          </w:p>
          <w:p w14:paraId="0963D2AA">
            <w:pPr>
              <w:spacing w:line="300" w:lineRule="auto"/>
              <w:rPr>
                <w:rFonts w:hint="eastAsia" w:ascii="宋体" w:hAnsi="宋体" w:eastAsia="宋体" w:cs="宋体"/>
                <w:sz w:val="24"/>
                <w:szCs w:val="24"/>
              </w:rPr>
            </w:pPr>
            <w:r>
              <w:rPr>
                <w:rFonts w:hint="eastAsia" w:ascii="宋体" w:hAnsi="宋体" w:eastAsia="宋体" w:cs="宋体"/>
                <w:bCs/>
                <w:sz w:val="24"/>
              </w:rPr>
              <w:t>（以上每个分项：阐述</w:t>
            </w:r>
            <w:r>
              <w:rPr>
                <w:rFonts w:hint="eastAsia" w:ascii="宋体" w:hAnsi="宋体" w:eastAsia="宋体" w:cs="宋体"/>
                <w:sz w:val="24"/>
              </w:rPr>
              <w:t>详尽、准确且合理可行的得5分；阐述较为详尽、准确且较合理可行的得3-4分；阐述粗略、缺陷较多，部分合理可行的得1-2分；未提供相关内容阐述或不符合项目的不得分。</w:t>
            </w:r>
            <w:r>
              <w:rPr>
                <w:rFonts w:hint="eastAsia" w:ascii="宋体" w:hAnsi="宋体" w:eastAsia="宋体" w:cs="宋体"/>
                <w:sz w:val="24"/>
                <w:szCs w:val="24"/>
              </w:rPr>
              <w:t>）</w:t>
            </w:r>
          </w:p>
        </w:tc>
        <w:tc>
          <w:tcPr>
            <w:tcW w:w="828" w:type="dxa"/>
            <w:vAlign w:val="center"/>
          </w:tcPr>
          <w:p w14:paraId="559574E9">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25分</w:t>
            </w:r>
          </w:p>
        </w:tc>
      </w:tr>
      <w:tr w14:paraId="221B6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699" w:type="dxa"/>
            <w:vMerge w:val="restart"/>
            <w:vAlign w:val="center"/>
          </w:tcPr>
          <w:p w14:paraId="2873A460">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982" w:type="dxa"/>
            <w:vMerge w:val="restart"/>
            <w:vAlign w:val="center"/>
          </w:tcPr>
          <w:p w14:paraId="7775B97C">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服务承诺</w:t>
            </w:r>
          </w:p>
        </w:tc>
        <w:tc>
          <w:tcPr>
            <w:tcW w:w="7655" w:type="dxa"/>
            <w:vAlign w:val="center"/>
          </w:tcPr>
          <w:p w14:paraId="7A59B63D">
            <w:pPr>
              <w:spacing w:line="300" w:lineRule="auto"/>
              <w:rPr>
                <w:rFonts w:hint="eastAsia" w:ascii="宋体" w:hAnsi="宋体" w:eastAsia="宋体" w:cs="宋体"/>
                <w:bCs/>
                <w:sz w:val="24"/>
                <w:szCs w:val="24"/>
              </w:rPr>
            </w:pPr>
            <w:r>
              <w:rPr>
                <w:rFonts w:hint="eastAsia" w:ascii="宋体" w:hAnsi="宋体" w:eastAsia="宋体" w:cs="宋体"/>
                <w:bCs/>
                <w:sz w:val="24"/>
                <w:szCs w:val="24"/>
              </w:rPr>
              <w:t>1.造价专业人员到岗到位相符性承诺（4分）</w:t>
            </w:r>
          </w:p>
          <w:p w14:paraId="5EB14D73">
            <w:pPr>
              <w:spacing w:line="300" w:lineRule="auto"/>
              <w:jc w:val="left"/>
              <w:rPr>
                <w:rFonts w:hint="eastAsia" w:ascii="宋体" w:hAnsi="宋体" w:eastAsia="宋体" w:cs="宋体"/>
                <w:bCs/>
                <w:sz w:val="24"/>
                <w:szCs w:val="24"/>
              </w:rPr>
            </w:pPr>
            <w:r>
              <w:rPr>
                <w:rFonts w:hint="eastAsia" w:ascii="宋体" w:hAnsi="宋体" w:eastAsia="宋体" w:cs="宋体"/>
                <w:bCs/>
                <w:sz w:val="24"/>
                <w:szCs w:val="24"/>
              </w:rPr>
              <w:t>根据拟派造价专业人员情况承诺中标后各项目实际参与审核的项目负责人及技术骨干与拟派造价专业人员相符。承诺满足要求的得4分，不能承诺不得分。（注：需提供满足要求的相关承诺函（格式自拟）并加盖投标人CA签章，否则不得分。）</w:t>
            </w:r>
          </w:p>
        </w:tc>
        <w:tc>
          <w:tcPr>
            <w:tcW w:w="828" w:type="dxa"/>
            <w:vAlign w:val="center"/>
          </w:tcPr>
          <w:p w14:paraId="52F52864">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4分</w:t>
            </w:r>
          </w:p>
        </w:tc>
      </w:tr>
      <w:tr w14:paraId="419D7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699" w:type="dxa"/>
            <w:vMerge w:val="continue"/>
            <w:vAlign w:val="center"/>
          </w:tcPr>
          <w:p w14:paraId="1087F752">
            <w:pPr>
              <w:spacing w:line="300" w:lineRule="auto"/>
              <w:jc w:val="center"/>
              <w:rPr>
                <w:rFonts w:hint="eastAsia" w:ascii="宋体" w:hAnsi="宋体" w:eastAsia="宋体" w:cs="宋体"/>
                <w:b/>
                <w:bCs/>
                <w:sz w:val="24"/>
                <w:szCs w:val="24"/>
              </w:rPr>
            </w:pPr>
          </w:p>
        </w:tc>
        <w:tc>
          <w:tcPr>
            <w:tcW w:w="982" w:type="dxa"/>
            <w:vMerge w:val="continue"/>
            <w:vAlign w:val="center"/>
          </w:tcPr>
          <w:p w14:paraId="4B27BA70">
            <w:pPr>
              <w:spacing w:line="300" w:lineRule="auto"/>
              <w:jc w:val="center"/>
              <w:rPr>
                <w:rFonts w:hint="eastAsia" w:ascii="宋体" w:hAnsi="宋体" w:eastAsia="宋体" w:cs="宋体"/>
                <w:b/>
                <w:bCs/>
                <w:sz w:val="24"/>
                <w:szCs w:val="24"/>
              </w:rPr>
            </w:pPr>
          </w:p>
        </w:tc>
        <w:tc>
          <w:tcPr>
            <w:tcW w:w="7655" w:type="dxa"/>
            <w:vAlign w:val="center"/>
          </w:tcPr>
          <w:p w14:paraId="4E2836A0">
            <w:pPr>
              <w:spacing w:line="300" w:lineRule="auto"/>
              <w:rPr>
                <w:rFonts w:hint="eastAsia" w:ascii="宋体" w:hAnsi="宋体" w:eastAsia="宋体" w:cs="宋体"/>
                <w:bCs/>
                <w:sz w:val="24"/>
                <w:szCs w:val="24"/>
              </w:rPr>
            </w:pPr>
            <w:r>
              <w:rPr>
                <w:rFonts w:hint="eastAsia" w:ascii="宋体" w:hAnsi="宋体" w:eastAsia="宋体" w:cs="宋体"/>
                <w:bCs/>
                <w:sz w:val="24"/>
                <w:szCs w:val="24"/>
              </w:rPr>
              <w:t>2.质量承诺（4分）</w:t>
            </w:r>
          </w:p>
          <w:p w14:paraId="77C46D17">
            <w:pPr>
              <w:spacing w:line="300" w:lineRule="auto"/>
              <w:rPr>
                <w:rFonts w:hint="eastAsia" w:ascii="宋体" w:hAnsi="宋体" w:eastAsia="宋体" w:cs="宋体"/>
                <w:bCs/>
                <w:sz w:val="24"/>
                <w:szCs w:val="24"/>
              </w:rPr>
            </w:pPr>
            <w:r>
              <w:rPr>
                <w:rFonts w:hint="eastAsia" w:ascii="宋体" w:hAnsi="宋体" w:eastAsia="宋体" w:cs="宋体"/>
                <w:bCs/>
                <w:sz w:val="24"/>
                <w:szCs w:val="24"/>
              </w:rPr>
              <w:t>承诺各项目的审核综合误差率小于±3%(含) （综合误差率是指审核错误的累计金额（正差与负差不抵消），与经复核(审)修正后审定金额的比率）的得4分，不能承诺不得分。（注：需提供满足要求的相关承诺函（格式自拟）并加盖投标人CA签章，否则不得分。）</w:t>
            </w:r>
          </w:p>
        </w:tc>
        <w:tc>
          <w:tcPr>
            <w:tcW w:w="828" w:type="dxa"/>
            <w:vAlign w:val="center"/>
          </w:tcPr>
          <w:p w14:paraId="459A0ACF">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4分</w:t>
            </w:r>
          </w:p>
        </w:tc>
      </w:tr>
      <w:tr w14:paraId="541C40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699" w:type="dxa"/>
            <w:vMerge w:val="continue"/>
            <w:vAlign w:val="center"/>
          </w:tcPr>
          <w:p w14:paraId="5243F01D">
            <w:pPr>
              <w:spacing w:line="300" w:lineRule="auto"/>
              <w:jc w:val="center"/>
              <w:rPr>
                <w:rFonts w:hint="eastAsia" w:ascii="宋体" w:hAnsi="宋体" w:eastAsia="宋体" w:cs="宋体"/>
                <w:b/>
                <w:bCs/>
                <w:sz w:val="24"/>
                <w:szCs w:val="24"/>
              </w:rPr>
            </w:pPr>
          </w:p>
        </w:tc>
        <w:tc>
          <w:tcPr>
            <w:tcW w:w="982" w:type="dxa"/>
            <w:vMerge w:val="continue"/>
            <w:vAlign w:val="center"/>
          </w:tcPr>
          <w:p w14:paraId="135F7542">
            <w:pPr>
              <w:spacing w:line="300" w:lineRule="auto"/>
              <w:jc w:val="center"/>
              <w:rPr>
                <w:rFonts w:hint="eastAsia" w:ascii="宋体" w:hAnsi="宋体" w:eastAsia="宋体" w:cs="宋体"/>
                <w:b/>
                <w:bCs/>
                <w:sz w:val="24"/>
                <w:szCs w:val="24"/>
              </w:rPr>
            </w:pPr>
          </w:p>
        </w:tc>
        <w:tc>
          <w:tcPr>
            <w:tcW w:w="7655" w:type="dxa"/>
            <w:vAlign w:val="center"/>
          </w:tcPr>
          <w:p w14:paraId="50222DF5">
            <w:pPr>
              <w:spacing w:line="300" w:lineRule="auto"/>
              <w:rPr>
                <w:rFonts w:hint="eastAsia" w:ascii="宋体" w:hAnsi="宋体" w:eastAsia="宋体" w:cs="宋体"/>
                <w:bCs/>
                <w:sz w:val="24"/>
                <w:szCs w:val="24"/>
              </w:rPr>
            </w:pPr>
            <w:r>
              <w:rPr>
                <w:rFonts w:hint="eastAsia" w:ascii="宋体" w:hAnsi="宋体" w:eastAsia="宋体" w:cs="宋体"/>
                <w:bCs/>
                <w:sz w:val="24"/>
                <w:szCs w:val="24"/>
              </w:rPr>
              <w:t>3.完成项目限时承诺（4分）</w:t>
            </w:r>
          </w:p>
          <w:p w14:paraId="4A49E6B2">
            <w:pPr>
              <w:spacing w:line="300" w:lineRule="auto"/>
              <w:rPr>
                <w:rFonts w:hint="eastAsia" w:ascii="宋体" w:hAnsi="宋体" w:eastAsia="宋体" w:cs="宋体"/>
                <w:bCs/>
                <w:sz w:val="24"/>
                <w:szCs w:val="24"/>
              </w:rPr>
            </w:pPr>
            <w:r>
              <w:rPr>
                <w:rFonts w:hint="eastAsia" w:ascii="宋体" w:hAnsi="宋体" w:eastAsia="宋体" w:cs="宋体"/>
                <w:bCs/>
                <w:sz w:val="24"/>
                <w:szCs w:val="24"/>
              </w:rPr>
              <w:t>承诺完成各项目限时按业主要求执行的得4分，不能承诺不得分。（注：需提供满足要求的相关承诺函（格式自拟）并加盖投标人CA签章，否则不得分。）</w:t>
            </w:r>
          </w:p>
        </w:tc>
        <w:tc>
          <w:tcPr>
            <w:tcW w:w="828" w:type="dxa"/>
            <w:vAlign w:val="center"/>
          </w:tcPr>
          <w:p w14:paraId="10241A93">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4分</w:t>
            </w:r>
          </w:p>
        </w:tc>
      </w:tr>
      <w:tr w14:paraId="78AF6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699" w:type="dxa"/>
            <w:vMerge w:val="continue"/>
            <w:vAlign w:val="center"/>
          </w:tcPr>
          <w:p w14:paraId="5AD2644D">
            <w:pPr>
              <w:spacing w:line="300" w:lineRule="auto"/>
              <w:jc w:val="center"/>
              <w:rPr>
                <w:rFonts w:hint="eastAsia" w:ascii="宋体" w:hAnsi="宋体" w:eastAsia="宋体" w:cs="宋体"/>
                <w:b/>
                <w:bCs/>
                <w:sz w:val="24"/>
                <w:szCs w:val="24"/>
              </w:rPr>
            </w:pPr>
          </w:p>
        </w:tc>
        <w:tc>
          <w:tcPr>
            <w:tcW w:w="982" w:type="dxa"/>
            <w:vMerge w:val="continue"/>
            <w:vAlign w:val="center"/>
          </w:tcPr>
          <w:p w14:paraId="545ECA8B">
            <w:pPr>
              <w:spacing w:line="300" w:lineRule="auto"/>
              <w:jc w:val="center"/>
              <w:rPr>
                <w:rFonts w:hint="eastAsia" w:ascii="宋体" w:hAnsi="宋体" w:eastAsia="宋体" w:cs="宋体"/>
                <w:b/>
                <w:bCs/>
                <w:sz w:val="24"/>
                <w:szCs w:val="24"/>
              </w:rPr>
            </w:pPr>
          </w:p>
        </w:tc>
        <w:tc>
          <w:tcPr>
            <w:tcW w:w="7655" w:type="dxa"/>
            <w:vAlign w:val="center"/>
          </w:tcPr>
          <w:p w14:paraId="538D17E7">
            <w:pPr>
              <w:spacing w:line="300" w:lineRule="auto"/>
              <w:rPr>
                <w:rFonts w:hint="eastAsia" w:ascii="宋体" w:hAnsi="宋体" w:eastAsia="宋体" w:cs="宋体"/>
                <w:bCs/>
                <w:sz w:val="24"/>
                <w:szCs w:val="24"/>
              </w:rPr>
            </w:pPr>
            <w:r>
              <w:rPr>
                <w:rFonts w:hint="eastAsia" w:ascii="宋体" w:hAnsi="宋体" w:eastAsia="宋体" w:cs="宋体"/>
                <w:bCs/>
                <w:sz w:val="24"/>
                <w:szCs w:val="24"/>
              </w:rPr>
              <w:t>4.无举报投诉、无诉讼承诺（4分）</w:t>
            </w:r>
          </w:p>
          <w:p w14:paraId="66DAD7DA">
            <w:pPr>
              <w:spacing w:line="300" w:lineRule="auto"/>
              <w:rPr>
                <w:rFonts w:hint="eastAsia" w:ascii="宋体" w:hAnsi="宋体" w:eastAsia="宋体" w:cs="宋体"/>
                <w:bCs/>
                <w:sz w:val="24"/>
                <w:szCs w:val="24"/>
              </w:rPr>
            </w:pPr>
            <w:r>
              <w:rPr>
                <w:rFonts w:hint="eastAsia" w:ascii="宋体" w:hAnsi="宋体" w:eastAsia="宋体" w:cs="宋体"/>
                <w:bCs/>
                <w:sz w:val="24"/>
                <w:szCs w:val="24"/>
              </w:rPr>
              <w:t>承诺审核单位或审核人员在审核过程中，保证无重大审核质量问题、无违反工程量清单计价规范及其它国家或行业标准规范等问题。承诺满足要求的得4分，不能承诺不得分。（注：需提供满足要求的相关承诺函（格式自拟）并加盖投标人CA签章，否则不得分。）</w:t>
            </w:r>
          </w:p>
        </w:tc>
        <w:tc>
          <w:tcPr>
            <w:tcW w:w="828" w:type="dxa"/>
            <w:vAlign w:val="center"/>
          </w:tcPr>
          <w:p w14:paraId="7497A55A">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4分</w:t>
            </w:r>
          </w:p>
        </w:tc>
      </w:tr>
      <w:tr w14:paraId="4DEF7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699" w:type="dxa"/>
            <w:vMerge w:val="continue"/>
            <w:vAlign w:val="center"/>
          </w:tcPr>
          <w:p w14:paraId="7B463740">
            <w:pPr>
              <w:spacing w:line="300" w:lineRule="auto"/>
              <w:jc w:val="center"/>
              <w:rPr>
                <w:rFonts w:hint="eastAsia" w:ascii="宋体" w:hAnsi="宋体" w:eastAsia="宋体" w:cs="宋体"/>
                <w:b/>
                <w:bCs/>
                <w:sz w:val="24"/>
                <w:szCs w:val="24"/>
              </w:rPr>
            </w:pPr>
          </w:p>
        </w:tc>
        <w:tc>
          <w:tcPr>
            <w:tcW w:w="982" w:type="dxa"/>
            <w:vMerge w:val="continue"/>
            <w:vAlign w:val="center"/>
          </w:tcPr>
          <w:p w14:paraId="4FC2821E">
            <w:pPr>
              <w:spacing w:line="300" w:lineRule="auto"/>
              <w:jc w:val="center"/>
              <w:rPr>
                <w:rFonts w:hint="eastAsia" w:ascii="宋体" w:hAnsi="宋体" w:eastAsia="宋体" w:cs="宋体"/>
                <w:b/>
                <w:bCs/>
                <w:sz w:val="24"/>
                <w:szCs w:val="24"/>
              </w:rPr>
            </w:pPr>
          </w:p>
        </w:tc>
        <w:tc>
          <w:tcPr>
            <w:tcW w:w="7655" w:type="dxa"/>
            <w:vAlign w:val="center"/>
          </w:tcPr>
          <w:p w14:paraId="74069A14">
            <w:pPr>
              <w:spacing w:line="300" w:lineRule="auto"/>
              <w:rPr>
                <w:rFonts w:hint="eastAsia" w:ascii="宋体" w:hAnsi="宋体" w:eastAsia="宋体" w:cs="宋体"/>
                <w:bCs/>
                <w:sz w:val="24"/>
                <w:szCs w:val="24"/>
              </w:rPr>
            </w:pPr>
            <w:r>
              <w:rPr>
                <w:rFonts w:hint="eastAsia" w:ascii="宋体" w:hAnsi="宋体" w:eastAsia="宋体" w:cs="宋体"/>
                <w:bCs/>
                <w:sz w:val="24"/>
                <w:szCs w:val="24"/>
              </w:rPr>
              <w:t>5.应急服务响应（4分）</w:t>
            </w:r>
          </w:p>
          <w:p w14:paraId="3C51E1A9">
            <w:pPr>
              <w:spacing w:line="300" w:lineRule="auto"/>
              <w:rPr>
                <w:rFonts w:hint="eastAsia" w:ascii="宋体" w:hAnsi="宋体" w:eastAsia="宋体" w:cs="宋体"/>
                <w:bCs/>
                <w:sz w:val="24"/>
                <w:szCs w:val="24"/>
              </w:rPr>
            </w:pPr>
            <w:r>
              <w:rPr>
                <w:rFonts w:hint="eastAsia" w:ascii="宋体" w:hAnsi="宋体" w:eastAsia="宋体" w:cs="宋体"/>
                <w:sz w:val="24"/>
              </w:rPr>
              <w:t>承诺在接到采购人服务要求（通知）后1小时内响应并安排相关专业技术人员到达现场提供服务的得4分</w:t>
            </w:r>
            <w:r>
              <w:rPr>
                <w:rFonts w:hint="eastAsia" w:ascii="宋体" w:hAnsi="宋体" w:eastAsia="宋体" w:cs="宋体"/>
                <w:bCs/>
                <w:sz w:val="24"/>
                <w:szCs w:val="24"/>
              </w:rPr>
              <w:t>，不能承诺不得分。（注：需提供满足要求的相关承诺函（格式自拟）并加盖投标人CA签章，否则不得分。）</w:t>
            </w:r>
          </w:p>
        </w:tc>
        <w:tc>
          <w:tcPr>
            <w:tcW w:w="828" w:type="dxa"/>
            <w:vAlign w:val="center"/>
          </w:tcPr>
          <w:p w14:paraId="2C4AD58E">
            <w:pPr>
              <w:spacing w:line="300" w:lineRule="auto"/>
              <w:jc w:val="center"/>
              <w:rPr>
                <w:rFonts w:hint="eastAsia" w:ascii="宋体" w:hAnsi="宋体" w:eastAsia="宋体" w:cs="宋体"/>
                <w:b/>
                <w:bCs/>
                <w:sz w:val="24"/>
                <w:szCs w:val="24"/>
              </w:rPr>
            </w:pPr>
            <w:r>
              <w:rPr>
                <w:rFonts w:hint="eastAsia" w:ascii="宋体" w:hAnsi="宋体" w:eastAsia="宋体" w:cs="宋体"/>
                <w:b/>
                <w:bCs/>
                <w:sz w:val="24"/>
                <w:szCs w:val="24"/>
              </w:rPr>
              <w:t>4分</w:t>
            </w:r>
          </w:p>
        </w:tc>
      </w:tr>
    </w:tbl>
    <w:p w14:paraId="766E98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备注：投标人编制投标文件（商务技术文件部分）时，建议按上述评审细则的顺序提供评分标准中相对应的商务技术资料。</w:t>
      </w:r>
    </w:p>
    <w:p w14:paraId="316DE9ED">
      <w:pPr>
        <w:spacing w:line="300" w:lineRule="auto"/>
        <w:ind w:firstLine="477" w:firstLineChars="199"/>
        <w:rPr>
          <w:rFonts w:hint="eastAsia" w:ascii="宋体" w:hAnsi="宋体" w:eastAsia="宋体" w:cs="宋体"/>
          <w:b/>
          <w:sz w:val="24"/>
          <w:szCs w:val="24"/>
        </w:rPr>
      </w:pPr>
      <w:r>
        <w:rPr>
          <w:rFonts w:hint="eastAsia" w:ascii="宋体" w:hAnsi="宋体" w:eastAsia="宋体" w:cs="宋体"/>
          <w:b/>
          <w:sz w:val="24"/>
          <w:szCs w:val="24"/>
        </w:rPr>
        <w:t>特别注明：</w:t>
      </w:r>
    </w:p>
    <w:p w14:paraId="60B402D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1、本项目共</w:t>
      </w:r>
      <w:r>
        <w:rPr>
          <w:rFonts w:hint="eastAsia" w:ascii="宋体" w:hAnsi="宋体" w:eastAsia="宋体" w:cs="宋体"/>
          <w:sz w:val="24"/>
          <w:szCs w:val="24"/>
          <w:lang w:val="en-US" w:eastAsia="zh-CN"/>
        </w:rPr>
        <w:t>2</w:t>
      </w:r>
      <w:r>
        <w:rPr>
          <w:rFonts w:hint="eastAsia" w:ascii="宋体" w:hAnsi="宋体" w:eastAsia="宋体" w:cs="宋体"/>
          <w:sz w:val="24"/>
          <w:szCs w:val="24"/>
        </w:rPr>
        <w:t>个标项，按标项1到标项</w:t>
      </w:r>
      <w:r>
        <w:rPr>
          <w:rFonts w:hint="eastAsia" w:ascii="宋体" w:hAnsi="宋体" w:eastAsia="宋体" w:cs="宋体"/>
          <w:sz w:val="24"/>
          <w:szCs w:val="24"/>
          <w:lang w:val="en-US" w:eastAsia="zh-CN"/>
        </w:rPr>
        <w:t>2</w:t>
      </w:r>
      <w:r>
        <w:rPr>
          <w:rFonts w:hint="eastAsia" w:ascii="宋体" w:hAnsi="宋体" w:eastAsia="宋体" w:cs="宋体"/>
          <w:sz w:val="24"/>
          <w:szCs w:val="24"/>
        </w:rPr>
        <w:t>的先后顺序依次进行开评标；标项1、标项2均采用同一商务技术评分细则。</w:t>
      </w:r>
    </w:p>
    <w:p w14:paraId="74DEA2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可以选择单个或多个标项投标，但同一个投标人最多只能成为其中一个标项的第一中标候选人；即已在之前任一标项中推荐综合得分排名第一名的中标候选人不再进入后续标项的评审，也不在后续标项中被推荐为中标候选人。</w:t>
      </w:r>
    </w:p>
    <w:p w14:paraId="3B208CF0">
      <w:pPr>
        <w:spacing w:line="360" w:lineRule="auto"/>
        <w:rPr>
          <w:rFonts w:hint="eastAsia" w:ascii="宋体" w:hAnsi="宋体" w:eastAsia="宋体" w:cs="宋体"/>
          <w:b/>
          <w:sz w:val="24"/>
        </w:rPr>
        <w:sectPr>
          <w:footerReference r:id="rId3" w:type="first"/>
          <w:pgSz w:w="11906" w:h="16838"/>
          <w:pgMar w:top="1134" w:right="1418" w:bottom="1021" w:left="1418" w:header="0" w:footer="283" w:gutter="0"/>
          <w:pgNumType w:fmt="numberInDash"/>
          <w:cols w:space="720" w:num="1"/>
          <w:docGrid w:type="linesAndChars" w:linePitch="312" w:charSpace="0"/>
        </w:sectPr>
      </w:pPr>
    </w:p>
    <w:p w14:paraId="04807A17">
      <w:pPr>
        <w:jc w:val="center"/>
        <w:rPr>
          <w:rFonts w:hint="eastAsia" w:ascii="宋体" w:hAnsi="宋体" w:eastAsia="宋体" w:cs="宋体"/>
          <w:b/>
          <w:sz w:val="32"/>
          <w:szCs w:val="32"/>
        </w:rPr>
      </w:pPr>
      <w:r>
        <w:rPr>
          <w:rFonts w:hint="eastAsia" w:ascii="宋体" w:hAnsi="宋体" w:eastAsia="宋体" w:cs="宋体"/>
          <w:b/>
          <w:sz w:val="32"/>
          <w:szCs w:val="32"/>
        </w:rPr>
        <w:t>采购需求</w:t>
      </w:r>
    </w:p>
    <w:p w14:paraId="4FD86D44">
      <w:pPr>
        <w:spacing w:line="360" w:lineRule="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b/>
          <w:spacing w:val="36"/>
          <w:sz w:val="24"/>
          <w:szCs w:val="24"/>
          <w:u w:val="single"/>
        </w:rPr>
        <w:t>标项1</w:t>
      </w:r>
      <w:r>
        <w:rPr>
          <w:rFonts w:hint="eastAsia" w:ascii="宋体" w:hAnsi="宋体" w:eastAsia="宋体" w:cs="宋体"/>
          <w:b/>
          <w:sz w:val="24"/>
          <w:szCs w:val="24"/>
        </w:rPr>
        <w:t>】：</w:t>
      </w:r>
      <w:r>
        <w:rPr>
          <w:rFonts w:hint="eastAsia" w:ascii="宋体" w:hAnsi="宋体" w:eastAsia="宋体" w:cs="宋体"/>
          <w:sz w:val="24"/>
          <w:szCs w:val="24"/>
        </w:rPr>
        <w:t>400万元以内工程项目预算审核服务</w:t>
      </w:r>
    </w:p>
    <w:p w14:paraId="3CE4AA49">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一、服务要求</w:t>
      </w:r>
    </w:p>
    <w:p w14:paraId="2B659188">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★1、人员要求：</w:t>
      </w:r>
      <w:r>
        <w:rPr>
          <w:rFonts w:hint="eastAsia" w:ascii="宋体" w:hAnsi="宋体" w:eastAsia="宋体" w:cs="宋体"/>
          <w:bCs/>
        </w:rPr>
        <w:t>投标人拟派专业技术人员（除拟派项目负责人外）专业汇总后必须齐全，即包含造价执业资格专业：土建、安装、交通运输、水利。（注：同一人具备多个专业的，可以累加计算；投标文件中必须提供人员相关证书复印件以及投标人为其缴纳的近三个月内任意一个月的社保缴纳证明并加盖投标人CA签章，</w:t>
      </w:r>
      <w:r>
        <w:rPr>
          <w:rFonts w:hint="eastAsia" w:ascii="宋体" w:hAnsi="宋体" w:eastAsia="宋体" w:cs="宋体"/>
        </w:rPr>
        <w:t>社保缴纳证明以社保机构出具的社保证明为准</w:t>
      </w:r>
      <w:r>
        <w:rPr>
          <w:rFonts w:hint="eastAsia" w:ascii="宋体" w:hAnsi="宋体" w:eastAsia="宋体" w:cs="宋体"/>
          <w:bCs/>
        </w:rPr>
        <w:t>。）</w:t>
      </w:r>
    </w:p>
    <w:p w14:paraId="728CCE2B">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2、中标单位必须在实际审核业务上，充分保障人员的安排；实际参与审核业务的负责人及其他造价专业人员至少与投标时提供的人员信息及资格条件相符，如中标单位确需调整参与审核业务的审核人员，必须提前向采购单位提出书面申请并取得采购单位同意，否则不得私自更换其人员，如私自更换的取消其审核业务资格。</w:t>
      </w:r>
    </w:p>
    <w:p w14:paraId="1ECE3791">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3、</w:t>
      </w:r>
      <w:r>
        <w:rPr>
          <w:rFonts w:hint="eastAsia" w:ascii="宋体" w:hAnsi="宋体" w:eastAsia="宋体" w:cs="宋体"/>
          <w:bCs/>
        </w:rPr>
        <w:t>项目负责人须全过程参与项目及各阶段项目成果的交流、汇报等工作，并配合采购人做好项目的评审、审批等相关工作。</w:t>
      </w:r>
    </w:p>
    <w:p w14:paraId="68367789">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4、中标单位</w:t>
      </w:r>
      <w:r>
        <w:rPr>
          <w:rFonts w:hint="eastAsia" w:ascii="宋体" w:hAnsi="宋体" w:eastAsia="宋体" w:cs="宋体"/>
          <w:color w:val="000000" w:themeColor="text1"/>
          <w14:textFill>
            <w14:solidFill>
              <w14:schemeClr w14:val="tx1"/>
            </w14:solidFill>
          </w14:textFill>
        </w:rPr>
        <w:t>在接到采购人服务要求（通知）后</w:t>
      </w:r>
      <w:r>
        <w:rPr>
          <w:rFonts w:hint="eastAsia" w:ascii="宋体" w:hAnsi="宋体" w:eastAsia="宋体" w:cs="宋体"/>
          <w:szCs w:val="28"/>
        </w:rPr>
        <w:t>一小时内能提供快速的服务响应，并且在采购人规定的时限内按采购单位要求</w:t>
      </w:r>
      <w:r>
        <w:rPr>
          <w:rFonts w:hint="eastAsia" w:ascii="宋体" w:hAnsi="宋体" w:eastAsia="宋体" w:cs="宋体"/>
          <w:bCs/>
        </w:rPr>
        <w:t>提交相关说明或修改意见等文件或资料。</w:t>
      </w:r>
    </w:p>
    <w:p w14:paraId="0C94B603">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5、服务期限内，中标单位须配合采购单位审核部门需要抽调人员审核业务。</w:t>
      </w:r>
    </w:p>
    <w:p w14:paraId="40175281">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6、中标单位</w:t>
      </w:r>
      <w:r>
        <w:rPr>
          <w:rFonts w:hint="eastAsia" w:ascii="宋体" w:hAnsi="宋体" w:eastAsia="宋体" w:cs="宋体"/>
        </w:rPr>
        <w:t>按采购人所要求的审核时限以及向采购人承诺的审核误差率完成审核业务，并出具审核结论。</w:t>
      </w:r>
    </w:p>
    <w:p w14:paraId="59C4E84B">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7、中标单位不得将业务转包或分包给其他单位或个人；在合同履行期间，中标单位对其派出的人员和设备的安全负全部责任，采购单位不承担任何责任。</w:t>
      </w:r>
    </w:p>
    <w:p w14:paraId="72105F62">
      <w:pPr>
        <w:pStyle w:val="64"/>
        <w:snapToGrid w:val="0"/>
        <w:spacing w:before="120"/>
        <w:ind w:firstLine="480"/>
        <w:rPr>
          <w:rFonts w:hint="eastAsia" w:ascii="宋体" w:hAnsi="宋体" w:eastAsia="宋体" w:cs="宋体"/>
        </w:rPr>
      </w:pPr>
      <w:r>
        <w:rPr>
          <w:rFonts w:hint="eastAsia" w:ascii="宋体" w:hAnsi="宋体" w:eastAsia="宋体" w:cs="宋体"/>
          <w:szCs w:val="28"/>
        </w:rPr>
        <w:t>8、</w:t>
      </w:r>
      <w:r>
        <w:rPr>
          <w:rFonts w:hint="eastAsia" w:ascii="宋体" w:hAnsi="宋体" w:eastAsia="宋体" w:cs="宋体"/>
        </w:rPr>
        <w:t>及时向采购人报送协议中的审核业务工作完成情况。</w:t>
      </w:r>
    </w:p>
    <w:p w14:paraId="79282025">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9、</w:t>
      </w:r>
      <w:r>
        <w:rPr>
          <w:rFonts w:hint="eastAsia" w:ascii="宋体" w:hAnsi="宋体" w:eastAsia="宋体" w:cs="宋体"/>
        </w:rPr>
        <w:t>在审核过程中,中标单位应公正维护各方的合法权益，严格遵守法律、法规、正确执行定额标准和计价规定,做到公正、准确地提供工程审核结果。</w:t>
      </w:r>
    </w:p>
    <w:p w14:paraId="13661ADD">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10、预算审核要求在7日内审核完成，街道另有要求的，以实际情况为准，审核完成后30个工作日内，完成资料归档并填写档案交接单。</w:t>
      </w:r>
    </w:p>
    <w:p w14:paraId="4F2147A8">
      <w:pPr>
        <w:pStyle w:val="64"/>
        <w:snapToGrid w:val="0"/>
        <w:spacing w:before="120"/>
        <w:ind w:firstLine="480"/>
        <w:rPr>
          <w:rFonts w:hint="eastAsia" w:ascii="宋体" w:hAnsi="宋体" w:eastAsia="宋体" w:cs="宋体"/>
          <w:bCs/>
        </w:rPr>
      </w:pPr>
      <w:r>
        <w:rPr>
          <w:rFonts w:hint="eastAsia" w:ascii="宋体" w:hAnsi="宋体" w:eastAsia="宋体" w:cs="宋体"/>
          <w:szCs w:val="28"/>
        </w:rPr>
        <w:t>11、</w:t>
      </w:r>
      <w:r>
        <w:rPr>
          <w:rFonts w:hint="eastAsia" w:ascii="宋体" w:hAnsi="宋体" w:eastAsia="宋体" w:cs="宋体"/>
          <w:bCs/>
        </w:rPr>
        <w:t>中标单位提交的最终成果资料必须能够符合采购单位要求。</w:t>
      </w:r>
    </w:p>
    <w:p w14:paraId="4AC6DAC9">
      <w:pPr>
        <w:spacing w:line="360" w:lineRule="auto"/>
        <w:rPr>
          <w:rFonts w:hint="eastAsia" w:ascii="宋体" w:hAnsi="宋体" w:eastAsia="宋体" w:cs="宋体"/>
          <w:bCs/>
          <w:sz w:val="24"/>
          <w:szCs w:val="24"/>
        </w:rPr>
      </w:pPr>
      <w:r>
        <w:rPr>
          <w:rFonts w:hint="eastAsia" w:ascii="宋体" w:hAnsi="宋体" w:eastAsia="宋体" w:cs="宋体"/>
          <w:b/>
          <w:bCs/>
          <w:sz w:val="24"/>
          <w:szCs w:val="24"/>
        </w:rPr>
        <w:t>二、成果版权及使用</w:t>
      </w:r>
    </w:p>
    <w:p w14:paraId="49C43A4B">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审核成果所有权和使用权均属于采购人所有。未经采购单位书面同意，任何单位和个人不得转让和使用本项目的成果。</w:t>
      </w:r>
    </w:p>
    <w:p w14:paraId="07FD30F5">
      <w:pPr>
        <w:spacing w:line="360" w:lineRule="auto"/>
        <w:rPr>
          <w:rFonts w:hint="eastAsia" w:ascii="宋体" w:hAnsi="宋体" w:eastAsia="宋体" w:cs="宋体"/>
          <w:bCs/>
          <w:sz w:val="24"/>
          <w:szCs w:val="24"/>
        </w:rPr>
      </w:pPr>
      <w:r>
        <w:rPr>
          <w:rFonts w:hint="eastAsia" w:ascii="宋体" w:hAnsi="宋体" w:eastAsia="宋体" w:cs="宋体"/>
          <w:b/>
          <w:bCs/>
          <w:sz w:val="24"/>
          <w:szCs w:val="24"/>
        </w:rPr>
        <w:t>三、保密要求</w:t>
      </w:r>
    </w:p>
    <w:p w14:paraId="174BD516">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1、中标人须建立严格的保密制度，并加强对工作人员的保密管理及保密知识教育。</w:t>
      </w:r>
    </w:p>
    <w:p w14:paraId="533A7BAB">
      <w:pPr>
        <w:pStyle w:val="64"/>
        <w:snapToGrid w:val="0"/>
        <w:spacing w:before="120"/>
        <w:ind w:firstLine="480"/>
        <w:rPr>
          <w:rFonts w:hint="eastAsia" w:ascii="宋体" w:hAnsi="宋体" w:eastAsia="宋体" w:cs="宋体"/>
          <w:bCs/>
        </w:rPr>
      </w:pPr>
      <w:r>
        <w:rPr>
          <w:rFonts w:hint="eastAsia" w:ascii="宋体" w:hAnsi="宋体" w:eastAsia="宋体" w:cs="宋体"/>
          <w:bCs/>
        </w:rPr>
        <w:t>2、中标单位对执行业务过程中应当严格遵守国家保密制度，对知悉的商业秘密必须严加保密；中标单位及派遣工作人员未经采购人书面同意确认，不得向任何第三方披露、传播、复制等泄露与工程审核业务有关的数据资料。</w:t>
      </w:r>
    </w:p>
    <w:p w14:paraId="05A71E53">
      <w:pPr>
        <w:spacing w:line="360" w:lineRule="auto"/>
        <w:rPr>
          <w:rFonts w:hint="eastAsia" w:ascii="宋体" w:hAnsi="宋体" w:eastAsia="宋体" w:cs="宋体"/>
          <w:bCs/>
          <w:sz w:val="24"/>
          <w:szCs w:val="24"/>
        </w:rPr>
      </w:pPr>
      <w:r>
        <w:rPr>
          <w:rFonts w:hint="eastAsia" w:ascii="宋体" w:hAnsi="宋体" w:eastAsia="宋体" w:cs="宋体"/>
          <w:b/>
          <w:bCs/>
          <w:sz w:val="24"/>
          <w:szCs w:val="24"/>
        </w:rPr>
        <w:t>四、监管处罚</w:t>
      </w:r>
    </w:p>
    <w:p w14:paraId="77430966">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1、服务期限内，如发现中标单位出现下列情形之一的，采购人将根据合同或协议书的要求，对中标单位违法违规等行为予以通报批评。同时采购人有权单方面解除合同并不再支付未结算的审核费用，并且由此产生的一切经济损失和责任全部由中标单位负责：①提供的服务不符合国家有关规定和投标文件承诺的标准的；②无正当理由拒绝按照投标承诺提供服务的；③被投诉质疑，情况属实且情形严重的；④擅自将业务转包或分包给其他单位或个人的；⑤在服务过程中徇私舞弊、滥用职权、弄虚作假、隐瞒事实真相的；⑥违反法律法规和合同约定的其他情形的。</w:t>
      </w:r>
    </w:p>
    <w:p w14:paraId="61CC978C">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2、预算审核误差率</w:t>
      </w:r>
      <w:r>
        <w:rPr>
          <w:rFonts w:hint="eastAsia" w:ascii="宋体" w:hAnsi="宋体" w:eastAsia="宋体" w:cs="宋体"/>
        </w:rPr>
        <w:t>±</w:t>
      </w:r>
      <w:r>
        <w:rPr>
          <w:rFonts w:hint="eastAsia" w:ascii="宋体" w:hAnsi="宋体" w:eastAsia="宋体" w:cs="宋体"/>
          <w:szCs w:val="28"/>
        </w:rPr>
        <w:t>5%（含）以上的，扣除审核费用，造成工作被动的，累计2次可解除合同；违反投标承诺的任何一项，计违约一次，累计违约3次的可解除合同。预算审核责任心较差、重大漏项及其他错误严重，被街道及上级检查发现的，除扣除该项目审核费外，街道及业主有要求赔偿相关损失、解除合同等权利。</w:t>
      </w:r>
    </w:p>
    <w:p w14:paraId="00DEBBB1">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五、商务要求</w:t>
      </w:r>
    </w:p>
    <w:p w14:paraId="7BD32301">
      <w:pPr>
        <w:spacing w:line="360" w:lineRule="auto"/>
        <w:ind w:firstLine="470" w:firstLineChars="196"/>
        <w:rPr>
          <w:rFonts w:hint="eastAsia" w:ascii="宋体" w:hAnsi="宋体" w:eastAsia="宋体" w:cs="宋体"/>
          <w:b/>
          <w:bCs/>
          <w:sz w:val="24"/>
          <w:szCs w:val="24"/>
        </w:rPr>
      </w:pPr>
      <w:r>
        <w:rPr>
          <w:rFonts w:hint="eastAsia" w:ascii="宋体" w:hAnsi="宋体" w:eastAsia="宋体" w:cs="宋体"/>
          <w:b/>
          <w:bCs/>
          <w:sz w:val="24"/>
          <w:szCs w:val="24"/>
        </w:rPr>
        <w:t>（一）服务期限</w:t>
      </w:r>
    </w:p>
    <w:p w14:paraId="6DF2D5EC">
      <w:pPr>
        <w:spacing w:line="360" w:lineRule="auto"/>
        <w:ind w:firstLine="480" w:firstLineChars="200"/>
        <w:rPr>
          <w:rFonts w:hint="eastAsia" w:ascii="宋体" w:hAnsi="宋体" w:eastAsia="宋体" w:cs="宋体"/>
          <w:bCs/>
          <w:sz w:val="28"/>
          <w:szCs w:val="28"/>
        </w:rPr>
      </w:pPr>
      <w:r>
        <w:rPr>
          <w:rFonts w:hint="eastAsia" w:ascii="宋体" w:hAnsi="宋体" w:eastAsia="宋体" w:cs="宋体"/>
          <w:sz w:val="24"/>
          <w:szCs w:val="24"/>
        </w:rPr>
        <w:t>合同履约期限（以先到为准）：自合同签订之日起1年或累计结算金额达到采购预算金额满止。</w:t>
      </w:r>
    </w:p>
    <w:p w14:paraId="1805AE28">
      <w:pPr>
        <w:spacing w:line="360" w:lineRule="auto"/>
        <w:ind w:firstLine="470" w:firstLineChars="196"/>
        <w:rPr>
          <w:rFonts w:hint="eastAsia" w:ascii="宋体" w:hAnsi="宋体" w:eastAsia="宋体" w:cs="宋体"/>
          <w:b/>
          <w:bCs/>
          <w:sz w:val="24"/>
          <w:szCs w:val="24"/>
        </w:rPr>
      </w:pPr>
      <w:r>
        <w:rPr>
          <w:rFonts w:hint="eastAsia" w:ascii="宋体" w:hAnsi="宋体" w:eastAsia="宋体" w:cs="宋体"/>
          <w:b/>
          <w:bCs/>
          <w:sz w:val="24"/>
          <w:szCs w:val="24"/>
        </w:rPr>
        <w:t>（二）审核费用</w:t>
      </w:r>
    </w:p>
    <w:p w14:paraId="2CF6EBE8">
      <w:pPr>
        <w:spacing w:line="360" w:lineRule="auto"/>
        <w:ind w:firstLine="480" w:firstLineChars="200"/>
        <w:rPr>
          <w:rFonts w:hint="eastAsia" w:ascii="宋体" w:hAnsi="宋体" w:eastAsia="宋体" w:cs="宋体"/>
          <w:b/>
          <w:i/>
          <w:sz w:val="24"/>
          <w:szCs w:val="24"/>
          <w:u w:val="single"/>
        </w:rPr>
      </w:pPr>
      <w:r>
        <w:rPr>
          <w:rFonts w:hint="eastAsia" w:ascii="宋体" w:hAnsi="宋体" w:eastAsia="宋体" w:cs="宋体"/>
          <w:b/>
          <w:sz w:val="24"/>
          <w:szCs w:val="24"/>
        </w:rPr>
        <w:t>1、400万元以内工程项目预算审核：</w:t>
      </w:r>
    </w:p>
    <w:p w14:paraId="17C4DFAD">
      <w:pPr>
        <w:spacing w:line="360" w:lineRule="auto"/>
        <w:ind w:firstLine="480" w:firstLineChars="200"/>
        <w:rPr>
          <w:rFonts w:hint="eastAsia" w:ascii="宋体" w:hAnsi="宋体" w:eastAsia="宋体" w:cs="宋体"/>
          <w:b/>
          <w:i/>
          <w:sz w:val="24"/>
        </w:rPr>
      </w:pPr>
      <w:r>
        <w:rPr>
          <w:rFonts w:hint="eastAsia" w:ascii="宋体" w:hAnsi="宋体" w:eastAsia="宋体" w:cs="宋体"/>
          <w:sz w:val="24"/>
          <w:lang w:val="zh-CN"/>
        </w:rPr>
        <w:t>参照《</w:t>
      </w:r>
      <w:r>
        <w:rPr>
          <w:rFonts w:hint="eastAsia" w:ascii="宋体" w:hAnsi="宋体" w:eastAsia="宋体" w:cs="宋体"/>
          <w:sz w:val="24"/>
        </w:rPr>
        <w:t>浙江省建设工程造价咨询服务基准收费标准[浙价服(2009)84号]文件规定的收费标准</w:t>
      </w:r>
      <w:r>
        <w:rPr>
          <w:rFonts w:hint="eastAsia" w:ascii="宋体" w:hAnsi="宋体" w:eastAsia="宋体" w:cs="宋体"/>
          <w:sz w:val="24"/>
          <w:lang w:val="zh-CN"/>
        </w:rPr>
        <w:t>》及中标人</w:t>
      </w:r>
      <w:r>
        <w:rPr>
          <w:rFonts w:hint="eastAsia" w:ascii="宋体" w:hAnsi="宋体" w:eastAsia="宋体" w:cs="宋体"/>
          <w:sz w:val="24"/>
        </w:rPr>
        <w:t>的中标折扣计算审核费用。</w:t>
      </w:r>
      <w:r>
        <w:rPr>
          <w:rFonts w:hint="eastAsia" w:ascii="宋体" w:hAnsi="宋体" w:eastAsia="宋体" w:cs="宋体"/>
          <w:b/>
          <w:sz w:val="24"/>
        </w:rPr>
        <w:t>最高限价：投标报价以折扣形式报价，且折扣报价上限为70%；投标人的折扣报价超过70%，其投标无效。</w:t>
      </w:r>
    </w:p>
    <w:p w14:paraId="76C5B2C1">
      <w:pPr>
        <w:spacing w:line="360" w:lineRule="auto"/>
        <w:ind w:firstLine="480" w:firstLineChars="200"/>
        <w:rPr>
          <w:rFonts w:hint="eastAsia" w:ascii="宋体" w:hAnsi="宋体" w:eastAsia="宋体" w:cs="宋体"/>
          <w:sz w:val="24"/>
        </w:rPr>
      </w:pPr>
      <w:r>
        <w:rPr>
          <w:rFonts w:hint="eastAsia" w:ascii="宋体" w:hAnsi="宋体" w:eastAsia="宋体" w:cs="宋体"/>
          <w:sz w:val="24"/>
        </w:rPr>
        <w:t>（1）单个标底审核项目的审核费用=基本费×中标折扣。单只基本费不足2000元按2000元计算，再乘以中标折扣。</w:t>
      </w:r>
    </w:p>
    <w:p w14:paraId="19679E30">
      <w:pPr>
        <w:spacing w:line="360" w:lineRule="auto"/>
        <w:ind w:firstLine="480" w:firstLineChars="200"/>
        <w:rPr>
          <w:rFonts w:hint="eastAsia" w:ascii="宋体" w:hAnsi="宋体" w:eastAsia="宋体" w:cs="宋体"/>
          <w:sz w:val="24"/>
        </w:rPr>
      </w:pPr>
      <w:r>
        <w:rPr>
          <w:rFonts w:hint="eastAsia" w:ascii="宋体" w:hAnsi="宋体" w:eastAsia="宋体" w:cs="宋体"/>
          <w:sz w:val="24"/>
        </w:rPr>
        <w:t>（2）单个标底审核项目的基本费见下表：</w:t>
      </w:r>
    </w:p>
    <w:tbl>
      <w:tblPr>
        <w:tblStyle w:val="22"/>
        <w:tblW w:w="8345" w:type="dxa"/>
        <w:jc w:val="center"/>
        <w:tblLayout w:type="fixed"/>
        <w:tblCellMar>
          <w:top w:w="0" w:type="dxa"/>
          <w:left w:w="108" w:type="dxa"/>
          <w:bottom w:w="0" w:type="dxa"/>
          <w:right w:w="108" w:type="dxa"/>
        </w:tblCellMar>
      </w:tblPr>
      <w:tblGrid>
        <w:gridCol w:w="1399"/>
        <w:gridCol w:w="963"/>
        <w:gridCol w:w="2805"/>
        <w:gridCol w:w="3178"/>
      </w:tblGrid>
      <w:tr w14:paraId="4DF8F392">
        <w:tblPrEx>
          <w:tblCellMar>
            <w:top w:w="0" w:type="dxa"/>
            <w:left w:w="108" w:type="dxa"/>
            <w:bottom w:w="0" w:type="dxa"/>
            <w:right w:w="108" w:type="dxa"/>
          </w:tblCellMar>
        </w:tblPrEx>
        <w:trPr>
          <w:trHeight w:val="515" w:hRule="atLeast"/>
          <w:jc w:val="center"/>
        </w:trPr>
        <w:tc>
          <w:tcPr>
            <w:tcW w:w="1399" w:type="dxa"/>
            <w:vMerge w:val="restart"/>
            <w:tcBorders>
              <w:top w:val="inset" w:color="auto" w:sz="6" w:space="0"/>
              <w:left w:val="inset" w:color="auto" w:sz="6" w:space="0"/>
              <w:bottom w:val="inset" w:color="auto" w:sz="6" w:space="0"/>
              <w:right w:val="inset" w:color="auto" w:sz="6" w:space="0"/>
            </w:tcBorders>
            <w:vAlign w:val="center"/>
          </w:tcPr>
          <w:p w14:paraId="372C4585">
            <w:pPr>
              <w:spacing w:line="360" w:lineRule="auto"/>
              <w:rPr>
                <w:rFonts w:hint="eastAsia" w:ascii="宋体" w:hAnsi="宋体" w:eastAsia="宋体" w:cs="宋体"/>
                <w:sz w:val="24"/>
              </w:rPr>
            </w:pPr>
            <w:r>
              <w:rPr>
                <w:rFonts w:hint="eastAsia" w:ascii="宋体" w:hAnsi="宋体" w:eastAsia="宋体" w:cs="宋体"/>
                <w:sz w:val="24"/>
              </w:rPr>
              <w:t>咨询项目</w:t>
            </w:r>
          </w:p>
        </w:tc>
        <w:tc>
          <w:tcPr>
            <w:tcW w:w="963" w:type="dxa"/>
            <w:vMerge w:val="restart"/>
            <w:tcBorders>
              <w:top w:val="inset" w:color="auto" w:sz="6" w:space="0"/>
              <w:left w:val="inset" w:color="auto" w:sz="6" w:space="0"/>
              <w:bottom w:val="inset" w:color="auto" w:sz="6" w:space="0"/>
              <w:right w:val="inset" w:color="auto" w:sz="6" w:space="0"/>
            </w:tcBorders>
            <w:vAlign w:val="center"/>
          </w:tcPr>
          <w:p w14:paraId="3873CDFE">
            <w:pPr>
              <w:spacing w:line="360" w:lineRule="auto"/>
              <w:rPr>
                <w:rFonts w:hint="eastAsia" w:ascii="宋体" w:hAnsi="宋体" w:eastAsia="宋体" w:cs="宋体"/>
                <w:sz w:val="24"/>
              </w:rPr>
            </w:pPr>
            <w:r>
              <w:rPr>
                <w:rFonts w:hint="eastAsia" w:ascii="宋体" w:hAnsi="宋体" w:eastAsia="宋体" w:cs="宋体"/>
                <w:sz w:val="24"/>
              </w:rPr>
              <w:t>收费基数</w:t>
            </w:r>
          </w:p>
        </w:tc>
        <w:tc>
          <w:tcPr>
            <w:tcW w:w="5983" w:type="dxa"/>
            <w:gridSpan w:val="2"/>
            <w:tcBorders>
              <w:top w:val="inset" w:color="auto" w:sz="6" w:space="0"/>
              <w:left w:val="inset" w:color="auto" w:sz="6" w:space="0"/>
              <w:bottom w:val="inset" w:color="auto" w:sz="6" w:space="0"/>
              <w:right w:val="inset" w:color="auto" w:sz="6" w:space="0"/>
            </w:tcBorders>
            <w:vAlign w:val="center"/>
          </w:tcPr>
          <w:p w14:paraId="4DB25879">
            <w:pPr>
              <w:spacing w:line="360" w:lineRule="auto"/>
              <w:jc w:val="center"/>
              <w:rPr>
                <w:rFonts w:hint="eastAsia" w:ascii="宋体" w:hAnsi="宋体" w:eastAsia="宋体" w:cs="宋体"/>
                <w:sz w:val="24"/>
              </w:rPr>
            </w:pPr>
            <w:r>
              <w:rPr>
                <w:rFonts w:hint="eastAsia" w:ascii="宋体" w:hAnsi="宋体" w:eastAsia="宋体" w:cs="宋体"/>
                <w:sz w:val="24"/>
              </w:rPr>
              <w:t>分档累进计费标准（标准费率 ‰）</w:t>
            </w:r>
          </w:p>
        </w:tc>
      </w:tr>
      <w:tr w14:paraId="07579005">
        <w:tblPrEx>
          <w:tblCellMar>
            <w:top w:w="0" w:type="dxa"/>
            <w:left w:w="108" w:type="dxa"/>
            <w:bottom w:w="0" w:type="dxa"/>
            <w:right w:w="108" w:type="dxa"/>
          </w:tblCellMar>
        </w:tblPrEx>
        <w:trPr>
          <w:jc w:val="center"/>
        </w:trPr>
        <w:tc>
          <w:tcPr>
            <w:tcW w:w="1399" w:type="dxa"/>
            <w:vMerge w:val="continue"/>
            <w:tcBorders>
              <w:top w:val="inset" w:color="auto" w:sz="6" w:space="0"/>
              <w:left w:val="inset" w:color="auto" w:sz="6" w:space="0"/>
              <w:bottom w:val="inset" w:color="auto" w:sz="6" w:space="0"/>
              <w:right w:val="inset" w:color="auto" w:sz="6" w:space="0"/>
            </w:tcBorders>
            <w:vAlign w:val="center"/>
          </w:tcPr>
          <w:p w14:paraId="62A50B2B">
            <w:pPr>
              <w:spacing w:line="360" w:lineRule="auto"/>
              <w:ind w:firstLine="410" w:firstLineChars="171"/>
              <w:rPr>
                <w:rFonts w:hint="eastAsia" w:ascii="宋体" w:hAnsi="宋体" w:eastAsia="宋体" w:cs="宋体"/>
                <w:sz w:val="24"/>
              </w:rPr>
            </w:pPr>
          </w:p>
        </w:tc>
        <w:tc>
          <w:tcPr>
            <w:tcW w:w="963" w:type="dxa"/>
            <w:vMerge w:val="continue"/>
            <w:tcBorders>
              <w:top w:val="inset" w:color="auto" w:sz="6" w:space="0"/>
              <w:left w:val="inset" w:color="auto" w:sz="6" w:space="0"/>
              <w:bottom w:val="inset" w:color="auto" w:sz="6" w:space="0"/>
              <w:right w:val="inset" w:color="auto" w:sz="6" w:space="0"/>
            </w:tcBorders>
            <w:vAlign w:val="center"/>
          </w:tcPr>
          <w:p w14:paraId="70AA565F">
            <w:pPr>
              <w:spacing w:line="360" w:lineRule="auto"/>
              <w:ind w:firstLine="410" w:firstLineChars="171"/>
              <w:rPr>
                <w:rFonts w:hint="eastAsia" w:ascii="宋体" w:hAnsi="宋体" w:eastAsia="宋体" w:cs="宋体"/>
                <w:sz w:val="24"/>
              </w:rPr>
            </w:pPr>
          </w:p>
        </w:tc>
        <w:tc>
          <w:tcPr>
            <w:tcW w:w="2805" w:type="dxa"/>
            <w:tcBorders>
              <w:top w:val="inset" w:color="auto" w:sz="6" w:space="0"/>
              <w:left w:val="inset" w:color="auto" w:sz="6" w:space="0"/>
              <w:bottom w:val="inset" w:color="auto" w:sz="6" w:space="0"/>
              <w:right w:val="inset" w:color="auto" w:sz="6" w:space="0"/>
            </w:tcBorders>
            <w:vAlign w:val="center"/>
          </w:tcPr>
          <w:p w14:paraId="51C06DFA">
            <w:pPr>
              <w:spacing w:line="360" w:lineRule="auto"/>
              <w:jc w:val="center"/>
              <w:rPr>
                <w:rFonts w:hint="eastAsia" w:ascii="宋体" w:hAnsi="宋体" w:eastAsia="宋体" w:cs="宋体"/>
                <w:sz w:val="24"/>
              </w:rPr>
            </w:pPr>
            <w:r>
              <w:rPr>
                <w:rFonts w:hint="eastAsia" w:ascii="宋体" w:hAnsi="宋体" w:eastAsia="宋体" w:cs="宋体"/>
                <w:sz w:val="24"/>
              </w:rPr>
              <w:t>100万元以内</w:t>
            </w:r>
          </w:p>
        </w:tc>
        <w:tc>
          <w:tcPr>
            <w:tcW w:w="3178" w:type="dxa"/>
            <w:tcBorders>
              <w:top w:val="inset" w:color="auto" w:sz="6" w:space="0"/>
              <w:left w:val="inset" w:color="auto" w:sz="6" w:space="0"/>
              <w:bottom w:val="inset" w:color="auto" w:sz="6" w:space="0"/>
              <w:right w:val="inset" w:color="auto" w:sz="6" w:space="0"/>
            </w:tcBorders>
            <w:vAlign w:val="center"/>
          </w:tcPr>
          <w:p w14:paraId="5E47E636">
            <w:pPr>
              <w:spacing w:line="360" w:lineRule="auto"/>
              <w:jc w:val="center"/>
              <w:rPr>
                <w:rFonts w:hint="eastAsia" w:ascii="宋体" w:hAnsi="宋体" w:eastAsia="宋体" w:cs="宋体"/>
                <w:sz w:val="24"/>
              </w:rPr>
            </w:pPr>
            <w:r>
              <w:rPr>
                <w:rFonts w:hint="eastAsia" w:ascii="宋体" w:hAnsi="宋体" w:eastAsia="宋体" w:cs="宋体"/>
                <w:sz w:val="24"/>
              </w:rPr>
              <w:t>100-500</w:t>
            </w:r>
            <w:r>
              <w:rPr>
                <w:rFonts w:hint="eastAsia" w:ascii="宋体" w:hAnsi="宋体" w:eastAsia="宋体" w:cs="宋体"/>
                <w:sz w:val="24"/>
              </w:rPr>
              <w:br w:type="textWrapping"/>
            </w:r>
            <w:r>
              <w:rPr>
                <w:rFonts w:hint="eastAsia" w:ascii="宋体" w:hAnsi="宋体" w:eastAsia="宋体" w:cs="宋体"/>
                <w:sz w:val="24"/>
              </w:rPr>
              <w:t>万元</w:t>
            </w:r>
          </w:p>
        </w:tc>
      </w:tr>
      <w:tr w14:paraId="41C4A2A5">
        <w:tblPrEx>
          <w:tblCellMar>
            <w:top w:w="0" w:type="dxa"/>
            <w:left w:w="108" w:type="dxa"/>
            <w:bottom w:w="0" w:type="dxa"/>
            <w:right w:w="108" w:type="dxa"/>
          </w:tblCellMar>
        </w:tblPrEx>
        <w:trPr>
          <w:jc w:val="center"/>
        </w:trPr>
        <w:tc>
          <w:tcPr>
            <w:tcW w:w="1399" w:type="dxa"/>
            <w:tcBorders>
              <w:top w:val="inset" w:color="auto" w:sz="6" w:space="0"/>
              <w:left w:val="inset" w:color="auto" w:sz="6" w:space="0"/>
              <w:bottom w:val="inset" w:color="auto" w:sz="6" w:space="0"/>
              <w:right w:val="inset" w:color="auto" w:sz="6" w:space="0"/>
            </w:tcBorders>
            <w:vAlign w:val="center"/>
          </w:tcPr>
          <w:p w14:paraId="453CC098">
            <w:pPr>
              <w:spacing w:line="360" w:lineRule="auto"/>
              <w:rPr>
                <w:rFonts w:hint="eastAsia" w:ascii="宋体" w:hAnsi="宋体" w:eastAsia="宋体" w:cs="宋体"/>
                <w:sz w:val="24"/>
              </w:rPr>
            </w:pPr>
            <w:r>
              <w:rPr>
                <w:rFonts w:hint="eastAsia" w:ascii="宋体" w:hAnsi="宋体" w:eastAsia="宋体" w:cs="宋体"/>
                <w:sz w:val="24"/>
              </w:rPr>
              <w:t>工程量清单及预算、招标控制价的编制或审核</w:t>
            </w:r>
          </w:p>
        </w:tc>
        <w:tc>
          <w:tcPr>
            <w:tcW w:w="963" w:type="dxa"/>
            <w:tcBorders>
              <w:top w:val="inset" w:color="auto" w:sz="6" w:space="0"/>
              <w:left w:val="inset" w:color="auto" w:sz="6" w:space="0"/>
              <w:bottom w:val="inset" w:color="auto" w:sz="6" w:space="0"/>
              <w:right w:val="inset" w:color="auto" w:sz="6" w:space="0"/>
            </w:tcBorders>
            <w:vAlign w:val="center"/>
          </w:tcPr>
          <w:p w14:paraId="46B56A93">
            <w:pPr>
              <w:spacing w:line="360" w:lineRule="auto"/>
              <w:rPr>
                <w:rFonts w:hint="eastAsia" w:ascii="宋体" w:hAnsi="宋体" w:eastAsia="宋体" w:cs="宋体"/>
                <w:sz w:val="24"/>
              </w:rPr>
            </w:pPr>
            <w:r>
              <w:rPr>
                <w:rFonts w:hint="eastAsia" w:ascii="宋体" w:hAnsi="宋体" w:eastAsia="宋体" w:cs="宋体"/>
                <w:sz w:val="24"/>
              </w:rPr>
              <w:t>建安工程造价</w:t>
            </w:r>
          </w:p>
        </w:tc>
        <w:tc>
          <w:tcPr>
            <w:tcW w:w="2805" w:type="dxa"/>
            <w:tcBorders>
              <w:top w:val="inset" w:color="auto" w:sz="6" w:space="0"/>
              <w:left w:val="inset" w:color="auto" w:sz="6" w:space="0"/>
              <w:bottom w:val="inset" w:color="auto" w:sz="6" w:space="0"/>
              <w:right w:val="inset" w:color="auto" w:sz="6" w:space="0"/>
            </w:tcBorders>
            <w:vAlign w:val="center"/>
          </w:tcPr>
          <w:p w14:paraId="38C65DB3">
            <w:pPr>
              <w:spacing w:line="360" w:lineRule="auto"/>
              <w:jc w:val="center"/>
              <w:rPr>
                <w:rFonts w:hint="eastAsia" w:ascii="宋体" w:hAnsi="宋体" w:eastAsia="宋体" w:cs="宋体"/>
                <w:sz w:val="24"/>
              </w:rPr>
            </w:pPr>
            <w:r>
              <w:rPr>
                <w:rFonts w:hint="eastAsia" w:ascii="宋体" w:hAnsi="宋体" w:eastAsia="宋体" w:cs="宋体"/>
                <w:sz w:val="24"/>
              </w:rPr>
              <w:t>3.6</w:t>
            </w:r>
          </w:p>
        </w:tc>
        <w:tc>
          <w:tcPr>
            <w:tcW w:w="3178" w:type="dxa"/>
            <w:tcBorders>
              <w:top w:val="inset" w:color="auto" w:sz="6" w:space="0"/>
              <w:left w:val="inset" w:color="auto" w:sz="6" w:space="0"/>
              <w:bottom w:val="inset" w:color="auto" w:sz="6" w:space="0"/>
              <w:right w:val="inset" w:color="auto" w:sz="6" w:space="0"/>
            </w:tcBorders>
            <w:vAlign w:val="center"/>
          </w:tcPr>
          <w:p w14:paraId="2D055CC4">
            <w:pPr>
              <w:spacing w:line="360" w:lineRule="auto"/>
              <w:jc w:val="center"/>
              <w:rPr>
                <w:rFonts w:hint="eastAsia" w:ascii="宋体" w:hAnsi="宋体" w:eastAsia="宋体" w:cs="宋体"/>
                <w:sz w:val="24"/>
              </w:rPr>
            </w:pPr>
            <w:r>
              <w:rPr>
                <w:rFonts w:hint="eastAsia" w:ascii="宋体" w:hAnsi="宋体" w:eastAsia="宋体" w:cs="宋体"/>
                <w:sz w:val="24"/>
              </w:rPr>
              <w:t>3.3</w:t>
            </w:r>
          </w:p>
        </w:tc>
      </w:tr>
    </w:tbl>
    <w:p w14:paraId="2FA06CCF">
      <w:pPr>
        <w:spacing w:line="360" w:lineRule="auto"/>
        <w:ind w:firstLine="480" w:firstLineChars="200"/>
        <w:rPr>
          <w:rFonts w:hint="eastAsia" w:ascii="宋体" w:hAnsi="宋体" w:eastAsia="宋体" w:cs="宋体"/>
          <w:sz w:val="24"/>
        </w:rPr>
      </w:pPr>
      <w:r>
        <w:rPr>
          <w:rFonts w:hint="eastAsia" w:ascii="宋体" w:hAnsi="宋体" w:eastAsia="宋体" w:cs="宋体"/>
          <w:sz w:val="24"/>
        </w:rPr>
        <w:t>（3）特别注明：</w:t>
      </w:r>
    </w:p>
    <w:p w14:paraId="387B0503">
      <w:pPr>
        <w:spacing w:line="360" w:lineRule="auto"/>
        <w:ind w:firstLine="480" w:firstLineChars="200"/>
        <w:rPr>
          <w:rFonts w:hint="eastAsia" w:ascii="宋体" w:hAnsi="宋体" w:eastAsia="宋体" w:cs="宋体"/>
          <w:sz w:val="24"/>
        </w:rPr>
      </w:pPr>
      <w:r>
        <w:rPr>
          <w:rFonts w:hint="eastAsia" w:ascii="宋体" w:hAnsi="宋体" w:eastAsia="宋体" w:cs="宋体"/>
          <w:sz w:val="24"/>
        </w:rPr>
        <w:t>①基准收费标准中说明第2条单独委托的装饰、安装、园林绿化及仿古建筑工程的基本费率按专业系数不上浮执行；第5条审核工作内容按已综合考虑钢筋和预埋件计算，不另收费。</w:t>
      </w:r>
    </w:p>
    <w:p w14:paraId="627C0653">
      <w:pPr>
        <w:spacing w:line="360" w:lineRule="auto"/>
        <w:ind w:firstLine="480" w:firstLineChars="200"/>
        <w:rPr>
          <w:rFonts w:hint="eastAsia" w:ascii="宋体" w:hAnsi="宋体" w:eastAsia="宋体" w:cs="宋体"/>
          <w:sz w:val="24"/>
        </w:rPr>
      </w:pPr>
      <w:r>
        <w:rPr>
          <w:rFonts w:hint="eastAsia" w:ascii="宋体" w:hAnsi="宋体" w:eastAsia="宋体" w:cs="宋体"/>
          <w:sz w:val="24"/>
        </w:rPr>
        <w:t>②收费基数根据预算送审金额确定。</w:t>
      </w:r>
    </w:p>
    <w:p w14:paraId="4B0B8DDF">
      <w:pPr>
        <w:spacing w:line="360" w:lineRule="auto"/>
        <w:ind w:firstLine="480" w:firstLineChars="200"/>
        <w:rPr>
          <w:rFonts w:hint="eastAsia" w:ascii="宋体" w:hAnsi="宋体" w:eastAsia="宋体" w:cs="宋体"/>
          <w:color w:val="FF0000"/>
          <w:sz w:val="24"/>
        </w:rPr>
      </w:pPr>
      <w:r>
        <w:rPr>
          <w:rFonts w:hint="eastAsia" w:ascii="宋体" w:hAnsi="宋体" w:eastAsia="宋体" w:cs="宋体"/>
          <w:color w:val="000000" w:themeColor="text1"/>
          <w:sz w:val="24"/>
          <w14:textFill>
            <w14:solidFill>
              <w14:schemeClr w14:val="tx1"/>
            </w14:solidFill>
          </w14:textFill>
        </w:rPr>
        <w:t>③例：中标人</w:t>
      </w:r>
      <w:r>
        <w:rPr>
          <w:rFonts w:hint="eastAsia" w:ascii="宋体" w:hAnsi="宋体" w:eastAsia="宋体" w:cs="宋体"/>
          <w:bCs/>
          <w:sz w:val="24"/>
          <w:szCs w:val="24"/>
        </w:rPr>
        <w:t>的折扣报价为45.00%（即中标折扣）</w:t>
      </w:r>
      <w:r>
        <w:rPr>
          <w:rFonts w:hint="eastAsia" w:ascii="宋体" w:hAnsi="宋体" w:eastAsia="宋体" w:cs="宋体"/>
          <w:color w:val="000000" w:themeColor="text1"/>
          <w:sz w:val="24"/>
          <w14:textFill>
            <w14:solidFill>
              <w14:schemeClr w14:val="tx1"/>
            </w14:solidFill>
          </w14:textFill>
        </w:rPr>
        <w:t>，送审金额300万元的工程。按收费标准计算审核服务费用为（100万元*3.6‰+200万元*3.3‰）*45.00%=4590元。</w:t>
      </w:r>
    </w:p>
    <w:p w14:paraId="154E772F">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（三）履约保证金、付款方式</w:t>
      </w:r>
    </w:p>
    <w:p w14:paraId="7E3F1160">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1、履约保证金：不收取履约保证金。</w:t>
      </w:r>
    </w:p>
    <w:p w14:paraId="548A7EC5">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2、付款方式：</w:t>
      </w:r>
    </w:p>
    <w:p w14:paraId="602E1ECF">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1）合同签订之日起7个工作日内，采购人向中标单位支付采购预算金额的20%作为预付款；（在签订合同时，中标人明确表示无需预付款或者主动要求降低预付款比例的，采购人可不适用前述规定；支付预付款的，中标人应当向采购人提交发票以及银行、保险公司等金融机构出具的预付款保函。）</w:t>
      </w:r>
    </w:p>
    <w:p w14:paraId="6460E3D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一年两次支付按项目结算的审核费用，每年年中、年末支付。由中标单位出具正规发票及费用结算清单，采购人审核无异议后，一次性付清。</w:t>
      </w:r>
    </w:p>
    <w:p w14:paraId="74114D26">
      <w:pPr>
        <w:spacing w:line="360" w:lineRule="auto"/>
        <w:rPr>
          <w:rFonts w:hint="eastAsia" w:ascii="宋体" w:hAnsi="宋体" w:eastAsia="宋体" w:cs="宋体"/>
          <w:sz w:val="28"/>
          <w:szCs w:val="28"/>
        </w:rPr>
      </w:pPr>
      <w:r>
        <w:rPr>
          <w:rFonts w:hint="eastAsia" w:ascii="宋体" w:hAnsi="宋体" w:eastAsia="宋体" w:cs="宋体"/>
          <w:b/>
          <w:bCs/>
          <w:sz w:val="24"/>
          <w:szCs w:val="24"/>
        </w:rPr>
        <w:t>六、最高限价</w:t>
      </w:r>
    </w:p>
    <w:p w14:paraId="56C9A4C9">
      <w:pPr>
        <w:spacing w:line="360" w:lineRule="auto"/>
        <w:ind w:firstLine="480" w:firstLineChars="200"/>
        <w:rPr>
          <w:rFonts w:hint="eastAsia" w:ascii="宋体" w:hAnsi="宋体" w:eastAsia="宋体" w:cs="宋体"/>
          <w:b/>
          <w:bCs/>
          <w:sz w:val="24"/>
          <w:szCs w:val="24"/>
          <w:u w:val="single"/>
        </w:rPr>
      </w:pPr>
      <w:r>
        <w:rPr>
          <w:rFonts w:hint="eastAsia" w:ascii="宋体" w:hAnsi="宋体" w:eastAsia="宋体" w:cs="宋体"/>
          <w:bCs/>
          <w:sz w:val="24"/>
          <w:szCs w:val="24"/>
        </w:rPr>
        <w:t>本标项采用折扣报价，</w:t>
      </w:r>
      <w:r>
        <w:rPr>
          <w:rFonts w:hint="eastAsia" w:ascii="宋体" w:hAnsi="宋体" w:eastAsia="宋体" w:cs="宋体"/>
          <w:sz w:val="24"/>
          <w:szCs w:val="24"/>
        </w:rPr>
        <w:t>折扣以百分比（%）进行表述（</w:t>
      </w:r>
      <w:r>
        <w:rPr>
          <w:rFonts w:hint="eastAsia" w:ascii="宋体" w:hAnsi="宋体" w:eastAsia="宋体" w:cs="宋体"/>
          <w:bCs/>
          <w:sz w:val="24"/>
          <w:szCs w:val="24"/>
        </w:rPr>
        <w:t>如折扣报价六折，则填写为60%（百分之六十）</w:t>
      </w:r>
      <w:r>
        <w:rPr>
          <w:rFonts w:hint="eastAsia" w:ascii="宋体" w:hAnsi="宋体" w:eastAsia="宋体" w:cs="宋体"/>
          <w:sz w:val="24"/>
          <w:szCs w:val="24"/>
        </w:rPr>
        <w:t>），</w:t>
      </w:r>
      <w:r>
        <w:rPr>
          <w:rFonts w:hint="eastAsia" w:ascii="宋体" w:hAnsi="宋体" w:eastAsia="宋体" w:cs="宋体"/>
          <w:bCs/>
          <w:sz w:val="24"/>
          <w:szCs w:val="24"/>
        </w:rPr>
        <w:t>折扣百分比数值越小则报价越低。</w:t>
      </w:r>
      <w:r>
        <w:rPr>
          <w:rFonts w:hint="eastAsia" w:ascii="宋体" w:hAnsi="宋体" w:eastAsia="宋体" w:cs="宋体"/>
          <w:b/>
          <w:bCs/>
          <w:sz w:val="24"/>
          <w:szCs w:val="24"/>
          <w:u w:val="single"/>
        </w:rPr>
        <w:t>折扣报价上限</w:t>
      </w:r>
      <w:r>
        <w:rPr>
          <w:rFonts w:hint="eastAsia" w:ascii="宋体" w:hAnsi="宋体" w:eastAsia="宋体" w:cs="宋体"/>
          <w:b/>
          <w:sz w:val="24"/>
          <w:u w:val="single"/>
        </w:rPr>
        <w:t>为70%，</w:t>
      </w:r>
      <w:r>
        <w:rPr>
          <w:rFonts w:hint="eastAsia" w:ascii="宋体" w:hAnsi="宋体" w:eastAsia="宋体" w:cs="宋体"/>
          <w:b/>
          <w:bCs/>
          <w:sz w:val="24"/>
          <w:szCs w:val="24"/>
          <w:u w:val="single"/>
          <w:lang w:val="zh-CN"/>
        </w:rPr>
        <w:t>任何超过70%的报价将被认定为无效报价</w:t>
      </w:r>
      <w:r>
        <w:rPr>
          <w:rFonts w:hint="eastAsia" w:ascii="宋体" w:hAnsi="宋体" w:eastAsia="宋体" w:cs="宋体"/>
          <w:b/>
          <w:bCs/>
          <w:sz w:val="24"/>
          <w:szCs w:val="24"/>
          <w:lang w:val="zh-CN"/>
        </w:rPr>
        <w:t>。</w:t>
      </w:r>
    </w:p>
    <w:p w14:paraId="10C3A823">
      <w:pPr>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u w:val="single"/>
        </w:rPr>
        <w:t>本次采购按实结算，最高合同金额不超过20万元</w:t>
      </w:r>
      <w:r>
        <w:rPr>
          <w:rFonts w:hint="eastAsia" w:ascii="宋体" w:hAnsi="宋体" w:eastAsia="宋体" w:cs="宋体"/>
          <w:bCs/>
          <w:sz w:val="24"/>
          <w:szCs w:val="24"/>
        </w:rPr>
        <w:t>。</w:t>
      </w:r>
    </w:p>
    <w:p w14:paraId="3D15F68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七、特别说明</w:t>
      </w:r>
    </w:p>
    <w:p w14:paraId="0E9F21D0">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sz w:val="24"/>
          <w:szCs w:val="24"/>
        </w:rPr>
        <w:t>本采购需求中标注“★”项为实质性要求条款，必须作出实质性响应，若其中有一项条款不满足（或出现“负偏离”）则投标无效。</w:t>
      </w:r>
    </w:p>
    <w:p w14:paraId="005F5DD0">
      <w:pPr>
        <w:spacing w:line="300" w:lineRule="auto"/>
        <w:rPr>
          <w:rFonts w:hint="eastAsia" w:ascii="宋体" w:hAnsi="宋体" w:eastAsia="宋体" w:cs="宋体"/>
          <w:sz w:val="28"/>
          <w:szCs w:val="28"/>
        </w:rPr>
        <w:sectPr>
          <w:pgSz w:w="11906" w:h="16838"/>
          <w:pgMar w:top="1134" w:right="1418" w:bottom="1021" w:left="1418" w:header="0" w:footer="283" w:gutter="0"/>
          <w:pgNumType w:fmt="numberInDash"/>
          <w:cols w:space="720" w:num="1"/>
          <w:docGrid w:type="linesAndChars" w:linePitch="312" w:charSpace="0"/>
        </w:sectPr>
      </w:pPr>
    </w:p>
    <w:p w14:paraId="13D90CA0">
      <w:pPr>
        <w:spacing w:line="300" w:lineRule="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b/>
          <w:spacing w:val="36"/>
          <w:sz w:val="24"/>
          <w:szCs w:val="24"/>
          <w:u w:val="single"/>
        </w:rPr>
        <w:t>标项2</w:t>
      </w:r>
      <w:r>
        <w:rPr>
          <w:rFonts w:hint="eastAsia" w:ascii="宋体" w:hAnsi="宋体" w:eastAsia="宋体" w:cs="宋体"/>
          <w:b/>
          <w:sz w:val="24"/>
          <w:szCs w:val="24"/>
        </w:rPr>
        <w:t>】：</w:t>
      </w:r>
      <w:r>
        <w:rPr>
          <w:rFonts w:hint="eastAsia" w:ascii="宋体" w:hAnsi="宋体" w:eastAsia="宋体" w:cs="宋体"/>
          <w:sz w:val="24"/>
          <w:szCs w:val="24"/>
        </w:rPr>
        <w:t>200万元以内工程项目结</w:t>
      </w:r>
      <w:r>
        <w:rPr>
          <w:rFonts w:hint="eastAsia" w:ascii="宋体" w:hAnsi="宋体" w:eastAsia="宋体" w:cs="宋体"/>
          <w:sz w:val="24"/>
          <w:szCs w:val="24"/>
          <w:highlight w:val="none"/>
        </w:rPr>
        <w:t>算审核、概算审核服务</w:t>
      </w:r>
    </w:p>
    <w:p w14:paraId="08C60EA0">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一、服务要求</w:t>
      </w:r>
    </w:p>
    <w:p w14:paraId="312BC1F4">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★1、人员要求：</w:t>
      </w:r>
      <w:r>
        <w:rPr>
          <w:rFonts w:hint="eastAsia" w:ascii="宋体" w:hAnsi="宋体" w:eastAsia="宋体" w:cs="宋体"/>
          <w:bCs/>
        </w:rPr>
        <w:t>投标人拟派专业技术人员（除拟派项目负责人外）专业汇总后必须齐全，即包含造价执业资格专业：土建、安装、交通运输、水利。（注：同一人具备多个专业的，可以累加计算；投标文件中必须提供人员相关证书复印件以及投标人为其缴纳的近三个月内任意一个月的社保缴纳证明并加盖投标人CA签章，</w:t>
      </w:r>
      <w:r>
        <w:rPr>
          <w:rFonts w:hint="eastAsia" w:ascii="宋体" w:hAnsi="宋体" w:eastAsia="宋体" w:cs="宋体"/>
        </w:rPr>
        <w:t>社保缴纳证明以社保机构出具的社保证明为准</w:t>
      </w:r>
      <w:r>
        <w:rPr>
          <w:rFonts w:hint="eastAsia" w:ascii="宋体" w:hAnsi="宋体" w:eastAsia="宋体" w:cs="宋体"/>
          <w:bCs/>
        </w:rPr>
        <w:t>。）</w:t>
      </w:r>
    </w:p>
    <w:p w14:paraId="76BC7F76">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2、中标单位必须在实际审核业务上，充分保障人员的安排；实际参与审核业务的负责人及其他造价专业人员至少与投标时提供的人员信息及资格条件相符，如中标单位确需调整参与审核业务的审核人员，必须提前向采购单位提出书面申请并取得采购单位同意，否则不得私自更换其人员，如私自更换的取消其审核业务资格。</w:t>
      </w:r>
    </w:p>
    <w:p w14:paraId="3872B932">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3、</w:t>
      </w:r>
      <w:r>
        <w:rPr>
          <w:rFonts w:hint="eastAsia" w:ascii="宋体" w:hAnsi="宋体" w:eastAsia="宋体" w:cs="宋体"/>
          <w:bCs/>
        </w:rPr>
        <w:t>项目负责人须全过程参与项目及各阶段项目成果的交流、汇报等工作，并配合采购人做好项目的评审、审批等相关工作。</w:t>
      </w:r>
    </w:p>
    <w:p w14:paraId="24377939">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4、中标单位</w:t>
      </w:r>
      <w:r>
        <w:rPr>
          <w:rFonts w:hint="eastAsia" w:ascii="宋体" w:hAnsi="宋体" w:eastAsia="宋体" w:cs="宋体"/>
          <w:color w:val="000000" w:themeColor="text1"/>
          <w14:textFill>
            <w14:solidFill>
              <w14:schemeClr w14:val="tx1"/>
            </w14:solidFill>
          </w14:textFill>
        </w:rPr>
        <w:t>在接到采购人服务要求（通知）后</w:t>
      </w:r>
      <w:r>
        <w:rPr>
          <w:rFonts w:hint="eastAsia" w:ascii="宋体" w:hAnsi="宋体" w:eastAsia="宋体" w:cs="宋体"/>
          <w:szCs w:val="28"/>
        </w:rPr>
        <w:t>一小时内能提供快速的服务响应，并且在采购人规定的时限内按采购单位要求</w:t>
      </w:r>
      <w:r>
        <w:rPr>
          <w:rFonts w:hint="eastAsia" w:ascii="宋体" w:hAnsi="宋体" w:eastAsia="宋体" w:cs="宋体"/>
          <w:bCs/>
        </w:rPr>
        <w:t>提交相关说明或修改意见等文件或资料。</w:t>
      </w:r>
    </w:p>
    <w:p w14:paraId="7F32532C">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5、服务期限内，中标单位须配合采购单位审核部门需要抽调人员审核业务。</w:t>
      </w:r>
    </w:p>
    <w:p w14:paraId="48ADCC86">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6、中标单位</w:t>
      </w:r>
      <w:r>
        <w:rPr>
          <w:rFonts w:hint="eastAsia" w:ascii="宋体" w:hAnsi="宋体" w:eastAsia="宋体" w:cs="宋体"/>
        </w:rPr>
        <w:t>按采购人所要求的审核时限以及向采购人承诺的审核误差率完成审核业务，并出具审核结论。</w:t>
      </w:r>
    </w:p>
    <w:p w14:paraId="4E8C0F2A">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7、中标单位不得将业务转包或分包给其他单位或个人；在合同履行期间，中标单位对其派出的人员和设备的安全负全部责任，采购单位不承担任何责任。</w:t>
      </w:r>
    </w:p>
    <w:p w14:paraId="6E2E99F8">
      <w:pPr>
        <w:pStyle w:val="64"/>
        <w:snapToGrid w:val="0"/>
        <w:spacing w:before="120"/>
        <w:ind w:firstLine="480"/>
        <w:rPr>
          <w:rFonts w:hint="eastAsia" w:ascii="宋体" w:hAnsi="宋体" w:eastAsia="宋体" w:cs="宋体"/>
        </w:rPr>
      </w:pPr>
      <w:r>
        <w:rPr>
          <w:rFonts w:hint="eastAsia" w:ascii="宋体" w:hAnsi="宋体" w:eastAsia="宋体" w:cs="宋体"/>
          <w:szCs w:val="28"/>
        </w:rPr>
        <w:t>8、</w:t>
      </w:r>
      <w:r>
        <w:rPr>
          <w:rFonts w:hint="eastAsia" w:ascii="宋体" w:hAnsi="宋体" w:eastAsia="宋体" w:cs="宋体"/>
        </w:rPr>
        <w:t>及时向采购人报送协议中的审核业务工作完成情况。</w:t>
      </w:r>
    </w:p>
    <w:p w14:paraId="0CD5A586">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9、</w:t>
      </w:r>
      <w:r>
        <w:rPr>
          <w:rFonts w:hint="eastAsia" w:ascii="宋体" w:hAnsi="宋体" w:eastAsia="宋体" w:cs="宋体"/>
        </w:rPr>
        <w:t>在审核过程中,中标单位应公正维护各方的合法权益，严格遵守法律、法规、正确执行定额标准和计价规定,做到公正、准确地提供工程审核结果。</w:t>
      </w:r>
    </w:p>
    <w:p w14:paraId="7B3BC4D7">
      <w:pPr>
        <w:pStyle w:val="64"/>
        <w:snapToGrid w:val="0"/>
        <w:spacing w:before="120"/>
        <w:ind w:firstLine="480"/>
        <w:rPr>
          <w:rFonts w:hint="eastAsia" w:ascii="宋体" w:hAnsi="宋体" w:eastAsia="宋体" w:cs="宋体"/>
          <w:szCs w:val="28"/>
        </w:rPr>
      </w:pPr>
      <w:r>
        <w:rPr>
          <w:rFonts w:hint="eastAsia" w:ascii="宋体" w:hAnsi="宋体" w:eastAsia="宋体" w:cs="宋体"/>
          <w:szCs w:val="28"/>
        </w:rPr>
        <w:t>10、结算审核一般1个月内审核完毕，街道另有要求的，以实际情况为准，结算审核审核完成后30个工作日内，完成资料归档并填写档案交接单。</w:t>
      </w:r>
    </w:p>
    <w:p w14:paraId="3EFB7107">
      <w:pPr>
        <w:pStyle w:val="64"/>
        <w:snapToGrid w:val="0"/>
        <w:spacing w:before="120"/>
        <w:ind w:firstLine="480"/>
        <w:rPr>
          <w:rFonts w:hint="eastAsia" w:ascii="宋体" w:hAnsi="宋体" w:eastAsia="宋体" w:cs="宋体"/>
          <w:bCs/>
        </w:rPr>
      </w:pPr>
      <w:r>
        <w:rPr>
          <w:rFonts w:hint="eastAsia" w:ascii="宋体" w:hAnsi="宋体" w:eastAsia="宋体" w:cs="宋体"/>
          <w:szCs w:val="28"/>
        </w:rPr>
        <w:t>11、</w:t>
      </w:r>
      <w:r>
        <w:rPr>
          <w:rFonts w:hint="eastAsia" w:ascii="宋体" w:hAnsi="宋体" w:eastAsia="宋体" w:cs="宋体"/>
          <w:bCs/>
        </w:rPr>
        <w:t>中标单位提交的最终成果资料必须能够符合采购单位要求。</w:t>
      </w:r>
    </w:p>
    <w:p w14:paraId="4F2BFC5F">
      <w:pPr>
        <w:spacing w:line="360" w:lineRule="auto"/>
        <w:rPr>
          <w:rFonts w:hint="eastAsia" w:ascii="宋体" w:hAnsi="宋体" w:eastAsia="宋体" w:cs="宋体"/>
          <w:bCs/>
          <w:sz w:val="24"/>
          <w:szCs w:val="24"/>
        </w:rPr>
      </w:pPr>
      <w:r>
        <w:rPr>
          <w:rFonts w:hint="eastAsia" w:ascii="宋体" w:hAnsi="宋体" w:eastAsia="宋体" w:cs="宋体"/>
          <w:b/>
          <w:bCs/>
          <w:sz w:val="24"/>
          <w:szCs w:val="24"/>
        </w:rPr>
        <w:t>二、成果版权及使用</w:t>
      </w:r>
    </w:p>
    <w:p w14:paraId="657DB8C1">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审核成果所有权和使用权均属于采购人所有。未经采购单位书面同意，任何单位和个人不得转让和使用本项目的成果。</w:t>
      </w:r>
    </w:p>
    <w:p w14:paraId="2325A1B3">
      <w:pPr>
        <w:spacing w:line="360" w:lineRule="auto"/>
        <w:rPr>
          <w:rFonts w:hint="eastAsia" w:ascii="宋体" w:hAnsi="宋体" w:eastAsia="宋体" w:cs="宋体"/>
          <w:bCs/>
          <w:sz w:val="24"/>
          <w:szCs w:val="24"/>
        </w:rPr>
      </w:pPr>
      <w:r>
        <w:rPr>
          <w:rFonts w:hint="eastAsia" w:ascii="宋体" w:hAnsi="宋体" w:eastAsia="宋体" w:cs="宋体"/>
          <w:b/>
          <w:bCs/>
          <w:sz w:val="24"/>
          <w:szCs w:val="24"/>
        </w:rPr>
        <w:t>三、保密要求</w:t>
      </w:r>
    </w:p>
    <w:p w14:paraId="75B924D8">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1、中标人须建立严格的保密制度，并加强对工作人员的保密管理及保密知识教育。</w:t>
      </w:r>
    </w:p>
    <w:p w14:paraId="5AC763FC">
      <w:pPr>
        <w:pStyle w:val="64"/>
        <w:snapToGrid w:val="0"/>
        <w:spacing w:before="120"/>
        <w:ind w:firstLine="480"/>
        <w:rPr>
          <w:rFonts w:hint="eastAsia" w:ascii="宋体" w:hAnsi="宋体" w:eastAsia="宋体" w:cs="宋体"/>
          <w:bCs/>
        </w:rPr>
      </w:pPr>
      <w:r>
        <w:rPr>
          <w:rFonts w:hint="eastAsia" w:ascii="宋体" w:hAnsi="宋体" w:eastAsia="宋体" w:cs="宋体"/>
          <w:bCs/>
        </w:rPr>
        <w:t>2、中标单位对执行业务过程中应当严格遵守国家保密制度，对知悉的商业秘密必须严加保密；中标单位及派遣工作人员未经采购人书面同意确认，不得向任何第三方披露、传播、复制等泄露与工程审核业务有关的数据资料。</w:t>
      </w:r>
    </w:p>
    <w:p w14:paraId="2E539B95">
      <w:pPr>
        <w:spacing w:line="360" w:lineRule="auto"/>
        <w:rPr>
          <w:rFonts w:hint="eastAsia" w:ascii="宋体" w:hAnsi="宋体" w:eastAsia="宋体" w:cs="宋体"/>
          <w:bCs/>
          <w:sz w:val="24"/>
          <w:szCs w:val="24"/>
        </w:rPr>
      </w:pPr>
      <w:r>
        <w:rPr>
          <w:rFonts w:hint="eastAsia" w:ascii="宋体" w:hAnsi="宋体" w:eastAsia="宋体" w:cs="宋体"/>
          <w:b/>
          <w:bCs/>
          <w:sz w:val="24"/>
          <w:szCs w:val="24"/>
        </w:rPr>
        <w:t>四、监管处罚</w:t>
      </w:r>
    </w:p>
    <w:p w14:paraId="58845F38">
      <w:pPr>
        <w:pStyle w:val="64"/>
        <w:snapToGrid w:val="0"/>
        <w:spacing w:before="120"/>
        <w:ind w:firstLine="480"/>
        <w:rPr>
          <w:rFonts w:hint="eastAsia" w:ascii="宋体" w:hAnsi="宋体" w:eastAsia="宋体" w:cs="宋体"/>
        </w:rPr>
      </w:pPr>
      <w:r>
        <w:rPr>
          <w:rFonts w:hint="eastAsia" w:ascii="宋体" w:hAnsi="宋体" w:eastAsia="宋体" w:cs="宋体"/>
          <w:szCs w:val="28"/>
        </w:rPr>
        <w:t>1、服务期限内，如发现中标单位出现下列情形之一的，采购人将根据合同或协议书的要求，对中标单位违法违规等行为予以通报批评。同时采购人有权单方面解除合同并不再支付未结算的审核费用，并且由此产生的一切经济损失和责任全部由中标单位负责：①提供的服务不符合国家有关规定和投标文件承诺的标准的；②无正当理由拒绝按照投标承诺提供服务的；③被投诉质疑，经证实情况属实且情形严重的；④擅自将业务转包或分包给其他单位或个人的；⑤在服务过程中徇私舞弊、滥用职权、弄虚作假、隐瞒事实真相的；⑥</w:t>
      </w:r>
      <w:r>
        <w:rPr>
          <w:rFonts w:hint="eastAsia" w:ascii="宋体" w:hAnsi="宋体" w:eastAsia="宋体" w:cs="宋体"/>
        </w:rPr>
        <w:t>违反法律法规和合同约定的其他情形的。</w:t>
      </w:r>
    </w:p>
    <w:p w14:paraId="6945DB1B">
      <w:pPr>
        <w:pStyle w:val="64"/>
        <w:snapToGrid w:val="0"/>
        <w:spacing w:before="120"/>
        <w:ind w:firstLine="480"/>
        <w:rPr>
          <w:rFonts w:hint="eastAsia" w:ascii="宋体" w:hAnsi="宋体" w:eastAsia="宋体" w:cs="宋体"/>
        </w:rPr>
      </w:pPr>
      <w:r>
        <w:rPr>
          <w:rFonts w:hint="eastAsia" w:ascii="宋体" w:hAnsi="宋体" w:eastAsia="宋体" w:cs="宋体"/>
        </w:rPr>
        <w:t>2、结算审核误差率±5%（含）以上的，不予支付审核费，</w:t>
      </w:r>
      <w:r>
        <w:rPr>
          <w:rFonts w:hint="eastAsia" w:ascii="宋体" w:hAnsi="宋体" w:eastAsia="宋体" w:cs="宋体"/>
          <w:szCs w:val="28"/>
        </w:rPr>
        <w:t>造成工作被动的，累计2次可解除合同</w:t>
      </w:r>
      <w:r>
        <w:rPr>
          <w:rFonts w:hint="eastAsia" w:ascii="宋体" w:hAnsi="宋体" w:eastAsia="宋体" w:cs="宋体"/>
        </w:rPr>
        <w:t>。</w:t>
      </w:r>
      <w:r>
        <w:rPr>
          <w:rFonts w:hint="eastAsia" w:ascii="宋体" w:hAnsi="宋体" w:eastAsia="宋体" w:cs="宋体"/>
          <w:szCs w:val="28"/>
        </w:rPr>
        <w:t>违反投标承诺的任何一项，计违约一次，累计3次</w:t>
      </w:r>
      <w:r>
        <w:rPr>
          <w:rFonts w:hint="eastAsia" w:ascii="宋体" w:hAnsi="宋体" w:eastAsia="宋体" w:cs="宋体"/>
        </w:rPr>
        <w:t>可解除合同。吃拿卡要，或涉及故意侵害街道或其他业主利益的，被查实的，立即解除合同，并上报相关部们处理，保持司法追究的权利。</w:t>
      </w:r>
    </w:p>
    <w:p w14:paraId="37F38D00">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五、商务要求</w:t>
      </w:r>
    </w:p>
    <w:p w14:paraId="15750BF3">
      <w:pPr>
        <w:spacing w:line="360" w:lineRule="auto"/>
        <w:ind w:firstLine="470" w:firstLineChars="196"/>
        <w:rPr>
          <w:rFonts w:hint="eastAsia" w:ascii="宋体" w:hAnsi="宋体" w:eastAsia="宋体" w:cs="宋体"/>
          <w:b/>
          <w:bCs/>
          <w:sz w:val="24"/>
          <w:szCs w:val="24"/>
        </w:rPr>
      </w:pPr>
      <w:r>
        <w:rPr>
          <w:rFonts w:hint="eastAsia" w:ascii="宋体" w:hAnsi="宋体" w:eastAsia="宋体" w:cs="宋体"/>
          <w:b/>
          <w:bCs/>
          <w:sz w:val="24"/>
          <w:szCs w:val="24"/>
        </w:rPr>
        <w:t>（一）服务期限</w:t>
      </w:r>
    </w:p>
    <w:p w14:paraId="46581FAD">
      <w:pPr>
        <w:spacing w:line="360" w:lineRule="auto"/>
        <w:ind w:firstLine="480" w:firstLineChars="200"/>
        <w:rPr>
          <w:rFonts w:hint="eastAsia" w:ascii="宋体" w:hAnsi="宋体" w:eastAsia="宋体" w:cs="宋体"/>
          <w:bCs/>
          <w:sz w:val="28"/>
          <w:szCs w:val="28"/>
        </w:rPr>
      </w:pPr>
      <w:r>
        <w:rPr>
          <w:rFonts w:hint="eastAsia" w:ascii="宋体" w:hAnsi="宋体" w:eastAsia="宋体" w:cs="宋体"/>
          <w:sz w:val="24"/>
          <w:szCs w:val="24"/>
        </w:rPr>
        <w:t>合同履约期限（以先到为准）：自合同签订之日起1年或累计结算金额达到采购预算金额满止。</w:t>
      </w:r>
    </w:p>
    <w:p w14:paraId="3DC404BE">
      <w:pPr>
        <w:spacing w:line="360" w:lineRule="auto"/>
        <w:ind w:firstLine="470" w:firstLineChars="196"/>
        <w:rPr>
          <w:rFonts w:hint="eastAsia" w:ascii="宋体" w:hAnsi="宋体" w:eastAsia="宋体" w:cs="宋体"/>
          <w:b/>
          <w:bCs/>
          <w:sz w:val="24"/>
          <w:szCs w:val="24"/>
        </w:rPr>
      </w:pPr>
      <w:r>
        <w:rPr>
          <w:rFonts w:hint="eastAsia" w:ascii="宋体" w:hAnsi="宋体" w:eastAsia="宋体" w:cs="宋体"/>
          <w:b/>
          <w:bCs/>
          <w:sz w:val="24"/>
          <w:szCs w:val="24"/>
        </w:rPr>
        <w:t>（二）审核费用</w:t>
      </w:r>
    </w:p>
    <w:p w14:paraId="23F6BF26">
      <w:pPr>
        <w:spacing w:line="360" w:lineRule="auto"/>
        <w:ind w:firstLine="480" w:firstLineChars="200"/>
        <w:rPr>
          <w:rFonts w:hint="eastAsia" w:ascii="宋体" w:hAnsi="宋体" w:eastAsia="宋体" w:cs="宋体"/>
          <w:b/>
          <w:i/>
          <w:sz w:val="24"/>
          <w:szCs w:val="24"/>
          <w:highlight w:val="green"/>
          <w:u w:val="single"/>
        </w:rPr>
      </w:pPr>
      <w:r>
        <w:rPr>
          <w:rFonts w:hint="eastAsia" w:ascii="宋体" w:hAnsi="宋体" w:eastAsia="宋体" w:cs="宋体"/>
          <w:b/>
          <w:sz w:val="24"/>
          <w:szCs w:val="24"/>
        </w:rPr>
        <w:t>200万元以内工程项目结算</w:t>
      </w:r>
      <w:r>
        <w:rPr>
          <w:rFonts w:hint="eastAsia" w:ascii="宋体" w:hAnsi="宋体" w:eastAsia="宋体" w:cs="宋体"/>
          <w:b/>
          <w:sz w:val="24"/>
          <w:szCs w:val="24"/>
          <w:highlight w:val="none"/>
        </w:rPr>
        <w:t>审核、概算审核：</w:t>
      </w:r>
      <w:bookmarkStart w:id="3" w:name="_GoBack"/>
      <w:bookmarkEnd w:id="3"/>
    </w:p>
    <w:p w14:paraId="4C0FCB47">
      <w:pPr>
        <w:spacing w:line="360" w:lineRule="auto"/>
        <w:ind w:firstLine="480" w:firstLineChars="200"/>
        <w:rPr>
          <w:rFonts w:hint="eastAsia" w:ascii="宋体" w:hAnsi="宋体" w:eastAsia="宋体" w:cs="宋体"/>
          <w:b/>
          <w:sz w:val="24"/>
        </w:rPr>
      </w:pPr>
      <w:r>
        <w:rPr>
          <w:rFonts w:hint="eastAsia" w:ascii="宋体" w:hAnsi="宋体" w:eastAsia="宋体" w:cs="宋体"/>
          <w:sz w:val="24"/>
          <w:lang w:val="zh-CN"/>
        </w:rPr>
        <w:t>参照《</w:t>
      </w:r>
      <w:r>
        <w:rPr>
          <w:rFonts w:hint="eastAsia" w:ascii="宋体" w:hAnsi="宋体" w:eastAsia="宋体" w:cs="宋体"/>
          <w:sz w:val="24"/>
        </w:rPr>
        <w:t>浙江省建设工程造价咨询服务基准收费标准[浙价服(2009)84号]文件规定的收费标准</w:t>
      </w:r>
      <w:r>
        <w:rPr>
          <w:rFonts w:hint="eastAsia" w:ascii="宋体" w:hAnsi="宋体" w:eastAsia="宋体" w:cs="宋体"/>
          <w:sz w:val="24"/>
          <w:lang w:val="zh-CN"/>
        </w:rPr>
        <w:t>》及中标</w:t>
      </w:r>
      <w:r>
        <w:rPr>
          <w:rFonts w:hint="eastAsia" w:ascii="宋体" w:hAnsi="宋体" w:eastAsia="宋体" w:cs="宋体"/>
          <w:sz w:val="24"/>
        </w:rPr>
        <w:t>人的中标折扣计算审核费用。</w:t>
      </w:r>
      <w:r>
        <w:rPr>
          <w:rFonts w:hint="eastAsia" w:ascii="宋体" w:hAnsi="宋体" w:eastAsia="宋体" w:cs="宋体"/>
          <w:b/>
          <w:sz w:val="24"/>
        </w:rPr>
        <w:t>最高限价：投标报价以折扣形式报价，且折扣报价上限为70%；投标人的折扣报价超过70%，其投标无效。</w:t>
      </w:r>
    </w:p>
    <w:p w14:paraId="14F63EA8">
      <w:pPr>
        <w:spacing w:line="360" w:lineRule="auto"/>
        <w:ind w:firstLine="480" w:firstLineChars="200"/>
        <w:rPr>
          <w:rFonts w:hint="eastAsia" w:ascii="宋体" w:hAnsi="宋体" w:eastAsia="宋体" w:cs="宋体"/>
          <w:sz w:val="24"/>
        </w:rPr>
      </w:pPr>
      <w:r>
        <w:rPr>
          <w:rFonts w:hint="eastAsia" w:ascii="宋体" w:hAnsi="宋体" w:eastAsia="宋体" w:cs="宋体"/>
          <w:sz w:val="24"/>
        </w:rPr>
        <w:t>1、单个审核项目的审核费用：</w:t>
      </w:r>
    </w:p>
    <w:p w14:paraId="45CE8108">
      <w:pPr>
        <w:spacing w:line="360" w:lineRule="auto"/>
        <w:ind w:firstLine="480" w:firstLineChars="200"/>
        <w:rPr>
          <w:rFonts w:hint="eastAsia" w:ascii="宋体" w:hAnsi="宋体" w:eastAsia="宋体" w:cs="宋体"/>
          <w:sz w:val="24"/>
        </w:rPr>
      </w:pPr>
      <w:r>
        <w:rPr>
          <w:rFonts w:hint="eastAsia" w:ascii="宋体" w:hAnsi="宋体" w:eastAsia="宋体" w:cs="宋体"/>
          <w:sz w:val="24"/>
        </w:rPr>
        <w:t>（1）单个结算审核项目的审核费用=（基本费+追加费）×中标折扣。单只基本费不足2000元按2000元计算，再乘以中标折扣。</w:t>
      </w:r>
    </w:p>
    <w:p w14:paraId="1E38ED1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（2</w:t>
      </w:r>
      <w:r>
        <w:rPr>
          <w:rFonts w:hint="eastAsia" w:ascii="宋体" w:hAnsi="宋体" w:eastAsia="宋体" w:cs="宋体"/>
          <w:sz w:val="24"/>
          <w:highlight w:val="none"/>
        </w:rPr>
        <w:t>）单个概算审核项目的审核费用=基本费×中标折扣。</w:t>
      </w:r>
    </w:p>
    <w:p w14:paraId="08ED703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2、单个审核项目的基本费：</w:t>
      </w:r>
    </w:p>
    <w:p w14:paraId="17F7B3E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（1）单个结算审核项目的基本费见下表：</w:t>
      </w:r>
    </w:p>
    <w:tbl>
      <w:tblPr>
        <w:tblStyle w:val="22"/>
        <w:tblW w:w="8363" w:type="dxa"/>
        <w:jc w:val="center"/>
        <w:tblLayout w:type="fixed"/>
        <w:tblCellMar>
          <w:top w:w="0" w:type="dxa"/>
          <w:left w:w="108" w:type="dxa"/>
          <w:bottom w:w="0" w:type="dxa"/>
          <w:right w:w="108" w:type="dxa"/>
        </w:tblCellMar>
      </w:tblPr>
      <w:tblGrid>
        <w:gridCol w:w="1255"/>
        <w:gridCol w:w="1125"/>
        <w:gridCol w:w="2796"/>
        <w:gridCol w:w="3187"/>
      </w:tblGrid>
      <w:tr w14:paraId="242DD2DA">
        <w:tblPrEx>
          <w:tblCellMar>
            <w:top w:w="0" w:type="dxa"/>
            <w:left w:w="108" w:type="dxa"/>
            <w:bottom w:w="0" w:type="dxa"/>
            <w:right w:w="108" w:type="dxa"/>
          </w:tblCellMar>
        </w:tblPrEx>
        <w:trPr>
          <w:trHeight w:val="515" w:hRule="atLeast"/>
          <w:jc w:val="center"/>
        </w:trPr>
        <w:tc>
          <w:tcPr>
            <w:tcW w:w="1255" w:type="dxa"/>
            <w:vMerge w:val="restart"/>
            <w:tcBorders>
              <w:top w:val="inset" w:color="auto" w:sz="6" w:space="0"/>
              <w:left w:val="inset" w:color="auto" w:sz="6" w:space="0"/>
              <w:bottom w:val="inset" w:color="auto" w:sz="6" w:space="0"/>
              <w:right w:val="inset" w:color="auto" w:sz="6" w:space="0"/>
            </w:tcBorders>
            <w:vAlign w:val="center"/>
          </w:tcPr>
          <w:p w14:paraId="14BE1D7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咨询项目</w:t>
            </w:r>
          </w:p>
        </w:tc>
        <w:tc>
          <w:tcPr>
            <w:tcW w:w="1125" w:type="dxa"/>
            <w:vMerge w:val="restart"/>
            <w:tcBorders>
              <w:top w:val="inset" w:color="auto" w:sz="6" w:space="0"/>
              <w:left w:val="inset" w:color="auto" w:sz="6" w:space="0"/>
              <w:bottom w:val="inset" w:color="auto" w:sz="6" w:space="0"/>
              <w:right w:val="inset" w:color="auto" w:sz="6" w:space="0"/>
            </w:tcBorders>
            <w:vAlign w:val="center"/>
          </w:tcPr>
          <w:p w14:paraId="5C7CD83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收费基数</w:t>
            </w:r>
          </w:p>
        </w:tc>
        <w:tc>
          <w:tcPr>
            <w:tcW w:w="5983" w:type="dxa"/>
            <w:gridSpan w:val="2"/>
            <w:tcBorders>
              <w:top w:val="inset" w:color="auto" w:sz="6" w:space="0"/>
              <w:left w:val="inset" w:color="auto" w:sz="6" w:space="0"/>
              <w:bottom w:val="inset" w:color="auto" w:sz="6" w:space="0"/>
              <w:right w:val="inset" w:color="auto" w:sz="6" w:space="0"/>
            </w:tcBorders>
            <w:vAlign w:val="center"/>
          </w:tcPr>
          <w:p w14:paraId="3C80619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分档累进计费标准（标准费率 ‰）</w:t>
            </w:r>
          </w:p>
        </w:tc>
      </w:tr>
      <w:tr w14:paraId="7C32643B">
        <w:tblPrEx>
          <w:tblCellMar>
            <w:top w:w="0" w:type="dxa"/>
            <w:left w:w="108" w:type="dxa"/>
            <w:bottom w:w="0" w:type="dxa"/>
            <w:right w:w="108" w:type="dxa"/>
          </w:tblCellMar>
        </w:tblPrEx>
        <w:trPr>
          <w:jc w:val="center"/>
        </w:trPr>
        <w:tc>
          <w:tcPr>
            <w:tcW w:w="1255" w:type="dxa"/>
            <w:vMerge w:val="continue"/>
            <w:tcBorders>
              <w:top w:val="inset" w:color="auto" w:sz="6" w:space="0"/>
              <w:left w:val="inset" w:color="auto" w:sz="6" w:space="0"/>
              <w:bottom w:val="inset" w:color="auto" w:sz="6" w:space="0"/>
              <w:right w:val="inset" w:color="auto" w:sz="6" w:space="0"/>
            </w:tcBorders>
            <w:vAlign w:val="center"/>
          </w:tcPr>
          <w:p w14:paraId="0CFEB09E">
            <w:pPr>
              <w:spacing w:line="360" w:lineRule="auto"/>
              <w:rPr>
                <w:rFonts w:hint="eastAsia" w:ascii="宋体" w:hAnsi="宋体" w:eastAsia="宋体" w:cs="宋体"/>
                <w:sz w:val="24"/>
                <w:highlight w:val="none"/>
              </w:rPr>
            </w:pPr>
          </w:p>
        </w:tc>
        <w:tc>
          <w:tcPr>
            <w:tcW w:w="1125" w:type="dxa"/>
            <w:vMerge w:val="continue"/>
            <w:tcBorders>
              <w:top w:val="inset" w:color="auto" w:sz="6" w:space="0"/>
              <w:left w:val="inset" w:color="auto" w:sz="6" w:space="0"/>
              <w:bottom w:val="inset" w:color="auto" w:sz="6" w:space="0"/>
              <w:right w:val="inset" w:color="auto" w:sz="6" w:space="0"/>
            </w:tcBorders>
            <w:vAlign w:val="center"/>
          </w:tcPr>
          <w:p w14:paraId="21CA5273">
            <w:pPr>
              <w:spacing w:line="360" w:lineRule="auto"/>
              <w:rPr>
                <w:rFonts w:hint="eastAsia" w:ascii="宋体" w:hAnsi="宋体" w:eastAsia="宋体" w:cs="宋体"/>
                <w:sz w:val="24"/>
                <w:highlight w:val="none"/>
              </w:rPr>
            </w:pPr>
          </w:p>
        </w:tc>
        <w:tc>
          <w:tcPr>
            <w:tcW w:w="2796" w:type="dxa"/>
            <w:tcBorders>
              <w:top w:val="inset" w:color="auto" w:sz="6" w:space="0"/>
              <w:left w:val="inset" w:color="auto" w:sz="6" w:space="0"/>
              <w:bottom w:val="inset" w:color="auto" w:sz="6" w:space="0"/>
              <w:right w:val="inset" w:color="auto" w:sz="6" w:space="0"/>
            </w:tcBorders>
            <w:vAlign w:val="center"/>
          </w:tcPr>
          <w:p w14:paraId="69C9D05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100万元以内</w:t>
            </w:r>
          </w:p>
        </w:tc>
        <w:tc>
          <w:tcPr>
            <w:tcW w:w="3187" w:type="dxa"/>
            <w:tcBorders>
              <w:top w:val="inset" w:color="auto" w:sz="6" w:space="0"/>
              <w:left w:val="inset" w:color="auto" w:sz="6" w:space="0"/>
              <w:bottom w:val="inset" w:color="auto" w:sz="6" w:space="0"/>
              <w:right w:val="inset" w:color="auto" w:sz="6" w:space="0"/>
            </w:tcBorders>
            <w:vAlign w:val="center"/>
          </w:tcPr>
          <w:p w14:paraId="7E4A1C7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100-500万元</w:t>
            </w:r>
          </w:p>
        </w:tc>
      </w:tr>
      <w:tr w14:paraId="29F0B9A1">
        <w:tblPrEx>
          <w:tblCellMar>
            <w:top w:w="0" w:type="dxa"/>
            <w:left w:w="108" w:type="dxa"/>
            <w:bottom w:w="0" w:type="dxa"/>
            <w:right w:w="108" w:type="dxa"/>
          </w:tblCellMar>
        </w:tblPrEx>
        <w:trPr>
          <w:jc w:val="center"/>
        </w:trPr>
        <w:tc>
          <w:tcPr>
            <w:tcW w:w="1255" w:type="dxa"/>
            <w:tcBorders>
              <w:top w:val="inset" w:color="auto" w:sz="6" w:space="0"/>
              <w:left w:val="inset" w:color="auto" w:sz="6" w:space="0"/>
              <w:bottom w:val="inset" w:color="auto" w:sz="6" w:space="0"/>
              <w:right w:val="inset" w:color="auto" w:sz="6" w:space="0"/>
            </w:tcBorders>
            <w:vAlign w:val="center"/>
          </w:tcPr>
          <w:p w14:paraId="343C2066">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工程结算审核</w:t>
            </w:r>
          </w:p>
        </w:tc>
        <w:tc>
          <w:tcPr>
            <w:tcW w:w="1125" w:type="dxa"/>
            <w:tcBorders>
              <w:top w:val="inset" w:color="auto" w:sz="6" w:space="0"/>
              <w:left w:val="inset" w:color="auto" w:sz="6" w:space="0"/>
              <w:bottom w:val="inset" w:color="auto" w:sz="6" w:space="0"/>
              <w:right w:val="inset" w:color="auto" w:sz="6" w:space="0"/>
            </w:tcBorders>
            <w:vAlign w:val="center"/>
          </w:tcPr>
          <w:p w14:paraId="01B3B15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建安工程造价</w:t>
            </w:r>
          </w:p>
        </w:tc>
        <w:tc>
          <w:tcPr>
            <w:tcW w:w="2796" w:type="dxa"/>
            <w:tcBorders>
              <w:top w:val="inset" w:color="auto" w:sz="6" w:space="0"/>
              <w:left w:val="inset" w:color="auto" w:sz="6" w:space="0"/>
              <w:bottom w:val="inset" w:color="auto" w:sz="6" w:space="0"/>
              <w:right w:val="inset" w:color="auto" w:sz="6" w:space="0"/>
            </w:tcBorders>
            <w:vAlign w:val="center"/>
          </w:tcPr>
          <w:p w14:paraId="65A7FB2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2.8</w:t>
            </w:r>
          </w:p>
        </w:tc>
        <w:tc>
          <w:tcPr>
            <w:tcW w:w="3187" w:type="dxa"/>
            <w:tcBorders>
              <w:top w:val="inset" w:color="auto" w:sz="6" w:space="0"/>
              <w:left w:val="inset" w:color="auto" w:sz="6" w:space="0"/>
              <w:bottom w:val="inset" w:color="auto" w:sz="6" w:space="0"/>
              <w:right w:val="inset" w:color="auto" w:sz="6" w:space="0"/>
            </w:tcBorders>
            <w:vAlign w:val="center"/>
          </w:tcPr>
          <w:p w14:paraId="7859D94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2.5</w:t>
            </w:r>
          </w:p>
        </w:tc>
      </w:tr>
    </w:tbl>
    <w:p w14:paraId="130E2AAF">
      <w:pPr>
        <w:spacing w:line="360" w:lineRule="auto"/>
        <w:ind w:firstLine="410" w:firstLineChars="171"/>
        <w:rPr>
          <w:rFonts w:hint="eastAsia" w:ascii="宋体" w:hAnsi="宋体" w:eastAsia="宋体" w:cs="宋体"/>
          <w:sz w:val="24"/>
          <w:highlight w:val="none"/>
        </w:rPr>
      </w:pPr>
      <w:r>
        <w:rPr>
          <w:rFonts w:hint="eastAsia" w:ascii="宋体" w:hAnsi="宋体" w:eastAsia="宋体" w:cs="宋体"/>
          <w:sz w:val="24"/>
          <w:highlight w:val="none"/>
        </w:rPr>
        <w:t>（2）单个概算审核项目的基本费见下表：</w:t>
      </w:r>
    </w:p>
    <w:tbl>
      <w:tblPr>
        <w:tblStyle w:val="22"/>
        <w:tblW w:w="8363" w:type="dxa"/>
        <w:jc w:val="center"/>
        <w:tblLayout w:type="fixed"/>
        <w:tblCellMar>
          <w:top w:w="0" w:type="dxa"/>
          <w:left w:w="108" w:type="dxa"/>
          <w:bottom w:w="0" w:type="dxa"/>
          <w:right w:w="108" w:type="dxa"/>
        </w:tblCellMar>
      </w:tblPr>
      <w:tblGrid>
        <w:gridCol w:w="1255"/>
        <w:gridCol w:w="1125"/>
        <w:gridCol w:w="2796"/>
        <w:gridCol w:w="3187"/>
      </w:tblGrid>
      <w:tr w14:paraId="3D7F9566">
        <w:tblPrEx>
          <w:tblCellMar>
            <w:top w:w="0" w:type="dxa"/>
            <w:left w:w="108" w:type="dxa"/>
            <w:bottom w:w="0" w:type="dxa"/>
            <w:right w:w="108" w:type="dxa"/>
          </w:tblCellMar>
        </w:tblPrEx>
        <w:trPr>
          <w:trHeight w:val="515" w:hRule="atLeast"/>
          <w:jc w:val="center"/>
        </w:trPr>
        <w:tc>
          <w:tcPr>
            <w:tcW w:w="1255" w:type="dxa"/>
            <w:vMerge w:val="restart"/>
            <w:tcBorders>
              <w:top w:val="inset" w:color="auto" w:sz="6" w:space="0"/>
              <w:left w:val="inset" w:color="auto" w:sz="6" w:space="0"/>
              <w:bottom w:val="inset" w:color="auto" w:sz="6" w:space="0"/>
              <w:right w:val="inset" w:color="auto" w:sz="6" w:space="0"/>
            </w:tcBorders>
            <w:vAlign w:val="center"/>
          </w:tcPr>
          <w:p w14:paraId="2188433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咨询项目</w:t>
            </w:r>
          </w:p>
        </w:tc>
        <w:tc>
          <w:tcPr>
            <w:tcW w:w="1125" w:type="dxa"/>
            <w:vMerge w:val="restart"/>
            <w:tcBorders>
              <w:top w:val="inset" w:color="auto" w:sz="6" w:space="0"/>
              <w:left w:val="inset" w:color="auto" w:sz="6" w:space="0"/>
              <w:bottom w:val="inset" w:color="auto" w:sz="6" w:space="0"/>
              <w:right w:val="inset" w:color="auto" w:sz="6" w:space="0"/>
            </w:tcBorders>
            <w:vAlign w:val="center"/>
          </w:tcPr>
          <w:p w14:paraId="0387149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收费基数</w:t>
            </w:r>
          </w:p>
        </w:tc>
        <w:tc>
          <w:tcPr>
            <w:tcW w:w="5983" w:type="dxa"/>
            <w:gridSpan w:val="2"/>
            <w:tcBorders>
              <w:top w:val="inset" w:color="auto" w:sz="6" w:space="0"/>
              <w:left w:val="inset" w:color="auto" w:sz="6" w:space="0"/>
              <w:bottom w:val="inset" w:color="auto" w:sz="6" w:space="0"/>
              <w:right w:val="inset" w:color="auto" w:sz="6" w:space="0"/>
            </w:tcBorders>
            <w:vAlign w:val="center"/>
          </w:tcPr>
          <w:p w14:paraId="702E5BA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分档累进计费标准（标准费率 ‰）</w:t>
            </w:r>
          </w:p>
        </w:tc>
      </w:tr>
      <w:tr w14:paraId="7B26A295">
        <w:tblPrEx>
          <w:tblCellMar>
            <w:top w:w="0" w:type="dxa"/>
            <w:left w:w="108" w:type="dxa"/>
            <w:bottom w:w="0" w:type="dxa"/>
            <w:right w:w="108" w:type="dxa"/>
          </w:tblCellMar>
        </w:tblPrEx>
        <w:trPr>
          <w:jc w:val="center"/>
        </w:trPr>
        <w:tc>
          <w:tcPr>
            <w:tcW w:w="1255" w:type="dxa"/>
            <w:vMerge w:val="continue"/>
            <w:tcBorders>
              <w:top w:val="inset" w:color="auto" w:sz="6" w:space="0"/>
              <w:left w:val="inset" w:color="auto" w:sz="6" w:space="0"/>
              <w:bottom w:val="inset" w:color="auto" w:sz="6" w:space="0"/>
              <w:right w:val="inset" w:color="auto" w:sz="6" w:space="0"/>
            </w:tcBorders>
            <w:vAlign w:val="center"/>
          </w:tcPr>
          <w:p w14:paraId="629341A5">
            <w:pPr>
              <w:spacing w:line="360" w:lineRule="auto"/>
              <w:rPr>
                <w:rFonts w:hint="eastAsia" w:ascii="宋体" w:hAnsi="宋体" w:eastAsia="宋体" w:cs="宋体"/>
                <w:sz w:val="24"/>
                <w:highlight w:val="none"/>
              </w:rPr>
            </w:pPr>
          </w:p>
        </w:tc>
        <w:tc>
          <w:tcPr>
            <w:tcW w:w="1125" w:type="dxa"/>
            <w:vMerge w:val="continue"/>
            <w:tcBorders>
              <w:top w:val="inset" w:color="auto" w:sz="6" w:space="0"/>
              <w:left w:val="inset" w:color="auto" w:sz="6" w:space="0"/>
              <w:bottom w:val="inset" w:color="auto" w:sz="6" w:space="0"/>
              <w:right w:val="inset" w:color="auto" w:sz="6" w:space="0"/>
            </w:tcBorders>
            <w:vAlign w:val="center"/>
          </w:tcPr>
          <w:p w14:paraId="464A3DBE">
            <w:pPr>
              <w:spacing w:line="360" w:lineRule="auto"/>
              <w:rPr>
                <w:rFonts w:hint="eastAsia" w:ascii="宋体" w:hAnsi="宋体" w:eastAsia="宋体" w:cs="宋体"/>
                <w:sz w:val="24"/>
                <w:highlight w:val="none"/>
              </w:rPr>
            </w:pPr>
          </w:p>
        </w:tc>
        <w:tc>
          <w:tcPr>
            <w:tcW w:w="2796" w:type="dxa"/>
            <w:tcBorders>
              <w:top w:val="inset" w:color="auto" w:sz="6" w:space="0"/>
              <w:left w:val="inset" w:color="auto" w:sz="6" w:space="0"/>
              <w:bottom w:val="inset" w:color="auto" w:sz="6" w:space="0"/>
              <w:right w:val="inset" w:color="auto" w:sz="6" w:space="0"/>
            </w:tcBorders>
            <w:vAlign w:val="center"/>
          </w:tcPr>
          <w:p w14:paraId="292F83F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100万元以内</w:t>
            </w:r>
          </w:p>
        </w:tc>
        <w:tc>
          <w:tcPr>
            <w:tcW w:w="3187" w:type="dxa"/>
            <w:tcBorders>
              <w:top w:val="inset" w:color="auto" w:sz="6" w:space="0"/>
              <w:left w:val="inset" w:color="auto" w:sz="6" w:space="0"/>
              <w:bottom w:val="inset" w:color="auto" w:sz="6" w:space="0"/>
              <w:right w:val="inset" w:color="auto" w:sz="6" w:space="0"/>
            </w:tcBorders>
            <w:vAlign w:val="center"/>
          </w:tcPr>
          <w:p w14:paraId="1EE610F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100-500万元</w:t>
            </w:r>
          </w:p>
        </w:tc>
      </w:tr>
      <w:tr w14:paraId="602B7D3A">
        <w:tblPrEx>
          <w:tblCellMar>
            <w:top w:w="0" w:type="dxa"/>
            <w:left w:w="108" w:type="dxa"/>
            <w:bottom w:w="0" w:type="dxa"/>
            <w:right w:w="108" w:type="dxa"/>
          </w:tblCellMar>
        </w:tblPrEx>
        <w:trPr>
          <w:jc w:val="center"/>
        </w:trPr>
        <w:tc>
          <w:tcPr>
            <w:tcW w:w="1255" w:type="dxa"/>
            <w:tcBorders>
              <w:top w:val="inset" w:color="auto" w:sz="6" w:space="0"/>
              <w:left w:val="inset" w:color="auto" w:sz="6" w:space="0"/>
              <w:bottom w:val="inset" w:color="auto" w:sz="6" w:space="0"/>
              <w:right w:val="inset" w:color="auto" w:sz="6" w:space="0"/>
            </w:tcBorders>
            <w:vAlign w:val="center"/>
          </w:tcPr>
          <w:p w14:paraId="143824D1">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设计概算编制或审核</w:t>
            </w:r>
          </w:p>
        </w:tc>
        <w:tc>
          <w:tcPr>
            <w:tcW w:w="1125" w:type="dxa"/>
            <w:tcBorders>
              <w:top w:val="inset" w:color="auto" w:sz="6" w:space="0"/>
              <w:left w:val="inset" w:color="auto" w:sz="6" w:space="0"/>
              <w:bottom w:val="inset" w:color="auto" w:sz="6" w:space="0"/>
              <w:right w:val="inset" w:color="auto" w:sz="6" w:space="0"/>
            </w:tcBorders>
            <w:vAlign w:val="center"/>
          </w:tcPr>
          <w:p w14:paraId="48E934F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概算价</w:t>
            </w:r>
          </w:p>
        </w:tc>
        <w:tc>
          <w:tcPr>
            <w:tcW w:w="2796" w:type="dxa"/>
            <w:tcBorders>
              <w:top w:val="inset" w:color="auto" w:sz="6" w:space="0"/>
              <w:left w:val="inset" w:color="auto" w:sz="6" w:space="0"/>
              <w:bottom w:val="inset" w:color="auto" w:sz="6" w:space="0"/>
              <w:right w:val="inset" w:color="auto" w:sz="6" w:space="0"/>
            </w:tcBorders>
            <w:vAlign w:val="center"/>
          </w:tcPr>
          <w:p w14:paraId="35A2268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1.7</w:t>
            </w:r>
          </w:p>
        </w:tc>
        <w:tc>
          <w:tcPr>
            <w:tcW w:w="3187" w:type="dxa"/>
            <w:tcBorders>
              <w:top w:val="inset" w:color="auto" w:sz="6" w:space="0"/>
              <w:left w:val="inset" w:color="auto" w:sz="6" w:space="0"/>
              <w:bottom w:val="inset" w:color="auto" w:sz="6" w:space="0"/>
              <w:right w:val="inset" w:color="auto" w:sz="6" w:space="0"/>
            </w:tcBorders>
            <w:vAlign w:val="center"/>
          </w:tcPr>
          <w:p w14:paraId="28ABC18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1.5</w:t>
            </w:r>
          </w:p>
        </w:tc>
      </w:tr>
    </w:tbl>
    <w:p w14:paraId="7F701493">
      <w:pPr>
        <w:spacing w:line="360" w:lineRule="auto"/>
        <w:ind w:firstLine="410" w:firstLineChars="171"/>
        <w:rPr>
          <w:rFonts w:hint="eastAsia" w:ascii="宋体" w:hAnsi="宋体" w:eastAsia="宋体" w:cs="宋体"/>
          <w:sz w:val="24"/>
        </w:rPr>
      </w:pPr>
      <w:r>
        <w:rPr>
          <w:rFonts w:hint="eastAsia" w:ascii="宋体" w:hAnsi="宋体" w:eastAsia="宋体" w:cs="宋体"/>
          <w:sz w:val="24"/>
        </w:rPr>
        <w:t>3、特别注明：</w:t>
      </w:r>
    </w:p>
    <w:p w14:paraId="09D24AEF">
      <w:pPr>
        <w:spacing w:line="360" w:lineRule="auto"/>
        <w:ind w:firstLine="410" w:firstLineChars="171"/>
        <w:rPr>
          <w:rFonts w:hint="eastAsia" w:ascii="宋体" w:hAnsi="宋体" w:eastAsia="宋体" w:cs="宋体"/>
          <w:sz w:val="24"/>
        </w:rPr>
      </w:pPr>
      <w:r>
        <w:rPr>
          <w:rFonts w:hint="eastAsia" w:ascii="宋体" w:hAnsi="宋体" w:eastAsia="宋体" w:cs="宋体"/>
          <w:sz w:val="24"/>
        </w:rPr>
        <w:t>（1）结算审核：</w:t>
      </w:r>
    </w:p>
    <w:p w14:paraId="63916C4B">
      <w:pPr>
        <w:spacing w:line="360" w:lineRule="auto"/>
        <w:ind w:firstLine="480" w:firstLineChars="200"/>
        <w:rPr>
          <w:rFonts w:hint="eastAsia" w:ascii="宋体" w:hAnsi="宋体" w:eastAsia="宋体" w:cs="宋体"/>
          <w:sz w:val="24"/>
        </w:rPr>
      </w:pPr>
      <w:r>
        <w:rPr>
          <w:rFonts w:hint="eastAsia" w:ascii="宋体" w:hAnsi="宋体" w:eastAsia="宋体" w:cs="宋体"/>
          <w:sz w:val="24"/>
        </w:rPr>
        <w:t>①单个结算审核的追加费用按超过5%以外的核减额、核增额的5%计算，该费用按中标人的中标折扣同比下浮。</w:t>
      </w:r>
    </w:p>
    <w:p w14:paraId="5CF45F4C">
      <w:pPr>
        <w:spacing w:line="360" w:lineRule="auto"/>
        <w:ind w:firstLine="480" w:firstLineChars="200"/>
        <w:rPr>
          <w:rFonts w:hint="eastAsia" w:ascii="宋体" w:hAnsi="宋体" w:eastAsia="宋体" w:cs="宋体"/>
          <w:sz w:val="24"/>
        </w:rPr>
      </w:pPr>
      <w:r>
        <w:rPr>
          <w:rFonts w:hint="eastAsia" w:ascii="宋体" w:hAnsi="宋体" w:eastAsia="宋体" w:cs="宋体"/>
          <w:sz w:val="24"/>
        </w:rPr>
        <w:t>②基准收费标准中说明第2条单独委托的装饰、安装、园林绿化及仿古建筑工程的基本费率可在上述基本收费标准的基础上上浮20%；第5条审核工作内容按已综合考虑钢筋和预埋件计算，不另收费。</w:t>
      </w:r>
    </w:p>
    <w:p w14:paraId="25F8CF96">
      <w:pPr>
        <w:spacing w:line="360" w:lineRule="auto"/>
        <w:ind w:firstLine="480" w:firstLineChars="200"/>
        <w:rPr>
          <w:rFonts w:hint="eastAsia" w:ascii="宋体" w:hAnsi="宋体" w:eastAsia="宋体" w:cs="宋体"/>
          <w:sz w:val="24"/>
        </w:rPr>
      </w:pPr>
      <w:r>
        <w:rPr>
          <w:rFonts w:hint="eastAsia" w:ascii="宋体" w:hAnsi="宋体" w:eastAsia="宋体" w:cs="宋体"/>
          <w:sz w:val="24"/>
        </w:rPr>
        <w:t>③基本费收费基数根据结算送审金额确定。</w:t>
      </w:r>
    </w:p>
    <w:p w14:paraId="55407353">
      <w:pPr>
        <w:spacing w:line="360" w:lineRule="auto"/>
        <w:ind w:firstLine="480" w:firstLineChars="200"/>
        <w:rPr>
          <w:rFonts w:hint="eastAsia" w:ascii="宋体" w:hAnsi="宋体" w:eastAsia="宋体" w:cs="宋体"/>
          <w:sz w:val="24"/>
        </w:rPr>
      </w:pPr>
      <w:r>
        <w:rPr>
          <w:rFonts w:hint="eastAsia" w:ascii="宋体" w:hAnsi="宋体" w:eastAsia="宋体" w:cs="宋体"/>
          <w:sz w:val="24"/>
        </w:rPr>
        <w:t>④例：中标人的折扣报价为45.00%（即中标折扣），送审金额200万元，核减金额20万元的装饰工程。按收费标准计算审核服务费用为（（100万元*2.8‰+100万元*2.5‰）*1.2+</w:t>
      </w:r>
      <w:r>
        <w:rPr>
          <w:rFonts w:hint="eastAsia" w:ascii="宋体" w:hAnsi="宋体" w:eastAsia="宋体" w:cs="宋体"/>
          <w:b/>
          <w:sz w:val="24"/>
        </w:rPr>
        <w:t>（20万元-200万元*5%）</w:t>
      </w:r>
      <w:r>
        <w:rPr>
          <w:rFonts w:hint="eastAsia" w:ascii="宋体" w:hAnsi="宋体" w:eastAsia="宋体" w:cs="宋体"/>
          <w:sz w:val="24"/>
        </w:rPr>
        <w:t>*5%）*45.00%=5112元。</w:t>
      </w:r>
    </w:p>
    <w:p w14:paraId="24951C1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（2）概算审核：</w:t>
      </w:r>
    </w:p>
    <w:p w14:paraId="07631ECF">
      <w:pPr>
        <w:spacing w:line="360" w:lineRule="auto"/>
        <w:ind w:firstLine="480" w:firstLineChars="200"/>
        <w:rPr>
          <w:rFonts w:hint="eastAsia" w:ascii="宋体" w:hAnsi="宋体" w:eastAsia="宋体" w:cs="宋体"/>
          <w:sz w:val="24"/>
        </w:rPr>
      </w:pPr>
      <w:r>
        <w:rPr>
          <w:rFonts w:hint="eastAsia" w:ascii="宋体" w:hAnsi="宋体" w:eastAsia="宋体" w:cs="宋体"/>
          <w:sz w:val="24"/>
        </w:rPr>
        <w:t>①基准收费标准中说明第2条单独委托的装饰、安装、园林绿化及仿古建筑工程的基本费率按专业系数不上浮执行；第5条审核工作内容按已综合考虑钢筋和预埋件计算，不另收费。</w:t>
      </w:r>
    </w:p>
    <w:p w14:paraId="00A1A220">
      <w:pPr>
        <w:spacing w:line="360" w:lineRule="auto"/>
        <w:ind w:firstLine="480" w:firstLineChars="200"/>
        <w:rPr>
          <w:rFonts w:hint="eastAsia" w:ascii="宋体" w:hAnsi="宋体" w:eastAsia="宋体" w:cs="宋体"/>
          <w:sz w:val="24"/>
        </w:rPr>
      </w:pPr>
      <w:r>
        <w:rPr>
          <w:rFonts w:hint="eastAsia" w:ascii="宋体" w:hAnsi="宋体" w:eastAsia="宋体" w:cs="宋体"/>
          <w:sz w:val="24"/>
        </w:rPr>
        <w:t>②收费基数根据概算送审金额确定。</w:t>
      </w:r>
    </w:p>
    <w:p w14:paraId="53D55E92">
      <w:pPr>
        <w:spacing w:line="360" w:lineRule="auto"/>
        <w:ind w:firstLine="480" w:firstLineChars="200"/>
        <w:rPr>
          <w:rFonts w:hint="eastAsia" w:ascii="宋体" w:hAnsi="宋体" w:eastAsia="宋体" w:cs="宋体"/>
          <w:sz w:val="24"/>
        </w:rPr>
      </w:pPr>
      <w:r>
        <w:rPr>
          <w:rFonts w:hint="eastAsia" w:ascii="宋体" w:hAnsi="宋体" w:eastAsia="宋体" w:cs="宋体"/>
          <w:sz w:val="24"/>
        </w:rPr>
        <w:t>③例：中标人的折扣报价为45.00%（即中标折扣），送审金额400万元的工程。按收费标准计算审核服务费用为（100万元*1.7‰+300万元*1.5‰）*45.00%=2790元。</w:t>
      </w:r>
    </w:p>
    <w:p w14:paraId="3B99E2AE">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（三）履约保证金、付款方式</w:t>
      </w:r>
    </w:p>
    <w:p w14:paraId="1999F1C6">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1、履约保证金：不收取履约保证金。</w:t>
      </w:r>
    </w:p>
    <w:p w14:paraId="41DCF420">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2、付款方式：</w:t>
      </w:r>
    </w:p>
    <w:p w14:paraId="548E3622">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1）合同签订之日起7个工作日内，采购人向中标单位支付采购预算金额的20%作为预付款；（在签订合同时，中标人明确表示无需预付款或者主动要求降低预付款比例的，采购人可不适用前述规定；支付预付款的，中标人应当向采购人提交发票以及银行、保险公司等金融机构出具的预付款保函。）</w:t>
      </w:r>
    </w:p>
    <w:p w14:paraId="6EBF8D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一年两次支付按项目结算的审核费用，每年年中、年末支付。由中标单位出具正规发票及费用结算清单，采购人审核无异议后，一次性付清。</w:t>
      </w:r>
    </w:p>
    <w:p w14:paraId="459B5E84">
      <w:pPr>
        <w:spacing w:line="360" w:lineRule="auto"/>
        <w:rPr>
          <w:rFonts w:hint="eastAsia" w:ascii="宋体" w:hAnsi="宋体" w:eastAsia="宋体" w:cs="宋体"/>
          <w:sz w:val="28"/>
          <w:szCs w:val="28"/>
        </w:rPr>
      </w:pPr>
      <w:r>
        <w:rPr>
          <w:rFonts w:hint="eastAsia" w:ascii="宋体" w:hAnsi="宋体" w:eastAsia="宋体" w:cs="宋体"/>
          <w:b/>
          <w:bCs/>
          <w:sz w:val="24"/>
          <w:szCs w:val="24"/>
        </w:rPr>
        <w:t>六、最高限价</w:t>
      </w:r>
    </w:p>
    <w:p w14:paraId="7485CEAF">
      <w:pPr>
        <w:spacing w:line="360" w:lineRule="auto"/>
        <w:ind w:firstLine="480" w:firstLineChars="200"/>
        <w:rPr>
          <w:rFonts w:hint="eastAsia" w:ascii="宋体" w:hAnsi="宋体" w:eastAsia="宋体" w:cs="宋体"/>
          <w:b/>
          <w:bCs/>
          <w:sz w:val="24"/>
          <w:szCs w:val="24"/>
          <w:u w:val="single"/>
        </w:rPr>
      </w:pPr>
      <w:r>
        <w:rPr>
          <w:rFonts w:hint="eastAsia" w:ascii="宋体" w:hAnsi="宋体" w:eastAsia="宋体" w:cs="宋体"/>
          <w:bCs/>
          <w:sz w:val="24"/>
          <w:szCs w:val="24"/>
        </w:rPr>
        <w:t>本标项采用折扣报价，</w:t>
      </w:r>
      <w:r>
        <w:rPr>
          <w:rFonts w:hint="eastAsia" w:ascii="宋体" w:hAnsi="宋体" w:eastAsia="宋体" w:cs="宋体"/>
          <w:sz w:val="24"/>
          <w:szCs w:val="24"/>
        </w:rPr>
        <w:t>折扣以百分比（%）进行表述（</w:t>
      </w:r>
      <w:r>
        <w:rPr>
          <w:rFonts w:hint="eastAsia" w:ascii="宋体" w:hAnsi="宋体" w:eastAsia="宋体" w:cs="宋体"/>
          <w:bCs/>
          <w:sz w:val="24"/>
          <w:szCs w:val="24"/>
        </w:rPr>
        <w:t>如折扣报价六折，则填写为60%（百分之六十）</w:t>
      </w:r>
      <w:r>
        <w:rPr>
          <w:rFonts w:hint="eastAsia" w:ascii="宋体" w:hAnsi="宋体" w:eastAsia="宋体" w:cs="宋体"/>
          <w:sz w:val="24"/>
          <w:szCs w:val="24"/>
        </w:rPr>
        <w:t>），</w:t>
      </w:r>
      <w:r>
        <w:rPr>
          <w:rFonts w:hint="eastAsia" w:ascii="宋体" w:hAnsi="宋体" w:eastAsia="宋体" w:cs="宋体"/>
          <w:bCs/>
          <w:sz w:val="24"/>
          <w:szCs w:val="24"/>
        </w:rPr>
        <w:t>折扣百分比数值越小则报价越低。</w:t>
      </w:r>
      <w:r>
        <w:rPr>
          <w:rFonts w:hint="eastAsia" w:ascii="宋体" w:hAnsi="宋体" w:eastAsia="宋体" w:cs="宋体"/>
          <w:b/>
          <w:bCs/>
          <w:sz w:val="24"/>
          <w:szCs w:val="24"/>
          <w:u w:val="single"/>
        </w:rPr>
        <w:t>折扣报价上限</w:t>
      </w:r>
      <w:r>
        <w:rPr>
          <w:rFonts w:hint="eastAsia" w:ascii="宋体" w:hAnsi="宋体" w:eastAsia="宋体" w:cs="宋体"/>
          <w:b/>
          <w:sz w:val="24"/>
          <w:u w:val="single"/>
        </w:rPr>
        <w:t>为70%，</w:t>
      </w:r>
      <w:r>
        <w:rPr>
          <w:rFonts w:hint="eastAsia" w:ascii="宋体" w:hAnsi="宋体" w:eastAsia="宋体" w:cs="宋体"/>
          <w:b/>
          <w:bCs/>
          <w:sz w:val="24"/>
          <w:szCs w:val="24"/>
          <w:u w:val="single"/>
          <w:lang w:val="zh-CN"/>
        </w:rPr>
        <w:t>任何超过70%的报价将被认定为无效报价</w:t>
      </w:r>
      <w:r>
        <w:rPr>
          <w:rFonts w:hint="eastAsia" w:ascii="宋体" w:hAnsi="宋体" w:eastAsia="宋体" w:cs="宋体"/>
          <w:b/>
          <w:bCs/>
          <w:sz w:val="24"/>
          <w:szCs w:val="24"/>
          <w:lang w:val="zh-CN"/>
        </w:rPr>
        <w:t>。</w:t>
      </w:r>
    </w:p>
    <w:p w14:paraId="4C56FC85">
      <w:pPr>
        <w:spacing w:line="360" w:lineRule="auto"/>
        <w:ind w:firstLine="468" w:firstLineChars="195"/>
        <w:rPr>
          <w:rFonts w:hint="eastAsia" w:ascii="宋体" w:hAnsi="宋体" w:eastAsia="宋体" w:cs="宋体"/>
          <w:bCs/>
          <w:sz w:val="24"/>
          <w:szCs w:val="24"/>
          <w:u w:val="single"/>
        </w:rPr>
      </w:pPr>
      <w:r>
        <w:rPr>
          <w:rFonts w:hint="eastAsia" w:ascii="宋体" w:hAnsi="宋体" w:eastAsia="宋体" w:cs="宋体"/>
          <w:bCs/>
          <w:sz w:val="24"/>
          <w:szCs w:val="24"/>
          <w:u w:val="single"/>
        </w:rPr>
        <w:t>本次采购按实结算，最高合同金额不超过40万元</w:t>
      </w:r>
      <w:r>
        <w:rPr>
          <w:rFonts w:hint="eastAsia" w:ascii="宋体" w:hAnsi="宋体" w:eastAsia="宋体" w:cs="宋体"/>
          <w:bCs/>
          <w:sz w:val="24"/>
          <w:szCs w:val="24"/>
        </w:rPr>
        <w:t>。</w:t>
      </w:r>
    </w:p>
    <w:p w14:paraId="4022585A">
      <w:pPr>
        <w:numPr>
          <w:ilvl w:val="0"/>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特别说明</w:t>
      </w:r>
    </w:p>
    <w:p w14:paraId="6BA5D148">
      <w:pPr>
        <w:pStyle w:val="2"/>
        <w:ind w:firstLine="480" w:firstLineChars="200"/>
        <w:rPr>
          <w:rFonts w:hint="eastAsia"/>
          <w:highlight w:val="none"/>
        </w:rPr>
      </w:pPr>
      <w:r>
        <w:rPr>
          <w:rFonts w:hint="eastAsia" w:ascii="宋体" w:hAnsi="宋体" w:eastAsia="宋体" w:cs="宋体"/>
          <w:b/>
          <w:bCs w:val="0"/>
          <w:sz w:val="24"/>
          <w:szCs w:val="24"/>
          <w:highlight w:val="none"/>
        </w:rPr>
        <w:t>★</w:t>
      </w:r>
      <w:r>
        <w:rPr>
          <w:rFonts w:hint="eastAsia" w:ascii="宋体" w:hAnsi="宋体" w:eastAsia="宋体" w:cs="宋体"/>
          <w:b/>
          <w:bCs w:val="0"/>
          <w:color w:val="auto"/>
          <w:kern w:val="2"/>
          <w:sz w:val="24"/>
          <w:szCs w:val="24"/>
          <w:highlight w:val="none"/>
          <w:lang w:val="en-US" w:eastAsia="zh-CN" w:bidi="ar-SA"/>
        </w:rPr>
        <w:t>回避要求：2024年街道工程项目的预算审核单位及街道2024年、2025年工程项目的招标代理单位参加</w:t>
      </w:r>
      <w:r>
        <w:rPr>
          <w:rFonts w:hint="eastAsia" w:ascii="宋体" w:hAnsi="宋体" w:eastAsia="宋体" w:cs="宋体"/>
          <w:b/>
          <w:sz w:val="24"/>
          <w:szCs w:val="24"/>
          <w:highlight w:val="none"/>
        </w:rPr>
        <w:t>【</w:t>
      </w:r>
      <w:r>
        <w:rPr>
          <w:rFonts w:hint="eastAsia" w:ascii="宋体" w:hAnsi="宋体" w:eastAsia="宋体" w:cs="宋体"/>
          <w:b/>
          <w:spacing w:val="36"/>
          <w:sz w:val="24"/>
          <w:szCs w:val="24"/>
          <w:highlight w:val="none"/>
          <w:u w:val="single"/>
        </w:rPr>
        <w:t>标项2</w:t>
      </w:r>
      <w:r>
        <w:rPr>
          <w:rFonts w:hint="eastAsia" w:ascii="宋体" w:hAnsi="宋体" w:eastAsia="宋体" w:cs="宋体"/>
          <w:b/>
          <w:sz w:val="24"/>
          <w:szCs w:val="24"/>
          <w:highlight w:val="none"/>
        </w:rPr>
        <w:t>】</w:t>
      </w:r>
      <w:r>
        <w:rPr>
          <w:rFonts w:hint="eastAsia" w:ascii="宋体" w:hAnsi="宋体" w:eastAsia="宋体" w:cs="宋体"/>
          <w:b/>
          <w:bCs w:val="0"/>
          <w:color w:val="auto"/>
          <w:kern w:val="2"/>
          <w:sz w:val="24"/>
          <w:szCs w:val="24"/>
          <w:highlight w:val="none"/>
          <w:lang w:val="en-US" w:eastAsia="zh-CN" w:bidi="ar-SA"/>
        </w:rPr>
        <w:t>投标无效。</w:t>
      </w:r>
    </w:p>
    <w:p w14:paraId="2F65FBDA">
      <w:pPr>
        <w:spacing w:line="300" w:lineRule="auto"/>
        <w:ind w:firstLine="480" w:firstLineChars="200"/>
        <w:rPr>
          <w:rFonts w:hint="eastAsia" w:ascii="宋体" w:hAnsi="宋体" w:eastAsia="宋体" w:cs="宋体"/>
          <w:sz w:val="28"/>
          <w:szCs w:val="28"/>
          <w:lang w:eastAsia="zh-CN"/>
        </w:rPr>
      </w:pPr>
      <w:r>
        <w:rPr>
          <w:rFonts w:hint="eastAsia" w:ascii="宋体" w:hAnsi="宋体" w:eastAsia="宋体" w:cs="宋体"/>
          <w:b/>
          <w:sz w:val="24"/>
          <w:szCs w:val="24"/>
        </w:rPr>
        <w:t>本采购需求中标注“★”项为实质性要求条款，必须作出实质性响应，若其中有一项条款不满足（或出现“负偏离”）则投标无效</w:t>
      </w:r>
      <w:r>
        <w:rPr>
          <w:rFonts w:hint="eastAsia" w:ascii="宋体" w:hAnsi="宋体" w:eastAsia="宋体" w:cs="宋体"/>
          <w:b/>
          <w:sz w:val="24"/>
          <w:szCs w:val="24"/>
          <w:lang w:eastAsia="zh-CN"/>
        </w:rPr>
        <w:t>。</w:t>
      </w:r>
    </w:p>
    <w:sectPr>
      <w:pgSz w:w="11906" w:h="16838"/>
      <w:pgMar w:top="1134" w:right="1418" w:bottom="1021" w:left="1418" w:header="0" w:footer="283"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9EE9D">
    <w:pPr>
      <w:pStyle w:val="16"/>
      <w:jc w:val="center"/>
    </w:pPr>
  </w:p>
  <w:p w14:paraId="60E3DD17">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4535FF"/>
    <w:multiLevelType w:val="singleLevel"/>
    <w:tmpl w:val="4F4535FF"/>
    <w:lvl w:ilvl="0" w:tentative="0">
      <w:start w:val="7"/>
      <w:numFmt w:val="chineseCounting"/>
      <w:suff w:val="nothing"/>
      <w:lvlText w:val="%1、"/>
      <w:lvlJc w:val="left"/>
      <w:rPr>
        <w:rFonts w:hint="eastAsia"/>
      </w:rPr>
    </w:lvl>
  </w:abstractNum>
  <w:abstractNum w:abstractNumId="1">
    <w:nsid w:val="7E5640E3"/>
    <w:multiLevelType w:val="singleLevel"/>
    <w:tmpl w:val="7E5640E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NmViZGVjYWI5MWVlYjJhNzllZjJmZGFkNzNmMzMifQ=="/>
  </w:docVars>
  <w:rsids>
    <w:rsidRoot w:val="00F478FD"/>
    <w:rsid w:val="000006C2"/>
    <w:rsid w:val="00000D0E"/>
    <w:rsid w:val="0000163F"/>
    <w:rsid w:val="00001FAC"/>
    <w:rsid w:val="000020E9"/>
    <w:rsid w:val="00003271"/>
    <w:rsid w:val="000043E2"/>
    <w:rsid w:val="00004923"/>
    <w:rsid w:val="000055CE"/>
    <w:rsid w:val="000066B2"/>
    <w:rsid w:val="00006852"/>
    <w:rsid w:val="00006916"/>
    <w:rsid w:val="0000717E"/>
    <w:rsid w:val="00007ADD"/>
    <w:rsid w:val="0001026C"/>
    <w:rsid w:val="00011BB2"/>
    <w:rsid w:val="00011C1C"/>
    <w:rsid w:val="00012846"/>
    <w:rsid w:val="00013291"/>
    <w:rsid w:val="00013AF4"/>
    <w:rsid w:val="00013DA0"/>
    <w:rsid w:val="000140A6"/>
    <w:rsid w:val="0001433B"/>
    <w:rsid w:val="00014BBE"/>
    <w:rsid w:val="00015B52"/>
    <w:rsid w:val="00016553"/>
    <w:rsid w:val="00017A48"/>
    <w:rsid w:val="00023F1B"/>
    <w:rsid w:val="0002400F"/>
    <w:rsid w:val="00024653"/>
    <w:rsid w:val="00026E63"/>
    <w:rsid w:val="00027A4D"/>
    <w:rsid w:val="00030351"/>
    <w:rsid w:val="00030DCB"/>
    <w:rsid w:val="00031084"/>
    <w:rsid w:val="00031713"/>
    <w:rsid w:val="0003190D"/>
    <w:rsid w:val="00031950"/>
    <w:rsid w:val="00031DD5"/>
    <w:rsid w:val="00031EEC"/>
    <w:rsid w:val="00032258"/>
    <w:rsid w:val="00033078"/>
    <w:rsid w:val="00033A5C"/>
    <w:rsid w:val="00034062"/>
    <w:rsid w:val="00034CA8"/>
    <w:rsid w:val="000350EA"/>
    <w:rsid w:val="00035FCA"/>
    <w:rsid w:val="000362D4"/>
    <w:rsid w:val="00037A9C"/>
    <w:rsid w:val="000404A2"/>
    <w:rsid w:val="00040AB1"/>
    <w:rsid w:val="000410B9"/>
    <w:rsid w:val="000429A4"/>
    <w:rsid w:val="00042D71"/>
    <w:rsid w:val="000437B5"/>
    <w:rsid w:val="00044329"/>
    <w:rsid w:val="00044382"/>
    <w:rsid w:val="000446D8"/>
    <w:rsid w:val="000452E6"/>
    <w:rsid w:val="00045B87"/>
    <w:rsid w:val="00045BA6"/>
    <w:rsid w:val="00045C5B"/>
    <w:rsid w:val="00046634"/>
    <w:rsid w:val="00046650"/>
    <w:rsid w:val="00046776"/>
    <w:rsid w:val="00047AC4"/>
    <w:rsid w:val="00050316"/>
    <w:rsid w:val="00050799"/>
    <w:rsid w:val="00051767"/>
    <w:rsid w:val="00051AE2"/>
    <w:rsid w:val="000521A7"/>
    <w:rsid w:val="000523F7"/>
    <w:rsid w:val="000525CB"/>
    <w:rsid w:val="0005293F"/>
    <w:rsid w:val="0005454E"/>
    <w:rsid w:val="00054EDD"/>
    <w:rsid w:val="000568CF"/>
    <w:rsid w:val="00056B80"/>
    <w:rsid w:val="00057029"/>
    <w:rsid w:val="00057135"/>
    <w:rsid w:val="000571D5"/>
    <w:rsid w:val="00057FB9"/>
    <w:rsid w:val="00060F8D"/>
    <w:rsid w:val="0006171A"/>
    <w:rsid w:val="0006188A"/>
    <w:rsid w:val="00062841"/>
    <w:rsid w:val="00062A04"/>
    <w:rsid w:val="00063130"/>
    <w:rsid w:val="000648A0"/>
    <w:rsid w:val="00065BD0"/>
    <w:rsid w:val="00067A88"/>
    <w:rsid w:val="000705BF"/>
    <w:rsid w:val="000711AD"/>
    <w:rsid w:val="000712F2"/>
    <w:rsid w:val="000715A1"/>
    <w:rsid w:val="00071DA9"/>
    <w:rsid w:val="00071E18"/>
    <w:rsid w:val="000740F5"/>
    <w:rsid w:val="00074C36"/>
    <w:rsid w:val="000760F7"/>
    <w:rsid w:val="0007774D"/>
    <w:rsid w:val="00080291"/>
    <w:rsid w:val="000805BE"/>
    <w:rsid w:val="00080A83"/>
    <w:rsid w:val="0008172B"/>
    <w:rsid w:val="000817AC"/>
    <w:rsid w:val="00083D9F"/>
    <w:rsid w:val="00084124"/>
    <w:rsid w:val="000842B9"/>
    <w:rsid w:val="00084B74"/>
    <w:rsid w:val="00085925"/>
    <w:rsid w:val="000870D5"/>
    <w:rsid w:val="00087549"/>
    <w:rsid w:val="00087D27"/>
    <w:rsid w:val="00090297"/>
    <w:rsid w:val="00090637"/>
    <w:rsid w:val="00090AF3"/>
    <w:rsid w:val="00091652"/>
    <w:rsid w:val="0009196F"/>
    <w:rsid w:val="00092E25"/>
    <w:rsid w:val="000943B0"/>
    <w:rsid w:val="00094408"/>
    <w:rsid w:val="00094E7A"/>
    <w:rsid w:val="00095315"/>
    <w:rsid w:val="00095855"/>
    <w:rsid w:val="00095AA9"/>
    <w:rsid w:val="000968BB"/>
    <w:rsid w:val="00097165"/>
    <w:rsid w:val="000A0484"/>
    <w:rsid w:val="000A22DA"/>
    <w:rsid w:val="000A2E4E"/>
    <w:rsid w:val="000A3333"/>
    <w:rsid w:val="000A3DAE"/>
    <w:rsid w:val="000A4032"/>
    <w:rsid w:val="000A5E3D"/>
    <w:rsid w:val="000A5EC6"/>
    <w:rsid w:val="000A77AF"/>
    <w:rsid w:val="000A7EC4"/>
    <w:rsid w:val="000B1DE7"/>
    <w:rsid w:val="000B3F84"/>
    <w:rsid w:val="000B6E19"/>
    <w:rsid w:val="000B7327"/>
    <w:rsid w:val="000C0A4A"/>
    <w:rsid w:val="000C17E3"/>
    <w:rsid w:val="000C1E80"/>
    <w:rsid w:val="000C28CF"/>
    <w:rsid w:val="000C3023"/>
    <w:rsid w:val="000C384D"/>
    <w:rsid w:val="000C5990"/>
    <w:rsid w:val="000C5E5C"/>
    <w:rsid w:val="000C6CE7"/>
    <w:rsid w:val="000D000F"/>
    <w:rsid w:val="000D1471"/>
    <w:rsid w:val="000D16A7"/>
    <w:rsid w:val="000D1F31"/>
    <w:rsid w:val="000D343C"/>
    <w:rsid w:val="000D45E1"/>
    <w:rsid w:val="000D4C80"/>
    <w:rsid w:val="000D4E1D"/>
    <w:rsid w:val="000D62D7"/>
    <w:rsid w:val="000D6AFD"/>
    <w:rsid w:val="000D75BA"/>
    <w:rsid w:val="000D797D"/>
    <w:rsid w:val="000E0607"/>
    <w:rsid w:val="000E09FE"/>
    <w:rsid w:val="000E134D"/>
    <w:rsid w:val="000E2FA3"/>
    <w:rsid w:val="000E4913"/>
    <w:rsid w:val="000E6E8C"/>
    <w:rsid w:val="000E71AE"/>
    <w:rsid w:val="000F01CA"/>
    <w:rsid w:val="000F036B"/>
    <w:rsid w:val="000F0E4B"/>
    <w:rsid w:val="000F4195"/>
    <w:rsid w:val="000F52B2"/>
    <w:rsid w:val="000F5F56"/>
    <w:rsid w:val="000F6EBF"/>
    <w:rsid w:val="000F733A"/>
    <w:rsid w:val="00100703"/>
    <w:rsid w:val="00100983"/>
    <w:rsid w:val="001013E4"/>
    <w:rsid w:val="001013F1"/>
    <w:rsid w:val="00101534"/>
    <w:rsid w:val="00101918"/>
    <w:rsid w:val="00101FD0"/>
    <w:rsid w:val="0010222C"/>
    <w:rsid w:val="0010304F"/>
    <w:rsid w:val="00103837"/>
    <w:rsid w:val="00104EAF"/>
    <w:rsid w:val="00106C7D"/>
    <w:rsid w:val="0011026A"/>
    <w:rsid w:val="00110462"/>
    <w:rsid w:val="0011061D"/>
    <w:rsid w:val="00110D5A"/>
    <w:rsid w:val="00111C2D"/>
    <w:rsid w:val="00112E22"/>
    <w:rsid w:val="00114534"/>
    <w:rsid w:val="001149C9"/>
    <w:rsid w:val="001161A2"/>
    <w:rsid w:val="001165C5"/>
    <w:rsid w:val="00116868"/>
    <w:rsid w:val="0012189B"/>
    <w:rsid w:val="00124C2A"/>
    <w:rsid w:val="00124C4F"/>
    <w:rsid w:val="0012503A"/>
    <w:rsid w:val="001303B2"/>
    <w:rsid w:val="00131EC3"/>
    <w:rsid w:val="0013204E"/>
    <w:rsid w:val="00132C99"/>
    <w:rsid w:val="0013395F"/>
    <w:rsid w:val="001355A0"/>
    <w:rsid w:val="00137674"/>
    <w:rsid w:val="001376FA"/>
    <w:rsid w:val="00137BE9"/>
    <w:rsid w:val="00140D15"/>
    <w:rsid w:val="00140F3D"/>
    <w:rsid w:val="00140F68"/>
    <w:rsid w:val="00141F29"/>
    <w:rsid w:val="001441FC"/>
    <w:rsid w:val="0014489F"/>
    <w:rsid w:val="00144A21"/>
    <w:rsid w:val="00144F63"/>
    <w:rsid w:val="001456C4"/>
    <w:rsid w:val="00146593"/>
    <w:rsid w:val="00150763"/>
    <w:rsid w:val="00150D5E"/>
    <w:rsid w:val="00151419"/>
    <w:rsid w:val="00151A19"/>
    <w:rsid w:val="00151B6A"/>
    <w:rsid w:val="001532B9"/>
    <w:rsid w:val="001532FB"/>
    <w:rsid w:val="00153434"/>
    <w:rsid w:val="00155D9B"/>
    <w:rsid w:val="0015643E"/>
    <w:rsid w:val="00156750"/>
    <w:rsid w:val="00157EF8"/>
    <w:rsid w:val="0016013B"/>
    <w:rsid w:val="00160CEF"/>
    <w:rsid w:val="00161397"/>
    <w:rsid w:val="00161E93"/>
    <w:rsid w:val="00162367"/>
    <w:rsid w:val="00162A5D"/>
    <w:rsid w:val="00162F84"/>
    <w:rsid w:val="00163130"/>
    <w:rsid w:val="0016391F"/>
    <w:rsid w:val="00163B00"/>
    <w:rsid w:val="00165028"/>
    <w:rsid w:val="001654A5"/>
    <w:rsid w:val="00166CB3"/>
    <w:rsid w:val="00167645"/>
    <w:rsid w:val="00170869"/>
    <w:rsid w:val="00170AC5"/>
    <w:rsid w:val="00171955"/>
    <w:rsid w:val="001719A2"/>
    <w:rsid w:val="0017327A"/>
    <w:rsid w:val="0017362E"/>
    <w:rsid w:val="001761B9"/>
    <w:rsid w:val="00176799"/>
    <w:rsid w:val="00177764"/>
    <w:rsid w:val="00180430"/>
    <w:rsid w:val="00181AC2"/>
    <w:rsid w:val="00183273"/>
    <w:rsid w:val="00183834"/>
    <w:rsid w:val="00183D17"/>
    <w:rsid w:val="00183E05"/>
    <w:rsid w:val="00185D23"/>
    <w:rsid w:val="0018602B"/>
    <w:rsid w:val="0018661D"/>
    <w:rsid w:val="001875A1"/>
    <w:rsid w:val="00190356"/>
    <w:rsid w:val="00191B89"/>
    <w:rsid w:val="00191F23"/>
    <w:rsid w:val="00192133"/>
    <w:rsid w:val="00192B3D"/>
    <w:rsid w:val="0019343D"/>
    <w:rsid w:val="0019345A"/>
    <w:rsid w:val="00195610"/>
    <w:rsid w:val="001A1A74"/>
    <w:rsid w:val="001A2636"/>
    <w:rsid w:val="001A26C2"/>
    <w:rsid w:val="001A4104"/>
    <w:rsid w:val="001A4869"/>
    <w:rsid w:val="001A5EC8"/>
    <w:rsid w:val="001B00CD"/>
    <w:rsid w:val="001B1BC7"/>
    <w:rsid w:val="001B1C0D"/>
    <w:rsid w:val="001B2167"/>
    <w:rsid w:val="001B2985"/>
    <w:rsid w:val="001B35DD"/>
    <w:rsid w:val="001B3A7C"/>
    <w:rsid w:val="001B3A90"/>
    <w:rsid w:val="001B4E3F"/>
    <w:rsid w:val="001B6D61"/>
    <w:rsid w:val="001C0596"/>
    <w:rsid w:val="001C06BA"/>
    <w:rsid w:val="001C099A"/>
    <w:rsid w:val="001C0D04"/>
    <w:rsid w:val="001C13C8"/>
    <w:rsid w:val="001C191D"/>
    <w:rsid w:val="001C2748"/>
    <w:rsid w:val="001C283F"/>
    <w:rsid w:val="001C2D23"/>
    <w:rsid w:val="001C6503"/>
    <w:rsid w:val="001C79DF"/>
    <w:rsid w:val="001D1F51"/>
    <w:rsid w:val="001D2830"/>
    <w:rsid w:val="001D352F"/>
    <w:rsid w:val="001D3A0D"/>
    <w:rsid w:val="001D4C80"/>
    <w:rsid w:val="001D65F2"/>
    <w:rsid w:val="001D7E5E"/>
    <w:rsid w:val="001E166A"/>
    <w:rsid w:val="001E3021"/>
    <w:rsid w:val="001E4234"/>
    <w:rsid w:val="001E5C19"/>
    <w:rsid w:val="001E6177"/>
    <w:rsid w:val="001F00AD"/>
    <w:rsid w:val="001F07CE"/>
    <w:rsid w:val="001F0A89"/>
    <w:rsid w:val="001F0FC9"/>
    <w:rsid w:val="001F1589"/>
    <w:rsid w:val="001F2F0D"/>
    <w:rsid w:val="001F2FC1"/>
    <w:rsid w:val="001F4F1A"/>
    <w:rsid w:val="001F56BB"/>
    <w:rsid w:val="001F5D7C"/>
    <w:rsid w:val="001F70C5"/>
    <w:rsid w:val="0020006C"/>
    <w:rsid w:val="002007E8"/>
    <w:rsid w:val="00201391"/>
    <w:rsid w:val="00202073"/>
    <w:rsid w:val="002023B7"/>
    <w:rsid w:val="00204A19"/>
    <w:rsid w:val="00205B00"/>
    <w:rsid w:val="002068D9"/>
    <w:rsid w:val="00207E30"/>
    <w:rsid w:val="00210E5B"/>
    <w:rsid w:val="00211543"/>
    <w:rsid w:val="002122E5"/>
    <w:rsid w:val="00212A22"/>
    <w:rsid w:val="0021337B"/>
    <w:rsid w:val="00213912"/>
    <w:rsid w:val="002140DA"/>
    <w:rsid w:val="0021494A"/>
    <w:rsid w:val="0021651A"/>
    <w:rsid w:val="00220681"/>
    <w:rsid w:val="00220C6C"/>
    <w:rsid w:val="00222862"/>
    <w:rsid w:val="00223EED"/>
    <w:rsid w:val="002248D3"/>
    <w:rsid w:val="00224F6F"/>
    <w:rsid w:val="00225C98"/>
    <w:rsid w:val="00226429"/>
    <w:rsid w:val="0022752A"/>
    <w:rsid w:val="00231892"/>
    <w:rsid w:val="0023309C"/>
    <w:rsid w:val="00233480"/>
    <w:rsid w:val="00233AB8"/>
    <w:rsid w:val="0023590F"/>
    <w:rsid w:val="00236C9F"/>
    <w:rsid w:val="002372C0"/>
    <w:rsid w:val="00237973"/>
    <w:rsid w:val="00237F19"/>
    <w:rsid w:val="00241A12"/>
    <w:rsid w:val="00241EA7"/>
    <w:rsid w:val="00243161"/>
    <w:rsid w:val="00245904"/>
    <w:rsid w:val="002468FD"/>
    <w:rsid w:val="00246919"/>
    <w:rsid w:val="002469E2"/>
    <w:rsid w:val="00246FF6"/>
    <w:rsid w:val="002471ED"/>
    <w:rsid w:val="0024775E"/>
    <w:rsid w:val="00247EC1"/>
    <w:rsid w:val="00251224"/>
    <w:rsid w:val="00251DBE"/>
    <w:rsid w:val="00252B67"/>
    <w:rsid w:val="00252E21"/>
    <w:rsid w:val="00253E5C"/>
    <w:rsid w:val="0025419C"/>
    <w:rsid w:val="00255E63"/>
    <w:rsid w:val="00256B4C"/>
    <w:rsid w:val="0025771B"/>
    <w:rsid w:val="00261027"/>
    <w:rsid w:val="002617D4"/>
    <w:rsid w:val="002622A7"/>
    <w:rsid w:val="002622CC"/>
    <w:rsid w:val="00262F9D"/>
    <w:rsid w:val="0026344F"/>
    <w:rsid w:val="0026462B"/>
    <w:rsid w:val="00265BAA"/>
    <w:rsid w:val="00265F15"/>
    <w:rsid w:val="0026676E"/>
    <w:rsid w:val="00267661"/>
    <w:rsid w:val="00267E1E"/>
    <w:rsid w:val="0027037B"/>
    <w:rsid w:val="00270422"/>
    <w:rsid w:val="00271772"/>
    <w:rsid w:val="00271C15"/>
    <w:rsid w:val="00272CD9"/>
    <w:rsid w:val="00272E77"/>
    <w:rsid w:val="00272E7C"/>
    <w:rsid w:val="0027361D"/>
    <w:rsid w:val="00273A75"/>
    <w:rsid w:val="0027454C"/>
    <w:rsid w:val="00274748"/>
    <w:rsid w:val="00275AA7"/>
    <w:rsid w:val="00277FAB"/>
    <w:rsid w:val="00280548"/>
    <w:rsid w:val="00281468"/>
    <w:rsid w:val="00281A1A"/>
    <w:rsid w:val="00281D5F"/>
    <w:rsid w:val="002828B7"/>
    <w:rsid w:val="00284F65"/>
    <w:rsid w:val="00285843"/>
    <w:rsid w:val="00285ABF"/>
    <w:rsid w:val="00285F99"/>
    <w:rsid w:val="002861F5"/>
    <w:rsid w:val="002863F4"/>
    <w:rsid w:val="00286829"/>
    <w:rsid w:val="00286ABF"/>
    <w:rsid w:val="002878BD"/>
    <w:rsid w:val="00287D8E"/>
    <w:rsid w:val="0029116A"/>
    <w:rsid w:val="00291B3F"/>
    <w:rsid w:val="00291D5C"/>
    <w:rsid w:val="00291F7C"/>
    <w:rsid w:val="002924CC"/>
    <w:rsid w:val="00292E9C"/>
    <w:rsid w:val="00293F5F"/>
    <w:rsid w:val="00294CE4"/>
    <w:rsid w:val="00294EB4"/>
    <w:rsid w:val="00296206"/>
    <w:rsid w:val="00296885"/>
    <w:rsid w:val="00297B42"/>
    <w:rsid w:val="002A01CF"/>
    <w:rsid w:val="002A0C99"/>
    <w:rsid w:val="002A4F38"/>
    <w:rsid w:val="002A59E5"/>
    <w:rsid w:val="002B00E2"/>
    <w:rsid w:val="002B29B2"/>
    <w:rsid w:val="002B360A"/>
    <w:rsid w:val="002B45CF"/>
    <w:rsid w:val="002B487E"/>
    <w:rsid w:val="002B4F30"/>
    <w:rsid w:val="002B5DA9"/>
    <w:rsid w:val="002B5F58"/>
    <w:rsid w:val="002B6772"/>
    <w:rsid w:val="002B67FB"/>
    <w:rsid w:val="002B7306"/>
    <w:rsid w:val="002B76A1"/>
    <w:rsid w:val="002B79A3"/>
    <w:rsid w:val="002C06F7"/>
    <w:rsid w:val="002C1C5E"/>
    <w:rsid w:val="002C4C50"/>
    <w:rsid w:val="002C4FC9"/>
    <w:rsid w:val="002C572D"/>
    <w:rsid w:val="002C7BC6"/>
    <w:rsid w:val="002C7E3C"/>
    <w:rsid w:val="002D15A3"/>
    <w:rsid w:val="002D173A"/>
    <w:rsid w:val="002D421D"/>
    <w:rsid w:val="002D4B74"/>
    <w:rsid w:val="002D4DA1"/>
    <w:rsid w:val="002D6157"/>
    <w:rsid w:val="002D6445"/>
    <w:rsid w:val="002D74DA"/>
    <w:rsid w:val="002D7E00"/>
    <w:rsid w:val="002D7EE1"/>
    <w:rsid w:val="002E1868"/>
    <w:rsid w:val="002E3B0E"/>
    <w:rsid w:val="002E4D52"/>
    <w:rsid w:val="002E6CFF"/>
    <w:rsid w:val="002E7E0B"/>
    <w:rsid w:val="002F0196"/>
    <w:rsid w:val="002F1146"/>
    <w:rsid w:val="002F489A"/>
    <w:rsid w:val="003021C6"/>
    <w:rsid w:val="00302273"/>
    <w:rsid w:val="0030251F"/>
    <w:rsid w:val="00302E37"/>
    <w:rsid w:val="00302F22"/>
    <w:rsid w:val="00303648"/>
    <w:rsid w:val="00303B9D"/>
    <w:rsid w:val="00304237"/>
    <w:rsid w:val="003046F4"/>
    <w:rsid w:val="00304776"/>
    <w:rsid w:val="003059D0"/>
    <w:rsid w:val="00307B06"/>
    <w:rsid w:val="00310638"/>
    <w:rsid w:val="00310BA1"/>
    <w:rsid w:val="00310EEF"/>
    <w:rsid w:val="00311300"/>
    <w:rsid w:val="00311C5C"/>
    <w:rsid w:val="0031279A"/>
    <w:rsid w:val="00312A65"/>
    <w:rsid w:val="00312B03"/>
    <w:rsid w:val="00312EA6"/>
    <w:rsid w:val="0031395A"/>
    <w:rsid w:val="003146BA"/>
    <w:rsid w:val="0031689F"/>
    <w:rsid w:val="00316A64"/>
    <w:rsid w:val="00320576"/>
    <w:rsid w:val="003209F0"/>
    <w:rsid w:val="00320BAF"/>
    <w:rsid w:val="00320C04"/>
    <w:rsid w:val="00320EF2"/>
    <w:rsid w:val="00321741"/>
    <w:rsid w:val="0032242E"/>
    <w:rsid w:val="0032344B"/>
    <w:rsid w:val="00325EC8"/>
    <w:rsid w:val="00327E53"/>
    <w:rsid w:val="00330242"/>
    <w:rsid w:val="00330427"/>
    <w:rsid w:val="00330722"/>
    <w:rsid w:val="0033184D"/>
    <w:rsid w:val="00331F5A"/>
    <w:rsid w:val="0033307E"/>
    <w:rsid w:val="003334CE"/>
    <w:rsid w:val="003343FD"/>
    <w:rsid w:val="003348BC"/>
    <w:rsid w:val="003370FE"/>
    <w:rsid w:val="00337956"/>
    <w:rsid w:val="00340EEE"/>
    <w:rsid w:val="003416A7"/>
    <w:rsid w:val="003419D4"/>
    <w:rsid w:val="00341EE1"/>
    <w:rsid w:val="00342F88"/>
    <w:rsid w:val="00344336"/>
    <w:rsid w:val="003500C4"/>
    <w:rsid w:val="00351A7A"/>
    <w:rsid w:val="00352526"/>
    <w:rsid w:val="00352910"/>
    <w:rsid w:val="00352A5E"/>
    <w:rsid w:val="00353451"/>
    <w:rsid w:val="00355945"/>
    <w:rsid w:val="00355BF2"/>
    <w:rsid w:val="003576A3"/>
    <w:rsid w:val="00357C02"/>
    <w:rsid w:val="003607F0"/>
    <w:rsid w:val="00360F25"/>
    <w:rsid w:val="00363F71"/>
    <w:rsid w:val="00363F7F"/>
    <w:rsid w:val="00364692"/>
    <w:rsid w:val="003654D3"/>
    <w:rsid w:val="00365F5E"/>
    <w:rsid w:val="00370881"/>
    <w:rsid w:val="003708D6"/>
    <w:rsid w:val="00370C72"/>
    <w:rsid w:val="00371228"/>
    <w:rsid w:val="003715BC"/>
    <w:rsid w:val="00371DEB"/>
    <w:rsid w:val="00372232"/>
    <w:rsid w:val="0037290A"/>
    <w:rsid w:val="003731FF"/>
    <w:rsid w:val="00373FDE"/>
    <w:rsid w:val="0037476B"/>
    <w:rsid w:val="00375652"/>
    <w:rsid w:val="003764A0"/>
    <w:rsid w:val="00377D21"/>
    <w:rsid w:val="003801E3"/>
    <w:rsid w:val="00380440"/>
    <w:rsid w:val="003809AA"/>
    <w:rsid w:val="0038205E"/>
    <w:rsid w:val="003830EF"/>
    <w:rsid w:val="00384E65"/>
    <w:rsid w:val="00385C42"/>
    <w:rsid w:val="00385D1A"/>
    <w:rsid w:val="00386474"/>
    <w:rsid w:val="003869CD"/>
    <w:rsid w:val="00386AB5"/>
    <w:rsid w:val="00386B45"/>
    <w:rsid w:val="003871CD"/>
    <w:rsid w:val="00390A94"/>
    <w:rsid w:val="00390D13"/>
    <w:rsid w:val="00391002"/>
    <w:rsid w:val="00391B78"/>
    <w:rsid w:val="00391D14"/>
    <w:rsid w:val="00392139"/>
    <w:rsid w:val="003926A4"/>
    <w:rsid w:val="00393082"/>
    <w:rsid w:val="003934C7"/>
    <w:rsid w:val="00393B61"/>
    <w:rsid w:val="00394D6C"/>
    <w:rsid w:val="003953FD"/>
    <w:rsid w:val="00395571"/>
    <w:rsid w:val="00395D2B"/>
    <w:rsid w:val="00397A89"/>
    <w:rsid w:val="003A14F4"/>
    <w:rsid w:val="003A208C"/>
    <w:rsid w:val="003A3EC1"/>
    <w:rsid w:val="003A4133"/>
    <w:rsid w:val="003A6853"/>
    <w:rsid w:val="003A6F05"/>
    <w:rsid w:val="003B008E"/>
    <w:rsid w:val="003B01B6"/>
    <w:rsid w:val="003B027A"/>
    <w:rsid w:val="003B16E5"/>
    <w:rsid w:val="003B2F0D"/>
    <w:rsid w:val="003B2FB9"/>
    <w:rsid w:val="003B325C"/>
    <w:rsid w:val="003B3AFB"/>
    <w:rsid w:val="003B4827"/>
    <w:rsid w:val="003B6116"/>
    <w:rsid w:val="003B6A28"/>
    <w:rsid w:val="003B6B10"/>
    <w:rsid w:val="003C2FF5"/>
    <w:rsid w:val="003C5554"/>
    <w:rsid w:val="003C688C"/>
    <w:rsid w:val="003C727B"/>
    <w:rsid w:val="003C797B"/>
    <w:rsid w:val="003D1B7E"/>
    <w:rsid w:val="003D22B5"/>
    <w:rsid w:val="003D2F9F"/>
    <w:rsid w:val="003D3BFA"/>
    <w:rsid w:val="003D52F3"/>
    <w:rsid w:val="003D5379"/>
    <w:rsid w:val="003D58E4"/>
    <w:rsid w:val="003D7B5D"/>
    <w:rsid w:val="003E00B5"/>
    <w:rsid w:val="003E176F"/>
    <w:rsid w:val="003E1B23"/>
    <w:rsid w:val="003E2090"/>
    <w:rsid w:val="003E2523"/>
    <w:rsid w:val="003E2E88"/>
    <w:rsid w:val="003E3A05"/>
    <w:rsid w:val="003E5048"/>
    <w:rsid w:val="003E765E"/>
    <w:rsid w:val="003F0BE8"/>
    <w:rsid w:val="003F16EC"/>
    <w:rsid w:val="003F17FB"/>
    <w:rsid w:val="003F3529"/>
    <w:rsid w:val="003F46AA"/>
    <w:rsid w:val="003F4D4C"/>
    <w:rsid w:val="003F5F59"/>
    <w:rsid w:val="003F66F1"/>
    <w:rsid w:val="003F69BD"/>
    <w:rsid w:val="003F74EC"/>
    <w:rsid w:val="003F7ECF"/>
    <w:rsid w:val="004004F8"/>
    <w:rsid w:val="004007D9"/>
    <w:rsid w:val="00402FB8"/>
    <w:rsid w:val="00404240"/>
    <w:rsid w:val="004058E1"/>
    <w:rsid w:val="00405A30"/>
    <w:rsid w:val="0040664B"/>
    <w:rsid w:val="004101FA"/>
    <w:rsid w:val="0041076F"/>
    <w:rsid w:val="00410B85"/>
    <w:rsid w:val="00410BC2"/>
    <w:rsid w:val="00410D96"/>
    <w:rsid w:val="00411187"/>
    <w:rsid w:val="0041165E"/>
    <w:rsid w:val="004136AA"/>
    <w:rsid w:val="00413B2D"/>
    <w:rsid w:val="00414466"/>
    <w:rsid w:val="00415ADB"/>
    <w:rsid w:val="00415FBB"/>
    <w:rsid w:val="004167EF"/>
    <w:rsid w:val="00416841"/>
    <w:rsid w:val="00416C14"/>
    <w:rsid w:val="004174F8"/>
    <w:rsid w:val="00420BEA"/>
    <w:rsid w:val="004214A1"/>
    <w:rsid w:val="00421F52"/>
    <w:rsid w:val="0042451A"/>
    <w:rsid w:val="004245B4"/>
    <w:rsid w:val="00424B09"/>
    <w:rsid w:val="00424C40"/>
    <w:rsid w:val="00425439"/>
    <w:rsid w:val="004264AF"/>
    <w:rsid w:val="004279C5"/>
    <w:rsid w:val="0043121C"/>
    <w:rsid w:val="00431966"/>
    <w:rsid w:val="00432406"/>
    <w:rsid w:val="00432F5F"/>
    <w:rsid w:val="00434168"/>
    <w:rsid w:val="00434E48"/>
    <w:rsid w:val="00436186"/>
    <w:rsid w:val="004368C7"/>
    <w:rsid w:val="004371BF"/>
    <w:rsid w:val="00437488"/>
    <w:rsid w:val="00437F89"/>
    <w:rsid w:val="00440DEE"/>
    <w:rsid w:val="00440F41"/>
    <w:rsid w:val="0044188A"/>
    <w:rsid w:val="00443245"/>
    <w:rsid w:val="004455C9"/>
    <w:rsid w:val="00445B8A"/>
    <w:rsid w:val="0044613A"/>
    <w:rsid w:val="00450C5F"/>
    <w:rsid w:val="004514BB"/>
    <w:rsid w:val="00451FA8"/>
    <w:rsid w:val="0045525B"/>
    <w:rsid w:val="0045556C"/>
    <w:rsid w:val="00457167"/>
    <w:rsid w:val="00460282"/>
    <w:rsid w:val="004605A9"/>
    <w:rsid w:val="00461699"/>
    <w:rsid w:val="00462C20"/>
    <w:rsid w:val="00465AF2"/>
    <w:rsid w:val="00465F2F"/>
    <w:rsid w:val="004673EB"/>
    <w:rsid w:val="00467B85"/>
    <w:rsid w:val="00470A48"/>
    <w:rsid w:val="00470DC9"/>
    <w:rsid w:val="004716BD"/>
    <w:rsid w:val="00471712"/>
    <w:rsid w:val="00471C07"/>
    <w:rsid w:val="00471DBC"/>
    <w:rsid w:val="004733D9"/>
    <w:rsid w:val="00476AE5"/>
    <w:rsid w:val="00476EF2"/>
    <w:rsid w:val="00476EF9"/>
    <w:rsid w:val="004800E1"/>
    <w:rsid w:val="0048016E"/>
    <w:rsid w:val="00480BFC"/>
    <w:rsid w:val="00480D87"/>
    <w:rsid w:val="00484D8A"/>
    <w:rsid w:val="00485200"/>
    <w:rsid w:val="00485260"/>
    <w:rsid w:val="004859B8"/>
    <w:rsid w:val="0048719D"/>
    <w:rsid w:val="00487505"/>
    <w:rsid w:val="00487E93"/>
    <w:rsid w:val="00487EB4"/>
    <w:rsid w:val="00487FAC"/>
    <w:rsid w:val="00487FCE"/>
    <w:rsid w:val="0049091C"/>
    <w:rsid w:val="004909E3"/>
    <w:rsid w:val="00492A0E"/>
    <w:rsid w:val="004956EF"/>
    <w:rsid w:val="00495BAF"/>
    <w:rsid w:val="00495CAE"/>
    <w:rsid w:val="00495E43"/>
    <w:rsid w:val="00496851"/>
    <w:rsid w:val="00496E68"/>
    <w:rsid w:val="00496F65"/>
    <w:rsid w:val="004972F0"/>
    <w:rsid w:val="00497B01"/>
    <w:rsid w:val="00497B81"/>
    <w:rsid w:val="004A0861"/>
    <w:rsid w:val="004A0978"/>
    <w:rsid w:val="004A248F"/>
    <w:rsid w:val="004A2BE9"/>
    <w:rsid w:val="004A2C54"/>
    <w:rsid w:val="004A33D1"/>
    <w:rsid w:val="004A383D"/>
    <w:rsid w:val="004A3FC6"/>
    <w:rsid w:val="004A4892"/>
    <w:rsid w:val="004A546A"/>
    <w:rsid w:val="004A58D7"/>
    <w:rsid w:val="004A5C10"/>
    <w:rsid w:val="004A5EEE"/>
    <w:rsid w:val="004A6019"/>
    <w:rsid w:val="004A6033"/>
    <w:rsid w:val="004A614D"/>
    <w:rsid w:val="004A6A05"/>
    <w:rsid w:val="004B1CB3"/>
    <w:rsid w:val="004B4761"/>
    <w:rsid w:val="004B5640"/>
    <w:rsid w:val="004B56B9"/>
    <w:rsid w:val="004B6663"/>
    <w:rsid w:val="004B70B5"/>
    <w:rsid w:val="004C1435"/>
    <w:rsid w:val="004C2143"/>
    <w:rsid w:val="004C27B9"/>
    <w:rsid w:val="004C3B05"/>
    <w:rsid w:val="004C41B8"/>
    <w:rsid w:val="004C5151"/>
    <w:rsid w:val="004C5702"/>
    <w:rsid w:val="004C58F1"/>
    <w:rsid w:val="004C6765"/>
    <w:rsid w:val="004C6AC4"/>
    <w:rsid w:val="004C78AC"/>
    <w:rsid w:val="004C7D53"/>
    <w:rsid w:val="004C7F80"/>
    <w:rsid w:val="004D051E"/>
    <w:rsid w:val="004D0573"/>
    <w:rsid w:val="004D06B2"/>
    <w:rsid w:val="004D2004"/>
    <w:rsid w:val="004D2461"/>
    <w:rsid w:val="004D382B"/>
    <w:rsid w:val="004D4E76"/>
    <w:rsid w:val="004D776A"/>
    <w:rsid w:val="004E2C82"/>
    <w:rsid w:val="004E4628"/>
    <w:rsid w:val="004E5241"/>
    <w:rsid w:val="004F08EF"/>
    <w:rsid w:val="004F0D39"/>
    <w:rsid w:val="004F0F42"/>
    <w:rsid w:val="004F12A1"/>
    <w:rsid w:val="004F12AB"/>
    <w:rsid w:val="004F2D3A"/>
    <w:rsid w:val="004F364E"/>
    <w:rsid w:val="004F5F0A"/>
    <w:rsid w:val="004F72EF"/>
    <w:rsid w:val="00500F67"/>
    <w:rsid w:val="00501C4C"/>
    <w:rsid w:val="00502D38"/>
    <w:rsid w:val="00502FE2"/>
    <w:rsid w:val="00503C31"/>
    <w:rsid w:val="00503E4E"/>
    <w:rsid w:val="005045A8"/>
    <w:rsid w:val="00505451"/>
    <w:rsid w:val="00506336"/>
    <w:rsid w:val="00506825"/>
    <w:rsid w:val="00507137"/>
    <w:rsid w:val="00512809"/>
    <w:rsid w:val="0051313B"/>
    <w:rsid w:val="00516F92"/>
    <w:rsid w:val="005173F2"/>
    <w:rsid w:val="0051755F"/>
    <w:rsid w:val="00520028"/>
    <w:rsid w:val="0052028D"/>
    <w:rsid w:val="00520462"/>
    <w:rsid w:val="005209E5"/>
    <w:rsid w:val="00521ED0"/>
    <w:rsid w:val="0052214B"/>
    <w:rsid w:val="00522444"/>
    <w:rsid w:val="00522E97"/>
    <w:rsid w:val="00523768"/>
    <w:rsid w:val="00523B1C"/>
    <w:rsid w:val="00524A52"/>
    <w:rsid w:val="00524AFD"/>
    <w:rsid w:val="00525B7A"/>
    <w:rsid w:val="0052620A"/>
    <w:rsid w:val="005268AA"/>
    <w:rsid w:val="00526E66"/>
    <w:rsid w:val="00527E79"/>
    <w:rsid w:val="0053052E"/>
    <w:rsid w:val="00532C10"/>
    <w:rsid w:val="00534173"/>
    <w:rsid w:val="005346FB"/>
    <w:rsid w:val="00534A85"/>
    <w:rsid w:val="005363BF"/>
    <w:rsid w:val="005364E1"/>
    <w:rsid w:val="00536CE5"/>
    <w:rsid w:val="00537B6F"/>
    <w:rsid w:val="00537D40"/>
    <w:rsid w:val="0054021F"/>
    <w:rsid w:val="005405B7"/>
    <w:rsid w:val="0054091B"/>
    <w:rsid w:val="005413F4"/>
    <w:rsid w:val="00541AE5"/>
    <w:rsid w:val="00541D3C"/>
    <w:rsid w:val="00542307"/>
    <w:rsid w:val="005434EC"/>
    <w:rsid w:val="00546954"/>
    <w:rsid w:val="005474C2"/>
    <w:rsid w:val="00550FAA"/>
    <w:rsid w:val="00551113"/>
    <w:rsid w:val="00551461"/>
    <w:rsid w:val="00551877"/>
    <w:rsid w:val="00551B54"/>
    <w:rsid w:val="00552531"/>
    <w:rsid w:val="005531D7"/>
    <w:rsid w:val="00554A92"/>
    <w:rsid w:val="00555C18"/>
    <w:rsid w:val="00556AB2"/>
    <w:rsid w:val="00556D89"/>
    <w:rsid w:val="00557887"/>
    <w:rsid w:val="00562B56"/>
    <w:rsid w:val="00562D6E"/>
    <w:rsid w:val="00563BF8"/>
    <w:rsid w:val="00564F8F"/>
    <w:rsid w:val="005658A5"/>
    <w:rsid w:val="00565A36"/>
    <w:rsid w:val="005677B4"/>
    <w:rsid w:val="005738C8"/>
    <w:rsid w:val="005758F8"/>
    <w:rsid w:val="00575EBB"/>
    <w:rsid w:val="005761C2"/>
    <w:rsid w:val="00577015"/>
    <w:rsid w:val="0057763A"/>
    <w:rsid w:val="00577BE9"/>
    <w:rsid w:val="0058142B"/>
    <w:rsid w:val="00582F82"/>
    <w:rsid w:val="0058581D"/>
    <w:rsid w:val="00586DCE"/>
    <w:rsid w:val="00587601"/>
    <w:rsid w:val="00587EE0"/>
    <w:rsid w:val="005901F0"/>
    <w:rsid w:val="005917AE"/>
    <w:rsid w:val="00591AEA"/>
    <w:rsid w:val="005921AB"/>
    <w:rsid w:val="005930F6"/>
    <w:rsid w:val="005936EC"/>
    <w:rsid w:val="005937A7"/>
    <w:rsid w:val="0059424A"/>
    <w:rsid w:val="00594D9A"/>
    <w:rsid w:val="0059568B"/>
    <w:rsid w:val="00596E40"/>
    <w:rsid w:val="005A0694"/>
    <w:rsid w:val="005A09F3"/>
    <w:rsid w:val="005A11A9"/>
    <w:rsid w:val="005A1952"/>
    <w:rsid w:val="005A23F6"/>
    <w:rsid w:val="005A29E9"/>
    <w:rsid w:val="005A2FE6"/>
    <w:rsid w:val="005A3FA1"/>
    <w:rsid w:val="005B003F"/>
    <w:rsid w:val="005B0FFE"/>
    <w:rsid w:val="005B3F85"/>
    <w:rsid w:val="005B46D6"/>
    <w:rsid w:val="005B5E00"/>
    <w:rsid w:val="005B5ECB"/>
    <w:rsid w:val="005B6101"/>
    <w:rsid w:val="005B78A9"/>
    <w:rsid w:val="005C066C"/>
    <w:rsid w:val="005C1A0C"/>
    <w:rsid w:val="005C23EA"/>
    <w:rsid w:val="005C2829"/>
    <w:rsid w:val="005C29C4"/>
    <w:rsid w:val="005C3374"/>
    <w:rsid w:val="005C361B"/>
    <w:rsid w:val="005C433C"/>
    <w:rsid w:val="005C4896"/>
    <w:rsid w:val="005C56D5"/>
    <w:rsid w:val="005C5957"/>
    <w:rsid w:val="005C5F9B"/>
    <w:rsid w:val="005C6E4B"/>
    <w:rsid w:val="005C70EE"/>
    <w:rsid w:val="005C73C0"/>
    <w:rsid w:val="005D02B8"/>
    <w:rsid w:val="005D0725"/>
    <w:rsid w:val="005D0CF0"/>
    <w:rsid w:val="005D101E"/>
    <w:rsid w:val="005D1342"/>
    <w:rsid w:val="005D2C45"/>
    <w:rsid w:val="005D500B"/>
    <w:rsid w:val="005D560A"/>
    <w:rsid w:val="005D597D"/>
    <w:rsid w:val="005D5E60"/>
    <w:rsid w:val="005E1175"/>
    <w:rsid w:val="005E1995"/>
    <w:rsid w:val="005E1CF2"/>
    <w:rsid w:val="005E2AF5"/>
    <w:rsid w:val="005E354A"/>
    <w:rsid w:val="005E42CC"/>
    <w:rsid w:val="005E441F"/>
    <w:rsid w:val="005E5F0A"/>
    <w:rsid w:val="005E6AD0"/>
    <w:rsid w:val="005E6AD6"/>
    <w:rsid w:val="005E7595"/>
    <w:rsid w:val="005E7B8C"/>
    <w:rsid w:val="005F120E"/>
    <w:rsid w:val="005F147F"/>
    <w:rsid w:val="005F5932"/>
    <w:rsid w:val="005F5D41"/>
    <w:rsid w:val="005F5EE7"/>
    <w:rsid w:val="005F614B"/>
    <w:rsid w:val="005F6371"/>
    <w:rsid w:val="005F6F20"/>
    <w:rsid w:val="005F7661"/>
    <w:rsid w:val="006000F9"/>
    <w:rsid w:val="00601429"/>
    <w:rsid w:val="006026EA"/>
    <w:rsid w:val="00602A09"/>
    <w:rsid w:val="006039C7"/>
    <w:rsid w:val="00603F7C"/>
    <w:rsid w:val="00604984"/>
    <w:rsid w:val="0060514D"/>
    <w:rsid w:val="006051B7"/>
    <w:rsid w:val="00605DD5"/>
    <w:rsid w:val="0060686B"/>
    <w:rsid w:val="00607A28"/>
    <w:rsid w:val="00607C11"/>
    <w:rsid w:val="00607CF1"/>
    <w:rsid w:val="00610D03"/>
    <w:rsid w:val="00610EE0"/>
    <w:rsid w:val="0061308E"/>
    <w:rsid w:val="0061319A"/>
    <w:rsid w:val="00614413"/>
    <w:rsid w:val="006147DD"/>
    <w:rsid w:val="00615AD7"/>
    <w:rsid w:val="0061753D"/>
    <w:rsid w:val="00617CC7"/>
    <w:rsid w:val="00617E88"/>
    <w:rsid w:val="006205A4"/>
    <w:rsid w:val="006205CB"/>
    <w:rsid w:val="006224A2"/>
    <w:rsid w:val="00623727"/>
    <w:rsid w:val="0062381F"/>
    <w:rsid w:val="0062426A"/>
    <w:rsid w:val="006242EA"/>
    <w:rsid w:val="00626833"/>
    <w:rsid w:val="00627110"/>
    <w:rsid w:val="0062735B"/>
    <w:rsid w:val="00631E29"/>
    <w:rsid w:val="00632D19"/>
    <w:rsid w:val="006331CF"/>
    <w:rsid w:val="0063396E"/>
    <w:rsid w:val="00634001"/>
    <w:rsid w:val="00635087"/>
    <w:rsid w:val="00635C10"/>
    <w:rsid w:val="00635EDB"/>
    <w:rsid w:val="0063625E"/>
    <w:rsid w:val="0063669E"/>
    <w:rsid w:val="00640936"/>
    <w:rsid w:val="00640A61"/>
    <w:rsid w:val="00640B75"/>
    <w:rsid w:val="00645995"/>
    <w:rsid w:val="00647D85"/>
    <w:rsid w:val="00647F9C"/>
    <w:rsid w:val="0065144C"/>
    <w:rsid w:val="00652DCD"/>
    <w:rsid w:val="0065457F"/>
    <w:rsid w:val="00656FA9"/>
    <w:rsid w:val="006570AE"/>
    <w:rsid w:val="00660245"/>
    <w:rsid w:val="0066048A"/>
    <w:rsid w:val="00660FA5"/>
    <w:rsid w:val="006611D9"/>
    <w:rsid w:val="0066231A"/>
    <w:rsid w:val="00662628"/>
    <w:rsid w:val="00662CA3"/>
    <w:rsid w:val="0066301B"/>
    <w:rsid w:val="006638CA"/>
    <w:rsid w:val="00664F9A"/>
    <w:rsid w:val="006656A7"/>
    <w:rsid w:val="006666A1"/>
    <w:rsid w:val="0066672C"/>
    <w:rsid w:val="00667C60"/>
    <w:rsid w:val="00671AC5"/>
    <w:rsid w:val="00672472"/>
    <w:rsid w:val="0067520D"/>
    <w:rsid w:val="00675407"/>
    <w:rsid w:val="00675B62"/>
    <w:rsid w:val="00675CA3"/>
    <w:rsid w:val="00675D37"/>
    <w:rsid w:val="006767F5"/>
    <w:rsid w:val="00676CA1"/>
    <w:rsid w:val="00677856"/>
    <w:rsid w:val="00677B9D"/>
    <w:rsid w:val="00680293"/>
    <w:rsid w:val="00680769"/>
    <w:rsid w:val="00683908"/>
    <w:rsid w:val="006840D6"/>
    <w:rsid w:val="00685C0F"/>
    <w:rsid w:val="006876FD"/>
    <w:rsid w:val="00687817"/>
    <w:rsid w:val="00690407"/>
    <w:rsid w:val="00691E9B"/>
    <w:rsid w:val="006936DD"/>
    <w:rsid w:val="0069398F"/>
    <w:rsid w:val="006941CB"/>
    <w:rsid w:val="00694D03"/>
    <w:rsid w:val="006950F2"/>
    <w:rsid w:val="00695FDB"/>
    <w:rsid w:val="006970A1"/>
    <w:rsid w:val="00697EE9"/>
    <w:rsid w:val="006A0036"/>
    <w:rsid w:val="006A161D"/>
    <w:rsid w:val="006A1A65"/>
    <w:rsid w:val="006A226D"/>
    <w:rsid w:val="006A3485"/>
    <w:rsid w:val="006A3E7D"/>
    <w:rsid w:val="006A45DB"/>
    <w:rsid w:val="006A612B"/>
    <w:rsid w:val="006A7299"/>
    <w:rsid w:val="006B0D57"/>
    <w:rsid w:val="006B0DA2"/>
    <w:rsid w:val="006B163E"/>
    <w:rsid w:val="006B1986"/>
    <w:rsid w:val="006B198C"/>
    <w:rsid w:val="006B2D2C"/>
    <w:rsid w:val="006B3B48"/>
    <w:rsid w:val="006B3BD7"/>
    <w:rsid w:val="006B3FAE"/>
    <w:rsid w:val="006B6D20"/>
    <w:rsid w:val="006C0F12"/>
    <w:rsid w:val="006C19F4"/>
    <w:rsid w:val="006C439A"/>
    <w:rsid w:val="006C453C"/>
    <w:rsid w:val="006C4CCD"/>
    <w:rsid w:val="006C4D38"/>
    <w:rsid w:val="006C596D"/>
    <w:rsid w:val="006C5B75"/>
    <w:rsid w:val="006C6644"/>
    <w:rsid w:val="006D07A6"/>
    <w:rsid w:val="006D0BF9"/>
    <w:rsid w:val="006D1E68"/>
    <w:rsid w:val="006D2A14"/>
    <w:rsid w:val="006D3644"/>
    <w:rsid w:val="006D59BF"/>
    <w:rsid w:val="006D6E33"/>
    <w:rsid w:val="006D7531"/>
    <w:rsid w:val="006E1243"/>
    <w:rsid w:val="006E1298"/>
    <w:rsid w:val="006E356A"/>
    <w:rsid w:val="006E3DD9"/>
    <w:rsid w:val="006E4E1C"/>
    <w:rsid w:val="006E7346"/>
    <w:rsid w:val="006E758A"/>
    <w:rsid w:val="006E7A3B"/>
    <w:rsid w:val="006F0297"/>
    <w:rsid w:val="006F0A32"/>
    <w:rsid w:val="006F0C70"/>
    <w:rsid w:val="006F148A"/>
    <w:rsid w:val="006F174B"/>
    <w:rsid w:val="006F1906"/>
    <w:rsid w:val="006F1AC8"/>
    <w:rsid w:val="006F2548"/>
    <w:rsid w:val="006F2DDA"/>
    <w:rsid w:val="006F3742"/>
    <w:rsid w:val="006F4FD9"/>
    <w:rsid w:val="006F7017"/>
    <w:rsid w:val="006F760D"/>
    <w:rsid w:val="00700984"/>
    <w:rsid w:val="00701484"/>
    <w:rsid w:val="007037A8"/>
    <w:rsid w:val="00703E32"/>
    <w:rsid w:val="00705586"/>
    <w:rsid w:val="007062BE"/>
    <w:rsid w:val="007067A0"/>
    <w:rsid w:val="00707216"/>
    <w:rsid w:val="007114D2"/>
    <w:rsid w:val="00712CE8"/>
    <w:rsid w:val="00712F59"/>
    <w:rsid w:val="00713F79"/>
    <w:rsid w:val="007148C7"/>
    <w:rsid w:val="007156C8"/>
    <w:rsid w:val="00715B0D"/>
    <w:rsid w:val="00715CA7"/>
    <w:rsid w:val="00717554"/>
    <w:rsid w:val="0071774F"/>
    <w:rsid w:val="0071784B"/>
    <w:rsid w:val="00720A8E"/>
    <w:rsid w:val="00722458"/>
    <w:rsid w:val="00722AD0"/>
    <w:rsid w:val="00722D3D"/>
    <w:rsid w:val="00722E87"/>
    <w:rsid w:val="0072372B"/>
    <w:rsid w:val="00724BFB"/>
    <w:rsid w:val="00725DDF"/>
    <w:rsid w:val="00727232"/>
    <w:rsid w:val="0073139E"/>
    <w:rsid w:val="00731F8E"/>
    <w:rsid w:val="00731FD5"/>
    <w:rsid w:val="00732722"/>
    <w:rsid w:val="007329B0"/>
    <w:rsid w:val="0073335F"/>
    <w:rsid w:val="007335F8"/>
    <w:rsid w:val="00735C74"/>
    <w:rsid w:val="00735E78"/>
    <w:rsid w:val="00736073"/>
    <w:rsid w:val="0073740D"/>
    <w:rsid w:val="00740970"/>
    <w:rsid w:val="007414B5"/>
    <w:rsid w:val="007416BD"/>
    <w:rsid w:val="00741D4C"/>
    <w:rsid w:val="00742500"/>
    <w:rsid w:val="007427F4"/>
    <w:rsid w:val="0074289C"/>
    <w:rsid w:val="00742F85"/>
    <w:rsid w:val="00743F47"/>
    <w:rsid w:val="00744705"/>
    <w:rsid w:val="00750A37"/>
    <w:rsid w:val="00750FE6"/>
    <w:rsid w:val="00752900"/>
    <w:rsid w:val="00752D59"/>
    <w:rsid w:val="00753554"/>
    <w:rsid w:val="0075373D"/>
    <w:rsid w:val="00753E6B"/>
    <w:rsid w:val="00753F91"/>
    <w:rsid w:val="0075426D"/>
    <w:rsid w:val="007543E5"/>
    <w:rsid w:val="007545CF"/>
    <w:rsid w:val="007560D5"/>
    <w:rsid w:val="00756EA8"/>
    <w:rsid w:val="00757C0D"/>
    <w:rsid w:val="00757C77"/>
    <w:rsid w:val="00757C83"/>
    <w:rsid w:val="00760012"/>
    <w:rsid w:val="00761364"/>
    <w:rsid w:val="007616EA"/>
    <w:rsid w:val="00762CAB"/>
    <w:rsid w:val="00763BB2"/>
    <w:rsid w:val="0076418C"/>
    <w:rsid w:val="00764605"/>
    <w:rsid w:val="00764E14"/>
    <w:rsid w:val="00766484"/>
    <w:rsid w:val="00767035"/>
    <w:rsid w:val="007673A8"/>
    <w:rsid w:val="00771094"/>
    <w:rsid w:val="00771D21"/>
    <w:rsid w:val="0077280B"/>
    <w:rsid w:val="00772A3B"/>
    <w:rsid w:val="00773164"/>
    <w:rsid w:val="00773FC9"/>
    <w:rsid w:val="007755C5"/>
    <w:rsid w:val="007767D5"/>
    <w:rsid w:val="00776A48"/>
    <w:rsid w:val="00776D1E"/>
    <w:rsid w:val="00777A5A"/>
    <w:rsid w:val="0078095C"/>
    <w:rsid w:val="00781C3C"/>
    <w:rsid w:val="007836B1"/>
    <w:rsid w:val="00783808"/>
    <w:rsid w:val="00783B72"/>
    <w:rsid w:val="0078464B"/>
    <w:rsid w:val="007851E1"/>
    <w:rsid w:val="00785CDA"/>
    <w:rsid w:val="0078666C"/>
    <w:rsid w:val="0078791F"/>
    <w:rsid w:val="00787EE8"/>
    <w:rsid w:val="00790B0A"/>
    <w:rsid w:val="0079331B"/>
    <w:rsid w:val="007933CB"/>
    <w:rsid w:val="00793BDF"/>
    <w:rsid w:val="00794EB5"/>
    <w:rsid w:val="00794FAD"/>
    <w:rsid w:val="0079585A"/>
    <w:rsid w:val="00795D5D"/>
    <w:rsid w:val="00797562"/>
    <w:rsid w:val="007A0F41"/>
    <w:rsid w:val="007A1AF9"/>
    <w:rsid w:val="007A226C"/>
    <w:rsid w:val="007A38D1"/>
    <w:rsid w:val="007A4271"/>
    <w:rsid w:val="007A4A35"/>
    <w:rsid w:val="007A4E47"/>
    <w:rsid w:val="007A52CD"/>
    <w:rsid w:val="007A52FE"/>
    <w:rsid w:val="007A56E3"/>
    <w:rsid w:val="007A7090"/>
    <w:rsid w:val="007A77C7"/>
    <w:rsid w:val="007B1A9A"/>
    <w:rsid w:val="007B2370"/>
    <w:rsid w:val="007B30C9"/>
    <w:rsid w:val="007B3FDB"/>
    <w:rsid w:val="007B4404"/>
    <w:rsid w:val="007B4C28"/>
    <w:rsid w:val="007B50C7"/>
    <w:rsid w:val="007B634E"/>
    <w:rsid w:val="007B79F7"/>
    <w:rsid w:val="007C0A2A"/>
    <w:rsid w:val="007C0A39"/>
    <w:rsid w:val="007C1859"/>
    <w:rsid w:val="007C1A46"/>
    <w:rsid w:val="007C1FBB"/>
    <w:rsid w:val="007C382F"/>
    <w:rsid w:val="007C40E3"/>
    <w:rsid w:val="007C6E1D"/>
    <w:rsid w:val="007D0055"/>
    <w:rsid w:val="007D0A77"/>
    <w:rsid w:val="007D12C3"/>
    <w:rsid w:val="007D2116"/>
    <w:rsid w:val="007D21DC"/>
    <w:rsid w:val="007D28AF"/>
    <w:rsid w:val="007D5EB3"/>
    <w:rsid w:val="007D65AF"/>
    <w:rsid w:val="007D6E22"/>
    <w:rsid w:val="007D7120"/>
    <w:rsid w:val="007D720A"/>
    <w:rsid w:val="007E04E3"/>
    <w:rsid w:val="007E08F9"/>
    <w:rsid w:val="007E1199"/>
    <w:rsid w:val="007E11FB"/>
    <w:rsid w:val="007E1217"/>
    <w:rsid w:val="007E1258"/>
    <w:rsid w:val="007E2C39"/>
    <w:rsid w:val="007E3519"/>
    <w:rsid w:val="007E3ECE"/>
    <w:rsid w:val="007E4F32"/>
    <w:rsid w:val="007E552A"/>
    <w:rsid w:val="007E66DC"/>
    <w:rsid w:val="007E7199"/>
    <w:rsid w:val="007E7857"/>
    <w:rsid w:val="007E7BBE"/>
    <w:rsid w:val="007F03B8"/>
    <w:rsid w:val="007F0613"/>
    <w:rsid w:val="007F069F"/>
    <w:rsid w:val="007F0A4F"/>
    <w:rsid w:val="007F11EC"/>
    <w:rsid w:val="007F15FB"/>
    <w:rsid w:val="007F1989"/>
    <w:rsid w:val="007F1FDA"/>
    <w:rsid w:val="007F2E04"/>
    <w:rsid w:val="007F3881"/>
    <w:rsid w:val="007F3E9A"/>
    <w:rsid w:val="007F5055"/>
    <w:rsid w:val="00801F1D"/>
    <w:rsid w:val="00802039"/>
    <w:rsid w:val="0080275D"/>
    <w:rsid w:val="0080323B"/>
    <w:rsid w:val="00803586"/>
    <w:rsid w:val="00803B99"/>
    <w:rsid w:val="00804038"/>
    <w:rsid w:val="00804CB7"/>
    <w:rsid w:val="00805957"/>
    <w:rsid w:val="008059D2"/>
    <w:rsid w:val="00806A36"/>
    <w:rsid w:val="008072CD"/>
    <w:rsid w:val="00807CF0"/>
    <w:rsid w:val="00810309"/>
    <w:rsid w:val="0081063F"/>
    <w:rsid w:val="008107B9"/>
    <w:rsid w:val="008124CB"/>
    <w:rsid w:val="00812D93"/>
    <w:rsid w:val="00812E39"/>
    <w:rsid w:val="00813878"/>
    <w:rsid w:val="00813F98"/>
    <w:rsid w:val="00814520"/>
    <w:rsid w:val="00814C00"/>
    <w:rsid w:val="00815BFB"/>
    <w:rsid w:val="00815DCE"/>
    <w:rsid w:val="00815E4C"/>
    <w:rsid w:val="008168AB"/>
    <w:rsid w:val="00822250"/>
    <w:rsid w:val="008223CB"/>
    <w:rsid w:val="008238AE"/>
    <w:rsid w:val="00823BBD"/>
    <w:rsid w:val="00825DA9"/>
    <w:rsid w:val="00826279"/>
    <w:rsid w:val="00826305"/>
    <w:rsid w:val="008269CD"/>
    <w:rsid w:val="00827442"/>
    <w:rsid w:val="008300EF"/>
    <w:rsid w:val="00830F57"/>
    <w:rsid w:val="00831226"/>
    <w:rsid w:val="0083277F"/>
    <w:rsid w:val="0083345E"/>
    <w:rsid w:val="008339B8"/>
    <w:rsid w:val="008355F4"/>
    <w:rsid w:val="008357FD"/>
    <w:rsid w:val="008402C9"/>
    <w:rsid w:val="008404AE"/>
    <w:rsid w:val="00841648"/>
    <w:rsid w:val="00842298"/>
    <w:rsid w:val="00842FC0"/>
    <w:rsid w:val="00844141"/>
    <w:rsid w:val="008448E5"/>
    <w:rsid w:val="00845E88"/>
    <w:rsid w:val="00846428"/>
    <w:rsid w:val="00846B36"/>
    <w:rsid w:val="008500AF"/>
    <w:rsid w:val="0085595B"/>
    <w:rsid w:val="0085672F"/>
    <w:rsid w:val="00860201"/>
    <w:rsid w:val="008602A5"/>
    <w:rsid w:val="008607EA"/>
    <w:rsid w:val="00860C2C"/>
    <w:rsid w:val="00862066"/>
    <w:rsid w:val="00862700"/>
    <w:rsid w:val="00862AED"/>
    <w:rsid w:val="00863A86"/>
    <w:rsid w:val="0086437F"/>
    <w:rsid w:val="00866451"/>
    <w:rsid w:val="008705DD"/>
    <w:rsid w:val="008716E8"/>
    <w:rsid w:val="00873561"/>
    <w:rsid w:val="00875AB1"/>
    <w:rsid w:val="00875E15"/>
    <w:rsid w:val="00877635"/>
    <w:rsid w:val="008776DF"/>
    <w:rsid w:val="0088037C"/>
    <w:rsid w:val="008803F2"/>
    <w:rsid w:val="00880584"/>
    <w:rsid w:val="0088163C"/>
    <w:rsid w:val="008816E3"/>
    <w:rsid w:val="00881CC6"/>
    <w:rsid w:val="00881D74"/>
    <w:rsid w:val="00882427"/>
    <w:rsid w:val="00882AF8"/>
    <w:rsid w:val="00882F92"/>
    <w:rsid w:val="00883621"/>
    <w:rsid w:val="00883871"/>
    <w:rsid w:val="00884116"/>
    <w:rsid w:val="00884945"/>
    <w:rsid w:val="0088522B"/>
    <w:rsid w:val="00886E7F"/>
    <w:rsid w:val="00886F59"/>
    <w:rsid w:val="00886FD4"/>
    <w:rsid w:val="008901BC"/>
    <w:rsid w:val="00890B9C"/>
    <w:rsid w:val="00890FFE"/>
    <w:rsid w:val="008918A0"/>
    <w:rsid w:val="008919DF"/>
    <w:rsid w:val="00892220"/>
    <w:rsid w:val="00892CD8"/>
    <w:rsid w:val="00893BCB"/>
    <w:rsid w:val="00896406"/>
    <w:rsid w:val="00896B63"/>
    <w:rsid w:val="00897DF9"/>
    <w:rsid w:val="008A0C94"/>
    <w:rsid w:val="008A2200"/>
    <w:rsid w:val="008A2891"/>
    <w:rsid w:val="008A35E3"/>
    <w:rsid w:val="008A37F8"/>
    <w:rsid w:val="008A389D"/>
    <w:rsid w:val="008A7897"/>
    <w:rsid w:val="008A78E8"/>
    <w:rsid w:val="008B06F3"/>
    <w:rsid w:val="008B09D0"/>
    <w:rsid w:val="008B32AE"/>
    <w:rsid w:val="008B335A"/>
    <w:rsid w:val="008B417C"/>
    <w:rsid w:val="008B4590"/>
    <w:rsid w:val="008B45F3"/>
    <w:rsid w:val="008B5D4B"/>
    <w:rsid w:val="008B6B0E"/>
    <w:rsid w:val="008B72F5"/>
    <w:rsid w:val="008C05E4"/>
    <w:rsid w:val="008C0BBB"/>
    <w:rsid w:val="008C0C63"/>
    <w:rsid w:val="008C2102"/>
    <w:rsid w:val="008C2BD6"/>
    <w:rsid w:val="008C3936"/>
    <w:rsid w:val="008C3BA2"/>
    <w:rsid w:val="008C40BB"/>
    <w:rsid w:val="008C45E0"/>
    <w:rsid w:val="008C4639"/>
    <w:rsid w:val="008C465B"/>
    <w:rsid w:val="008C4DB3"/>
    <w:rsid w:val="008C5476"/>
    <w:rsid w:val="008C54CF"/>
    <w:rsid w:val="008C6319"/>
    <w:rsid w:val="008C6922"/>
    <w:rsid w:val="008C7347"/>
    <w:rsid w:val="008D1092"/>
    <w:rsid w:val="008D33D3"/>
    <w:rsid w:val="008D3AD1"/>
    <w:rsid w:val="008D3E31"/>
    <w:rsid w:val="008D4147"/>
    <w:rsid w:val="008D4B85"/>
    <w:rsid w:val="008D6881"/>
    <w:rsid w:val="008D735D"/>
    <w:rsid w:val="008D7D46"/>
    <w:rsid w:val="008D7FA8"/>
    <w:rsid w:val="008E0413"/>
    <w:rsid w:val="008E08C5"/>
    <w:rsid w:val="008E1CAA"/>
    <w:rsid w:val="008E30C1"/>
    <w:rsid w:val="008E3A51"/>
    <w:rsid w:val="008E4355"/>
    <w:rsid w:val="008E47D6"/>
    <w:rsid w:val="008E492C"/>
    <w:rsid w:val="008E4A02"/>
    <w:rsid w:val="008E55E5"/>
    <w:rsid w:val="008E5D39"/>
    <w:rsid w:val="008E5E36"/>
    <w:rsid w:val="008E6073"/>
    <w:rsid w:val="008F01E8"/>
    <w:rsid w:val="008F1CA1"/>
    <w:rsid w:val="008F2802"/>
    <w:rsid w:val="008F2868"/>
    <w:rsid w:val="008F337F"/>
    <w:rsid w:val="008F4114"/>
    <w:rsid w:val="008F4271"/>
    <w:rsid w:val="008F42D8"/>
    <w:rsid w:val="008F447F"/>
    <w:rsid w:val="008F4585"/>
    <w:rsid w:val="008F46DE"/>
    <w:rsid w:val="008F4E5B"/>
    <w:rsid w:val="008F63A6"/>
    <w:rsid w:val="008F774C"/>
    <w:rsid w:val="009003E5"/>
    <w:rsid w:val="009009C9"/>
    <w:rsid w:val="00901C01"/>
    <w:rsid w:val="0090215D"/>
    <w:rsid w:val="00902370"/>
    <w:rsid w:val="009023D6"/>
    <w:rsid w:val="00902BEB"/>
    <w:rsid w:val="00903984"/>
    <w:rsid w:val="00903D81"/>
    <w:rsid w:val="00903DF6"/>
    <w:rsid w:val="0090459D"/>
    <w:rsid w:val="009046A1"/>
    <w:rsid w:val="00904CFA"/>
    <w:rsid w:val="00905616"/>
    <w:rsid w:val="00910763"/>
    <w:rsid w:val="00910C50"/>
    <w:rsid w:val="0091157F"/>
    <w:rsid w:val="00911643"/>
    <w:rsid w:val="00911681"/>
    <w:rsid w:val="00913483"/>
    <w:rsid w:val="0091376B"/>
    <w:rsid w:val="009149C5"/>
    <w:rsid w:val="009162CE"/>
    <w:rsid w:val="0091662C"/>
    <w:rsid w:val="009171F4"/>
    <w:rsid w:val="00917794"/>
    <w:rsid w:val="00920B5C"/>
    <w:rsid w:val="009210EA"/>
    <w:rsid w:val="00921F6C"/>
    <w:rsid w:val="009220B3"/>
    <w:rsid w:val="00923136"/>
    <w:rsid w:val="00923A3F"/>
    <w:rsid w:val="00923FE2"/>
    <w:rsid w:val="009258D8"/>
    <w:rsid w:val="0092640D"/>
    <w:rsid w:val="00930B73"/>
    <w:rsid w:val="00932760"/>
    <w:rsid w:val="009332DF"/>
    <w:rsid w:val="00933584"/>
    <w:rsid w:val="009337D2"/>
    <w:rsid w:val="0093448B"/>
    <w:rsid w:val="009353F5"/>
    <w:rsid w:val="00935419"/>
    <w:rsid w:val="009356C3"/>
    <w:rsid w:val="00936927"/>
    <w:rsid w:val="00936E85"/>
    <w:rsid w:val="00937A91"/>
    <w:rsid w:val="00940BB5"/>
    <w:rsid w:val="00941976"/>
    <w:rsid w:val="009422B9"/>
    <w:rsid w:val="009425AE"/>
    <w:rsid w:val="00946AED"/>
    <w:rsid w:val="00950B59"/>
    <w:rsid w:val="00951931"/>
    <w:rsid w:val="00951BFC"/>
    <w:rsid w:val="0095278A"/>
    <w:rsid w:val="009529F0"/>
    <w:rsid w:val="00952B04"/>
    <w:rsid w:val="009538FE"/>
    <w:rsid w:val="00954166"/>
    <w:rsid w:val="00955064"/>
    <w:rsid w:val="009556C4"/>
    <w:rsid w:val="00955BAB"/>
    <w:rsid w:val="00956A80"/>
    <w:rsid w:val="00956BCA"/>
    <w:rsid w:val="009572F6"/>
    <w:rsid w:val="0096016D"/>
    <w:rsid w:val="009603CA"/>
    <w:rsid w:val="009607FF"/>
    <w:rsid w:val="00961F80"/>
    <w:rsid w:val="009623F2"/>
    <w:rsid w:val="009631E2"/>
    <w:rsid w:val="00964062"/>
    <w:rsid w:val="00964519"/>
    <w:rsid w:val="00964AEC"/>
    <w:rsid w:val="00966B26"/>
    <w:rsid w:val="00966DA7"/>
    <w:rsid w:val="0096747A"/>
    <w:rsid w:val="00970ADC"/>
    <w:rsid w:val="00970BF4"/>
    <w:rsid w:val="00972149"/>
    <w:rsid w:val="009722E1"/>
    <w:rsid w:val="0097375C"/>
    <w:rsid w:val="00974E29"/>
    <w:rsid w:val="00975B5C"/>
    <w:rsid w:val="00977351"/>
    <w:rsid w:val="009775C5"/>
    <w:rsid w:val="00977E21"/>
    <w:rsid w:val="00980A6F"/>
    <w:rsid w:val="00981D01"/>
    <w:rsid w:val="009841E4"/>
    <w:rsid w:val="0098492F"/>
    <w:rsid w:val="00984998"/>
    <w:rsid w:val="00985191"/>
    <w:rsid w:val="00985618"/>
    <w:rsid w:val="00985B1B"/>
    <w:rsid w:val="00986F85"/>
    <w:rsid w:val="00990AF2"/>
    <w:rsid w:val="009911B0"/>
    <w:rsid w:val="00991EE5"/>
    <w:rsid w:val="009925BE"/>
    <w:rsid w:val="00992BB6"/>
    <w:rsid w:val="00995816"/>
    <w:rsid w:val="00995B5E"/>
    <w:rsid w:val="0099640A"/>
    <w:rsid w:val="00997010"/>
    <w:rsid w:val="009A034A"/>
    <w:rsid w:val="009A0B62"/>
    <w:rsid w:val="009A0B89"/>
    <w:rsid w:val="009A102E"/>
    <w:rsid w:val="009A10D4"/>
    <w:rsid w:val="009A1A5C"/>
    <w:rsid w:val="009A1FDB"/>
    <w:rsid w:val="009A39BF"/>
    <w:rsid w:val="009A432F"/>
    <w:rsid w:val="009A44CE"/>
    <w:rsid w:val="009A4682"/>
    <w:rsid w:val="009A5B12"/>
    <w:rsid w:val="009A5FE6"/>
    <w:rsid w:val="009A6B0D"/>
    <w:rsid w:val="009A7104"/>
    <w:rsid w:val="009B2958"/>
    <w:rsid w:val="009B4456"/>
    <w:rsid w:val="009B495B"/>
    <w:rsid w:val="009B5D17"/>
    <w:rsid w:val="009B6A39"/>
    <w:rsid w:val="009B6B45"/>
    <w:rsid w:val="009C04FA"/>
    <w:rsid w:val="009C142F"/>
    <w:rsid w:val="009C1EE6"/>
    <w:rsid w:val="009C4462"/>
    <w:rsid w:val="009C456F"/>
    <w:rsid w:val="009C46D0"/>
    <w:rsid w:val="009C4ED6"/>
    <w:rsid w:val="009C4FDA"/>
    <w:rsid w:val="009C5AF5"/>
    <w:rsid w:val="009C61EE"/>
    <w:rsid w:val="009C698A"/>
    <w:rsid w:val="009C6EA5"/>
    <w:rsid w:val="009C792C"/>
    <w:rsid w:val="009D047F"/>
    <w:rsid w:val="009D13C3"/>
    <w:rsid w:val="009D1CFA"/>
    <w:rsid w:val="009D38EB"/>
    <w:rsid w:val="009D45E1"/>
    <w:rsid w:val="009D476F"/>
    <w:rsid w:val="009D5BDA"/>
    <w:rsid w:val="009E0133"/>
    <w:rsid w:val="009E087A"/>
    <w:rsid w:val="009E15FE"/>
    <w:rsid w:val="009E29FA"/>
    <w:rsid w:val="009E3BE7"/>
    <w:rsid w:val="009E3D9F"/>
    <w:rsid w:val="009E6022"/>
    <w:rsid w:val="009E6274"/>
    <w:rsid w:val="009E7807"/>
    <w:rsid w:val="009F0C07"/>
    <w:rsid w:val="009F0D15"/>
    <w:rsid w:val="009F124A"/>
    <w:rsid w:val="009F1385"/>
    <w:rsid w:val="009F1AE7"/>
    <w:rsid w:val="009F2D9F"/>
    <w:rsid w:val="009F3D60"/>
    <w:rsid w:val="009F47E9"/>
    <w:rsid w:val="009F55C1"/>
    <w:rsid w:val="009F5885"/>
    <w:rsid w:val="009F6757"/>
    <w:rsid w:val="009F6ABC"/>
    <w:rsid w:val="00A00549"/>
    <w:rsid w:val="00A0113D"/>
    <w:rsid w:val="00A01D65"/>
    <w:rsid w:val="00A025CB"/>
    <w:rsid w:val="00A028E6"/>
    <w:rsid w:val="00A03718"/>
    <w:rsid w:val="00A03C22"/>
    <w:rsid w:val="00A03CB7"/>
    <w:rsid w:val="00A05396"/>
    <w:rsid w:val="00A05515"/>
    <w:rsid w:val="00A057F6"/>
    <w:rsid w:val="00A05B28"/>
    <w:rsid w:val="00A07FC6"/>
    <w:rsid w:val="00A102CF"/>
    <w:rsid w:val="00A104F9"/>
    <w:rsid w:val="00A11F00"/>
    <w:rsid w:val="00A13B65"/>
    <w:rsid w:val="00A14573"/>
    <w:rsid w:val="00A14EE0"/>
    <w:rsid w:val="00A154C1"/>
    <w:rsid w:val="00A16D08"/>
    <w:rsid w:val="00A17C0B"/>
    <w:rsid w:val="00A201BF"/>
    <w:rsid w:val="00A2034C"/>
    <w:rsid w:val="00A21B2F"/>
    <w:rsid w:val="00A225CE"/>
    <w:rsid w:val="00A2381F"/>
    <w:rsid w:val="00A25050"/>
    <w:rsid w:val="00A2692D"/>
    <w:rsid w:val="00A26C9E"/>
    <w:rsid w:val="00A2704F"/>
    <w:rsid w:val="00A30365"/>
    <w:rsid w:val="00A31F84"/>
    <w:rsid w:val="00A3326A"/>
    <w:rsid w:val="00A3405E"/>
    <w:rsid w:val="00A34AEE"/>
    <w:rsid w:val="00A3684F"/>
    <w:rsid w:val="00A37457"/>
    <w:rsid w:val="00A37AFD"/>
    <w:rsid w:val="00A37CF1"/>
    <w:rsid w:val="00A37E1B"/>
    <w:rsid w:val="00A40C4E"/>
    <w:rsid w:val="00A40DD1"/>
    <w:rsid w:val="00A42464"/>
    <w:rsid w:val="00A434CB"/>
    <w:rsid w:val="00A47AA2"/>
    <w:rsid w:val="00A47ADC"/>
    <w:rsid w:val="00A5063C"/>
    <w:rsid w:val="00A50BAC"/>
    <w:rsid w:val="00A50D10"/>
    <w:rsid w:val="00A51047"/>
    <w:rsid w:val="00A51DDF"/>
    <w:rsid w:val="00A5290F"/>
    <w:rsid w:val="00A54264"/>
    <w:rsid w:val="00A54363"/>
    <w:rsid w:val="00A55D21"/>
    <w:rsid w:val="00A5698D"/>
    <w:rsid w:val="00A57BE1"/>
    <w:rsid w:val="00A57E31"/>
    <w:rsid w:val="00A60691"/>
    <w:rsid w:val="00A607E9"/>
    <w:rsid w:val="00A6228C"/>
    <w:rsid w:val="00A635A1"/>
    <w:rsid w:val="00A64512"/>
    <w:rsid w:val="00A64C00"/>
    <w:rsid w:val="00A65869"/>
    <w:rsid w:val="00A670B5"/>
    <w:rsid w:val="00A6760E"/>
    <w:rsid w:val="00A70F68"/>
    <w:rsid w:val="00A71B24"/>
    <w:rsid w:val="00A73423"/>
    <w:rsid w:val="00A73458"/>
    <w:rsid w:val="00A73D4A"/>
    <w:rsid w:val="00A74050"/>
    <w:rsid w:val="00A75201"/>
    <w:rsid w:val="00A75296"/>
    <w:rsid w:val="00A752A6"/>
    <w:rsid w:val="00A75FA2"/>
    <w:rsid w:val="00A761C9"/>
    <w:rsid w:val="00A76215"/>
    <w:rsid w:val="00A7689B"/>
    <w:rsid w:val="00A76CA8"/>
    <w:rsid w:val="00A772DC"/>
    <w:rsid w:val="00A80C38"/>
    <w:rsid w:val="00A82327"/>
    <w:rsid w:val="00A82623"/>
    <w:rsid w:val="00A833C1"/>
    <w:rsid w:val="00A834F1"/>
    <w:rsid w:val="00A834F3"/>
    <w:rsid w:val="00A84117"/>
    <w:rsid w:val="00A85BAA"/>
    <w:rsid w:val="00A86E86"/>
    <w:rsid w:val="00A8724A"/>
    <w:rsid w:val="00A873D7"/>
    <w:rsid w:val="00A87D11"/>
    <w:rsid w:val="00A9076B"/>
    <w:rsid w:val="00A92326"/>
    <w:rsid w:val="00A943C3"/>
    <w:rsid w:val="00A9477D"/>
    <w:rsid w:val="00A94C92"/>
    <w:rsid w:val="00A9521B"/>
    <w:rsid w:val="00A95980"/>
    <w:rsid w:val="00A96674"/>
    <w:rsid w:val="00A96A02"/>
    <w:rsid w:val="00A9726E"/>
    <w:rsid w:val="00A9752E"/>
    <w:rsid w:val="00A97FB3"/>
    <w:rsid w:val="00AA173F"/>
    <w:rsid w:val="00AA206C"/>
    <w:rsid w:val="00AA2BDC"/>
    <w:rsid w:val="00AA3A9B"/>
    <w:rsid w:val="00AA5BC3"/>
    <w:rsid w:val="00AA5C37"/>
    <w:rsid w:val="00AA6F1E"/>
    <w:rsid w:val="00AA71AC"/>
    <w:rsid w:val="00AA7DC4"/>
    <w:rsid w:val="00AB05D5"/>
    <w:rsid w:val="00AB0A16"/>
    <w:rsid w:val="00AB0A6B"/>
    <w:rsid w:val="00AB0A87"/>
    <w:rsid w:val="00AB1740"/>
    <w:rsid w:val="00AB1866"/>
    <w:rsid w:val="00AB2D5B"/>
    <w:rsid w:val="00AB3A07"/>
    <w:rsid w:val="00AB3B35"/>
    <w:rsid w:val="00AB4CBB"/>
    <w:rsid w:val="00AB6E6A"/>
    <w:rsid w:val="00AB75CF"/>
    <w:rsid w:val="00AB790E"/>
    <w:rsid w:val="00AB7CE2"/>
    <w:rsid w:val="00AC15DC"/>
    <w:rsid w:val="00AC1C78"/>
    <w:rsid w:val="00AC2CBC"/>
    <w:rsid w:val="00AC2E18"/>
    <w:rsid w:val="00AC5428"/>
    <w:rsid w:val="00AC587E"/>
    <w:rsid w:val="00AC5E6D"/>
    <w:rsid w:val="00AC659E"/>
    <w:rsid w:val="00AC6E6E"/>
    <w:rsid w:val="00AC7E67"/>
    <w:rsid w:val="00AD1A13"/>
    <w:rsid w:val="00AD241E"/>
    <w:rsid w:val="00AD24C7"/>
    <w:rsid w:val="00AD27F2"/>
    <w:rsid w:val="00AD2E63"/>
    <w:rsid w:val="00AD3B63"/>
    <w:rsid w:val="00AD3D7D"/>
    <w:rsid w:val="00AE1D0B"/>
    <w:rsid w:val="00AE2050"/>
    <w:rsid w:val="00AE2CF6"/>
    <w:rsid w:val="00AE3EE2"/>
    <w:rsid w:val="00AE4FCC"/>
    <w:rsid w:val="00AE76AA"/>
    <w:rsid w:val="00AE7700"/>
    <w:rsid w:val="00AE77FB"/>
    <w:rsid w:val="00AF0C7A"/>
    <w:rsid w:val="00AF2F06"/>
    <w:rsid w:val="00AF3617"/>
    <w:rsid w:val="00AF4D7B"/>
    <w:rsid w:val="00AF5A2A"/>
    <w:rsid w:val="00AF6181"/>
    <w:rsid w:val="00AF6300"/>
    <w:rsid w:val="00AF63C0"/>
    <w:rsid w:val="00AF69C5"/>
    <w:rsid w:val="00AF6D6F"/>
    <w:rsid w:val="00AF7A5F"/>
    <w:rsid w:val="00AF7F77"/>
    <w:rsid w:val="00B01636"/>
    <w:rsid w:val="00B01ADA"/>
    <w:rsid w:val="00B02597"/>
    <w:rsid w:val="00B03710"/>
    <w:rsid w:val="00B03BD1"/>
    <w:rsid w:val="00B044CC"/>
    <w:rsid w:val="00B044DE"/>
    <w:rsid w:val="00B0454D"/>
    <w:rsid w:val="00B04C4D"/>
    <w:rsid w:val="00B055A6"/>
    <w:rsid w:val="00B05F62"/>
    <w:rsid w:val="00B06E04"/>
    <w:rsid w:val="00B07C4C"/>
    <w:rsid w:val="00B10E9C"/>
    <w:rsid w:val="00B11760"/>
    <w:rsid w:val="00B11959"/>
    <w:rsid w:val="00B1310E"/>
    <w:rsid w:val="00B13790"/>
    <w:rsid w:val="00B15379"/>
    <w:rsid w:val="00B16655"/>
    <w:rsid w:val="00B172F0"/>
    <w:rsid w:val="00B17D6F"/>
    <w:rsid w:val="00B17EA4"/>
    <w:rsid w:val="00B20257"/>
    <w:rsid w:val="00B202DC"/>
    <w:rsid w:val="00B2032D"/>
    <w:rsid w:val="00B21061"/>
    <w:rsid w:val="00B2176E"/>
    <w:rsid w:val="00B21C35"/>
    <w:rsid w:val="00B22EEB"/>
    <w:rsid w:val="00B238A3"/>
    <w:rsid w:val="00B24FFD"/>
    <w:rsid w:val="00B32110"/>
    <w:rsid w:val="00B34950"/>
    <w:rsid w:val="00B34A03"/>
    <w:rsid w:val="00B35376"/>
    <w:rsid w:val="00B3557B"/>
    <w:rsid w:val="00B36803"/>
    <w:rsid w:val="00B36975"/>
    <w:rsid w:val="00B378D0"/>
    <w:rsid w:val="00B37F6A"/>
    <w:rsid w:val="00B413C8"/>
    <w:rsid w:val="00B41411"/>
    <w:rsid w:val="00B4178C"/>
    <w:rsid w:val="00B4335D"/>
    <w:rsid w:val="00B43888"/>
    <w:rsid w:val="00B4400E"/>
    <w:rsid w:val="00B467B0"/>
    <w:rsid w:val="00B47229"/>
    <w:rsid w:val="00B50355"/>
    <w:rsid w:val="00B5059C"/>
    <w:rsid w:val="00B531B8"/>
    <w:rsid w:val="00B533D0"/>
    <w:rsid w:val="00B53842"/>
    <w:rsid w:val="00B538D8"/>
    <w:rsid w:val="00B53F69"/>
    <w:rsid w:val="00B5661D"/>
    <w:rsid w:val="00B57167"/>
    <w:rsid w:val="00B5794C"/>
    <w:rsid w:val="00B57D76"/>
    <w:rsid w:val="00B63DC6"/>
    <w:rsid w:val="00B70A42"/>
    <w:rsid w:val="00B7183D"/>
    <w:rsid w:val="00B71C37"/>
    <w:rsid w:val="00B72976"/>
    <w:rsid w:val="00B730DA"/>
    <w:rsid w:val="00B7342E"/>
    <w:rsid w:val="00B7382A"/>
    <w:rsid w:val="00B755D7"/>
    <w:rsid w:val="00B76B3F"/>
    <w:rsid w:val="00B817BA"/>
    <w:rsid w:val="00B8190C"/>
    <w:rsid w:val="00B8246A"/>
    <w:rsid w:val="00B83003"/>
    <w:rsid w:val="00B845CF"/>
    <w:rsid w:val="00B847A5"/>
    <w:rsid w:val="00B8582A"/>
    <w:rsid w:val="00B85FAB"/>
    <w:rsid w:val="00B8653C"/>
    <w:rsid w:val="00B9057B"/>
    <w:rsid w:val="00B93CC1"/>
    <w:rsid w:val="00B94310"/>
    <w:rsid w:val="00B94EE4"/>
    <w:rsid w:val="00B965B7"/>
    <w:rsid w:val="00B969CD"/>
    <w:rsid w:val="00BA0523"/>
    <w:rsid w:val="00BA0EE1"/>
    <w:rsid w:val="00BA19D9"/>
    <w:rsid w:val="00BA1B5F"/>
    <w:rsid w:val="00BA21D7"/>
    <w:rsid w:val="00BA3735"/>
    <w:rsid w:val="00BA3842"/>
    <w:rsid w:val="00BA3D15"/>
    <w:rsid w:val="00BA3D25"/>
    <w:rsid w:val="00BA4EDB"/>
    <w:rsid w:val="00BA6CF8"/>
    <w:rsid w:val="00BA7511"/>
    <w:rsid w:val="00BB006E"/>
    <w:rsid w:val="00BB23C7"/>
    <w:rsid w:val="00BB2B71"/>
    <w:rsid w:val="00BB51D7"/>
    <w:rsid w:val="00BB5F0C"/>
    <w:rsid w:val="00BB63DC"/>
    <w:rsid w:val="00BC0EE1"/>
    <w:rsid w:val="00BC11C9"/>
    <w:rsid w:val="00BC1A9A"/>
    <w:rsid w:val="00BC245A"/>
    <w:rsid w:val="00BC3215"/>
    <w:rsid w:val="00BC3515"/>
    <w:rsid w:val="00BC4085"/>
    <w:rsid w:val="00BC4FB5"/>
    <w:rsid w:val="00BC7F73"/>
    <w:rsid w:val="00BD0066"/>
    <w:rsid w:val="00BD060E"/>
    <w:rsid w:val="00BD14FC"/>
    <w:rsid w:val="00BD24DF"/>
    <w:rsid w:val="00BD27F6"/>
    <w:rsid w:val="00BD27F9"/>
    <w:rsid w:val="00BD3B74"/>
    <w:rsid w:val="00BD4416"/>
    <w:rsid w:val="00BD4C2A"/>
    <w:rsid w:val="00BD4D10"/>
    <w:rsid w:val="00BD6EB5"/>
    <w:rsid w:val="00BD7ACE"/>
    <w:rsid w:val="00BD7B8E"/>
    <w:rsid w:val="00BD7C22"/>
    <w:rsid w:val="00BE044B"/>
    <w:rsid w:val="00BE0D1F"/>
    <w:rsid w:val="00BE267F"/>
    <w:rsid w:val="00BE3A60"/>
    <w:rsid w:val="00BE4F19"/>
    <w:rsid w:val="00BE5BA0"/>
    <w:rsid w:val="00BE5D2D"/>
    <w:rsid w:val="00BE5D94"/>
    <w:rsid w:val="00BE6907"/>
    <w:rsid w:val="00BE6E8B"/>
    <w:rsid w:val="00BE758D"/>
    <w:rsid w:val="00BE77F1"/>
    <w:rsid w:val="00BE7CDF"/>
    <w:rsid w:val="00BF0178"/>
    <w:rsid w:val="00BF05E6"/>
    <w:rsid w:val="00BF0961"/>
    <w:rsid w:val="00BF3040"/>
    <w:rsid w:val="00BF3F7E"/>
    <w:rsid w:val="00BF424C"/>
    <w:rsid w:val="00BF4D1C"/>
    <w:rsid w:val="00BF4F7D"/>
    <w:rsid w:val="00BF50FB"/>
    <w:rsid w:val="00BF5193"/>
    <w:rsid w:val="00BF7782"/>
    <w:rsid w:val="00C00ED1"/>
    <w:rsid w:val="00C0171D"/>
    <w:rsid w:val="00C050D5"/>
    <w:rsid w:val="00C10CC4"/>
    <w:rsid w:val="00C11D03"/>
    <w:rsid w:val="00C11E75"/>
    <w:rsid w:val="00C152AD"/>
    <w:rsid w:val="00C15D91"/>
    <w:rsid w:val="00C166F2"/>
    <w:rsid w:val="00C1762D"/>
    <w:rsid w:val="00C20166"/>
    <w:rsid w:val="00C20FE2"/>
    <w:rsid w:val="00C21375"/>
    <w:rsid w:val="00C215BB"/>
    <w:rsid w:val="00C22EE0"/>
    <w:rsid w:val="00C23452"/>
    <w:rsid w:val="00C23696"/>
    <w:rsid w:val="00C23C7C"/>
    <w:rsid w:val="00C24604"/>
    <w:rsid w:val="00C25031"/>
    <w:rsid w:val="00C267C9"/>
    <w:rsid w:val="00C267CA"/>
    <w:rsid w:val="00C27032"/>
    <w:rsid w:val="00C321EF"/>
    <w:rsid w:val="00C323D9"/>
    <w:rsid w:val="00C330E3"/>
    <w:rsid w:val="00C35963"/>
    <w:rsid w:val="00C363AA"/>
    <w:rsid w:val="00C36427"/>
    <w:rsid w:val="00C37AC0"/>
    <w:rsid w:val="00C40A03"/>
    <w:rsid w:val="00C40EDD"/>
    <w:rsid w:val="00C40EFB"/>
    <w:rsid w:val="00C41084"/>
    <w:rsid w:val="00C41F60"/>
    <w:rsid w:val="00C464E2"/>
    <w:rsid w:val="00C46BD2"/>
    <w:rsid w:val="00C4704A"/>
    <w:rsid w:val="00C4744D"/>
    <w:rsid w:val="00C50E51"/>
    <w:rsid w:val="00C5185E"/>
    <w:rsid w:val="00C5278C"/>
    <w:rsid w:val="00C53172"/>
    <w:rsid w:val="00C53B60"/>
    <w:rsid w:val="00C53DA7"/>
    <w:rsid w:val="00C54BA6"/>
    <w:rsid w:val="00C54DE2"/>
    <w:rsid w:val="00C56053"/>
    <w:rsid w:val="00C56FF0"/>
    <w:rsid w:val="00C576A3"/>
    <w:rsid w:val="00C57786"/>
    <w:rsid w:val="00C57D80"/>
    <w:rsid w:val="00C6001D"/>
    <w:rsid w:val="00C62B3D"/>
    <w:rsid w:val="00C62C3B"/>
    <w:rsid w:val="00C64A4D"/>
    <w:rsid w:val="00C65365"/>
    <w:rsid w:val="00C6546B"/>
    <w:rsid w:val="00C6630A"/>
    <w:rsid w:val="00C665E5"/>
    <w:rsid w:val="00C66631"/>
    <w:rsid w:val="00C6797B"/>
    <w:rsid w:val="00C70F3B"/>
    <w:rsid w:val="00C71BC4"/>
    <w:rsid w:val="00C722AF"/>
    <w:rsid w:val="00C72F9D"/>
    <w:rsid w:val="00C730E8"/>
    <w:rsid w:val="00C737CE"/>
    <w:rsid w:val="00C7386E"/>
    <w:rsid w:val="00C73AA6"/>
    <w:rsid w:val="00C74481"/>
    <w:rsid w:val="00C74718"/>
    <w:rsid w:val="00C74F9A"/>
    <w:rsid w:val="00C75608"/>
    <w:rsid w:val="00C7593B"/>
    <w:rsid w:val="00C80BFD"/>
    <w:rsid w:val="00C812E0"/>
    <w:rsid w:val="00C852A3"/>
    <w:rsid w:val="00C85A05"/>
    <w:rsid w:val="00C86815"/>
    <w:rsid w:val="00C8743B"/>
    <w:rsid w:val="00C90892"/>
    <w:rsid w:val="00C92A18"/>
    <w:rsid w:val="00C94971"/>
    <w:rsid w:val="00C95DF0"/>
    <w:rsid w:val="00C95F20"/>
    <w:rsid w:val="00C966A8"/>
    <w:rsid w:val="00C96D80"/>
    <w:rsid w:val="00C972CB"/>
    <w:rsid w:val="00C97788"/>
    <w:rsid w:val="00CA0817"/>
    <w:rsid w:val="00CA14C1"/>
    <w:rsid w:val="00CA1B00"/>
    <w:rsid w:val="00CA2BEE"/>
    <w:rsid w:val="00CA3AD6"/>
    <w:rsid w:val="00CA404E"/>
    <w:rsid w:val="00CA419F"/>
    <w:rsid w:val="00CA49F6"/>
    <w:rsid w:val="00CA52BE"/>
    <w:rsid w:val="00CA5D83"/>
    <w:rsid w:val="00CA619E"/>
    <w:rsid w:val="00CA72FC"/>
    <w:rsid w:val="00CA79B1"/>
    <w:rsid w:val="00CB01C4"/>
    <w:rsid w:val="00CB2336"/>
    <w:rsid w:val="00CB2345"/>
    <w:rsid w:val="00CB376E"/>
    <w:rsid w:val="00CB3E75"/>
    <w:rsid w:val="00CB60C7"/>
    <w:rsid w:val="00CB6541"/>
    <w:rsid w:val="00CB687C"/>
    <w:rsid w:val="00CB72DC"/>
    <w:rsid w:val="00CB7AC5"/>
    <w:rsid w:val="00CB7D29"/>
    <w:rsid w:val="00CC12B1"/>
    <w:rsid w:val="00CC1E7D"/>
    <w:rsid w:val="00CC2E1C"/>
    <w:rsid w:val="00CC374C"/>
    <w:rsid w:val="00CC39DC"/>
    <w:rsid w:val="00CC415A"/>
    <w:rsid w:val="00CC4577"/>
    <w:rsid w:val="00CC4831"/>
    <w:rsid w:val="00CC59B2"/>
    <w:rsid w:val="00CC6261"/>
    <w:rsid w:val="00CC6DBE"/>
    <w:rsid w:val="00CD11C0"/>
    <w:rsid w:val="00CD15F6"/>
    <w:rsid w:val="00CD1A5E"/>
    <w:rsid w:val="00CD1A6C"/>
    <w:rsid w:val="00CD24CD"/>
    <w:rsid w:val="00CD2554"/>
    <w:rsid w:val="00CD2F4C"/>
    <w:rsid w:val="00CD4C2D"/>
    <w:rsid w:val="00CD605B"/>
    <w:rsid w:val="00CD6521"/>
    <w:rsid w:val="00CD6EC2"/>
    <w:rsid w:val="00CE13A9"/>
    <w:rsid w:val="00CE19BB"/>
    <w:rsid w:val="00CE2E1F"/>
    <w:rsid w:val="00CE378E"/>
    <w:rsid w:val="00CE4CE7"/>
    <w:rsid w:val="00CE5611"/>
    <w:rsid w:val="00CE5D33"/>
    <w:rsid w:val="00CF03B5"/>
    <w:rsid w:val="00CF041D"/>
    <w:rsid w:val="00CF1A94"/>
    <w:rsid w:val="00CF1A9B"/>
    <w:rsid w:val="00CF1D3E"/>
    <w:rsid w:val="00CF47EA"/>
    <w:rsid w:val="00CF48C6"/>
    <w:rsid w:val="00CF523F"/>
    <w:rsid w:val="00CF615F"/>
    <w:rsid w:val="00CF6A4C"/>
    <w:rsid w:val="00CF7287"/>
    <w:rsid w:val="00CF7354"/>
    <w:rsid w:val="00CF76B1"/>
    <w:rsid w:val="00D01833"/>
    <w:rsid w:val="00D026A4"/>
    <w:rsid w:val="00D030BC"/>
    <w:rsid w:val="00D04514"/>
    <w:rsid w:val="00D0645E"/>
    <w:rsid w:val="00D0721E"/>
    <w:rsid w:val="00D075CB"/>
    <w:rsid w:val="00D07E4B"/>
    <w:rsid w:val="00D10B1D"/>
    <w:rsid w:val="00D11088"/>
    <w:rsid w:val="00D11FA8"/>
    <w:rsid w:val="00D1258A"/>
    <w:rsid w:val="00D13323"/>
    <w:rsid w:val="00D13340"/>
    <w:rsid w:val="00D13B0F"/>
    <w:rsid w:val="00D15E8C"/>
    <w:rsid w:val="00D161BC"/>
    <w:rsid w:val="00D16CCA"/>
    <w:rsid w:val="00D17DE0"/>
    <w:rsid w:val="00D21465"/>
    <w:rsid w:val="00D221A6"/>
    <w:rsid w:val="00D22333"/>
    <w:rsid w:val="00D22BE2"/>
    <w:rsid w:val="00D231E5"/>
    <w:rsid w:val="00D23253"/>
    <w:rsid w:val="00D2375B"/>
    <w:rsid w:val="00D23CB9"/>
    <w:rsid w:val="00D23F75"/>
    <w:rsid w:val="00D254BC"/>
    <w:rsid w:val="00D256BE"/>
    <w:rsid w:val="00D257A1"/>
    <w:rsid w:val="00D271AC"/>
    <w:rsid w:val="00D274F0"/>
    <w:rsid w:val="00D27644"/>
    <w:rsid w:val="00D302AD"/>
    <w:rsid w:val="00D31594"/>
    <w:rsid w:val="00D32A07"/>
    <w:rsid w:val="00D32B40"/>
    <w:rsid w:val="00D33639"/>
    <w:rsid w:val="00D34685"/>
    <w:rsid w:val="00D3483E"/>
    <w:rsid w:val="00D350CC"/>
    <w:rsid w:val="00D3611A"/>
    <w:rsid w:val="00D367C8"/>
    <w:rsid w:val="00D37061"/>
    <w:rsid w:val="00D37325"/>
    <w:rsid w:val="00D37F78"/>
    <w:rsid w:val="00D4071F"/>
    <w:rsid w:val="00D40BF6"/>
    <w:rsid w:val="00D4182B"/>
    <w:rsid w:val="00D41AB7"/>
    <w:rsid w:val="00D43666"/>
    <w:rsid w:val="00D436A3"/>
    <w:rsid w:val="00D43A4B"/>
    <w:rsid w:val="00D44022"/>
    <w:rsid w:val="00D441BF"/>
    <w:rsid w:val="00D441E7"/>
    <w:rsid w:val="00D44DA8"/>
    <w:rsid w:val="00D44DE1"/>
    <w:rsid w:val="00D46268"/>
    <w:rsid w:val="00D46EB5"/>
    <w:rsid w:val="00D47B76"/>
    <w:rsid w:val="00D52F48"/>
    <w:rsid w:val="00D53140"/>
    <w:rsid w:val="00D53659"/>
    <w:rsid w:val="00D538AB"/>
    <w:rsid w:val="00D54973"/>
    <w:rsid w:val="00D55874"/>
    <w:rsid w:val="00D55E0D"/>
    <w:rsid w:val="00D55F86"/>
    <w:rsid w:val="00D56025"/>
    <w:rsid w:val="00D568AB"/>
    <w:rsid w:val="00D56AA8"/>
    <w:rsid w:val="00D57195"/>
    <w:rsid w:val="00D57605"/>
    <w:rsid w:val="00D61E44"/>
    <w:rsid w:val="00D6391E"/>
    <w:rsid w:val="00D663B1"/>
    <w:rsid w:val="00D66D49"/>
    <w:rsid w:val="00D7146F"/>
    <w:rsid w:val="00D73356"/>
    <w:rsid w:val="00D7379F"/>
    <w:rsid w:val="00D74423"/>
    <w:rsid w:val="00D74ED9"/>
    <w:rsid w:val="00D758E3"/>
    <w:rsid w:val="00D768F6"/>
    <w:rsid w:val="00D813D4"/>
    <w:rsid w:val="00D815E8"/>
    <w:rsid w:val="00D81BFB"/>
    <w:rsid w:val="00D8360D"/>
    <w:rsid w:val="00D83A11"/>
    <w:rsid w:val="00D84DB9"/>
    <w:rsid w:val="00D85C6F"/>
    <w:rsid w:val="00D8630F"/>
    <w:rsid w:val="00D86FCF"/>
    <w:rsid w:val="00D8737E"/>
    <w:rsid w:val="00D87A9F"/>
    <w:rsid w:val="00D87F2A"/>
    <w:rsid w:val="00D87FC2"/>
    <w:rsid w:val="00D91B75"/>
    <w:rsid w:val="00D931EB"/>
    <w:rsid w:val="00D935B4"/>
    <w:rsid w:val="00D940A6"/>
    <w:rsid w:val="00D94556"/>
    <w:rsid w:val="00D96CBD"/>
    <w:rsid w:val="00DA00A9"/>
    <w:rsid w:val="00DA06F6"/>
    <w:rsid w:val="00DA0910"/>
    <w:rsid w:val="00DA0BE0"/>
    <w:rsid w:val="00DA1460"/>
    <w:rsid w:val="00DA1EE3"/>
    <w:rsid w:val="00DA2204"/>
    <w:rsid w:val="00DA2384"/>
    <w:rsid w:val="00DA2E7D"/>
    <w:rsid w:val="00DA428F"/>
    <w:rsid w:val="00DA4337"/>
    <w:rsid w:val="00DA4BCA"/>
    <w:rsid w:val="00DA608E"/>
    <w:rsid w:val="00DA6320"/>
    <w:rsid w:val="00DA675D"/>
    <w:rsid w:val="00DA74AF"/>
    <w:rsid w:val="00DA7F5C"/>
    <w:rsid w:val="00DB0C18"/>
    <w:rsid w:val="00DB1650"/>
    <w:rsid w:val="00DB3CD2"/>
    <w:rsid w:val="00DB3F60"/>
    <w:rsid w:val="00DB5F70"/>
    <w:rsid w:val="00DB76C8"/>
    <w:rsid w:val="00DB7891"/>
    <w:rsid w:val="00DB799C"/>
    <w:rsid w:val="00DC07C9"/>
    <w:rsid w:val="00DC205B"/>
    <w:rsid w:val="00DC3CC4"/>
    <w:rsid w:val="00DC41AD"/>
    <w:rsid w:val="00DC5281"/>
    <w:rsid w:val="00DC57C3"/>
    <w:rsid w:val="00DC6232"/>
    <w:rsid w:val="00DC7E27"/>
    <w:rsid w:val="00DD01D9"/>
    <w:rsid w:val="00DD0212"/>
    <w:rsid w:val="00DD185E"/>
    <w:rsid w:val="00DD2F06"/>
    <w:rsid w:val="00DD370C"/>
    <w:rsid w:val="00DD39C2"/>
    <w:rsid w:val="00DD5696"/>
    <w:rsid w:val="00DD6532"/>
    <w:rsid w:val="00DD7438"/>
    <w:rsid w:val="00DD7D63"/>
    <w:rsid w:val="00DE047C"/>
    <w:rsid w:val="00DE09D8"/>
    <w:rsid w:val="00DE14E7"/>
    <w:rsid w:val="00DE4433"/>
    <w:rsid w:val="00DE44C8"/>
    <w:rsid w:val="00DE533A"/>
    <w:rsid w:val="00DE6776"/>
    <w:rsid w:val="00DE75D3"/>
    <w:rsid w:val="00DF0E79"/>
    <w:rsid w:val="00DF124A"/>
    <w:rsid w:val="00DF2AFC"/>
    <w:rsid w:val="00DF47D0"/>
    <w:rsid w:val="00DF7534"/>
    <w:rsid w:val="00E01E5E"/>
    <w:rsid w:val="00E02F10"/>
    <w:rsid w:val="00E03B9A"/>
    <w:rsid w:val="00E045E3"/>
    <w:rsid w:val="00E04641"/>
    <w:rsid w:val="00E05A91"/>
    <w:rsid w:val="00E05F04"/>
    <w:rsid w:val="00E066A9"/>
    <w:rsid w:val="00E067A0"/>
    <w:rsid w:val="00E10A78"/>
    <w:rsid w:val="00E11319"/>
    <w:rsid w:val="00E121F9"/>
    <w:rsid w:val="00E12A6D"/>
    <w:rsid w:val="00E13F89"/>
    <w:rsid w:val="00E153DC"/>
    <w:rsid w:val="00E1547C"/>
    <w:rsid w:val="00E155D4"/>
    <w:rsid w:val="00E15A3C"/>
    <w:rsid w:val="00E16540"/>
    <w:rsid w:val="00E1697F"/>
    <w:rsid w:val="00E16D46"/>
    <w:rsid w:val="00E17089"/>
    <w:rsid w:val="00E172F1"/>
    <w:rsid w:val="00E17467"/>
    <w:rsid w:val="00E17846"/>
    <w:rsid w:val="00E17B9C"/>
    <w:rsid w:val="00E21133"/>
    <w:rsid w:val="00E2298C"/>
    <w:rsid w:val="00E22E7E"/>
    <w:rsid w:val="00E243F2"/>
    <w:rsid w:val="00E25189"/>
    <w:rsid w:val="00E269AF"/>
    <w:rsid w:val="00E26F73"/>
    <w:rsid w:val="00E27163"/>
    <w:rsid w:val="00E275CC"/>
    <w:rsid w:val="00E3039D"/>
    <w:rsid w:val="00E30CAE"/>
    <w:rsid w:val="00E30D5E"/>
    <w:rsid w:val="00E30F43"/>
    <w:rsid w:val="00E3107D"/>
    <w:rsid w:val="00E320B2"/>
    <w:rsid w:val="00E32379"/>
    <w:rsid w:val="00E33724"/>
    <w:rsid w:val="00E33F98"/>
    <w:rsid w:val="00E34A7F"/>
    <w:rsid w:val="00E3510D"/>
    <w:rsid w:val="00E360A4"/>
    <w:rsid w:val="00E366AE"/>
    <w:rsid w:val="00E368B9"/>
    <w:rsid w:val="00E36998"/>
    <w:rsid w:val="00E37F84"/>
    <w:rsid w:val="00E4030E"/>
    <w:rsid w:val="00E40F8B"/>
    <w:rsid w:val="00E41793"/>
    <w:rsid w:val="00E42444"/>
    <w:rsid w:val="00E4319C"/>
    <w:rsid w:val="00E43D04"/>
    <w:rsid w:val="00E44722"/>
    <w:rsid w:val="00E45663"/>
    <w:rsid w:val="00E469FC"/>
    <w:rsid w:val="00E46B81"/>
    <w:rsid w:val="00E504CC"/>
    <w:rsid w:val="00E507D8"/>
    <w:rsid w:val="00E52D9E"/>
    <w:rsid w:val="00E52E8A"/>
    <w:rsid w:val="00E53E0B"/>
    <w:rsid w:val="00E5420A"/>
    <w:rsid w:val="00E546BD"/>
    <w:rsid w:val="00E56825"/>
    <w:rsid w:val="00E56AE5"/>
    <w:rsid w:val="00E574B3"/>
    <w:rsid w:val="00E5755C"/>
    <w:rsid w:val="00E577BA"/>
    <w:rsid w:val="00E57AAA"/>
    <w:rsid w:val="00E57F39"/>
    <w:rsid w:val="00E57F96"/>
    <w:rsid w:val="00E62543"/>
    <w:rsid w:val="00E62E27"/>
    <w:rsid w:val="00E62E73"/>
    <w:rsid w:val="00E64777"/>
    <w:rsid w:val="00E648AF"/>
    <w:rsid w:val="00E64FDF"/>
    <w:rsid w:val="00E65409"/>
    <w:rsid w:val="00E65CFB"/>
    <w:rsid w:val="00E66266"/>
    <w:rsid w:val="00E6638E"/>
    <w:rsid w:val="00E66CF9"/>
    <w:rsid w:val="00E675F7"/>
    <w:rsid w:val="00E6776D"/>
    <w:rsid w:val="00E67DB5"/>
    <w:rsid w:val="00E70B24"/>
    <w:rsid w:val="00E716C4"/>
    <w:rsid w:val="00E7198C"/>
    <w:rsid w:val="00E7243F"/>
    <w:rsid w:val="00E72D2B"/>
    <w:rsid w:val="00E731CA"/>
    <w:rsid w:val="00E73D85"/>
    <w:rsid w:val="00E746CE"/>
    <w:rsid w:val="00E74A95"/>
    <w:rsid w:val="00E7507A"/>
    <w:rsid w:val="00E7512C"/>
    <w:rsid w:val="00E75B42"/>
    <w:rsid w:val="00E77B18"/>
    <w:rsid w:val="00E800E3"/>
    <w:rsid w:val="00E80302"/>
    <w:rsid w:val="00E80DE2"/>
    <w:rsid w:val="00E81FF3"/>
    <w:rsid w:val="00E83D5A"/>
    <w:rsid w:val="00E84C51"/>
    <w:rsid w:val="00E85735"/>
    <w:rsid w:val="00E85D21"/>
    <w:rsid w:val="00E86EB4"/>
    <w:rsid w:val="00E8754B"/>
    <w:rsid w:val="00E87F9B"/>
    <w:rsid w:val="00E9051A"/>
    <w:rsid w:val="00E907CE"/>
    <w:rsid w:val="00E916A9"/>
    <w:rsid w:val="00E92B28"/>
    <w:rsid w:val="00E92F7E"/>
    <w:rsid w:val="00E93808"/>
    <w:rsid w:val="00E96590"/>
    <w:rsid w:val="00E976EE"/>
    <w:rsid w:val="00EA028A"/>
    <w:rsid w:val="00EA030E"/>
    <w:rsid w:val="00EA0AE6"/>
    <w:rsid w:val="00EA1299"/>
    <w:rsid w:val="00EA1AF5"/>
    <w:rsid w:val="00EA32EF"/>
    <w:rsid w:val="00EA33AB"/>
    <w:rsid w:val="00EA4727"/>
    <w:rsid w:val="00EA69E4"/>
    <w:rsid w:val="00EA7475"/>
    <w:rsid w:val="00EB0046"/>
    <w:rsid w:val="00EB086B"/>
    <w:rsid w:val="00EB08ED"/>
    <w:rsid w:val="00EB1D7D"/>
    <w:rsid w:val="00EB1EEF"/>
    <w:rsid w:val="00EB2D4A"/>
    <w:rsid w:val="00EB349C"/>
    <w:rsid w:val="00EB382A"/>
    <w:rsid w:val="00EB3888"/>
    <w:rsid w:val="00EB3A6B"/>
    <w:rsid w:val="00EB3E69"/>
    <w:rsid w:val="00EB4A2D"/>
    <w:rsid w:val="00EB5167"/>
    <w:rsid w:val="00EB55A9"/>
    <w:rsid w:val="00EB6E6A"/>
    <w:rsid w:val="00EB7862"/>
    <w:rsid w:val="00EC16D1"/>
    <w:rsid w:val="00EC34CE"/>
    <w:rsid w:val="00EC3930"/>
    <w:rsid w:val="00EC3FF3"/>
    <w:rsid w:val="00EC54CD"/>
    <w:rsid w:val="00EC5879"/>
    <w:rsid w:val="00EC589D"/>
    <w:rsid w:val="00EC713B"/>
    <w:rsid w:val="00EC7735"/>
    <w:rsid w:val="00EC7C78"/>
    <w:rsid w:val="00ED0BA1"/>
    <w:rsid w:val="00ED2B82"/>
    <w:rsid w:val="00ED30F2"/>
    <w:rsid w:val="00ED3B50"/>
    <w:rsid w:val="00ED4338"/>
    <w:rsid w:val="00ED4AB8"/>
    <w:rsid w:val="00ED4EFA"/>
    <w:rsid w:val="00ED5599"/>
    <w:rsid w:val="00ED5CD3"/>
    <w:rsid w:val="00ED6634"/>
    <w:rsid w:val="00ED679F"/>
    <w:rsid w:val="00ED68F5"/>
    <w:rsid w:val="00ED6D9B"/>
    <w:rsid w:val="00ED7524"/>
    <w:rsid w:val="00EE1B65"/>
    <w:rsid w:val="00EE2ACB"/>
    <w:rsid w:val="00EE3074"/>
    <w:rsid w:val="00EE3522"/>
    <w:rsid w:val="00EE3B13"/>
    <w:rsid w:val="00EE3FE5"/>
    <w:rsid w:val="00EE403F"/>
    <w:rsid w:val="00EE4A67"/>
    <w:rsid w:val="00EE5566"/>
    <w:rsid w:val="00EE6FF2"/>
    <w:rsid w:val="00EE6FFC"/>
    <w:rsid w:val="00EE7140"/>
    <w:rsid w:val="00EE7969"/>
    <w:rsid w:val="00EF0654"/>
    <w:rsid w:val="00EF0B84"/>
    <w:rsid w:val="00EF266E"/>
    <w:rsid w:val="00EF33F0"/>
    <w:rsid w:val="00EF4B67"/>
    <w:rsid w:val="00EF6E6C"/>
    <w:rsid w:val="00EF70FE"/>
    <w:rsid w:val="00EF78C5"/>
    <w:rsid w:val="00EF7AD1"/>
    <w:rsid w:val="00EF7CBE"/>
    <w:rsid w:val="00F01696"/>
    <w:rsid w:val="00F02675"/>
    <w:rsid w:val="00F031A6"/>
    <w:rsid w:val="00F031DE"/>
    <w:rsid w:val="00F03370"/>
    <w:rsid w:val="00F03CD6"/>
    <w:rsid w:val="00F046B0"/>
    <w:rsid w:val="00F0529D"/>
    <w:rsid w:val="00F0619D"/>
    <w:rsid w:val="00F061EB"/>
    <w:rsid w:val="00F0638C"/>
    <w:rsid w:val="00F06E4F"/>
    <w:rsid w:val="00F115A8"/>
    <w:rsid w:val="00F13541"/>
    <w:rsid w:val="00F13ABE"/>
    <w:rsid w:val="00F14A32"/>
    <w:rsid w:val="00F14A8B"/>
    <w:rsid w:val="00F17B52"/>
    <w:rsid w:val="00F17CEA"/>
    <w:rsid w:val="00F21DD7"/>
    <w:rsid w:val="00F2383E"/>
    <w:rsid w:val="00F24766"/>
    <w:rsid w:val="00F248B8"/>
    <w:rsid w:val="00F2567C"/>
    <w:rsid w:val="00F31268"/>
    <w:rsid w:val="00F3173D"/>
    <w:rsid w:val="00F326FC"/>
    <w:rsid w:val="00F33CC9"/>
    <w:rsid w:val="00F3468E"/>
    <w:rsid w:val="00F346C8"/>
    <w:rsid w:val="00F34737"/>
    <w:rsid w:val="00F3658A"/>
    <w:rsid w:val="00F368EA"/>
    <w:rsid w:val="00F36D69"/>
    <w:rsid w:val="00F37CA4"/>
    <w:rsid w:val="00F40D65"/>
    <w:rsid w:val="00F41F20"/>
    <w:rsid w:val="00F4299B"/>
    <w:rsid w:val="00F43589"/>
    <w:rsid w:val="00F43A72"/>
    <w:rsid w:val="00F43CD4"/>
    <w:rsid w:val="00F442CB"/>
    <w:rsid w:val="00F44552"/>
    <w:rsid w:val="00F4522E"/>
    <w:rsid w:val="00F478FD"/>
    <w:rsid w:val="00F5299B"/>
    <w:rsid w:val="00F53F8C"/>
    <w:rsid w:val="00F5418B"/>
    <w:rsid w:val="00F54EBC"/>
    <w:rsid w:val="00F55717"/>
    <w:rsid w:val="00F559D4"/>
    <w:rsid w:val="00F55FA7"/>
    <w:rsid w:val="00F569C2"/>
    <w:rsid w:val="00F57270"/>
    <w:rsid w:val="00F57BE4"/>
    <w:rsid w:val="00F61E4C"/>
    <w:rsid w:val="00F65592"/>
    <w:rsid w:val="00F656AA"/>
    <w:rsid w:val="00F65F53"/>
    <w:rsid w:val="00F6656C"/>
    <w:rsid w:val="00F668A9"/>
    <w:rsid w:val="00F66CEB"/>
    <w:rsid w:val="00F66D0A"/>
    <w:rsid w:val="00F67261"/>
    <w:rsid w:val="00F712E1"/>
    <w:rsid w:val="00F71346"/>
    <w:rsid w:val="00F73048"/>
    <w:rsid w:val="00F73A1B"/>
    <w:rsid w:val="00F763D9"/>
    <w:rsid w:val="00F76EED"/>
    <w:rsid w:val="00F80C22"/>
    <w:rsid w:val="00F813D9"/>
    <w:rsid w:val="00F820F5"/>
    <w:rsid w:val="00F82D77"/>
    <w:rsid w:val="00F83187"/>
    <w:rsid w:val="00F8382B"/>
    <w:rsid w:val="00F8598A"/>
    <w:rsid w:val="00F862E0"/>
    <w:rsid w:val="00F90AC5"/>
    <w:rsid w:val="00F912C4"/>
    <w:rsid w:val="00F927F1"/>
    <w:rsid w:val="00F934F1"/>
    <w:rsid w:val="00F935CD"/>
    <w:rsid w:val="00F9399F"/>
    <w:rsid w:val="00F95D0A"/>
    <w:rsid w:val="00F9604F"/>
    <w:rsid w:val="00F96C5A"/>
    <w:rsid w:val="00F97015"/>
    <w:rsid w:val="00FA052B"/>
    <w:rsid w:val="00FA06DB"/>
    <w:rsid w:val="00FA08DF"/>
    <w:rsid w:val="00FA0EAC"/>
    <w:rsid w:val="00FA0EF9"/>
    <w:rsid w:val="00FA1461"/>
    <w:rsid w:val="00FA20E9"/>
    <w:rsid w:val="00FA227B"/>
    <w:rsid w:val="00FA2CE1"/>
    <w:rsid w:val="00FA33A3"/>
    <w:rsid w:val="00FA36FA"/>
    <w:rsid w:val="00FA3C9A"/>
    <w:rsid w:val="00FA4CB2"/>
    <w:rsid w:val="00FA5232"/>
    <w:rsid w:val="00FA573D"/>
    <w:rsid w:val="00FA63B5"/>
    <w:rsid w:val="00FA795D"/>
    <w:rsid w:val="00FB0395"/>
    <w:rsid w:val="00FB047A"/>
    <w:rsid w:val="00FB3E29"/>
    <w:rsid w:val="00FB6878"/>
    <w:rsid w:val="00FB6AD9"/>
    <w:rsid w:val="00FC138C"/>
    <w:rsid w:val="00FC1544"/>
    <w:rsid w:val="00FC4506"/>
    <w:rsid w:val="00FC4FD8"/>
    <w:rsid w:val="00FC5BD9"/>
    <w:rsid w:val="00FC681B"/>
    <w:rsid w:val="00FC6BB9"/>
    <w:rsid w:val="00FC6C58"/>
    <w:rsid w:val="00FC6E91"/>
    <w:rsid w:val="00FC7E59"/>
    <w:rsid w:val="00FD3753"/>
    <w:rsid w:val="00FD4549"/>
    <w:rsid w:val="00FD4564"/>
    <w:rsid w:val="00FD4914"/>
    <w:rsid w:val="00FD5A87"/>
    <w:rsid w:val="00FD781B"/>
    <w:rsid w:val="00FE0208"/>
    <w:rsid w:val="00FE09C0"/>
    <w:rsid w:val="00FE0BD9"/>
    <w:rsid w:val="00FE1380"/>
    <w:rsid w:val="00FE2005"/>
    <w:rsid w:val="00FE21D5"/>
    <w:rsid w:val="00FE2223"/>
    <w:rsid w:val="00FE2A52"/>
    <w:rsid w:val="00FE2D80"/>
    <w:rsid w:val="00FE3F87"/>
    <w:rsid w:val="00FE45C9"/>
    <w:rsid w:val="00FE5152"/>
    <w:rsid w:val="00FE5312"/>
    <w:rsid w:val="00FE6F9A"/>
    <w:rsid w:val="00FF0B33"/>
    <w:rsid w:val="00FF1502"/>
    <w:rsid w:val="00FF23A8"/>
    <w:rsid w:val="00FF25E0"/>
    <w:rsid w:val="00FF2CEF"/>
    <w:rsid w:val="00FF2F31"/>
    <w:rsid w:val="00FF30D5"/>
    <w:rsid w:val="00FF54B3"/>
    <w:rsid w:val="00FF5B67"/>
    <w:rsid w:val="00FF5CDF"/>
    <w:rsid w:val="00FF6B82"/>
    <w:rsid w:val="00FF7802"/>
    <w:rsid w:val="011D7E8A"/>
    <w:rsid w:val="052D4F21"/>
    <w:rsid w:val="05A46810"/>
    <w:rsid w:val="0A0B50CF"/>
    <w:rsid w:val="0B4B74DB"/>
    <w:rsid w:val="11314C9D"/>
    <w:rsid w:val="12B965F3"/>
    <w:rsid w:val="145F04F1"/>
    <w:rsid w:val="191A55F9"/>
    <w:rsid w:val="1C29666E"/>
    <w:rsid w:val="1E9B4CBE"/>
    <w:rsid w:val="256B34C1"/>
    <w:rsid w:val="28D10995"/>
    <w:rsid w:val="28ED3C0E"/>
    <w:rsid w:val="296B7CEE"/>
    <w:rsid w:val="2F177266"/>
    <w:rsid w:val="2F3105C8"/>
    <w:rsid w:val="33FA19D5"/>
    <w:rsid w:val="35957CD7"/>
    <w:rsid w:val="362C24D2"/>
    <w:rsid w:val="37D636AA"/>
    <w:rsid w:val="38CF5396"/>
    <w:rsid w:val="39052A6E"/>
    <w:rsid w:val="3A9D74A1"/>
    <w:rsid w:val="3B570F6E"/>
    <w:rsid w:val="3C7E15AD"/>
    <w:rsid w:val="3E222612"/>
    <w:rsid w:val="3E311DED"/>
    <w:rsid w:val="40D0614F"/>
    <w:rsid w:val="41C82074"/>
    <w:rsid w:val="41D56483"/>
    <w:rsid w:val="42F53BBA"/>
    <w:rsid w:val="45EC4DEA"/>
    <w:rsid w:val="46184820"/>
    <w:rsid w:val="47411B55"/>
    <w:rsid w:val="4C4D2341"/>
    <w:rsid w:val="4EAF384E"/>
    <w:rsid w:val="4FCC4DAE"/>
    <w:rsid w:val="4FDD5418"/>
    <w:rsid w:val="504F26A2"/>
    <w:rsid w:val="53085B6D"/>
    <w:rsid w:val="545C0DD6"/>
    <w:rsid w:val="5B2449E5"/>
    <w:rsid w:val="613351E3"/>
    <w:rsid w:val="65491EA9"/>
    <w:rsid w:val="656440B5"/>
    <w:rsid w:val="67A06C0A"/>
    <w:rsid w:val="693D552E"/>
    <w:rsid w:val="6CF77C2A"/>
    <w:rsid w:val="6E5B7280"/>
    <w:rsid w:val="75690FC4"/>
    <w:rsid w:val="76006C61"/>
    <w:rsid w:val="793D367B"/>
    <w:rsid w:val="7A4F114C"/>
    <w:rsid w:val="7E8D79D9"/>
    <w:rsid w:val="7FF608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6"/>
    <w:basedOn w:val="1"/>
    <w:next w:val="1"/>
    <w:link w:val="65"/>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7">
    <w:name w:val="table of authorities"/>
    <w:basedOn w:val="1"/>
    <w:next w:val="1"/>
    <w:qFormat/>
    <w:uiPriority w:val="0"/>
    <w:pPr>
      <w:ind w:left="420" w:leftChars="200"/>
    </w:pPr>
    <w:rPr>
      <w:rFonts w:ascii="Calibri" w:hAnsi="Calibri" w:eastAsia="宋体" w:cs="Times New Roman"/>
      <w:szCs w:val="24"/>
    </w:rPr>
  </w:style>
  <w:style w:type="paragraph" w:styleId="8">
    <w:name w:val="Normal Indent"/>
    <w:basedOn w:val="1"/>
    <w:link w:val="59"/>
    <w:qFormat/>
    <w:uiPriority w:val="99"/>
    <w:pPr>
      <w:ind w:firstLine="420"/>
    </w:pPr>
  </w:style>
  <w:style w:type="paragraph" w:styleId="9">
    <w:name w:val="index 5"/>
    <w:basedOn w:val="1"/>
    <w:next w:val="1"/>
    <w:semiHidden/>
    <w:unhideWhenUsed/>
    <w:qFormat/>
    <w:uiPriority w:val="99"/>
    <w:pPr>
      <w:ind w:left="800" w:leftChars="800"/>
    </w:pPr>
  </w:style>
  <w:style w:type="paragraph" w:styleId="10">
    <w:name w:val="annotation text"/>
    <w:basedOn w:val="1"/>
    <w:link w:val="51"/>
    <w:unhideWhenUsed/>
    <w:qFormat/>
    <w:uiPriority w:val="99"/>
    <w:pPr>
      <w:jc w:val="left"/>
    </w:pPr>
  </w:style>
  <w:style w:type="paragraph" w:styleId="11">
    <w:name w:val="Body Text 3"/>
    <w:basedOn w:val="1"/>
    <w:link w:val="47"/>
    <w:unhideWhenUsed/>
    <w:qFormat/>
    <w:uiPriority w:val="0"/>
    <w:pPr>
      <w:autoSpaceDE w:val="0"/>
      <w:autoSpaceDN w:val="0"/>
      <w:adjustRightInd w:val="0"/>
      <w:spacing w:after="120"/>
    </w:pPr>
    <w:rPr>
      <w:rFonts w:ascii="Times New Roman" w:hAnsi="Times New Roman" w:eastAsia="宋体" w:cs="Times New Roman"/>
      <w:color w:val="000000"/>
      <w:kern w:val="0"/>
      <w:sz w:val="16"/>
      <w:szCs w:val="16"/>
    </w:rPr>
  </w:style>
  <w:style w:type="paragraph" w:styleId="12">
    <w:name w:val="Body Text"/>
    <w:basedOn w:val="1"/>
    <w:link w:val="35"/>
    <w:semiHidden/>
    <w:unhideWhenUsed/>
    <w:qFormat/>
    <w:uiPriority w:val="99"/>
    <w:pPr>
      <w:spacing w:after="120"/>
    </w:pPr>
  </w:style>
  <w:style w:type="paragraph" w:styleId="13">
    <w:name w:val="Body Text Indent"/>
    <w:basedOn w:val="1"/>
    <w:link w:val="28"/>
    <w:unhideWhenUsed/>
    <w:qFormat/>
    <w:uiPriority w:val="0"/>
    <w:pPr>
      <w:spacing w:after="120"/>
      <w:ind w:left="420" w:leftChars="200"/>
    </w:pPr>
  </w:style>
  <w:style w:type="paragraph" w:styleId="14">
    <w:name w:val="Plain Text"/>
    <w:basedOn w:val="1"/>
    <w:link w:val="60"/>
    <w:unhideWhenUsed/>
    <w:qFormat/>
    <w:uiPriority w:val="99"/>
    <w:rPr>
      <w:rFonts w:ascii="Times New Roman" w:hAnsi="Times New Roman" w:eastAsia="宋体" w:cs="Times New Roman"/>
      <w:sz w:val="24"/>
      <w:szCs w:val="20"/>
    </w:rPr>
  </w:style>
  <w:style w:type="paragraph" w:styleId="15">
    <w:name w:val="Balloon Text"/>
    <w:basedOn w:val="1"/>
    <w:link w:val="43"/>
    <w:semiHidden/>
    <w:unhideWhenUsed/>
    <w:qFormat/>
    <w:uiPriority w:val="99"/>
    <w:rPr>
      <w:sz w:val="18"/>
      <w:szCs w:val="18"/>
    </w:rPr>
  </w:style>
  <w:style w:type="paragraph" w:styleId="16">
    <w:name w:val="footer"/>
    <w:basedOn w:val="1"/>
    <w:link w:val="30"/>
    <w:qFormat/>
    <w:uiPriority w:val="0"/>
    <w:pPr>
      <w:tabs>
        <w:tab w:val="center" w:pos="4153"/>
        <w:tab w:val="right" w:pos="8306"/>
      </w:tabs>
      <w:snapToGrid w:val="0"/>
      <w:jc w:val="left"/>
    </w:pPr>
    <w:rPr>
      <w:sz w:val="18"/>
      <w:szCs w:val="18"/>
    </w:rPr>
  </w:style>
  <w:style w:type="paragraph" w:styleId="17">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link w:val="34"/>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annotation subject"/>
    <w:basedOn w:val="10"/>
    <w:next w:val="10"/>
    <w:link w:val="52"/>
    <w:semiHidden/>
    <w:unhideWhenUsed/>
    <w:qFormat/>
    <w:uiPriority w:val="99"/>
    <w:rPr>
      <w:b/>
      <w:bCs/>
    </w:rPr>
  </w:style>
  <w:style w:type="paragraph" w:styleId="20">
    <w:name w:val="Body Text First Indent"/>
    <w:basedOn w:val="12"/>
    <w:link w:val="36"/>
    <w:unhideWhenUsed/>
    <w:qFormat/>
    <w:uiPriority w:val="99"/>
    <w:pPr>
      <w:ind w:firstLine="420" w:firstLineChars="100"/>
    </w:pPr>
  </w:style>
  <w:style w:type="paragraph" w:styleId="21">
    <w:name w:val="Body Text First Indent 2"/>
    <w:basedOn w:val="13"/>
    <w:link w:val="29"/>
    <w:unhideWhenUsed/>
    <w:qFormat/>
    <w:uiPriority w:val="0"/>
    <w:pPr>
      <w:ind w:firstLine="420" w:firstLineChars="200"/>
    </w:pPr>
    <w:rPr>
      <w:rFonts w:ascii="Times New Roman" w:hAnsi="Times New Roman" w:eastAsia="宋体" w:cs="Times New Roman"/>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qFormat/>
    <w:uiPriority w:val="0"/>
    <w:rPr>
      <w:color w:val="0000FF"/>
      <w:u w:val="single"/>
    </w:rPr>
  </w:style>
  <w:style w:type="character" w:styleId="26">
    <w:name w:val="annotation reference"/>
    <w:basedOn w:val="24"/>
    <w:semiHidden/>
    <w:unhideWhenUsed/>
    <w:qFormat/>
    <w:uiPriority w:val="99"/>
    <w:rPr>
      <w:sz w:val="21"/>
      <w:szCs w:val="21"/>
    </w:rPr>
  </w:style>
  <w:style w:type="character" w:customStyle="1" w:styleId="27">
    <w:name w:val="标题 1 字符"/>
    <w:basedOn w:val="24"/>
    <w:link w:val="4"/>
    <w:qFormat/>
    <w:uiPriority w:val="0"/>
    <w:rPr>
      <w:rFonts w:ascii="Times New Roman" w:hAnsi="Times New Roman" w:eastAsia="宋体" w:cs="Times New Roman"/>
      <w:b/>
      <w:bCs/>
      <w:kern w:val="44"/>
      <w:sz w:val="44"/>
      <w:szCs w:val="44"/>
    </w:rPr>
  </w:style>
  <w:style w:type="character" w:customStyle="1" w:styleId="28">
    <w:name w:val="正文文本缩进 字符"/>
    <w:basedOn w:val="24"/>
    <w:link w:val="13"/>
    <w:semiHidden/>
    <w:qFormat/>
    <w:uiPriority w:val="99"/>
  </w:style>
  <w:style w:type="character" w:customStyle="1" w:styleId="29">
    <w:name w:val="正文文本首行缩进 2 字符"/>
    <w:basedOn w:val="28"/>
    <w:link w:val="21"/>
    <w:qFormat/>
    <w:uiPriority w:val="0"/>
    <w:rPr>
      <w:rFonts w:ascii="Times New Roman" w:hAnsi="Times New Roman" w:eastAsia="宋体" w:cs="Times New Roman"/>
    </w:rPr>
  </w:style>
  <w:style w:type="character" w:customStyle="1" w:styleId="30">
    <w:name w:val="页脚 字符"/>
    <w:link w:val="16"/>
    <w:qFormat/>
    <w:uiPriority w:val="99"/>
    <w:rPr>
      <w:sz w:val="18"/>
      <w:szCs w:val="18"/>
    </w:rPr>
  </w:style>
  <w:style w:type="character" w:customStyle="1" w:styleId="31">
    <w:name w:val="页眉 字符"/>
    <w:link w:val="17"/>
    <w:qFormat/>
    <w:uiPriority w:val="0"/>
    <w:rPr>
      <w:sz w:val="18"/>
      <w:szCs w:val="18"/>
    </w:rPr>
  </w:style>
  <w:style w:type="character" w:customStyle="1" w:styleId="32">
    <w:name w:val="页脚 字符1"/>
    <w:basedOn w:val="24"/>
    <w:semiHidden/>
    <w:qFormat/>
    <w:uiPriority w:val="99"/>
    <w:rPr>
      <w:sz w:val="18"/>
      <w:szCs w:val="18"/>
    </w:rPr>
  </w:style>
  <w:style w:type="character" w:customStyle="1" w:styleId="33">
    <w:name w:val="页眉 字符1"/>
    <w:basedOn w:val="24"/>
    <w:semiHidden/>
    <w:qFormat/>
    <w:uiPriority w:val="99"/>
    <w:rPr>
      <w:sz w:val="18"/>
      <w:szCs w:val="18"/>
    </w:rPr>
  </w:style>
  <w:style w:type="character" w:customStyle="1" w:styleId="34">
    <w:name w:val="普通(网站) 字符"/>
    <w:link w:val="18"/>
    <w:qFormat/>
    <w:uiPriority w:val="0"/>
    <w:rPr>
      <w:rFonts w:ascii="宋体" w:hAnsi="宋体" w:eastAsia="宋体" w:cs="宋体"/>
      <w:kern w:val="0"/>
      <w:sz w:val="24"/>
      <w:szCs w:val="24"/>
    </w:rPr>
  </w:style>
  <w:style w:type="character" w:customStyle="1" w:styleId="35">
    <w:name w:val="正文文本 字符"/>
    <w:basedOn w:val="24"/>
    <w:link w:val="12"/>
    <w:semiHidden/>
    <w:qFormat/>
    <w:uiPriority w:val="99"/>
  </w:style>
  <w:style w:type="character" w:customStyle="1" w:styleId="36">
    <w:name w:val="正文文本首行缩进 字符"/>
    <w:basedOn w:val="35"/>
    <w:link w:val="20"/>
    <w:qFormat/>
    <w:uiPriority w:val="99"/>
  </w:style>
  <w:style w:type="paragraph" w:customStyle="1" w:styleId="37">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styleId="38">
    <w:name w:val="List Paragraph"/>
    <w:basedOn w:val="1"/>
    <w:link w:val="42"/>
    <w:qFormat/>
    <w:uiPriority w:val="0"/>
    <w:pPr>
      <w:ind w:firstLine="420" w:firstLineChars="200"/>
    </w:pPr>
  </w:style>
  <w:style w:type="character" w:customStyle="1" w:styleId="39">
    <w:name w:val="bookmark-item"/>
    <w:basedOn w:val="24"/>
    <w:qFormat/>
    <w:uiPriority w:val="0"/>
  </w:style>
  <w:style w:type="paragraph" w:customStyle="1" w:styleId="40">
    <w:name w:val="表格内容"/>
    <w:link w:val="41"/>
    <w:qFormat/>
    <w:uiPriority w:val="0"/>
    <w:pPr>
      <w:jc w:val="center"/>
    </w:pPr>
    <w:rPr>
      <w:rFonts w:ascii="Times New Roman" w:hAnsi="Times New Roman" w:eastAsia="宋体" w:cs="Times New Roman"/>
      <w:sz w:val="24"/>
      <w:szCs w:val="28"/>
      <w:lang w:val="en-US" w:eastAsia="zh-CN" w:bidi="ar-SA"/>
    </w:rPr>
  </w:style>
  <w:style w:type="character" w:customStyle="1" w:styleId="41">
    <w:name w:val="表格内容 字符"/>
    <w:basedOn w:val="24"/>
    <w:link w:val="40"/>
    <w:qFormat/>
    <w:uiPriority w:val="0"/>
    <w:rPr>
      <w:rFonts w:ascii="Times New Roman" w:hAnsi="Times New Roman" w:eastAsia="宋体" w:cs="Times New Roman"/>
      <w:kern w:val="0"/>
      <w:sz w:val="24"/>
      <w:szCs w:val="28"/>
    </w:rPr>
  </w:style>
  <w:style w:type="character" w:customStyle="1" w:styleId="42">
    <w:name w:val="列表段落 字符"/>
    <w:link w:val="38"/>
    <w:qFormat/>
    <w:uiPriority w:val="34"/>
  </w:style>
  <w:style w:type="character" w:customStyle="1" w:styleId="43">
    <w:name w:val="批注框文本 字符"/>
    <w:basedOn w:val="24"/>
    <w:link w:val="15"/>
    <w:semiHidden/>
    <w:qFormat/>
    <w:uiPriority w:val="99"/>
    <w:rPr>
      <w:sz w:val="18"/>
      <w:szCs w:val="18"/>
    </w:rPr>
  </w:style>
  <w:style w:type="paragraph" w:customStyle="1" w:styleId="44">
    <w:name w:val="表格标题"/>
    <w:next w:val="1"/>
    <w:link w:val="45"/>
    <w:qFormat/>
    <w:uiPriority w:val="0"/>
    <w:pPr>
      <w:tabs>
        <w:tab w:val="center" w:pos="4395"/>
      </w:tabs>
      <w:spacing w:line="360" w:lineRule="auto"/>
      <w:jc w:val="center"/>
    </w:pPr>
    <w:rPr>
      <w:rFonts w:ascii="Times New Roman" w:hAnsi="Times New Roman" w:eastAsia="宋体" w:cs="宋体"/>
      <w:b/>
      <w:sz w:val="28"/>
      <w:szCs w:val="28"/>
      <w:lang w:val="en-US" w:eastAsia="zh-CN" w:bidi="ar-SA"/>
    </w:rPr>
  </w:style>
  <w:style w:type="character" w:customStyle="1" w:styleId="45">
    <w:name w:val="表格标题 Char"/>
    <w:link w:val="44"/>
    <w:qFormat/>
    <w:uiPriority w:val="0"/>
    <w:rPr>
      <w:rFonts w:ascii="Times New Roman" w:hAnsi="Times New Roman" w:eastAsia="宋体" w:cs="宋体"/>
      <w:b/>
      <w:kern w:val="0"/>
      <w:sz w:val="28"/>
      <w:szCs w:val="28"/>
    </w:rPr>
  </w:style>
  <w:style w:type="paragraph" w:customStyle="1" w:styleId="46">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47">
    <w:name w:val="正文文本 3 字符"/>
    <w:basedOn w:val="24"/>
    <w:link w:val="11"/>
    <w:qFormat/>
    <w:uiPriority w:val="0"/>
    <w:rPr>
      <w:color w:val="000000"/>
      <w:sz w:val="16"/>
      <w:szCs w:val="16"/>
    </w:rPr>
  </w:style>
  <w:style w:type="character" w:customStyle="1" w:styleId="48">
    <w:name w:val="NormalCharacter"/>
    <w:qFormat/>
    <w:uiPriority w:val="0"/>
    <w:rPr>
      <w:rFonts w:ascii="Calibri" w:hAnsi="Calibri" w:eastAsia="宋体" w:cs="Times New Roman"/>
      <w:kern w:val="2"/>
      <w:sz w:val="21"/>
      <w:szCs w:val="22"/>
      <w:lang w:val="en-US" w:eastAsia="zh-CN" w:bidi="ar-SA"/>
    </w:rPr>
  </w:style>
  <w:style w:type="paragraph" w:customStyle="1" w:styleId="49">
    <w:name w:val="BodyText1I2"/>
    <w:basedOn w:val="1"/>
    <w:qFormat/>
    <w:uiPriority w:val="0"/>
    <w:pPr>
      <w:adjustRightInd w:val="0"/>
      <w:spacing w:after="120" w:line="360" w:lineRule="auto"/>
      <w:ind w:left="420" w:leftChars="200" w:firstLine="420" w:firstLineChars="200"/>
      <w:textAlignment w:val="baseline"/>
    </w:pPr>
    <w:rPr>
      <w:rFonts w:ascii="Calibri" w:hAnsi="Calibri" w:eastAsia="宋体" w:cs="Times New Roman"/>
      <w:color w:val="000000"/>
      <w:sz w:val="24"/>
    </w:rPr>
  </w:style>
  <w:style w:type="paragraph" w:customStyle="1" w:styleId="50">
    <w:name w:val="标准正文"/>
    <w:basedOn w:val="1"/>
    <w:qFormat/>
    <w:uiPriority w:val="0"/>
    <w:pPr>
      <w:spacing w:afterLines="50"/>
      <w:ind w:firstLine="200" w:firstLineChars="200"/>
    </w:pPr>
    <w:rPr>
      <w:rFonts w:ascii="Times New Roman" w:hAnsi="Times New Roman" w:eastAsia="宋体" w:cs="Times New Roman"/>
      <w:sz w:val="24"/>
      <w:szCs w:val="21"/>
    </w:rPr>
  </w:style>
  <w:style w:type="character" w:customStyle="1" w:styleId="51">
    <w:name w:val="批注文字 字符"/>
    <w:basedOn w:val="24"/>
    <w:link w:val="10"/>
    <w:qFormat/>
    <w:uiPriority w:val="99"/>
    <w:rPr>
      <w:rFonts w:asciiTheme="minorHAnsi" w:hAnsiTheme="minorHAnsi" w:eastAsiaTheme="minorEastAsia" w:cstheme="minorBidi"/>
      <w:kern w:val="2"/>
      <w:sz w:val="21"/>
      <w:szCs w:val="22"/>
    </w:rPr>
  </w:style>
  <w:style w:type="character" w:customStyle="1" w:styleId="52">
    <w:name w:val="批注主题 字符"/>
    <w:basedOn w:val="51"/>
    <w:link w:val="19"/>
    <w:semiHidden/>
    <w:qFormat/>
    <w:uiPriority w:val="99"/>
    <w:rPr>
      <w:rFonts w:asciiTheme="minorHAnsi" w:hAnsiTheme="minorHAnsi" w:eastAsiaTheme="minorEastAsia" w:cstheme="minorBidi"/>
      <w:b/>
      <w:bCs/>
      <w:kern w:val="2"/>
      <w:sz w:val="21"/>
      <w:szCs w:val="22"/>
    </w:rPr>
  </w:style>
  <w:style w:type="character" w:customStyle="1" w:styleId="53">
    <w:name w:val="标题 2 字符"/>
    <w:basedOn w:val="24"/>
    <w:link w:val="5"/>
    <w:qFormat/>
    <w:uiPriority w:val="0"/>
    <w:rPr>
      <w:rFonts w:ascii="Arial" w:hAnsi="Arial" w:eastAsia="黑体"/>
      <w:b/>
      <w:bCs/>
      <w:kern w:val="2"/>
      <w:sz w:val="32"/>
      <w:szCs w:val="32"/>
    </w:rPr>
  </w:style>
  <w:style w:type="paragraph" w:customStyle="1" w:styleId="54">
    <w:name w:val="表格文字"/>
    <w:basedOn w:val="1"/>
    <w:next w:val="12"/>
    <w:qFormat/>
    <w:uiPriority w:val="0"/>
    <w:pPr>
      <w:autoSpaceDE w:val="0"/>
      <w:autoSpaceDN w:val="0"/>
      <w:adjustRightInd w:val="0"/>
      <w:spacing w:line="420" w:lineRule="atLeast"/>
      <w:textAlignment w:val="baseline"/>
    </w:pPr>
    <w:rPr>
      <w:rFonts w:ascii="Times New Roman" w:hAnsi="Times New Roman" w:eastAsia="宋体" w:cs="Times New Roman"/>
      <w:color w:val="000000"/>
      <w:kern w:val="0"/>
      <w:szCs w:val="24"/>
    </w:rPr>
  </w:style>
  <w:style w:type="character" w:customStyle="1" w:styleId="55">
    <w:name w:val="标题 1 Char Char"/>
    <w:basedOn w:val="24"/>
    <w:qFormat/>
    <w:uiPriority w:val="0"/>
    <w:rPr>
      <w:rFonts w:eastAsia="宋体"/>
      <w:b/>
      <w:spacing w:val="-2"/>
      <w:sz w:val="24"/>
      <w:lang w:val="en-US" w:eastAsia="zh-CN" w:bidi="ar-SA"/>
    </w:rPr>
  </w:style>
  <w:style w:type="paragraph" w:customStyle="1" w:styleId="56">
    <w:name w:val="正文首行缩进 21"/>
    <w:basedOn w:val="1"/>
    <w:qFormat/>
    <w:uiPriority w:val="0"/>
    <w:pPr>
      <w:autoSpaceDE w:val="0"/>
      <w:autoSpaceDN w:val="0"/>
      <w:adjustRightInd w:val="0"/>
      <w:ind w:left="420" w:leftChars="200" w:firstLine="420"/>
    </w:pPr>
    <w:rPr>
      <w:rFonts w:ascii="Times New Roman" w:hAnsi="Times New Roman" w:eastAsia="宋体" w:cs="宋体"/>
      <w:color w:val="000000"/>
      <w:kern w:val="0"/>
      <w:szCs w:val="21"/>
    </w:rPr>
  </w:style>
  <w:style w:type="character" w:customStyle="1" w:styleId="57">
    <w:name w:val="正文文本缩进 Char3"/>
    <w:qFormat/>
    <w:uiPriority w:val="0"/>
    <w:rPr>
      <w:rFonts w:ascii="宋体" w:hAnsi="宋体"/>
      <w:kern w:val="2"/>
      <w:sz w:val="24"/>
      <w:szCs w:val="24"/>
    </w:rPr>
  </w:style>
  <w:style w:type="paragraph" w:customStyle="1" w:styleId="58">
    <w:name w:val="Body text|1"/>
    <w:basedOn w:val="1"/>
    <w:qFormat/>
    <w:uiPriority w:val="0"/>
    <w:pPr>
      <w:autoSpaceDE w:val="0"/>
      <w:autoSpaceDN w:val="0"/>
      <w:adjustRightInd w:val="0"/>
      <w:spacing w:line="403" w:lineRule="auto"/>
      <w:ind w:firstLine="300"/>
    </w:pPr>
    <w:rPr>
      <w:rFonts w:ascii="宋体" w:hAnsi="宋体" w:eastAsia="宋体" w:cs="宋体"/>
      <w:color w:val="000000"/>
      <w:kern w:val="0"/>
      <w:sz w:val="14"/>
      <w:szCs w:val="14"/>
      <w:lang w:val="zh-TW" w:eastAsia="zh-TW" w:bidi="zh-TW"/>
    </w:rPr>
  </w:style>
  <w:style w:type="character" w:customStyle="1" w:styleId="59">
    <w:name w:val="正文缩进 字符"/>
    <w:basedOn w:val="24"/>
    <w:link w:val="8"/>
    <w:qFormat/>
    <w:uiPriority w:val="99"/>
    <w:rPr>
      <w:rFonts w:asciiTheme="minorHAnsi" w:hAnsiTheme="minorHAnsi" w:eastAsiaTheme="minorEastAsia" w:cstheme="minorBidi"/>
      <w:kern w:val="2"/>
      <w:sz w:val="21"/>
      <w:szCs w:val="22"/>
    </w:rPr>
  </w:style>
  <w:style w:type="character" w:customStyle="1" w:styleId="60">
    <w:name w:val="纯文本 字符"/>
    <w:basedOn w:val="24"/>
    <w:link w:val="14"/>
    <w:qFormat/>
    <w:uiPriority w:val="99"/>
    <w:rPr>
      <w:kern w:val="2"/>
      <w:sz w:val="24"/>
    </w:rPr>
  </w:style>
  <w:style w:type="paragraph" w:customStyle="1" w:styleId="61">
    <w:name w:val="正文段"/>
    <w:basedOn w:val="1"/>
    <w:next w:val="9"/>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62">
    <w:name w:val="索引 51"/>
    <w:basedOn w:val="1"/>
    <w:next w:val="1"/>
    <w:qFormat/>
    <w:uiPriority w:val="0"/>
    <w:pPr>
      <w:autoSpaceDE w:val="0"/>
      <w:autoSpaceDN w:val="0"/>
      <w:adjustRightInd w:val="0"/>
      <w:ind w:left="800" w:leftChars="800"/>
    </w:pPr>
    <w:rPr>
      <w:rFonts w:ascii="Times New Roman" w:hAnsi="Times New Roman" w:eastAsia="宋体" w:cs="Times New Roman"/>
      <w:color w:val="000000"/>
      <w:kern w:val="0"/>
      <w:szCs w:val="24"/>
    </w:rPr>
  </w:style>
  <w:style w:type="character" w:customStyle="1" w:styleId="63">
    <w:name w:val="正文2 Char Char"/>
    <w:link w:val="64"/>
    <w:qFormat/>
    <w:uiPriority w:val="0"/>
    <w:rPr>
      <w:kern w:val="2"/>
      <w:sz w:val="24"/>
    </w:rPr>
  </w:style>
  <w:style w:type="paragraph" w:customStyle="1" w:styleId="64">
    <w:name w:val="正文2"/>
    <w:basedOn w:val="1"/>
    <w:link w:val="63"/>
    <w:qFormat/>
    <w:uiPriority w:val="0"/>
    <w:pPr>
      <w:adjustRightInd w:val="0"/>
      <w:spacing w:before="156" w:line="360" w:lineRule="auto"/>
      <w:ind w:firstLine="510" w:firstLineChars="200"/>
    </w:pPr>
    <w:rPr>
      <w:rFonts w:ascii="Times New Roman" w:hAnsi="Times New Roman" w:eastAsia="宋体" w:cs="Times New Roman"/>
      <w:sz w:val="24"/>
      <w:szCs w:val="20"/>
    </w:rPr>
  </w:style>
  <w:style w:type="character" w:customStyle="1" w:styleId="65">
    <w:name w:val="标题 6 字符"/>
    <w:basedOn w:val="24"/>
    <w:link w:val="6"/>
    <w:semiHidden/>
    <w:qFormat/>
    <w:uiPriority w:val="9"/>
    <w:rPr>
      <w:rFonts w:asciiTheme="majorHAnsi" w:hAnsiTheme="majorHAnsi" w:eastAsiaTheme="majorEastAsia" w:cstheme="majorBidi"/>
      <w:b/>
      <w:bCs/>
      <w:kern w:val="2"/>
      <w:sz w:val="24"/>
      <w:szCs w:val="24"/>
    </w:rPr>
  </w:style>
  <w:style w:type="paragraph" w:customStyle="1" w:styleId="66">
    <w:name w:val="BodyText1I"/>
    <w:basedOn w:val="1"/>
    <w:next w:val="1"/>
    <w:qFormat/>
    <w:uiPriority w:val="0"/>
    <w:pPr>
      <w:autoSpaceDE w:val="0"/>
      <w:autoSpaceDN w:val="0"/>
      <w:adjustRightInd w:val="0"/>
      <w:spacing w:line="360" w:lineRule="auto"/>
      <w:ind w:firstLine="420"/>
      <w:textAlignment w:val="baseline"/>
    </w:pPr>
    <w:rPr>
      <w:rFonts w:ascii="宋体" w:hAnsi="Times New Roman" w:eastAsia="宋体" w:cs="Times New Roman"/>
      <w:color w:val="000000"/>
      <w:sz w:val="24"/>
      <w:szCs w:val="2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11</Pages>
  <Words>7261</Words>
  <Characters>7573</Characters>
  <Lines>132</Lines>
  <Paragraphs>37</Paragraphs>
  <TotalTime>155</TotalTime>
  <ScaleCrop>false</ScaleCrop>
  <LinksUpToDate>false</LinksUpToDate>
  <CharactersWithSpaces>7578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2020-07-09T06:16:00Z</dcterms:created>
  <dc:creator>小蛮 吴</dc:creator>
  <cp:lastModifiedBy>张家大小姐</cp:lastModifiedBy>
  <cp:lastPrinted>2022-12-06T03:50:00Z</cp:lastPrinted>
  <dcterms:modified xsi:type="dcterms:W3CDTF">2025-02-06T05:24:35Z</dcterms:modified>
  <cp:revision>1764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98CCD74DDA2B4C76936D4BC01158D125_13</vt:lpwstr>
  </property>
  <property fmtid="{D5CDD505-2E9C-101B-9397-08002B2CF9AE}" pid="4" name="KSOTemplateDocerSaveRecord">
    <vt:lpwstr>eyJoZGlkIjoiNTI0YTkxYjQ0MTgyYTAyNjU2MWMzODBlY2U5ZTQ1OTMiLCJ1c2VySWQiOiIyNjQ0MjY0ODYifQ==</vt:lpwstr>
  </property>
</Properties>
</file>