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b/>
          <w:sz w:val="28"/>
          <w:szCs w:val="28"/>
        </w:rPr>
      </w:pPr>
      <w:r>
        <w:rPr>
          <w:rFonts w:hint="eastAsia" w:ascii="仿宋" w:hAnsi="仿宋" w:eastAsia="仿宋" w:cs="仿宋"/>
          <w:b/>
          <w:sz w:val="28"/>
          <w:szCs w:val="28"/>
        </w:rPr>
        <w:t>基本格式：</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关于对******************项目的意见建议</w:t>
      </w:r>
    </w:p>
    <w:p>
      <w:pPr>
        <w:spacing w:line="360" w:lineRule="auto"/>
        <w:rPr>
          <w:rFonts w:ascii="仿宋" w:hAnsi="仿宋" w:eastAsia="仿宋" w:cs="仿宋"/>
          <w:sz w:val="28"/>
          <w:szCs w:val="28"/>
        </w:rPr>
      </w:pPr>
      <w:r>
        <w:rPr>
          <w:rFonts w:hint="eastAsia" w:ascii="仿宋" w:hAnsi="仿宋" w:eastAsia="仿宋" w:cs="仿宋"/>
          <w:sz w:val="28"/>
          <w:szCs w:val="28"/>
        </w:rPr>
        <w:t>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对于贵公司于202</w:t>
      </w:r>
      <w:r>
        <w:rPr>
          <w:rFonts w:hint="eastAsia" w:ascii="仿宋" w:hAnsi="仿宋" w:eastAsia="仿宋" w:cs="仿宋"/>
          <w:sz w:val="28"/>
          <w:szCs w:val="28"/>
          <w:lang w:val="en-US" w:eastAsia="zh-CN"/>
        </w:rPr>
        <w:t>4</w:t>
      </w:r>
      <w:r>
        <w:rPr>
          <w:rFonts w:hint="eastAsia" w:ascii="仿宋" w:hAnsi="仿宋" w:eastAsia="仿宋" w:cs="仿宋"/>
          <w:sz w:val="28"/>
          <w:szCs w:val="28"/>
        </w:rPr>
        <w:t>年*月*日公示的*********************项目采购要素，我公司有如下意见建议：</w:t>
      </w:r>
    </w:p>
    <w:tbl>
      <w:tblPr>
        <w:tblStyle w:val="22"/>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 w:hAnsi="仿宋" w:eastAsia="仿宋" w:cs="仿宋"/>
                <w:sz w:val="28"/>
                <w:szCs w:val="28"/>
              </w:rPr>
            </w:pPr>
            <w:r>
              <w:rPr>
                <w:rFonts w:hint="eastAsia" w:ascii="仿宋" w:hAnsi="仿宋" w:eastAsia="仿宋" w:cs="仿宋"/>
                <w:sz w:val="28"/>
                <w:szCs w:val="28"/>
              </w:rPr>
              <w:t>原条款</w:t>
            </w: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 w:hAnsi="仿宋" w:eastAsia="仿宋" w:cs="仿宋"/>
                <w:sz w:val="28"/>
                <w:szCs w:val="28"/>
              </w:rPr>
            </w:pPr>
            <w:r>
              <w:rPr>
                <w:rFonts w:hint="eastAsia" w:ascii="仿宋" w:hAnsi="仿宋" w:eastAsia="仿宋" w:cs="仿宋"/>
                <w:sz w:val="28"/>
                <w:szCs w:val="28"/>
              </w:rPr>
              <w:t>本公司意见建议</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 w:hAnsi="仿宋" w:eastAsia="仿宋" w:cs="仿宋"/>
                <w:sz w:val="28"/>
                <w:szCs w:val="28"/>
              </w:rPr>
            </w:pP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 w:hAnsi="仿宋" w:eastAsia="仿宋" w:cs="仿宋"/>
                <w:sz w:val="28"/>
                <w:szCs w:val="28"/>
              </w:rPr>
            </w:pP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 w:hAnsi="仿宋" w:eastAsia="仿宋" w:cs="仿宋"/>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传真：********</w:t>
      </w:r>
    </w:p>
    <w:p>
      <w:pPr>
        <w:spacing w:line="360" w:lineRule="auto"/>
        <w:rPr>
          <w:rFonts w:ascii="仿宋" w:hAnsi="仿宋" w:eastAsia="仿宋" w:cs="仿宋"/>
          <w:sz w:val="28"/>
          <w:szCs w:val="28"/>
        </w:rPr>
      </w:pPr>
      <w:r>
        <w:rPr>
          <w:rFonts w:hint="eastAsia" w:ascii="仿宋" w:hAnsi="仿宋" w:eastAsia="仿宋" w:cs="仿宋"/>
          <w:sz w:val="28"/>
          <w:szCs w:val="28"/>
        </w:rPr>
        <w:t>联系人：********</w:t>
      </w:r>
    </w:p>
    <w:p>
      <w:pPr>
        <w:spacing w:line="360" w:lineRule="auto"/>
        <w:rPr>
          <w:rFonts w:ascii="仿宋" w:hAnsi="仿宋" w:eastAsia="仿宋" w:cs="仿宋"/>
          <w:sz w:val="28"/>
          <w:szCs w:val="28"/>
        </w:rPr>
      </w:pPr>
      <w:r>
        <w:rPr>
          <w:rFonts w:hint="eastAsia" w:ascii="仿宋" w:hAnsi="仿宋" w:eastAsia="仿宋" w:cs="仿宋"/>
          <w:sz w:val="28"/>
          <w:szCs w:val="28"/>
        </w:rPr>
        <w:t>联系电话：**********</w:t>
      </w:r>
    </w:p>
    <w:p>
      <w:pPr>
        <w:spacing w:line="360" w:lineRule="auto"/>
        <w:rPr>
          <w:rFonts w:ascii="仿宋" w:hAnsi="仿宋" w:eastAsia="仿宋" w:cs="仿宋"/>
          <w:sz w:val="28"/>
          <w:szCs w:val="28"/>
        </w:rPr>
      </w:pPr>
      <w:r>
        <w:rPr>
          <w:rFonts w:hint="eastAsia" w:ascii="仿宋" w:hAnsi="仿宋" w:eastAsia="仿宋" w:cs="仿宋"/>
          <w:sz w:val="28"/>
          <w:szCs w:val="28"/>
        </w:rPr>
        <w:t>联系手机：**********</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left="4480" w:hanging="4480" w:hangingChars="1600"/>
        <w:jc w:val="right"/>
        <w:rPr>
          <w:rFonts w:ascii="仿宋" w:hAnsi="仿宋" w:eastAsia="仿宋" w:cs="仿宋"/>
          <w:sz w:val="28"/>
          <w:szCs w:val="28"/>
        </w:rPr>
      </w:pPr>
      <w:r>
        <w:rPr>
          <w:rFonts w:hint="eastAsia" w:ascii="仿宋" w:hAnsi="仿宋" w:eastAsia="仿宋" w:cs="仿宋"/>
          <w:sz w:val="28"/>
          <w:szCs w:val="28"/>
        </w:rPr>
        <w:t>单位名称：（加盖公章）</w:t>
      </w:r>
    </w:p>
    <w:p>
      <w:pPr>
        <w:spacing w:line="360" w:lineRule="auto"/>
        <w:ind w:left="4760" w:hanging="4760" w:hangingChars="1700"/>
        <w:jc w:val="right"/>
        <w:rPr>
          <w:rFonts w:ascii="仿宋" w:hAnsi="仿宋" w:eastAsia="仿宋" w:cs="仿宋"/>
          <w:sz w:val="28"/>
          <w:szCs w:val="28"/>
        </w:rPr>
      </w:pPr>
      <w:r>
        <w:rPr>
          <w:rFonts w:hint="eastAsia" w:ascii="仿宋" w:hAnsi="仿宋" w:eastAsia="仿宋" w:cs="仿宋"/>
          <w:sz w:val="28"/>
          <w:szCs w:val="28"/>
        </w:rPr>
        <w:t>二〇二</w:t>
      </w:r>
      <w:r>
        <w:rPr>
          <w:rFonts w:hint="eastAsia" w:ascii="仿宋" w:hAnsi="仿宋" w:eastAsia="仿宋" w:cs="仿宋"/>
          <w:sz w:val="28"/>
          <w:szCs w:val="28"/>
          <w:lang w:val="en-US" w:eastAsia="zh-CN"/>
        </w:rPr>
        <w:t>四</w:t>
      </w:r>
      <w:r>
        <w:rPr>
          <w:rFonts w:hint="eastAsia" w:ascii="仿宋" w:hAnsi="仿宋" w:eastAsia="仿宋" w:cs="仿宋"/>
          <w:sz w:val="28"/>
          <w:szCs w:val="28"/>
        </w:rPr>
        <w:t>年*月*日</w:t>
      </w:r>
    </w:p>
    <w:p>
      <w:pPr>
        <w:rPr>
          <w:rFonts w:ascii="仿宋" w:hAnsi="仿宋" w:eastAsia="仿宋" w:cs="仿宋"/>
          <w:b/>
          <w:sz w:val="36"/>
          <w:szCs w:val="36"/>
        </w:rPr>
        <w:sectPr>
          <w:footerReference r:id="rId5" w:type="first"/>
          <w:headerReference r:id="rId3" w:type="default"/>
          <w:footerReference r:id="rId4" w:type="default"/>
          <w:pgSz w:w="11906" w:h="16838"/>
          <w:pgMar w:top="1134" w:right="1134" w:bottom="1021" w:left="1134" w:header="0" w:footer="567" w:gutter="0"/>
          <w:pgNumType w:start="1"/>
          <w:cols w:space="720" w:num="1"/>
          <w:docGrid w:type="linesAndChars" w:linePitch="312" w:charSpace="0"/>
        </w:sectPr>
      </w:pPr>
    </w:p>
    <w:p>
      <w:pPr>
        <w:spacing w:after="156" w:afterLines="50" w:line="240" w:lineRule="auto"/>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姚江镇海卡直升机总装项目用地征收资产评估服务</w:t>
      </w:r>
    </w:p>
    <w:p>
      <w:pPr>
        <w:spacing w:after="156" w:afterLines="50" w:line="240" w:lineRule="auto"/>
        <w:jc w:val="center"/>
        <w:rPr>
          <w:rFonts w:hint="eastAsia" w:ascii="仿宋" w:hAnsi="仿宋" w:eastAsia="仿宋" w:cs="仿宋"/>
          <w:b/>
          <w:sz w:val="30"/>
          <w:szCs w:val="30"/>
        </w:rPr>
      </w:pPr>
      <w:r>
        <w:rPr>
          <w:rFonts w:hint="eastAsia" w:ascii="仿宋" w:hAnsi="仿宋" w:eastAsia="仿宋" w:cs="仿宋"/>
          <w:b/>
          <w:sz w:val="30"/>
          <w:szCs w:val="30"/>
          <w:lang w:eastAsia="zh-CN"/>
        </w:rPr>
        <w:t>采购项目</w:t>
      </w:r>
      <w:r>
        <w:rPr>
          <w:rFonts w:hint="eastAsia" w:ascii="仿宋" w:hAnsi="仿宋" w:eastAsia="仿宋" w:cs="仿宋"/>
          <w:b/>
          <w:sz w:val="30"/>
          <w:szCs w:val="30"/>
        </w:rPr>
        <w:t>要素</w:t>
      </w:r>
    </w:p>
    <w:p>
      <w:pPr>
        <w:numPr>
          <w:ilvl w:val="0"/>
          <w:numId w:val="1"/>
        </w:numPr>
        <w:spacing w:line="360" w:lineRule="auto"/>
        <w:rPr>
          <w:rFonts w:ascii="仿宋" w:hAnsi="仿宋" w:eastAsia="仿宋" w:cs="仿宋"/>
          <w:bCs/>
          <w:sz w:val="24"/>
          <w:szCs w:val="24"/>
        </w:rPr>
      </w:pPr>
      <w:r>
        <w:rPr>
          <w:rFonts w:hint="eastAsia" w:ascii="仿宋" w:hAnsi="仿宋" w:eastAsia="仿宋" w:cs="仿宋"/>
          <w:b/>
          <w:sz w:val="24"/>
          <w:szCs w:val="24"/>
        </w:rPr>
        <w:t>项目名称：</w:t>
      </w:r>
      <w:r>
        <w:rPr>
          <w:rFonts w:hint="eastAsia" w:ascii="仿宋" w:hAnsi="仿宋" w:eastAsia="仿宋" w:cs="仿宋"/>
          <w:bCs/>
          <w:sz w:val="24"/>
          <w:szCs w:val="24"/>
          <w:lang w:eastAsia="zh-CN"/>
        </w:rPr>
        <w:t>姚江镇海卡直升机总装项目用地征收资产评估服务采购项目</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textAlignment w:val="auto"/>
        <w:rPr>
          <w:rFonts w:ascii="仿宋" w:hAnsi="仿宋" w:eastAsia="仿宋" w:cs="仿宋"/>
          <w:b/>
          <w:sz w:val="24"/>
          <w:szCs w:val="24"/>
        </w:rPr>
      </w:pPr>
      <w:r>
        <w:rPr>
          <w:rFonts w:hint="eastAsia" w:ascii="仿宋" w:hAnsi="仿宋" w:eastAsia="仿宋" w:cs="仿宋"/>
          <w:b/>
          <w:sz w:val="24"/>
          <w:szCs w:val="24"/>
        </w:rPr>
        <w:t>项目内容及规模</w:t>
      </w:r>
    </w:p>
    <w:p>
      <w:pPr>
        <w:pStyle w:val="19"/>
        <w:keepNext w:val="0"/>
        <w:keepLines w:val="0"/>
        <w:pageBreakBefore w:val="0"/>
        <w:widowControl w:val="0"/>
        <w:kinsoku/>
        <w:wordWrap/>
        <w:overflowPunct/>
        <w:topLinePunct w:val="0"/>
        <w:autoSpaceDE w:val="0"/>
        <w:autoSpaceDN w:val="0"/>
        <w:bidi w:val="0"/>
        <w:adjustRightInd w:val="0"/>
        <w:snapToGrid/>
        <w:spacing w:beforeLines="50" w:beforeAutospacing="0" w:afterLines="50" w:afterAutospacing="0" w:line="400" w:lineRule="exact"/>
        <w:ind w:left="120" w:leftChars="57" w:firstLine="434" w:firstLineChars="181"/>
        <w:textAlignment w:val="auto"/>
        <w:rPr>
          <w:rFonts w:hint="eastAsia" w:ascii="仿宋" w:hAnsi="仿宋" w:eastAsia="仿宋" w:cs="仿宋"/>
          <w:color w:val="auto"/>
          <w:sz w:val="24"/>
          <w:szCs w:val="21"/>
          <w:lang w:val="en-US" w:eastAsia="zh-CN" w:bidi="ar-SA"/>
        </w:rPr>
      </w:pPr>
      <w:bookmarkStart w:id="0" w:name="_Hlk44573494"/>
      <w:bookmarkStart w:id="1" w:name="_Hlk44574602"/>
      <w:r>
        <w:rPr>
          <w:rFonts w:hint="eastAsia" w:ascii="仿宋" w:hAnsi="仿宋" w:eastAsia="仿宋" w:cs="仿宋"/>
          <w:color w:val="auto"/>
          <w:sz w:val="24"/>
          <w:szCs w:val="21"/>
          <w:lang w:val="en-US" w:eastAsia="zh-CN" w:bidi="ar-SA"/>
        </w:rPr>
        <w:t>诸暨市姚江镇海卡直升机总装项目用地征收青苗、构筑物、及零星房屋资产评估，</w:t>
      </w:r>
      <w:bookmarkEnd w:id="0"/>
      <w:bookmarkEnd w:id="1"/>
      <w:r>
        <w:rPr>
          <w:rFonts w:hint="eastAsia" w:ascii="仿宋" w:hAnsi="仿宋" w:eastAsia="仿宋" w:cs="仿宋"/>
          <w:color w:val="auto"/>
          <w:sz w:val="24"/>
          <w:szCs w:val="21"/>
          <w:lang w:val="en-US" w:eastAsia="zh-CN" w:bidi="ar-SA"/>
        </w:rPr>
        <w:t>采购预算金额为人民币贰拾玖万捌仟元（¥298000.00）整。具体内容详见采购需求。</w:t>
      </w:r>
    </w:p>
    <w:p>
      <w:pPr>
        <w:snapToGrid w:val="0"/>
        <w:spacing w:line="360" w:lineRule="auto"/>
        <w:rPr>
          <w:rFonts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sz w:val="24"/>
          <w:szCs w:val="24"/>
          <w:lang w:eastAsia="zh-CN"/>
        </w:rPr>
        <w:t>供应商</w:t>
      </w:r>
      <w:r>
        <w:rPr>
          <w:rFonts w:hint="eastAsia" w:ascii="仿宋" w:hAnsi="仿宋" w:eastAsia="仿宋" w:cs="仿宋"/>
          <w:b/>
          <w:sz w:val="24"/>
          <w:szCs w:val="24"/>
        </w:rPr>
        <w:t>资格要求</w:t>
      </w:r>
    </w:p>
    <w:p>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1、满足《中华人民共和国政府采购法》第二十二条之供应商资格规定；</w:t>
      </w:r>
    </w:p>
    <w:p>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且未被“信用中国”（www.creditchina.gov.cn）、中国政府采购网（www.ccgp.gov.cn）列入失信被执行人、重大税收违法案件当事人名单、政府采购严重违法失信行为记录名单；</w:t>
      </w:r>
    </w:p>
    <w:p>
      <w:pPr>
        <w:spacing w:line="40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本项目的特定资格要求：</w:t>
      </w:r>
      <w:r>
        <w:rPr>
          <w:rFonts w:hint="eastAsia" w:ascii="宋体" w:hAnsi="宋体" w:eastAsia="仿宋"/>
          <w:snapToGrid w:val="0"/>
          <w:kern w:val="0"/>
          <w:sz w:val="24"/>
          <w:lang w:val="en-US" w:eastAsia="zh-CN"/>
        </w:rPr>
        <w:t>无</w:t>
      </w:r>
      <w:r>
        <w:rPr>
          <w:rFonts w:hint="eastAsia" w:ascii="仿宋" w:hAnsi="仿宋" w:eastAsia="仿宋" w:cs="仿宋"/>
          <w:color w:val="auto"/>
          <w:sz w:val="24"/>
          <w:lang w:val="en-US" w:eastAsia="zh-CN"/>
        </w:rPr>
        <w:t>。</w:t>
      </w:r>
    </w:p>
    <w:p>
      <w:pPr>
        <w:spacing w:line="40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4、本项目不接受联合体投标。</w:t>
      </w:r>
    </w:p>
    <w:p>
      <w:pPr>
        <w:spacing w:line="360" w:lineRule="auto"/>
        <w:rPr>
          <w:rFonts w:ascii="仿宋" w:hAnsi="仿宋" w:eastAsia="仿宋" w:cs="仿宋"/>
          <w:color w:val="auto"/>
          <w:sz w:val="24"/>
        </w:rPr>
      </w:pPr>
      <w:r>
        <w:rPr>
          <w:rFonts w:hint="eastAsia" w:ascii="仿宋" w:hAnsi="仿宋" w:eastAsia="仿宋" w:cs="仿宋"/>
          <w:b/>
          <w:sz w:val="24"/>
          <w:szCs w:val="24"/>
        </w:rPr>
        <w:t>四、评标办法及评分标准</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1、采用</w:t>
      </w:r>
      <w:r>
        <w:rPr>
          <w:rFonts w:hint="eastAsia" w:ascii="仿宋" w:hAnsi="仿宋" w:eastAsia="仿宋" w:cs="仿宋"/>
          <w:color w:val="auto"/>
          <w:sz w:val="24"/>
          <w:u w:val="single"/>
        </w:rPr>
        <w:t>　综合评分法　</w:t>
      </w:r>
      <w:r>
        <w:rPr>
          <w:rFonts w:hint="eastAsia" w:ascii="仿宋" w:hAnsi="仿宋" w:eastAsia="仿宋" w:cs="仿宋"/>
          <w:color w:val="auto"/>
          <w:sz w:val="24"/>
        </w:rPr>
        <w:t>。即在符合招标文件要求的前提下，择定最高得分者为第一中标候选人，即预中标人。</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2、合格</w:t>
      </w:r>
      <w:r>
        <w:rPr>
          <w:rFonts w:hint="eastAsia" w:ascii="仿宋" w:hAnsi="仿宋" w:eastAsia="仿宋" w:cs="仿宋"/>
          <w:color w:val="auto"/>
          <w:sz w:val="24"/>
          <w:lang w:eastAsia="zh-CN"/>
        </w:rPr>
        <w:t>供应商</w:t>
      </w:r>
      <w:r>
        <w:rPr>
          <w:rFonts w:hint="eastAsia" w:ascii="仿宋" w:hAnsi="仿宋" w:eastAsia="仿宋" w:cs="仿宋"/>
          <w:color w:val="auto"/>
          <w:sz w:val="24"/>
        </w:rPr>
        <w:t>的评标得分为各项目汇总得分，中标候选资格按评标得分由高到低顺序排列，得分相同的，按投标报价由低到高顺序排列；得分且投标报价相同的，按商务技术得分由高到低顺序排列。</w:t>
      </w:r>
      <w:r>
        <w:rPr>
          <w:rFonts w:hint="eastAsia" w:ascii="仿宋" w:hAnsi="仿宋" w:eastAsia="仿宋" w:cs="仿宋"/>
          <w:bCs/>
          <w:color w:val="auto"/>
          <w:sz w:val="24"/>
        </w:rPr>
        <w:t>评分过程中采用四舍五入</w:t>
      </w:r>
      <w:r>
        <w:rPr>
          <w:rFonts w:hint="eastAsia" w:ascii="仿宋" w:hAnsi="仿宋" w:eastAsia="仿宋" w:cs="仿宋"/>
          <w:color w:val="auto"/>
          <w:sz w:val="24"/>
        </w:rPr>
        <w:t>法，并保留小数2位。</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3、评分办法</w:t>
      </w:r>
    </w:p>
    <w:p>
      <w:pPr>
        <w:spacing w:line="400" w:lineRule="exact"/>
        <w:ind w:firstLine="480" w:firstLineChars="200"/>
        <w:rPr>
          <w:rFonts w:ascii="仿宋" w:hAnsi="仿宋" w:eastAsia="仿宋" w:cs="仿宋"/>
          <w:color w:val="auto"/>
          <w:sz w:val="24"/>
        </w:rPr>
      </w:pPr>
      <w:bookmarkStart w:id="2" w:name="_Toc125344513"/>
      <w:r>
        <w:rPr>
          <w:rFonts w:hint="eastAsia" w:ascii="仿宋" w:hAnsi="仿宋" w:eastAsia="仿宋" w:cs="仿宋"/>
          <w:color w:val="auto"/>
          <w:sz w:val="24"/>
        </w:rPr>
        <w:t>（1）满分为100分。总得分=商务技术得分+报价得分。</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（2）商务技术得分=商务技术评分，商务技术评分=各评委的有效评分的算术平均数。</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（3）报价得分=（评标基准价/投标报价）*价格权值*100，评标基准价=有效</w:t>
      </w:r>
      <w:r>
        <w:rPr>
          <w:rFonts w:hint="eastAsia" w:ascii="仿宋" w:hAnsi="仿宋" w:eastAsia="仿宋" w:cs="仿宋"/>
          <w:color w:val="auto"/>
          <w:sz w:val="24"/>
          <w:lang w:eastAsia="zh-CN"/>
        </w:rPr>
        <w:t>供应商</w:t>
      </w:r>
      <w:r>
        <w:rPr>
          <w:rFonts w:hint="eastAsia" w:ascii="仿宋" w:hAnsi="仿宋" w:eastAsia="仿宋" w:cs="仿宋"/>
          <w:color w:val="auto"/>
          <w:sz w:val="24"/>
        </w:rPr>
        <w:t>的最低投标报价，价格权值=</w:t>
      </w:r>
      <w:r>
        <w:rPr>
          <w:rFonts w:hint="eastAsia" w:ascii="仿宋" w:hAnsi="仿宋" w:eastAsia="仿宋" w:cs="仿宋"/>
          <w:color w:val="auto"/>
          <w:sz w:val="24"/>
          <w:lang w:val="en-US" w:eastAsia="zh-CN"/>
        </w:rPr>
        <w:t>2</w:t>
      </w:r>
      <w:r>
        <w:rPr>
          <w:rFonts w:hint="eastAsia" w:ascii="仿宋" w:hAnsi="仿宋" w:eastAsia="仿宋" w:cs="仿宋"/>
          <w:color w:val="auto"/>
          <w:sz w:val="24"/>
        </w:rPr>
        <w:t>0%；</w:t>
      </w:r>
    </w:p>
    <w:p>
      <w:pPr>
        <w:spacing w:line="40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（4）商务技术分评分细则</w:t>
      </w:r>
      <w:bookmarkEnd w:id="2"/>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p>
      <w:pPr>
        <w:pStyle w:val="27"/>
        <w:rPr>
          <w:rFonts w:hint="eastAsia" w:ascii="仿宋" w:hAnsi="仿宋" w:eastAsia="仿宋" w:cs="仿宋"/>
          <w:color w:val="auto"/>
          <w:sz w:val="24"/>
        </w:rPr>
      </w:pPr>
    </w:p>
    <w:tbl>
      <w:tblPr>
        <w:tblStyle w:val="22"/>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7"/>
        <w:gridCol w:w="1217"/>
        <w:gridCol w:w="6620"/>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评审内容</w:t>
            </w:r>
          </w:p>
        </w:tc>
        <w:tc>
          <w:tcPr>
            <w:tcW w:w="66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评分标准</w:t>
            </w:r>
            <w:r>
              <w:rPr>
                <w:rFonts w:hint="eastAsia" w:ascii="仿宋" w:hAnsi="仿宋" w:eastAsia="仿宋" w:cs="仿宋"/>
                <w:b/>
                <w:bCs/>
                <w:color w:val="auto"/>
                <w:sz w:val="24"/>
                <w:szCs w:val="24"/>
                <w:highlight w:val="none"/>
                <w:lang w:val="en-US" w:eastAsia="zh-CN"/>
              </w:rPr>
              <w:t xml:space="preserve"> </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9"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12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项目经验</w:t>
            </w:r>
          </w:p>
        </w:tc>
        <w:tc>
          <w:tcPr>
            <w:tcW w:w="6620" w:type="dxa"/>
            <w:shd w:val="clear" w:color="auto" w:fill="auto"/>
            <w:vAlign w:val="center"/>
          </w:tcPr>
          <w:p>
            <w:pPr>
              <w:rPr>
                <w:rFonts w:hint="eastAsia" w:ascii="仿宋" w:hAnsi="仿宋" w:eastAsia="仿宋" w:cs="仿宋"/>
                <w:sz w:val="24"/>
                <w:szCs w:val="24"/>
                <w:lang w:val="en-US"/>
              </w:rPr>
            </w:pPr>
            <w:r>
              <w:rPr>
                <w:rFonts w:hint="eastAsia" w:ascii="仿宋" w:hAnsi="仿宋" w:eastAsia="仿宋" w:cs="仿宋"/>
                <w:b w:val="0"/>
                <w:bCs w:val="0"/>
                <w:color w:val="auto"/>
                <w:spacing w:val="0"/>
                <w:sz w:val="24"/>
                <w:szCs w:val="24"/>
              </w:rPr>
              <w:t>投标人自202</w:t>
            </w:r>
            <w:r>
              <w:rPr>
                <w:rFonts w:hint="eastAsia" w:ascii="仿宋" w:hAnsi="仿宋" w:eastAsia="仿宋" w:cs="仿宋"/>
                <w:b w:val="0"/>
                <w:bCs w:val="0"/>
                <w:color w:val="auto"/>
                <w:spacing w:val="0"/>
                <w:sz w:val="24"/>
                <w:szCs w:val="24"/>
                <w:lang w:val="en-US" w:eastAsia="zh-CN"/>
              </w:rPr>
              <w:t>0</w:t>
            </w:r>
            <w:r>
              <w:rPr>
                <w:rFonts w:hint="eastAsia" w:ascii="仿宋" w:hAnsi="仿宋" w:eastAsia="仿宋" w:cs="仿宋"/>
                <w:b w:val="0"/>
                <w:bCs w:val="0"/>
                <w:color w:val="auto"/>
                <w:spacing w:val="0"/>
                <w:sz w:val="24"/>
                <w:szCs w:val="24"/>
              </w:rPr>
              <w:t>年1月1日以来 (以合同签订时间为准) 具有</w:t>
            </w:r>
            <w:r>
              <w:rPr>
                <w:rFonts w:hint="eastAsia" w:ascii="仿宋" w:hAnsi="仿宋" w:eastAsia="仿宋" w:cs="仿宋"/>
                <w:b w:val="0"/>
                <w:bCs w:val="0"/>
                <w:color w:val="auto"/>
                <w:spacing w:val="0"/>
                <w:sz w:val="24"/>
                <w:szCs w:val="24"/>
                <w:lang w:val="en-US" w:eastAsia="zh-CN"/>
              </w:rPr>
              <w:t>类似</w:t>
            </w:r>
            <w:r>
              <w:rPr>
                <w:rFonts w:hint="eastAsia" w:ascii="仿宋" w:hAnsi="仿宋" w:eastAsia="仿宋" w:cs="仿宋"/>
                <w:sz w:val="24"/>
                <w:szCs w:val="24"/>
              </w:rPr>
              <w:t>评估</w:t>
            </w:r>
            <w:r>
              <w:rPr>
                <w:rFonts w:hint="eastAsia" w:ascii="仿宋" w:hAnsi="仿宋" w:eastAsia="仿宋" w:cs="仿宋"/>
                <w:sz w:val="24"/>
                <w:szCs w:val="24"/>
                <w:lang w:val="en-US" w:eastAsia="zh-CN"/>
              </w:rPr>
              <w:t>服务</w:t>
            </w:r>
            <w:r>
              <w:rPr>
                <w:rFonts w:hint="eastAsia" w:ascii="仿宋" w:hAnsi="仿宋" w:eastAsia="仿宋" w:cs="仿宋"/>
                <w:sz w:val="24"/>
                <w:szCs w:val="24"/>
              </w:rPr>
              <w:t>业绩</w:t>
            </w:r>
            <w:r>
              <w:rPr>
                <w:rFonts w:hint="eastAsia" w:ascii="仿宋" w:hAnsi="仿宋" w:eastAsia="仿宋" w:cs="仿宋"/>
                <w:sz w:val="24"/>
                <w:szCs w:val="24"/>
                <w:lang w:val="en-US" w:eastAsia="zh-CN"/>
              </w:rPr>
              <w:t>的得1 份，本项最高的2分。</w:t>
            </w:r>
          </w:p>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须</w:t>
            </w:r>
            <w:r>
              <w:rPr>
                <w:rFonts w:hint="eastAsia" w:ascii="仿宋" w:hAnsi="仿宋" w:eastAsia="仿宋" w:cs="仿宋"/>
                <w:b/>
                <w:bCs/>
                <w:color w:val="auto"/>
                <w:kern w:val="2"/>
                <w:sz w:val="24"/>
                <w:szCs w:val="24"/>
                <w:highlight w:val="none"/>
              </w:rPr>
              <w:t>提供有效的合同扫描件</w:t>
            </w:r>
            <w:r>
              <w:rPr>
                <w:rFonts w:hint="eastAsia" w:ascii="仿宋" w:hAnsi="仿宋" w:eastAsia="仿宋" w:cs="仿宋"/>
                <w:b/>
                <w:bCs/>
                <w:color w:val="auto"/>
                <w:sz w:val="24"/>
                <w:szCs w:val="24"/>
                <w:highlight w:val="none"/>
              </w:rPr>
              <w:t>加盖</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公章编入投标文件中，</w:t>
            </w:r>
            <w:r>
              <w:rPr>
                <w:rFonts w:hint="eastAsia" w:ascii="仿宋" w:hAnsi="仿宋" w:eastAsia="仿宋" w:cs="仿宋"/>
                <w:b/>
                <w:bCs/>
                <w:color w:val="auto"/>
                <w:sz w:val="24"/>
                <w:szCs w:val="24"/>
                <w:highlight w:val="none"/>
                <w:lang w:val="en-US" w:eastAsia="zh-CN"/>
              </w:rPr>
              <w:t>未提供的</w:t>
            </w:r>
            <w:r>
              <w:rPr>
                <w:rFonts w:hint="eastAsia" w:ascii="仿宋" w:hAnsi="仿宋" w:eastAsia="仿宋" w:cs="仿宋"/>
                <w:b/>
                <w:bCs/>
                <w:color w:val="auto"/>
                <w:sz w:val="24"/>
                <w:szCs w:val="24"/>
                <w:highlight w:val="none"/>
              </w:rPr>
              <w:t>不得分）</w:t>
            </w:r>
          </w:p>
        </w:tc>
        <w:tc>
          <w:tcPr>
            <w:tcW w:w="848" w:type="dxa"/>
            <w:shd w:val="clear" w:color="auto" w:fill="auto"/>
            <w:vAlign w:val="center"/>
          </w:tcPr>
          <w:p>
            <w:pPr>
              <w:pStyle w:val="13"/>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6"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12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000000" w:themeColor="text1"/>
                <w:kern w:val="2"/>
                <w:sz w:val="24"/>
                <w:szCs w:val="24"/>
                <w:vertAlign w:val="baseline"/>
                <w:lang w:val="en-US" w:eastAsia="zh-CN"/>
                <w14:textFill>
                  <w14:solidFill>
                    <w14:schemeClr w14:val="tx1"/>
                  </w14:solidFill>
                </w14:textFill>
              </w:rPr>
              <w:t>资信</w:t>
            </w:r>
          </w:p>
        </w:tc>
        <w:tc>
          <w:tcPr>
            <w:tcW w:w="6620" w:type="dxa"/>
            <w:shd w:val="clear" w:color="auto" w:fill="auto"/>
            <w:vAlign w:val="center"/>
          </w:tcPr>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仿宋" w:hAnsi="仿宋" w:eastAsia="仿宋" w:cs="仿宋"/>
                <w:b/>
                <w:bCs/>
                <w:color w:val="auto"/>
                <w:kern w:val="2"/>
                <w:sz w:val="24"/>
                <w:szCs w:val="24"/>
                <w:highlight w:val="none"/>
              </w:rPr>
            </w:pPr>
            <w:r>
              <w:rPr>
                <w:rFonts w:hint="eastAsia" w:ascii="仿宋" w:hAnsi="仿宋" w:eastAsia="仿宋" w:cs="仿宋"/>
                <w:color w:val="000000" w:themeColor="text1"/>
                <w:kern w:val="2"/>
                <w:sz w:val="24"/>
                <w:szCs w:val="24"/>
                <w:vertAlign w:val="baseline"/>
                <w:lang w:val="en-US" w:eastAsia="zh-CN"/>
                <w14:textFill>
                  <w14:solidFill>
                    <w14:schemeClr w14:val="tx1"/>
                  </w14:solidFill>
                </w14:textFill>
              </w:rPr>
              <w:t>投标供应商具有房地产估价机构资信等级AAA级证书的得3分</w:t>
            </w:r>
            <w:r>
              <w:rPr>
                <w:rFonts w:hint="eastAsia" w:ascii="仿宋" w:hAnsi="仿宋" w:eastAsia="仿宋" w:cs="仿宋"/>
                <w:b/>
                <w:bCs/>
                <w:color w:val="000000" w:themeColor="text1"/>
                <w:kern w:val="2"/>
                <w:sz w:val="24"/>
                <w:szCs w:val="24"/>
                <w:vertAlign w:val="baseline"/>
                <w:lang w:val="en-US" w:eastAsia="zh-CN"/>
                <w14:textFill>
                  <w14:solidFill>
                    <w14:schemeClr w14:val="tx1"/>
                  </w14:solidFill>
                </w14:textFill>
              </w:rPr>
              <w:t>（注：须提供有效证书复印件并加盖投标人公章，</w:t>
            </w:r>
            <w:r>
              <w:rPr>
                <w:rFonts w:hint="eastAsia" w:ascii="仿宋" w:hAnsi="仿宋" w:eastAsia="仿宋" w:cs="仿宋"/>
                <w:b/>
                <w:bCs/>
                <w:color w:val="auto"/>
                <w:sz w:val="24"/>
                <w:szCs w:val="24"/>
                <w:highlight w:val="none"/>
                <w:lang w:val="en-US" w:eastAsia="zh-CN"/>
              </w:rPr>
              <w:t>未提供的</w:t>
            </w:r>
            <w:r>
              <w:rPr>
                <w:rFonts w:hint="eastAsia" w:ascii="仿宋" w:hAnsi="仿宋" w:eastAsia="仿宋" w:cs="仿宋"/>
                <w:b/>
                <w:bCs/>
                <w:color w:val="auto"/>
                <w:sz w:val="24"/>
                <w:szCs w:val="24"/>
                <w:highlight w:val="none"/>
              </w:rPr>
              <w:t>不得分</w:t>
            </w:r>
            <w:r>
              <w:rPr>
                <w:rFonts w:hint="eastAsia" w:ascii="仿宋" w:hAnsi="仿宋" w:eastAsia="仿宋" w:cs="仿宋"/>
                <w:color w:val="000000" w:themeColor="text1"/>
                <w:kern w:val="2"/>
                <w:sz w:val="24"/>
                <w:szCs w:val="24"/>
                <w:vertAlign w:val="baseline"/>
                <w:lang w:val="en-US" w:eastAsia="zh-CN"/>
                <w14:textFill>
                  <w14:solidFill>
                    <w14:schemeClr w14:val="tx1"/>
                  </w14:solidFill>
                </w14:textFill>
              </w:rPr>
              <w:t>）</w:t>
            </w:r>
          </w:p>
        </w:tc>
        <w:tc>
          <w:tcPr>
            <w:tcW w:w="848" w:type="dxa"/>
            <w:shd w:val="clear" w:color="auto" w:fill="auto"/>
            <w:vAlign w:val="center"/>
          </w:tcPr>
          <w:p>
            <w:pPr>
              <w:pStyle w:val="13"/>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9" w:hRule="atLeast"/>
          <w:jc w:val="center"/>
        </w:trPr>
        <w:tc>
          <w:tcPr>
            <w:tcW w:w="7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17" w:type="dxa"/>
            <w:vMerge w:val="restart"/>
            <w:shd w:val="clear" w:color="auto" w:fill="auto"/>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配备人员</w:t>
            </w:r>
          </w:p>
        </w:tc>
        <w:tc>
          <w:tcPr>
            <w:tcW w:w="6620" w:type="dxa"/>
            <w:shd w:val="clear" w:color="auto" w:fill="auto"/>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highlight w:val="none"/>
                <w:lang w:val="en-US" w:eastAsia="zh-CN"/>
              </w:rPr>
              <w:t>项目负责人：</w:t>
            </w:r>
          </w:p>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项目负责人具有房地产估价师的得2分，土地估价师的得2分，资产评估师的得2分，价格鉴证师的得2分，一级造价工程师的得2分，本项最高得10分。</w:t>
            </w:r>
          </w:p>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2"/>
                <w:sz w:val="24"/>
                <w:szCs w:val="24"/>
                <w:highlight w:val="none"/>
                <w:lang w:val="en-US" w:eastAsia="zh-CN"/>
              </w:rPr>
              <w:t>须</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val="en-US" w:eastAsia="zh-CN"/>
              </w:rPr>
              <w:t>有效的证书</w:t>
            </w:r>
            <w:r>
              <w:rPr>
                <w:rFonts w:hint="eastAsia" w:ascii="仿宋" w:hAnsi="仿宋" w:eastAsia="仿宋" w:cs="仿宋"/>
                <w:b/>
                <w:bCs/>
                <w:color w:val="auto"/>
                <w:sz w:val="24"/>
                <w:szCs w:val="24"/>
                <w:highlight w:val="none"/>
              </w:rPr>
              <w:t>扫描件及投标截止时间前近</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个月内的社保缴费证明</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color w:val="auto"/>
                <w:sz w:val="24"/>
                <w:szCs w:val="24"/>
                <w:highlight w:val="none"/>
              </w:rPr>
              <w:t>加盖</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公章编入投标文件中，</w:t>
            </w:r>
            <w:r>
              <w:rPr>
                <w:rFonts w:hint="eastAsia" w:ascii="仿宋" w:hAnsi="仿宋" w:eastAsia="仿宋" w:cs="仿宋"/>
                <w:b/>
                <w:bCs/>
                <w:color w:val="auto"/>
                <w:sz w:val="24"/>
                <w:szCs w:val="24"/>
                <w:highlight w:val="none"/>
                <w:lang w:val="en-US" w:eastAsia="zh-CN"/>
              </w:rPr>
              <w:t>未提供或提供不全的</w:t>
            </w:r>
            <w:r>
              <w:rPr>
                <w:rFonts w:hint="eastAsia" w:ascii="仿宋" w:hAnsi="仿宋" w:eastAsia="仿宋" w:cs="仿宋"/>
                <w:b/>
                <w:bCs/>
                <w:color w:val="auto"/>
                <w:sz w:val="24"/>
                <w:szCs w:val="24"/>
                <w:highlight w:val="none"/>
              </w:rPr>
              <w:t>不得分）</w:t>
            </w:r>
          </w:p>
        </w:tc>
        <w:tc>
          <w:tcPr>
            <w:tcW w:w="848" w:type="dxa"/>
            <w:shd w:val="clear" w:color="auto" w:fill="auto"/>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pacing w:val="-4"/>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9" w:hRule="atLeast"/>
          <w:jc w:val="center"/>
        </w:trPr>
        <w:tc>
          <w:tcPr>
            <w:tcW w:w="7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highlight w:val="none"/>
                <w:lang w:val="en-US" w:eastAsia="zh-CN"/>
              </w:rPr>
            </w:pPr>
          </w:p>
        </w:tc>
        <w:tc>
          <w:tcPr>
            <w:tcW w:w="1217" w:type="dxa"/>
            <w:vMerge w:val="continue"/>
            <w:shd w:val="clear" w:color="auto" w:fill="auto"/>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仿宋" w:hAnsi="仿宋" w:eastAsia="仿宋" w:cs="仿宋"/>
                <w:b/>
                <w:bCs/>
                <w:color w:val="auto"/>
                <w:sz w:val="24"/>
                <w:szCs w:val="24"/>
                <w:highlight w:val="none"/>
                <w:lang w:val="en-US" w:eastAsia="zh-CN"/>
              </w:rPr>
            </w:pPr>
          </w:p>
        </w:tc>
        <w:tc>
          <w:tcPr>
            <w:tcW w:w="6620" w:type="dxa"/>
            <w:shd w:val="clear" w:color="auto" w:fill="auto"/>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lang w:val="en-US" w:eastAsia="zh-CN"/>
              </w:rPr>
              <w:t>除项目经理外，</w:t>
            </w:r>
            <w:r>
              <w:rPr>
                <w:rFonts w:hint="eastAsia" w:ascii="仿宋" w:hAnsi="仿宋" w:eastAsia="仿宋" w:cs="仿宋"/>
                <w:color w:val="auto"/>
                <w:sz w:val="24"/>
                <w:szCs w:val="24"/>
                <w:lang w:eastAsia="zh-CN"/>
              </w:rPr>
              <w:t>配备人员中具有资产评估师的每人得</w:t>
            </w:r>
            <w:r>
              <w:rPr>
                <w:rFonts w:hint="eastAsia" w:ascii="仿宋" w:hAnsi="仿宋" w:eastAsia="仿宋" w:cs="仿宋"/>
                <w:color w:val="auto"/>
                <w:sz w:val="24"/>
                <w:szCs w:val="24"/>
                <w:lang w:val="en-US" w:eastAsia="zh-CN"/>
              </w:rPr>
              <w:t>1分，最多得2分；具有房产评估师的</w:t>
            </w:r>
            <w:r>
              <w:rPr>
                <w:rFonts w:hint="eastAsia" w:ascii="仿宋" w:hAnsi="仿宋" w:eastAsia="仿宋" w:cs="仿宋"/>
                <w:color w:val="auto"/>
                <w:sz w:val="24"/>
                <w:szCs w:val="24"/>
                <w:lang w:eastAsia="zh-CN"/>
              </w:rPr>
              <w:t>每人得</w:t>
            </w:r>
            <w:r>
              <w:rPr>
                <w:rFonts w:hint="eastAsia" w:ascii="仿宋" w:hAnsi="仿宋" w:eastAsia="仿宋" w:cs="仿宋"/>
                <w:color w:val="auto"/>
                <w:sz w:val="24"/>
                <w:szCs w:val="24"/>
                <w:lang w:val="en-US" w:eastAsia="zh-CN"/>
              </w:rPr>
              <w:t>1分，最多得2分；具有土地评估师的</w:t>
            </w:r>
            <w:r>
              <w:rPr>
                <w:rFonts w:hint="eastAsia" w:ascii="仿宋" w:hAnsi="仿宋" w:eastAsia="仿宋" w:cs="仿宋"/>
                <w:color w:val="auto"/>
                <w:sz w:val="24"/>
                <w:szCs w:val="24"/>
                <w:lang w:eastAsia="zh-CN"/>
              </w:rPr>
              <w:t>每人得</w:t>
            </w:r>
            <w:r>
              <w:rPr>
                <w:rFonts w:hint="eastAsia" w:ascii="仿宋" w:hAnsi="仿宋" w:eastAsia="仿宋" w:cs="仿宋"/>
                <w:color w:val="auto"/>
                <w:sz w:val="24"/>
                <w:szCs w:val="24"/>
                <w:lang w:val="en-US" w:eastAsia="zh-CN"/>
              </w:rPr>
              <w:t>1分，最多得2分；</w:t>
            </w:r>
            <w:r>
              <w:rPr>
                <w:rFonts w:hint="eastAsia" w:ascii="仿宋" w:hAnsi="仿宋" w:eastAsia="仿宋" w:cs="仿宋"/>
                <w:b/>
                <w:bCs/>
                <w:color w:val="auto"/>
                <w:sz w:val="24"/>
                <w:szCs w:val="24"/>
                <w:lang w:val="en-US" w:eastAsia="zh-CN"/>
              </w:rPr>
              <w:t>（若同一人有双证或三证的按人员计最多不超过1分计，总分不超过6分，提供3个月以上社保，退休人员需提供退休返聘合同、退休证明</w:t>
            </w:r>
            <w:r>
              <w:rPr>
                <w:rFonts w:hint="eastAsia" w:ascii="仿宋" w:hAnsi="仿宋" w:eastAsia="仿宋" w:cs="仿宋"/>
                <w:b/>
                <w:bCs/>
                <w:color w:val="auto"/>
                <w:sz w:val="24"/>
                <w:szCs w:val="24"/>
                <w:lang w:eastAsia="zh-CN"/>
              </w:rPr>
              <w:t>）。</w:t>
            </w:r>
          </w:p>
        </w:tc>
        <w:tc>
          <w:tcPr>
            <w:tcW w:w="848" w:type="dxa"/>
            <w:shd w:val="clear" w:color="auto" w:fill="auto"/>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6"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项目背景的理解和分析情况</w:t>
            </w:r>
          </w:p>
        </w:tc>
        <w:tc>
          <w:tcPr>
            <w:tcW w:w="6620" w:type="dxa"/>
            <w:shd w:val="clear" w:color="auto" w:fill="auto"/>
            <w:vAlign w:val="center"/>
          </w:tcPr>
          <w:p>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针对评估项目的技术需求简要阐述对项目目标地区土地征收青苗、地上附着物及房地产评估的了解,进行打分。</w:t>
            </w:r>
          </w:p>
          <w:p>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对项目目标地区土地征收青苗、地上附着物及房地产评估的背景调查全面，对项目的技术需求分析有针对性的得6.0-9.0分；</w:t>
            </w:r>
          </w:p>
          <w:p>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对项目目标地区的背景了解程度一般，分析基本合理的得2.0-5.9分；</w:t>
            </w:r>
          </w:p>
          <w:p>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对项目技术需求、背景等情况不了解，相关内容分析片面简单的得0.1-1.9分；</w:t>
            </w:r>
          </w:p>
          <w:p>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未提及此项不得分。</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6"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17" w:type="dxa"/>
            <w:shd w:val="clear" w:color="auto" w:fill="auto"/>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重难点分析</w:t>
            </w:r>
          </w:p>
        </w:tc>
        <w:tc>
          <w:tcPr>
            <w:tcW w:w="6620" w:type="dxa"/>
            <w:shd w:val="clear" w:color="auto" w:fill="auto"/>
            <w:vAlign w:val="center"/>
          </w:tcPr>
          <w:p>
            <w:pPr>
              <w:widowControl/>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针对项目</w:t>
            </w:r>
            <w:r>
              <w:rPr>
                <w:rFonts w:hint="eastAsia" w:ascii="仿宋" w:hAnsi="仿宋" w:eastAsia="仿宋" w:cs="仿宋"/>
                <w:color w:val="auto"/>
                <w:sz w:val="24"/>
                <w:szCs w:val="24"/>
                <w:highlight w:val="none"/>
                <w:lang w:val="en-US" w:eastAsia="zh-CN"/>
              </w:rPr>
              <w:t>实施背景、</w:t>
            </w:r>
            <w:r>
              <w:rPr>
                <w:rFonts w:hint="eastAsia" w:ascii="仿宋" w:hAnsi="仿宋" w:eastAsia="仿宋" w:cs="仿宋"/>
                <w:color w:val="auto"/>
                <w:sz w:val="24"/>
                <w:szCs w:val="24"/>
                <w:highlight w:val="none"/>
                <w:lang w:eastAsia="zh-CN"/>
              </w:rPr>
              <w:t>关于土地征收青苗、地上附着物及房地产评估事项技术服务</w:t>
            </w:r>
            <w:r>
              <w:rPr>
                <w:rFonts w:hint="eastAsia" w:ascii="仿宋" w:hAnsi="仿宋" w:eastAsia="仿宋" w:cs="仿宋"/>
                <w:color w:val="auto"/>
                <w:sz w:val="24"/>
                <w:szCs w:val="24"/>
                <w:highlight w:val="none"/>
                <w:lang w:val="en-US" w:eastAsia="zh-CN"/>
              </w:rPr>
              <w:t>项目情况调查、存在问题和具体工作过程可能遇到的</w:t>
            </w:r>
            <w:r>
              <w:rPr>
                <w:rFonts w:hint="eastAsia" w:ascii="仿宋" w:hAnsi="仿宋" w:eastAsia="仿宋" w:cs="仿宋"/>
                <w:color w:val="auto"/>
                <w:sz w:val="24"/>
                <w:szCs w:val="24"/>
                <w:highlight w:val="none"/>
              </w:rPr>
              <w:t>重点难点分析情况</w:t>
            </w:r>
            <w:r>
              <w:rPr>
                <w:rFonts w:hint="eastAsia" w:ascii="仿宋" w:hAnsi="仿宋" w:eastAsia="仿宋" w:cs="仿宋"/>
                <w:color w:val="auto"/>
                <w:sz w:val="24"/>
                <w:szCs w:val="24"/>
                <w:highlight w:val="none"/>
                <w:lang w:val="en-US" w:eastAsia="zh-CN"/>
              </w:rPr>
              <w:t>进行打分。</w:t>
            </w:r>
          </w:p>
          <w:p>
            <w:pPr>
              <w:widowControl/>
              <w:adjustRightInd w:val="0"/>
              <w:snapToGrid w:val="0"/>
              <w:spacing w:line="240" w:lineRule="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z w:val="24"/>
                <w:szCs w:val="24"/>
                <w:highlight w:val="none"/>
                <w:lang w:val="en-US" w:eastAsia="zh-CN"/>
              </w:rPr>
              <w:t>调查仔细，调查资料收集完整全面，重难点分析</w:t>
            </w:r>
            <w:r>
              <w:rPr>
                <w:rFonts w:hint="eastAsia" w:ascii="仿宋" w:hAnsi="仿宋" w:eastAsia="仿宋" w:cs="仿宋"/>
                <w:color w:val="auto"/>
                <w:spacing w:val="-4"/>
                <w:sz w:val="24"/>
                <w:szCs w:val="24"/>
                <w:highlight w:val="none"/>
                <w:lang w:val="en-US" w:eastAsia="zh-CN"/>
              </w:rPr>
              <w:t>详细且有针对性的得3.0-6.0分；</w:t>
            </w:r>
          </w:p>
          <w:p>
            <w:pPr>
              <w:widowControl/>
              <w:adjustRightInd w:val="0"/>
              <w:snapToGrid w:val="0"/>
              <w:spacing w:line="240" w:lineRule="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调查资料简单，重难点分析内容片面，缺乏针对性的得0.1-2.9分；</w:t>
            </w:r>
          </w:p>
          <w:p>
            <w:pPr>
              <w:widowControl/>
              <w:adjustRightInd w:val="0"/>
              <w:snapToGrid w:val="0"/>
              <w:spacing w:line="240" w:lineRule="auto"/>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pacing w:val="-4"/>
                <w:sz w:val="24"/>
                <w:szCs w:val="24"/>
                <w:highlight w:val="none"/>
                <w:lang w:val="en-US" w:eastAsia="zh-CN"/>
              </w:rPr>
              <w:t>未提及此项不得分。</w:t>
            </w:r>
          </w:p>
        </w:tc>
        <w:tc>
          <w:tcPr>
            <w:tcW w:w="848"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17" w:type="dxa"/>
            <w:shd w:val="clear" w:color="auto" w:fill="auto"/>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重难点解决方案</w:t>
            </w:r>
          </w:p>
        </w:tc>
        <w:tc>
          <w:tcPr>
            <w:tcW w:w="6620" w:type="dxa"/>
            <w:shd w:val="clear" w:color="auto" w:fill="auto"/>
            <w:vAlign w:val="center"/>
          </w:tcPr>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根据投标人对项目工作存在的</w:t>
            </w:r>
            <w:r>
              <w:rPr>
                <w:rFonts w:hint="eastAsia" w:ascii="仿宋" w:hAnsi="仿宋" w:eastAsia="仿宋" w:cs="仿宋"/>
                <w:b w:val="0"/>
                <w:color w:val="auto"/>
                <w:sz w:val="24"/>
                <w:szCs w:val="24"/>
                <w:highlight w:val="none"/>
                <w:lang w:val="en-US" w:eastAsia="zh-CN"/>
              </w:rPr>
              <w:t>重点难点问题提出的</w:t>
            </w:r>
            <w:r>
              <w:rPr>
                <w:rFonts w:hint="eastAsia" w:ascii="仿宋" w:hAnsi="仿宋" w:eastAsia="仿宋" w:cs="仿宋"/>
                <w:b w:val="0"/>
                <w:color w:val="auto"/>
                <w:sz w:val="24"/>
                <w:szCs w:val="24"/>
                <w:highlight w:val="none"/>
              </w:rPr>
              <w:t>解决措施进行打分</w:t>
            </w:r>
            <w:r>
              <w:rPr>
                <w:rFonts w:hint="eastAsia" w:ascii="仿宋" w:hAnsi="仿宋" w:eastAsia="仿宋" w:cs="仿宋"/>
                <w:b w:val="0"/>
                <w:color w:val="auto"/>
                <w:sz w:val="24"/>
                <w:szCs w:val="24"/>
                <w:highlight w:val="none"/>
                <w:lang w:eastAsia="zh-CN"/>
              </w:rPr>
              <w:t>。</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有清晰</w:t>
            </w:r>
            <w:r>
              <w:rPr>
                <w:rFonts w:hint="eastAsia" w:ascii="仿宋" w:hAnsi="仿宋" w:eastAsia="仿宋" w:cs="仿宋"/>
                <w:b w:val="0"/>
                <w:color w:val="auto"/>
                <w:sz w:val="24"/>
                <w:szCs w:val="24"/>
                <w:highlight w:val="none"/>
                <w:lang w:val="en-US" w:eastAsia="zh-CN"/>
              </w:rPr>
              <w:t>详尽</w:t>
            </w:r>
            <w:r>
              <w:rPr>
                <w:rFonts w:hint="eastAsia" w:ascii="仿宋" w:hAnsi="仿宋" w:eastAsia="仿宋" w:cs="仿宋"/>
                <w:b w:val="0"/>
                <w:color w:val="auto"/>
                <w:sz w:val="24"/>
                <w:szCs w:val="24"/>
                <w:highlight w:val="none"/>
              </w:rPr>
              <w:t>处理</w:t>
            </w:r>
            <w:r>
              <w:rPr>
                <w:rFonts w:hint="eastAsia" w:ascii="仿宋" w:hAnsi="仿宋" w:eastAsia="仿宋" w:cs="仿宋"/>
                <w:b w:val="0"/>
                <w:color w:val="auto"/>
                <w:sz w:val="24"/>
                <w:szCs w:val="24"/>
                <w:highlight w:val="none"/>
                <w:lang w:val="en-US" w:eastAsia="zh-CN"/>
              </w:rPr>
              <w:t>方法，具有针对性、合理性、可行性</w:t>
            </w:r>
            <w:r>
              <w:rPr>
                <w:rFonts w:hint="eastAsia" w:ascii="仿宋" w:hAnsi="仿宋" w:eastAsia="仿宋" w:cs="仿宋"/>
                <w:b w:val="0"/>
                <w:color w:val="auto"/>
                <w:sz w:val="24"/>
                <w:szCs w:val="24"/>
                <w:highlight w:val="none"/>
              </w:rPr>
              <w:t>的得</w:t>
            </w:r>
            <w:r>
              <w:rPr>
                <w:rFonts w:hint="eastAsia" w:ascii="仿宋" w:hAnsi="仿宋" w:eastAsia="仿宋" w:cs="仿宋"/>
                <w:b w:val="0"/>
                <w:color w:val="auto"/>
                <w:sz w:val="24"/>
                <w:szCs w:val="24"/>
                <w:highlight w:val="none"/>
                <w:lang w:val="en-US" w:eastAsia="zh-CN"/>
              </w:rPr>
              <w:t>3.0-6.0分</w:t>
            </w:r>
            <w:r>
              <w:rPr>
                <w:rFonts w:hint="eastAsia" w:ascii="仿宋" w:hAnsi="仿宋" w:eastAsia="仿宋" w:cs="仿宋"/>
                <w:b w:val="0"/>
                <w:color w:val="auto"/>
                <w:sz w:val="24"/>
                <w:szCs w:val="24"/>
                <w:highlight w:val="none"/>
              </w:rPr>
              <w:t>；</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有处理</w:t>
            </w:r>
            <w:r>
              <w:rPr>
                <w:rFonts w:hint="eastAsia" w:ascii="仿宋" w:hAnsi="仿宋" w:eastAsia="仿宋" w:cs="仿宋"/>
                <w:b w:val="0"/>
                <w:color w:val="auto"/>
                <w:sz w:val="24"/>
                <w:szCs w:val="24"/>
                <w:highlight w:val="none"/>
                <w:lang w:val="en-US" w:eastAsia="zh-CN"/>
              </w:rPr>
              <w:t>方法</w:t>
            </w:r>
            <w:r>
              <w:rPr>
                <w:rFonts w:hint="eastAsia" w:ascii="仿宋" w:hAnsi="仿宋" w:eastAsia="仿宋" w:cs="仿宋"/>
                <w:b w:val="0"/>
                <w:color w:val="auto"/>
                <w:sz w:val="24"/>
                <w:szCs w:val="24"/>
                <w:highlight w:val="none"/>
              </w:rPr>
              <w:t>但</w:t>
            </w:r>
            <w:r>
              <w:rPr>
                <w:rFonts w:hint="eastAsia" w:ascii="仿宋" w:hAnsi="仿宋" w:eastAsia="仿宋" w:cs="仿宋"/>
                <w:b w:val="0"/>
                <w:color w:val="auto"/>
                <w:sz w:val="24"/>
                <w:szCs w:val="24"/>
                <w:highlight w:val="none"/>
                <w:lang w:val="en-US" w:eastAsia="zh-CN"/>
              </w:rPr>
              <w:t>阐述</w:t>
            </w:r>
            <w:r>
              <w:rPr>
                <w:rFonts w:hint="eastAsia" w:ascii="仿宋" w:hAnsi="仿宋" w:eastAsia="仿宋" w:cs="仿宋"/>
                <w:b w:val="0"/>
                <w:color w:val="auto"/>
                <w:sz w:val="24"/>
                <w:szCs w:val="24"/>
                <w:highlight w:val="none"/>
              </w:rPr>
              <w:t>不够详尽的得</w:t>
            </w:r>
            <w:r>
              <w:rPr>
                <w:rFonts w:hint="eastAsia" w:ascii="仿宋" w:hAnsi="仿宋" w:eastAsia="仿宋" w:cs="仿宋"/>
                <w:b w:val="0"/>
                <w:color w:val="auto"/>
                <w:sz w:val="24"/>
                <w:szCs w:val="24"/>
                <w:highlight w:val="none"/>
                <w:lang w:val="en-US" w:eastAsia="zh-CN"/>
              </w:rPr>
              <w:t>0.1-2.9分</w:t>
            </w:r>
            <w:r>
              <w:rPr>
                <w:rFonts w:hint="eastAsia" w:ascii="仿宋" w:hAnsi="仿宋" w:eastAsia="仿宋" w:cs="仿宋"/>
                <w:b w:val="0"/>
                <w:color w:val="auto"/>
                <w:sz w:val="24"/>
                <w:szCs w:val="24"/>
                <w:highlight w:val="none"/>
              </w:rPr>
              <w:t>；</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未提及此项不得分</w:t>
            </w:r>
            <w:r>
              <w:rPr>
                <w:rFonts w:hint="eastAsia" w:ascii="仿宋" w:hAnsi="仿宋" w:eastAsia="仿宋" w:cs="仿宋"/>
                <w:b w:val="0"/>
                <w:color w:val="auto"/>
                <w:sz w:val="24"/>
                <w:szCs w:val="24"/>
                <w:highlight w:val="none"/>
              </w:rPr>
              <w:t>。</w:t>
            </w:r>
          </w:p>
        </w:tc>
        <w:tc>
          <w:tcPr>
            <w:tcW w:w="848" w:type="dxa"/>
            <w:shd w:val="clear" w:color="auto" w:fill="auto"/>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2" w:hRule="atLeast"/>
          <w:jc w:val="center"/>
        </w:trPr>
        <w:tc>
          <w:tcPr>
            <w:tcW w:w="7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1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方案的具体实施计划</w:t>
            </w:r>
          </w:p>
        </w:tc>
        <w:tc>
          <w:tcPr>
            <w:tcW w:w="6620" w:type="dxa"/>
            <w:shd w:val="clear" w:color="auto" w:fill="auto"/>
            <w:vAlign w:val="center"/>
          </w:tcPr>
          <w:p>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根据投标人针对本项目提供的总体工作安排、工作标准（包括青苗征收的制定标准）等情况进行打分。</w:t>
            </w:r>
          </w:p>
          <w:p>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总体工作安排合理，工作标准（包括青苗征收的制定标准）内容完整详细，条款明确，能有效保障项目完成质量的得的得6.0-9.0分；</w:t>
            </w:r>
          </w:p>
          <w:p>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总体工作安排阐述简单，工作标准内容阐述完整但部分条款不明确，能基本保障项目服务的得2.0-5.9分；</w:t>
            </w:r>
          </w:p>
          <w:p>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项目总体工作安排不明确，相关工作标准阐述不清晰且内容简单，无法有效保障项目服务质量的得0.1-1.9分；</w:t>
            </w:r>
          </w:p>
          <w:p>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未提及此项不得分。</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highlight w:val="none"/>
              </w:rPr>
            </w:pPr>
          </w:p>
        </w:tc>
        <w:tc>
          <w:tcPr>
            <w:tcW w:w="12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highlight w:val="none"/>
              </w:rPr>
            </w:pPr>
          </w:p>
        </w:tc>
        <w:tc>
          <w:tcPr>
            <w:tcW w:w="66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提供的项目实施方案的全面性、科学性和可行性等进行打分</w:t>
            </w:r>
            <w:r>
              <w:rPr>
                <w:rFonts w:hint="eastAsia" w:ascii="仿宋" w:hAnsi="仿宋" w:eastAsia="仿宋" w:cs="仿宋"/>
                <w:color w:val="auto"/>
                <w:sz w:val="24"/>
                <w:szCs w:val="24"/>
                <w:highlight w:val="none"/>
                <w:lang w:eastAsia="zh-CN"/>
              </w:rPr>
              <w:t>。</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方案阐述详细全面，工作方法明确，内容完整，符合项目需求的得4.0-6.0分；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方案合理，内容有提及但有欠缺，部分缺乏针对性，合理性的得2.0-3.9分；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方案阐述片面，内容有大部分缺失，无法保障项目完成质量的得0.1-1.9分；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val="en-US" w:eastAsia="zh-CN"/>
              </w:rPr>
              <w:t>未提及此项不得分。</w:t>
            </w:r>
          </w:p>
        </w:tc>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17" w:type="dxa"/>
            <w:shd w:val="clear" w:color="auto" w:fill="auto"/>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后续</w:t>
            </w:r>
            <w:r>
              <w:rPr>
                <w:rFonts w:hint="eastAsia" w:ascii="仿宋" w:hAnsi="仿宋" w:eastAsia="仿宋" w:cs="仿宋"/>
                <w:b/>
                <w:bCs/>
                <w:color w:val="auto"/>
                <w:kern w:val="0"/>
                <w:sz w:val="24"/>
                <w:szCs w:val="24"/>
                <w:highlight w:val="none"/>
              </w:rPr>
              <w:t>服务</w:t>
            </w:r>
            <w:r>
              <w:rPr>
                <w:rFonts w:hint="eastAsia" w:ascii="仿宋" w:hAnsi="仿宋" w:eastAsia="仿宋" w:cs="仿宋"/>
                <w:b/>
                <w:bCs/>
                <w:color w:val="auto"/>
                <w:kern w:val="0"/>
                <w:sz w:val="24"/>
                <w:szCs w:val="24"/>
                <w:highlight w:val="none"/>
                <w:lang w:val="en-US" w:eastAsia="zh-CN"/>
              </w:rPr>
              <w:t>方案</w:t>
            </w:r>
          </w:p>
        </w:tc>
        <w:tc>
          <w:tcPr>
            <w:tcW w:w="6620" w:type="dxa"/>
            <w:shd w:val="clear" w:color="auto" w:fill="auto"/>
            <w:vAlign w:val="center"/>
          </w:tcPr>
          <w:p>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根据投标人承诺提供的</w:t>
            </w:r>
            <w:r>
              <w:rPr>
                <w:rFonts w:hint="eastAsia" w:ascii="仿宋" w:hAnsi="仿宋" w:eastAsia="仿宋" w:cs="仿宋"/>
                <w:b w:val="0"/>
                <w:i w:val="0"/>
                <w:caps w:val="0"/>
                <w:color w:val="auto"/>
                <w:spacing w:val="0"/>
                <w:w w:val="100"/>
                <w:sz w:val="24"/>
                <w:szCs w:val="24"/>
                <w:highlight w:val="none"/>
                <w:lang w:val="en-US" w:eastAsia="zh-CN"/>
              </w:rPr>
              <w:t>后续</w:t>
            </w:r>
            <w:r>
              <w:rPr>
                <w:rFonts w:hint="eastAsia" w:ascii="仿宋" w:hAnsi="仿宋" w:eastAsia="仿宋" w:cs="仿宋"/>
                <w:b w:val="0"/>
                <w:i w:val="0"/>
                <w:caps w:val="0"/>
                <w:color w:val="auto"/>
                <w:spacing w:val="0"/>
                <w:w w:val="100"/>
                <w:sz w:val="24"/>
                <w:szCs w:val="24"/>
                <w:highlight w:val="none"/>
              </w:rPr>
              <w:t>服务方案（服务能力、服务措施、服务承诺</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color w:val="auto"/>
                <w:sz w:val="24"/>
                <w:szCs w:val="24"/>
                <w:highlight w:val="none"/>
                <w:lang w:val="en-US" w:eastAsia="zh-CN"/>
              </w:rPr>
              <w:t>根据项目丈量的实际需求对提供服务的便捷性、服务响应</w:t>
            </w:r>
            <w:r>
              <w:rPr>
                <w:rFonts w:hint="eastAsia" w:ascii="仿宋" w:hAnsi="仿宋" w:eastAsia="仿宋" w:cs="仿宋"/>
                <w:b w:val="0"/>
                <w:i w:val="0"/>
                <w:caps w:val="0"/>
                <w:color w:val="auto"/>
                <w:spacing w:val="0"/>
                <w:w w:val="100"/>
                <w:sz w:val="24"/>
                <w:szCs w:val="24"/>
                <w:highlight w:val="none"/>
              </w:rPr>
              <w:t>等方面）情况，包括服务承诺的可行性、完整性以及后续的技术实施保障措施等进行打分。</w:t>
            </w:r>
          </w:p>
          <w:p>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rPr>
              <w:t>服务方案全面</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lang w:val="en-US" w:eastAsia="zh-CN"/>
              </w:rPr>
              <w:t>服务能力较好，</w:t>
            </w:r>
            <w:r>
              <w:rPr>
                <w:rFonts w:hint="eastAsia" w:ascii="仿宋" w:hAnsi="仿宋" w:eastAsia="仿宋" w:cs="仿宋"/>
                <w:b w:val="0"/>
                <w:i w:val="0"/>
                <w:caps w:val="0"/>
                <w:color w:val="auto"/>
                <w:spacing w:val="0"/>
                <w:w w:val="100"/>
                <w:sz w:val="24"/>
                <w:szCs w:val="24"/>
                <w:highlight w:val="none"/>
              </w:rPr>
              <w:t>后续</w:t>
            </w:r>
            <w:r>
              <w:rPr>
                <w:rFonts w:hint="eastAsia" w:ascii="仿宋" w:hAnsi="仿宋" w:eastAsia="仿宋" w:cs="仿宋"/>
                <w:b w:val="0"/>
                <w:i w:val="0"/>
                <w:caps w:val="0"/>
                <w:color w:val="auto"/>
                <w:spacing w:val="0"/>
                <w:w w:val="100"/>
                <w:sz w:val="24"/>
                <w:szCs w:val="24"/>
                <w:highlight w:val="none"/>
                <w:lang w:val="en-US" w:eastAsia="zh-CN"/>
              </w:rPr>
              <w:t>服务</w:t>
            </w:r>
            <w:r>
              <w:rPr>
                <w:rFonts w:hint="eastAsia" w:ascii="仿宋" w:hAnsi="仿宋" w:eastAsia="仿宋" w:cs="仿宋"/>
                <w:b w:val="0"/>
                <w:i w:val="0"/>
                <w:caps w:val="0"/>
                <w:color w:val="auto"/>
                <w:spacing w:val="0"/>
                <w:w w:val="100"/>
                <w:sz w:val="24"/>
                <w:szCs w:val="24"/>
                <w:highlight w:val="none"/>
              </w:rPr>
              <w:t>保障措施合理有效</w:t>
            </w:r>
            <w:r>
              <w:rPr>
                <w:rFonts w:hint="eastAsia" w:ascii="仿宋" w:hAnsi="仿宋" w:eastAsia="仿宋" w:cs="仿宋"/>
                <w:b w:val="0"/>
                <w:color w:val="auto"/>
                <w:sz w:val="24"/>
                <w:szCs w:val="24"/>
                <w:highlight w:val="none"/>
                <w:lang w:val="en-US" w:eastAsia="zh-CN"/>
              </w:rPr>
              <w:t>的得3.0-6.0分；</w:t>
            </w:r>
          </w:p>
          <w:p>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lang w:val="en-US" w:eastAsia="zh-CN"/>
              </w:rPr>
              <w:t>服务能力一般，基本能</w:t>
            </w:r>
            <w:r>
              <w:rPr>
                <w:rFonts w:hint="eastAsia" w:ascii="仿宋" w:hAnsi="仿宋" w:eastAsia="仿宋" w:cs="仿宋"/>
                <w:color w:val="auto"/>
                <w:sz w:val="24"/>
                <w:szCs w:val="24"/>
                <w:highlight w:val="none"/>
                <w:lang w:val="en-US" w:eastAsia="zh-CN"/>
              </w:rPr>
              <w:t>根据项目丈量的实际需求提供便捷服务，服务承诺具有可操作性的得</w:t>
            </w:r>
            <w:r>
              <w:rPr>
                <w:rFonts w:hint="eastAsia" w:ascii="仿宋" w:hAnsi="仿宋" w:eastAsia="仿宋" w:cs="仿宋"/>
                <w:b w:val="0"/>
                <w:color w:val="auto"/>
                <w:sz w:val="24"/>
                <w:szCs w:val="24"/>
                <w:highlight w:val="none"/>
                <w:lang w:val="en-US" w:eastAsia="zh-CN"/>
              </w:rPr>
              <w:t>0.1-2.9分；</w:t>
            </w:r>
          </w:p>
          <w:p>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w w:val="100"/>
                <w:sz w:val="24"/>
                <w:szCs w:val="24"/>
                <w:highlight w:val="none"/>
              </w:rPr>
              <w:t>未提及此项不得分。</w:t>
            </w:r>
          </w:p>
        </w:tc>
        <w:tc>
          <w:tcPr>
            <w:tcW w:w="848" w:type="dxa"/>
            <w:shd w:val="clear" w:color="auto" w:fill="auto"/>
            <w:vAlign w:val="center"/>
          </w:tcPr>
          <w:p>
            <w:pPr>
              <w:keepNext w:val="0"/>
              <w:keepLines w:val="0"/>
              <w:pageBreakBefore w:val="0"/>
              <w:tabs>
                <w:tab w:val="left" w:pos="780"/>
              </w:tabs>
              <w:kinsoku/>
              <w:wordWrap/>
              <w:topLinePunct w:val="0"/>
              <w:bidi w:val="0"/>
              <w:snapToGrid/>
              <w:spacing w:before="0" w:beforeAutospacing="0" w:afterAutospacing="0" w:line="240" w:lineRule="auto"/>
              <w:ind w:right="0" w:rightChars="0"/>
              <w:jc w:val="center"/>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9"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17" w:type="dxa"/>
            <w:shd w:val="clear" w:color="auto" w:fill="auto"/>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技术服务承诺及技术保障</w:t>
            </w:r>
          </w:p>
        </w:tc>
        <w:tc>
          <w:tcPr>
            <w:tcW w:w="6620" w:type="dxa"/>
            <w:shd w:val="clear" w:color="auto" w:fill="auto"/>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w:t>
            </w: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合同履行过程中所提供的服务承诺及技术保障</w:t>
            </w:r>
            <w:r>
              <w:rPr>
                <w:rFonts w:hint="eastAsia" w:ascii="仿宋" w:hAnsi="仿宋" w:eastAsia="仿宋" w:cs="仿宋"/>
                <w:color w:val="auto"/>
                <w:sz w:val="24"/>
                <w:szCs w:val="24"/>
                <w:highlight w:val="none"/>
                <w:lang w:val="en-US" w:eastAsia="zh-CN"/>
              </w:rPr>
              <w:t>措施，包括但不限于工作中的管理规范、</w:t>
            </w:r>
            <w:r>
              <w:rPr>
                <w:rFonts w:hint="eastAsia" w:ascii="仿宋" w:hAnsi="仿宋" w:eastAsia="仿宋" w:cs="仿宋"/>
                <w:b w:val="0"/>
                <w:bCs w:val="0"/>
                <w:color w:val="auto"/>
                <w:sz w:val="24"/>
                <w:szCs w:val="24"/>
                <w:highlight w:val="none"/>
                <w:lang w:val="en-US" w:eastAsia="zh-CN"/>
              </w:rPr>
              <w:t>管理组织构架、监督体系、</w:t>
            </w:r>
            <w:r>
              <w:rPr>
                <w:rFonts w:hint="eastAsia" w:ascii="仿宋" w:hAnsi="仿宋" w:eastAsia="仿宋" w:cs="仿宋"/>
                <w:color w:val="auto"/>
                <w:sz w:val="24"/>
                <w:szCs w:val="24"/>
                <w:highlight w:val="none"/>
                <w:lang w:val="en-US" w:eastAsia="zh-CN"/>
              </w:rPr>
              <w:t>内控制度、质量管控</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val="en-US" w:eastAsia="zh-CN"/>
              </w:rPr>
              <w:t>等内容进行打分。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技术服务承诺及技术保障</w:t>
            </w:r>
            <w:r>
              <w:rPr>
                <w:rFonts w:hint="eastAsia" w:ascii="仿宋" w:hAnsi="仿宋" w:eastAsia="仿宋" w:cs="仿宋"/>
                <w:color w:val="auto"/>
                <w:sz w:val="24"/>
                <w:szCs w:val="24"/>
                <w:highlight w:val="none"/>
                <w:lang w:val="en-US" w:eastAsia="zh-CN"/>
              </w:rPr>
              <w:t>方案全面，服务质量管控方案阐述全面，管理规范、</w:t>
            </w:r>
            <w:r>
              <w:rPr>
                <w:rFonts w:hint="eastAsia" w:ascii="仿宋" w:hAnsi="仿宋" w:eastAsia="仿宋" w:cs="仿宋"/>
                <w:b w:val="0"/>
                <w:bCs w:val="0"/>
                <w:color w:val="auto"/>
                <w:sz w:val="24"/>
                <w:szCs w:val="24"/>
                <w:highlight w:val="none"/>
                <w:lang w:val="en-US" w:eastAsia="zh-CN"/>
              </w:rPr>
              <w:t>管理组织构架、监督体系、</w:t>
            </w:r>
            <w:r>
              <w:rPr>
                <w:rFonts w:hint="eastAsia" w:ascii="仿宋" w:hAnsi="仿宋" w:eastAsia="仿宋" w:cs="仿宋"/>
                <w:color w:val="auto"/>
                <w:sz w:val="24"/>
                <w:szCs w:val="24"/>
                <w:highlight w:val="none"/>
                <w:lang w:val="en-US" w:eastAsia="zh-CN"/>
              </w:rPr>
              <w:t>内控制度、质量管控</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val="en-US" w:eastAsia="zh-CN"/>
              </w:rPr>
              <w:t>等阐述</w:t>
            </w:r>
            <w:r>
              <w:rPr>
                <w:rFonts w:hint="eastAsia" w:ascii="仿宋" w:hAnsi="仿宋" w:eastAsia="仿宋" w:cs="仿宋"/>
                <w:b w:val="0"/>
                <w:bCs w:val="0"/>
                <w:color w:val="auto"/>
                <w:sz w:val="24"/>
                <w:szCs w:val="24"/>
                <w:highlight w:val="none"/>
                <w:lang w:val="en-US" w:eastAsia="zh-CN"/>
              </w:rPr>
              <w:t>合理可行且</w:t>
            </w:r>
            <w:r>
              <w:rPr>
                <w:rFonts w:hint="eastAsia" w:ascii="仿宋" w:hAnsi="仿宋" w:eastAsia="仿宋" w:cs="仿宋"/>
                <w:color w:val="auto"/>
                <w:sz w:val="24"/>
                <w:szCs w:val="24"/>
                <w:highlight w:val="none"/>
                <w:lang w:val="en-US" w:eastAsia="zh-CN"/>
              </w:rPr>
              <w:t>有针对性</w:t>
            </w:r>
            <w:r>
              <w:rPr>
                <w:rFonts w:hint="eastAsia" w:ascii="仿宋" w:hAnsi="仿宋" w:eastAsia="仿宋" w:cs="仿宋"/>
                <w:b w:val="0"/>
                <w:bCs w:val="0"/>
                <w:color w:val="auto"/>
                <w:sz w:val="24"/>
                <w:szCs w:val="24"/>
                <w:highlight w:val="none"/>
                <w:lang w:val="en-US" w:eastAsia="zh-CN"/>
              </w:rPr>
              <w:t>，能</w:t>
            </w:r>
            <w:r>
              <w:rPr>
                <w:rFonts w:hint="eastAsia" w:ascii="仿宋" w:hAnsi="仿宋" w:eastAsia="仿宋" w:cs="仿宋"/>
                <w:color w:val="auto"/>
                <w:sz w:val="24"/>
                <w:szCs w:val="24"/>
                <w:highlight w:val="none"/>
                <w:lang w:val="en-US" w:eastAsia="zh-CN"/>
              </w:rPr>
              <w:t>有效保障项目服务质量的得6.0-9.0分</w:t>
            </w:r>
            <w:r>
              <w:rPr>
                <w:rFonts w:hint="eastAsia" w:ascii="仿宋" w:hAnsi="仿宋" w:eastAsia="仿宋" w:cs="仿宋"/>
                <w:color w:val="auto"/>
                <w:sz w:val="24"/>
                <w:szCs w:val="24"/>
                <w:highlight w:val="none"/>
              </w:rPr>
              <w:t>；</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服务质量管控方案阐述合理，管理规范、监督体系等</w:t>
            </w:r>
            <w:r>
              <w:rPr>
                <w:rFonts w:hint="eastAsia" w:ascii="仿宋" w:hAnsi="仿宋" w:eastAsia="仿宋" w:cs="仿宋"/>
                <w:b w:val="0"/>
                <w:bCs w:val="0"/>
                <w:color w:val="auto"/>
                <w:sz w:val="24"/>
                <w:szCs w:val="24"/>
                <w:highlight w:val="none"/>
                <w:lang w:val="en-US" w:eastAsia="zh-CN"/>
              </w:rPr>
              <w:t>内容有提及但阐述不完整，</w:t>
            </w:r>
            <w:r>
              <w:rPr>
                <w:rFonts w:hint="eastAsia" w:ascii="仿宋" w:hAnsi="仿宋" w:eastAsia="仿宋" w:cs="仿宋"/>
                <w:color w:val="auto"/>
                <w:sz w:val="24"/>
                <w:szCs w:val="24"/>
                <w:highlight w:val="none"/>
                <w:lang w:val="en-US" w:eastAsia="zh-CN"/>
              </w:rPr>
              <w:t>基本能保障项目服务的得2.0-5.9分；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服技术服务承诺及技术保障阐述简单片面，管理规范、监督体系等相关内容阐述不完整，缺乏针对性、可行性的得0.1-1.9分；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lang w:val="en-US" w:eastAsia="zh-CN"/>
              </w:rPr>
              <w:t>未提及此项不得分。</w:t>
            </w:r>
          </w:p>
        </w:tc>
        <w:tc>
          <w:tcPr>
            <w:tcW w:w="848" w:type="dxa"/>
            <w:shd w:val="clear" w:color="auto" w:fill="auto"/>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9" w:hRule="atLeast"/>
          <w:jc w:val="center"/>
        </w:trPr>
        <w:tc>
          <w:tcPr>
            <w:tcW w:w="7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17" w:type="dxa"/>
            <w:shd w:val="clear" w:color="auto" w:fill="auto"/>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合理化建议</w:t>
            </w:r>
          </w:p>
        </w:tc>
        <w:tc>
          <w:tcPr>
            <w:tcW w:w="6620" w:type="dxa"/>
            <w:shd w:val="clear" w:color="auto" w:fill="auto"/>
            <w:vAlign w:val="center"/>
          </w:tcPr>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根据投标人依据本项目服务要求、实际</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需求提出的合理化建议</w:t>
            </w:r>
            <w:r>
              <w:rPr>
                <w:rFonts w:hint="eastAsia" w:ascii="仿宋" w:hAnsi="仿宋" w:eastAsia="仿宋" w:cs="仿宋"/>
                <w:b w:val="0"/>
                <w:bCs w:val="0"/>
                <w:color w:val="auto"/>
                <w:sz w:val="24"/>
                <w:szCs w:val="24"/>
                <w:highlight w:val="none"/>
                <w:lang w:val="en-US" w:eastAsia="zh-CN"/>
              </w:rPr>
              <w:t>进行打分。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bCs w:val="0"/>
                <w:color w:val="auto"/>
                <w:sz w:val="24"/>
                <w:szCs w:val="24"/>
                <w:highlight w:val="none"/>
                <w:lang w:val="en-US" w:eastAsia="zh-CN"/>
              </w:rPr>
              <w:t>建议合理，可实现性强，具有改进意义</w:t>
            </w:r>
            <w:r>
              <w:rPr>
                <w:rFonts w:hint="eastAsia" w:ascii="仿宋" w:hAnsi="仿宋" w:eastAsia="仿宋" w:cs="仿宋"/>
                <w:color w:val="auto"/>
                <w:sz w:val="24"/>
                <w:szCs w:val="24"/>
                <w:highlight w:val="none"/>
                <w:lang w:val="en-US" w:eastAsia="zh-CN"/>
              </w:rPr>
              <w:t>的得1</w:t>
            </w:r>
            <w:r>
              <w:rPr>
                <w:rFonts w:hint="eastAsia" w:ascii="仿宋" w:hAnsi="仿宋" w:eastAsia="仿宋" w:cs="仿宋"/>
                <w:b w:val="0"/>
                <w:color w:val="auto"/>
                <w:sz w:val="24"/>
                <w:szCs w:val="24"/>
                <w:highlight w:val="none"/>
                <w:lang w:val="en-US" w:eastAsia="zh-CN"/>
              </w:rPr>
              <w:t>.0-2.0分</w:t>
            </w:r>
            <w:r>
              <w:rPr>
                <w:rFonts w:hint="eastAsia" w:ascii="仿宋" w:hAnsi="仿宋" w:eastAsia="仿宋" w:cs="仿宋"/>
                <w:b w:val="0"/>
                <w:color w:val="auto"/>
                <w:sz w:val="24"/>
                <w:szCs w:val="24"/>
                <w:highlight w:val="none"/>
              </w:rPr>
              <w:t>；</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建议</w:t>
            </w:r>
            <w:r>
              <w:rPr>
                <w:rFonts w:hint="eastAsia" w:ascii="仿宋" w:hAnsi="仿宋" w:eastAsia="仿宋" w:cs="仿宋"/>
                <w:b w:val="0"/>
                <w:bCs w:val="0"/>
                <w:color w:val="auto"/>
                <w:sz w:val="24"/>
                <w:szCs w:val="24"/>
                <w:highlight w:val="none"/>
              </w:rPr>
              <w:t>可实现性</w:t>
            </w:r>
            <w:r>
              <w:rPr>
                <w:rFonts w:hint="eastAsia" w:ascii="仿宋" w:hAnsi="仿宋" w:eastAsia="仿宋" w:cs="仿宋"/>
                <w:b w:val="0"/>
                <w:bCs w:val="0"/>
                <w:color w:val="auto"/>
                <w:sz w:val="24"/>
                <w:szCs w:val="24"/>
                <w:highlight w:val="none"/>
                <w:lang w:val="en-US" w:eastAsia="zh-CN"/>
              </w:rPr>
              <w:t>较差，几乎没有改进意义</w:t>
            </w:r>
            <w:r>
              <w:rPr>
                <w:rFonts w:hint="eastAsia" w:ascii="仿宋" w:hAnsi="仿宋" w:eastAsia="仿宋" w:cs="仿宋"/>
                <w:color w:val="auto"/>
                <w:sz w:val="24"/>
                <w:szCs w:val="24"/>
                <w:highlight w:val="none"/>
                <w:lang w:val="en-US" w:eastAsia="zh-CN"/>
              </w:rPr>
              <w:t>的</w:t>
            </w:r>
            <w:r>
              <w:rPr>
                <w:rFonts w:hint="eastAsia" w:ascii="仿宋" w:hAnsi="仿宋" w:eastAsia="仿宋" w:cs="仿宋"/>
                <w:b w:val="0"/>
                <w:color w:val="auto"/>
                <w:sz w:val="24"/>
                <w:szCs w:val="24"/>
                <w:highlight w:val="none"/>
                <w:lang w:val="en-US" w:eastAsia="zh-CN"/>
              </w:rPr>
              <w:t>得0.1-0.9分；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未提及此项不得分。</w:t>
            </w:r>
          </w:p>
        </w:tc>
        <w:tc>
          <w:tcPr>
            <w:tcW w:w="848" w:type="dxa"/>
            <w:shd w:val="clear" w:color="auto" w:fill="auto"/>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2" w:hRule="atLeast"/>
          <w:jc w:val="center"/>
        </w:trPr>
        <w:tc>
          <w:tcPr>
            <w:tcW w:w="707" w:type="dxa"/>
            <w:shd w:val="clear" w:color="auto" w:fill="auto"/>
            <w:vAlign w:val="center"/>
          </w:tcPr>
          <w:p>
            <w:pPr>
              <w:pStyle w:val="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217" w:type="dxa"/>
            <w:shd w:val="clear" w:color="auto" w:fill="auto"/>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保密措施</w:t>
            </w:r>
          </w:p>
        </w:tc>
        <w:tc>
          <w:tcPr>
            <w:tcW w:w="6620" w:type="dxa"/>
            <w:shd w:val="clear" w:color="auto" w:fill="auto"/>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w:t>
            </w:r>
            <w:r>
              <w:rPr>
                <w:rFonts w:hint="eastAsia" w:ascii="仿宋" w:hAnsi="仿宋" w:eastAsia="仿宋" w:cs="仿宋"/>
                <w:bCs/>
                <w:color w:val="auto"/>
                <w:sz w:val="24"/>
                <w:szCs w:val="24"/>
                <w:highlight w:val="none"/>
                <w:lang w:val="en-US" w:eastAsia="zh-CN"/>
              </w:rPr>
              <w:t>投标人针对本项目服务工作是否有保密措施，使得工作中</w:t>
            </w:r>
            <w:r>
              <w:rPr>
                <w:rFonts w:hint="eastAsia" w:ascii="仿宋" w:hAnsi="仿宋" w:eastAsia="仿宋" w:cs="仿宋"/>
                <w:bCs/>
                <w:color w:val="auto"/>
                <w:sz w:val="24"/>
                <w:szCs w:val="24"/>
                <w:highlight w:val="none"/>
              </w:rPr>
              <w:t>的各种</w:t>
            </w:r>
            <w:r>
              <w:rPr>
                <w:rFonts w:hint="eastAsia" w:ascii="仿宋" w:hAnsi="仿宋" w:eastAsia="仿宋" w:cs="仿宋"/>
                <w:bCs/>
                <w:color w:val="auto"/>
                <w:sz w:val="24"/>
                <w:szCs w:val="24"/>
                <w:highlight w:val="none"/>
                <w:lang w:val="en-US" w:eastAsia="zh-CN"/>
              </w:rPr>
              <w:t>数据、</w:t>
            </w:r>
            <w:r>
              <w:rPr>
                <w:rFonts w:hint="eastAsia" w:ascii="仿宋" w:hAnsi="仿宋" w:eastAsia="仿宋" w:cs="仿宋"/>
                <w:bCs/>
                <w:color w:val="auto"/>
                <w:sz w:val="24"/>
                <w:szCs w:val="24"/>
                <w:highlight w:val="none"/>
              </w:rPr>
              <w:t>资料以及档案资料不被泄露等情况进行打分。</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详细阐述具体的保密措施，措施全面可行，能够确保资料不被泄露的得</w:t>
            </w:r>
            <w:r>
              <w:rPr>
                <w:rFonts w:hint="eastAsia" w:ascii="仿宋" w:hAnsi="仿宋" w:eastAsia="仿宋" w:cs="仿宋"/>
                <w:b w:val="0"/>
                <w:color w:val="auto"/>
                <w:sz w:val="24"/>
                <w:szCs w:val="24"/>
                <w:highlight w:val="none"/>
                <w:lang w:val="en-US" w:eastAsia="zh-CN"/>
              </w:rPr>
              <w:t>3.0-6.0</w:t>
            </w:r>
            <w:r>
              <w:rPr>
                <w:rFonts w:hint="eastAsia" w:ascii="仿宋" w:hAnsi="仿宋" w:eastAsia="仿宋" w:cs="仿宋"/>
                <w:bCs/>
                <w:color w:val="auto"/>
                <w:sz w:val="24"/>
                <w:szCs w:val="24"/>
                <w:highlight w:val="none"/>
              </w:rPr>
              <w:t>分；</w:t>
            </w:r>
          </w:p>
          <w:p>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保密措施阐述合理，部分措施缺乏针对性、可行性，基本能保障项目保密要求的得</w:t>
            </w:r>
            <w:r>
              <w:rPr>
                <w:rFonts w:hint="eastAsia" w:ascii="仿宋" w:hAnsi="仿宋" w:eastAsia="仿宋" w:cs="仿宋"/>
                <w:b w:val="0"/>
                <w:color w:val="auto"/>
                <w:sz w:val="24"/>
                <w:szCs w:val="24"/>
                <w:highlight w:val="none"/>
                <w:lang w:val="en-US" w:eastAsia="zh-CN"/>
              </w:rPr>
              <w:t>0.1-2.9</w:t>
            </w:r>
            <w:r>
              <w:rPr>
                <w:rFonts w:hint="eastAsia" w:ascii="仿宋" w:hAnsi="仿宋" w:eastAsia="仿宋" w:cs="仿宋"/>
                <w:bCs/>
                <w:color w:val="auto"/>
                <w:sz w:val="24"/>
                <w:szCs w:val="24"/>
                <w:highlight w:val="none"/>
                <w:lang w:val="en-US" w:eastAsia="zh-CN"/>
              </w:rPr>
              <w:t>分；</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未提及此项不得分。</w:t>
            </w:r>
          </w:p>
        </w:tc>
        <w:tc>
          <w:tcPr>
            <w:tcW w:w="848"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bl>
    <w:p>
      <w:pPr>
        <w:pStyle w:val="27"/>
        <w:rPr>
          <w:rFonts w:hint="eastAsia" w:ascii="仿宋" w:hAnsi="仿宋" w:eastAsia="仿宋" w:cs="仿宋"/>
          <w:color w:val="auto"/>
          <w:sz w:val="24"/>
        </w:rPr>
      </w:pPr>
    </w:p>
    <w:p>
      <w:pPr>
        <w:snapToGrid w:val="0"/>
        <w:spacing w:line="360" w:lineRule="auto"/>
        <w:ind w:firstLine="482" w:firstLineChars="200"/>
        <w:jc w:val="left"/>
        <w:rPr>
          <w:rFonts w:hint="eastAsia" w:ascii="仿宋" w:hAnsi="仿宋" w:eastAsia="仿宋"/>
          <w:b/>
          <w:bCs/>
          <w:color w:val="auto"/>
          <w:sz w:val="24"/>
        </w:rPr>
      </w:pPr>
      <w:r>
        <w:rPr>
          <w:rFonts w:hint="eastAsia" w:ascii="仿宋" w:hAnsi="仿宋" w:eastAsia="仿宋"/>
          <w:b/>
          <w:bCs/>
          <w:color w:val="auto"/>
          <w:sz w:val="24"/>
          <w:lang w:eastAsia="zh-CN"/>
        </w:rPr>
        <w:t>注：</w:t>
      </w:r>
      <w:r>
        <w:rPr>
          <w:rFonts w:hint="eastAsia" w:ascii="仿宋" w:hAnsi="仿宋" w:eastAsia="仿宋" w:cs="仿宋"/>
          <w:b/>
          <w:bCs w:val="0"/>
          <w:color w:val="auto"/>
          <w:sz w:val="24"/>
          <w:szCs w:val="24"/>
        </w:rPr>
        <w:t>（5）通过资格评审和符合性评审的投标人全部入围进行商务评审。</w:t>
      </w:r>
    </w:p>
    <w:p>
      <w:pPr>
        <w:snapToGrid w:val="0"/>
        <w:spacing w:line="360" w:lineRule="auto"/>
        <w:ind w:firstLine="482" w:firstLineChars="200"/>
        <w:jc w:val="left"/>
        <w:rPr>
          <w:rFonts w:hint="eastAsia" w:ascii="仿宋" w:hAnsi="仿宋" w:eastAsia="仿宋"/>
          <w:b/>
          <w:bCs/>
          <w:color w:val="auto"/>
          <w:sz w:val="24"/>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p>
    <w:p>
      <w:pPr>
        <w:jc w:val="center"/>
        <w:outlineLvl w:val="0"/>
        <w:rPr>
          <w:rFonts w:hint="eastAsia" w:ascii="仿宋" w:hAnsi="仿宋" w:eastAsia="仿宋" w:cs="仿宋"/>
          <w:b/>
          <w:sz w:val="36"/>
          <w:szCs w:val="36"/>
        </w:rPr>
      </w:pPr>
      <w:r>
        <w:rPr>
          <w:rFonts w:hint="eastAsia" w:ascii="仿宋" w:hAnsi="仿宋" w:eastAsia="仿宋" w:cs="仿宋"/>
          <w:b/>
          <w:sz w:val="36"/>
          <w:szCs w:val="36"/>
        </w:rPr>
        <w:t>五、采购需求</w:t>
      </w:r>
    </w:p>
    <w:p>
      <w:pPr>
        <w:keepNext w:val="0"/>
        <w:keepLines w:val="0"/>
        <w:pageBreakBefore w:val="0"/>
        <w:widowControl w:val="0"/>
        <w:kinsoku/>
        <w:wordWrap/>
        <w:overflowPunct/>
        <w:topLinePunct w:val="0"/>
        <w:autoSpaceDN/>
        <w:bidi w:val="0"/>
        <w:adjustRightInd w:val="0"/>
        <w:snapToGrid w:val="0"/>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sz w:val="24"/>
          <w:szCs w:val="24"/>
        </w:rPr>
        <w:t>（一）</w:t>
      </w:r>
      <w:r>
        <w:rPr>
          <w:rFonts w:hint="eastAsia" w:ascii="仿宋" w:hAnsi="仿宋" w:eastAsia="仿宋" w:cs="仿宋"/>
          <w:color w:val="auto"/>
          <w:sz w:val="24"/>
          <w:szCs w:val="24"/>
          <w:highlight w:val="none"/>
          <w:lang w:val="en-US" w:eastAsia="zh-CN"/>
        </w:rPr>
        <w:t>招标范围：诸暨市姚江镇海卡直升机总装项目用地征收资产评估服务采购项目为航空小镇征地补偿提供青苗、构筑物、及零星房屋资产评估服务；房屋评估内容包括室内装修，设备场地及房屋前后的附着物等内容。青苗评估包括青苗，果树等内容。</w:t>
      </w:r>
    </w:p>
    <w:p>
      <w:pPr>
        <w:keepNext w:val="0"/>
        <w:keepLines w:val="0"/>
        <w:pageBreakBefore w:val="0"/>
        <w:widowControl w:val="0"/>
        <w:kinsoku/>
        <w:wordWrap/>
        <w:overflowPunct/>
        <w:topLinePunct w:val="0"/>
        <w:autoSpaceDN/>
        <w:bidi w:val="0"/>
        <w:adjustRightInd w:val="0"/>
        <w:snapToGrid w:val="0"/>
        <w:spacing w:line="360" w:lineRule="auto"/>
        <w:ind w:left="0" w:leftChars="0" w:firstLine="705" w:firstLineChars="294"/>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根据招标人要求，按照国家规程、规范和省市有关房屋评估的规定进行房屋评估，出具估价报告；提供房屋评估方面的咨询和房屋价格信息；协助招标人做好房屋估价方面的事务性工作，达到招标人的要求等。</w:t>
      </w:r>
    </w:p>
    <w:p>
      <w:pPr>
        <w:keepNext w:val="0"/>
        <w:keepLines w:val="0"/>
        <w:pageBreakBefore w:val="0"/>
        <w:widowControl w:val="0"/>
        <w:kinsoku/>
        <w:wordWrap/>
        <w:overflowPunct/>
        <w:topLinePunct w:val="0"/>
        <w:autoSpaceDN/>
        <w:bidi w:val="0"/>
        <w:adjustRightInd w:val="0"/>
        <w:snapToGrid w:val="0"/>
        <w:spacing w:line="360" w:lineRule="auto"/>
        <w:ind w:left="0" w:leftChars="0" w:firstLine="720" w:firstLineChars="300"/>
        <w:jc w:val="left"/>
        <w:outlineLvl w:val="9"/>
        <w:rPr>
          <w:rFonts w:hint="eastAsia" w:ascii="仿宋" w:hAnsi="仿宋" w:eastAsia="仿宋" w:cs="仿宋"/>
          <w:bCs/>
          <w:sz w:val="24"/>
          <w:szCs w:val="24"/>
        </w:rPr>
      </w:pPr>
      <w:r>
        <w:rPr>
          <w:rFonts w:hint="eastAsia" w:ascii="仿宋" w:hAnsi="仿宋" w:eastAsia="仿宋" w:cs="仿宋"/>
          <w:color w:val="auto"/>
          <w:sz w:val="24"/>
          <w:szCs w:val="24"/>
          <w:highlight w:val="none"/>
        </w:rPr>
        <w:t>严格按照《房地产估价规范》等有关房屋评估规程、规范和相关技术要求开展评估业务，所形成的全部资料和成果所有权归甲方。</w:t>
      </w:r>
    </w:p>
    <w:p>
      <w:pPr>
        <w:keepNext w:val="0"/>
        <w:keepLines w:val="0"/>
        <w:pageBreakBefore w:val="0"/>
        <w:widowControl w:val="0"/>
        <w:kinsoku/>
        <w:wordWrap/>
        <w:overflowPunct/>
        <w:topLinePunct w:val="0"/>
        <w:autoSpaceDN/>
        <w:bidi w:val="0"/>
        <w:adjustRightInd w:val="0"/>
        <w:snapToGrid w:val="0"/>
        <w:spacing w:line="360" w:lineRule="auto"/>
        <w:ind w:left="0" w:leftChars="0"/>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sz w:val="24"/>
          <w:szCs w:val="24"/>
        </w:rPr>
        <w:t>（二）</w:t>
      </w:r>
      <w:r>
        <w:rPr>
          <w:rFonts w:hint="eastAsia" w:ascii="仿宋" w:hAnsi="仿宋" w:eastAsia="仿宋" w:cs="仿宋"/>
          <w:b/>
          <w:color w:val="auto"/>
          <w:kern w:val="28"/>
          <w:sz w:val="24"/>
          <w:szCs w:val="24"/>
          <w:highlight w:val="none"/>
        </w:rPr>
        <w:t>服务要求</w:t>
      </w:r>
    </w:p>
    <w:p>
      <w:pPr>
        <w:keepNext w:val="0"/>
        <w:keepLines w:val="0"/>
        <w:pageBreakBefore w:val="0"/>
        <w:widowControl w:val="0"/>
        <w:kinsoku/>
        <w:wordWrap/>
        <w:overflowPunct/>
        <w:topLinePunct w:val="0"/>
        <w:autoSpaceDN/>
        <w:bidi w:val="0"/>
        <w:adjustRightInd w:val="0"/>
        <w:snapToGrid w:val="0"/>
        <w:spacing w:line="360" w:lineRule="auto"/>
        <w:ind w:left="0" w:lef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1、投标人应按照合同约定和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的有关要求，高质量、高效率完成评估任务，及时出具估价报告；</w:t>
      </w:r>
    </w:p>
    <w:p>
      <w:pPr>
        <w:keepNext w:val="0"/>
        <w:keepLines w:val="0"/>
        <w:pageBreakBefore w:val="0"/>
        <w:widowControl w:val="0"/>
        <w:kinsoku/>
        <w:wordWrap/>
        <w:overflowPunct/>
        <w:topLinePunct w:val="0"/>
        <w:autoSpaceDN/>
        <w:bidi w:val="0"/>
        <w:adjustRightInd w:val="0"/>
        <w:snapToGrid w:val="0"/>
        <w:spacing w:line="360" w:lineRule="auto"/>
        <w:ind w:left="0" w:lef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2、投标人对</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提供的有关资料应妥善保管，并尽保密之责，未经</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同意不能擅自公开或泄漏给他人；</w:t>
      </w:r>
    </w:p>
    <w:p>
      <w:pPr>
        <w:keepNext w:val="0"/>
        <w:keepLines w:val="0"/>
        <w:pageBreakBefore w:val="0"/>
        <w:widowControl w:val="0"/>
        <w:kinsoku/>
        <w:wordWrap/>
        <w:overflowPunct/>
        <w:topLinePunct w:val="0"/>
        <w:autoSpaceDN/>
        <w:bidi w:val="0"/>
        <w:adjustRightInd w:val="0"/>
        <w:snapToGrid w:val="0"/>
        <w:spacing w:line="360" w:lineRule="auto"/>
        <w:ind w:left="0" w:lef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3、投标人应力求估价结果客观、公正、合理、资料齐全，并对出具的房屋评估及青苗评估报告质量负责。属于评估机构问题的，退回评估机构重新评估，评估费用不重复计算；</w:t>
      </w:r>
    </w:p>
    <w:p>
      <w:pPr>
        <w:keepNext w:val="0"/>
        <w:keepLines w:val="0"/>
        <w:pageBreakBefore w:val="0"/>
        <w:widowControl w:val="0"/>
        <w:kinsoku/>
        <w:wordWrap/>
        <w:overflowPunct/>
        <w:topLinePunct w:val="0"/>
        <w:autoSpaceDN/>
        <w:bidi w:val="0"/>
        <w:adjustRightInd w:val="0"/>
        <w:snapToGrid w:val="0"/>
        <w:spacing w:line="360" w:lineRule="auto"/>
        <w:ind w:left="0" w:leftChars="0"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4、禁止将中标项目转包或分包给他人。</w:t>
      </w:r>
    </w:p>
    <w:p>
      <w:pPr>
        <w:keepNext w:val="0"/>
        <w:keepLines w:val="0"/>
        <w:pageBreakBefore w:val="0"/>
        <w:widowControl w:val="0"/>
        <w:kinsoku/>
        <w:wordWrap/>
        <w:overflowPunct/>
        <w:topLinePunct w:val="0"/>
        <w:autoSpaceDN/>
        <w:bidi w:val="0"/>
        <w:adjustRightInd w:val="0"/>
        <w:snapToGrid w:val="0"/>
        <w:spacing w:line="360" w:lineRule="auto"/>
        <w:ind w:left="0" w:leftChars="0" w:firstLine="482"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lang w:eastAsia="zh-CN"/>
        </w:rPr>
        <w:t>中标单位为</w:t>
      </w:r>
      <w:r>
        <w:rPr>
          <w:rFonts w:hint="eastAsia" w:ascii="仿宋" w:hAnsi="仿宋" w:eastAsia="仿宋" w:cs="仿宋"/>
          <w:b/>
          <w:bCs/>
          <w:color w:val="auto"/>
          <w:sz w:val="24"/>
          <w:szCs w:val="24"/>
          <w:highlight w:val="none"/>
          <w:lang w:val="en-US" w:eastAsia="zh-CN"/>
        </w:rPr>
        <w:t>诸暨市</w:t>
      </w:r>
      <w:r>
        <w:rPr>
          <w:rFonts w:hint="eastAsia" w:ascii="仿宋" w:hAnsi="仿宋" w:eastAsia="仿宋" w:cs="仿宋"/>
          <w:b/>
          <w:bCs/>
          <w:color w:val="auto"/>
          <w:sz w:val="24"/>
          <w:szCs w:val="24"/>
          <w:highlight w:val="none"/>
          <w:lang w:eastAsia="zh-CN"/>
        </w:rPr>
        <w:t>外房地产评估机构的，在中标通知书发出后七天内且在合同签订前必须在</w:t>
      </w:r>
      <w:r>
        <w:rPr>
          <w:rFonts w:hint="eastAsia" w:ascii="仿宋" w:hAnsi="仿宋" w:eastAsia="仿宋" w:cs="仿宋"/>
          <w:b/>
          <w:bCs/>
          <w:color w:val="auto"/>
          <w:sz w:val="24"/>
          <w:szCs w:val="24"/>
          <w:highlight w:val="none"/>
          <w:lang w:val="en-US" w:eastAsia="zh-CN"/>
        </w:rPr>
        <w:t>诸暨市</w:t>
      </w:r>
      <w:r>
        <w:rPr>
          <w:rFonts w:hint="eastAsia" w:ascii="仿宋" w:hAnsi="仿宋" w:eastAsia="仿宋" w:cs="仿宋"/>
          <w:b/>
          <w:bCs/>
          <w:color w:val="auto"/>
          <w:sz w:val="24"/>
          <w:szCs w:val="24"/>
          <w:highlight w:val="none"/>
          <w:lang w:eastAsia="zh-CN"/>
        </w:rPr>
        <w:t>设立分支机构并有办公场所。未按时在</w:t>
      </w:r>
      <w:r>
        <w:rPr>
          <w:rFonts w:hint="eastAsia" w:ascii="仿宋" w:hAnsi="仿宋" w:eastAsia="仿宋" w:cs="仿宋"/>
          <w:b/>
          <w:bCs/>
          <w:color w:val="auto"/>
          <w:sz w:val="24"/>
          <w:szCs w:val="24"/>
          <w:highlight w:val="none"/>
          <w:lang w:val="en-US" w:eastAsia="zh-CN"/>
        </w:rPr>
        <w:t>诸暨市</w:t>
      </w:r>
      <w:r>
        <w:rPr>
          <w:rFonts w:hint="eastAsia" w:ascii="仿宋" w:hAnsi="仿宋" w:eastAsia="仿宋" w:cs="仿宋"/>
          <w:b/>
          <w:bCs/>
          <w:color w:val="auto"/>
          <w:sz w:val="24"/>
          <w:szCs w:val="24"/>
          <w:highlight w:val="none"/>
          <w:lang w:eastAsia="zh-CN"/>
        </w:rPr>
        <w:t>设立分支机构和办公场所的，招标人有权取消其中标资格</w:t>
      </w:r>
      <w:r>
        <w:rPr>
          <w:rFonts w:hint="eastAsia" w:ascii="仿宋" w:hAnsi="仿宋" w:eastAsia="仿宋" w:cs="仿宋"/>
          <w:b/>
          <w:bCs/>
          <w:color w:val="auto"/>
          <w:sz w:val="24"/>
          <w:szCs w:val="24"/>
          <w:highlight w:val="none"/>
        </w:rPr>
        <w:t>。</w:t>
      </w:r>
    </w:p>
    <w:p>
      <w:pPr>
        <w:keepNext w:val="0"/>
        <w:keepLines w:val="0"/>
        <w:pageBreakBefore w:val="0"/>
        <w:widowControl w:val="0"/>
        <w:kinsoku/>
        <w:wordWrap/>
        <w:overflowPunct/>
        <w:topLinePunct w:val="0"/>
        <w:autoSpaceDN/>
        <w:bidi w:val="0"/>
        <w:adjustRightInd w:val="0"/>
        <w:snapToGrid w:val="0"/>
        <w:spacing w:line="360" w:lineRule="auto"/>
        <w:ind w:left="0" w:leftChars="0" w:firstLine="482" w:firstLineChars="200"/>
        <w:jc w:val="left"/>
        <w:outlineLvl w:val="9"/>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u w:val="single"/>
          <w:lang w:val="en-US" w:eastAsia="zh-CN"/>
        </w:rPr>
        <w:t>6</w:t>
      </w:r>
      <w:r>
        <w:rPr>
          <w:rFonts w:hint="eastAsia" w:ascii="仿宋" w:hAnsi="仿宋" w:eastAsia="仿宋" w:cs="仿宋"/>
          <w:b/>
          <w:bCs/>
          <w:color w:val="auto"/>
          <w:sz w:val="24"/>
          <w:szCs w:val="24"/>
          <w:highlight w:val="none"/>
          <w:u w:val="single"/>
        </w:rPr>
        <w:t>、</w:t>
      </w:r>
      <w:r>
        <w:rPr>
          <w:rFonts w:hint="eastAsia" w:ascii="仿宋" w:hAnsi="仿宋" w:eastAsia="仿宋" w:cs="仿宋"/>
          <w:b/>
          <w:color w:val="auto"/>
          <w:sz w:val="24"/>
          <w:szCs w:val="24"/>
          <w:highlight w:val="none"/>
          <w:u w:val="single"/>
          <w:lang w:val="en-US" w:eastAsia="zh-CN"/>
        </w:rPr>
        <w:t>投标人拟派本项目组成员（包括项目负责人）负责服务期内的技术服务，项目组成员须在接业主通知24小时内到达业主指定地点，否则业主有权在后续服务费中扣除1000元/次。（项目组成员须是投标人单位正式员工，并在投标文件中附社保缴纳证明）</w:t>
      </w:r>
    </w:p>
    <w:p>
      <w:pPr>
        <w:pStyle w:val="13"/>
        <w:snapToGrid w:val="0"/>
        <w:spacing w:line="360" w:lineRule="auto"/>
        <w:outlineLvl w:val="0"/>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三</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验收：</w:t>
      </w:r>
    </w:p>
    <w:p>
      <w:pPr>
        <w:pStyle w:val="13"/>
        <w:snapToGrid w:val="0"/>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（1）中标人出具的评估报告必须由采购方确认验收合格后才能结算费用。如因中标人的失误延迟出具相关报告的，逾期每天人民币</w:t>
      </w:r>
      <w:r>
        <w:rPr>
          <w:rFonts w:hint="eastAsia" w:ascii="仿宋" w:hAnsi="仿宋" w:eastAsia="仿宋" w:cs="仿宋"/>
          <w:kern w:val="0"/>
          <w:sz w:val="24"/>
          <w:szCs w:val="24"/>
          <w:lang w:val="en-US" w:eastAsia="zh-CN"/>
        </w:rPr>
        <w:t>500</w:t>
      </w:r>
      <w:r>
        <w:rPr>
          <w:rFonts w:hint="eastAsia" w:ascii="仿宋" w:hAnsi="仿宋" w:eastAsia="仿宋" w:cs="仿宋"/>
          <w:kern w:val="0"/>
          <w:sz w:val="24"/>
          <w:szCs w:val="24"/>
        </w:rPr>
        <w:t>.00元从合同款中扣除。</w:t>
      </w:r>
    </w:p>
    <w:p>
      <w:pPr>
        <w:pStyle w:val="13"/>
        <w:snapToGrid w:val="0"/>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2）中标人出具的评估报告，必须符合招标文件及其招标响应文件规定的要求，如有不符，招标人可以无条件要求其重新评估，中标人拒不整改三次以上的，招标人取消其中标资格，并可解除合同，由此造成的损失由中标人承担。</w:t>
      </w:r>
    </w:p>
    <w:p>
      <w:pPr>
        <w:pStyle w:val="13"/>
        <w:snapToGrid w:val="0"/>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（3）如在规定期限内未提交评估报告的，招标人有权取消其中标资格，并解除合同，由此造成的损失由中标人承担。</w:t>
      </w:r>
    </w:p>
    <w:p>
      <w:pPr>
        <w:widowControl/>
        <w:wordWrap w:val="0"/>
        <w:adjustRightInd w:val="0"/>
        <w:snapToGrid w:val="0"/>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四</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服务</w:t>
      </w:r>
      <w:r>
        <w:rPr>
          <w:rFonts w:hint="eastAsia" w:ascii="仿宋" w:hAnsi="仿宋" w:eastAsia="仿宋" w:cs="仿宋"/>
          <w:b/>
          <w:sz w:val="24"/>
          <w:szCs w:val="24"/>
        </w:rPr>
        <w:t>期限：</w:t>
      </w:r>
      <w:r>
        <w:rPr>
          <w:rFonts w:hint="eastAsia" w:ascii="仿宋" w:hAnsi="仿宋" w:eastAsia="仿宋" w:cs="宋体"/>
          <w:b/>
          <w:bCs w:val="0"/>
          <w:sz w:val="24"/>
          <w:highlight w:val="none"/>
          <w:lang w:val="en-US" w:eastAsia="zh-CN"/>
        </w:rPr>
        <w:t>自合同签订后至项目完工</w:t>
      </w:r>
    </w:p>
    <w:p>
      <w:pPr>
        <w:pStyle w:val="13"/>
        <w:snapToGrid w:val="0"/>
        <w:spacing w:line="360" w:lineRule="auto"/>
        <w:outlineLvl w:val="0"/>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lang w:eastAsia="zh-CN"/>
        </w:rPr>
        <w:t>（</w:t>
      </w:r>
      <w:r>
        <w:rPr>
          <w:rFonts w:hint="eastAsia" w:ascii="仿宋" w:hAnsi="仿宋" w:eastAsia="仿宋" w:cs="仿宋"/>
          <w:b/>
          <w:kern w:val="0"/>
          <w:sz w:val="24"/>
          <w:szCs w:val="24"/>
          <w:highlight w:val="none"/>
          <w:lang w:val="en-US" w:eastAsia="zh-CN"/>
        </w:rPr>
        <w:t>五</w:t>
      </w:r>
      <w:r>
        <w:rPr>
          <w:rFonts w:hint="eastAsia" w:ascii="仿宋" w:hAnsi="仿宋" w:eastAsia="仿宋" w:cs="仿宋"/>
          <w:b/>
          <w:kern w:val="0"/>
          <w:sz w:val="24"/>
          <w:szCs w:val="24"/>
          <w:highlight w:val="none"/>
          <w:lang w:eastAsia="zh-CN"/>
        </w:rPr>
        <w:t>）</w:t>
      </w:r>
      <w:bookmarkStart w:id="3" w:name="_GoBack"/>
      <w:bookmarkEnd w:id="3"/>
      <w:r>
        <w:rPr>
          <w:rFonts w:hint="eastAsia" w:ascii="仿宋" w:hAnsi="仿宋" w:eastAsia="仿宋" w:cs="仿宋"/>
          <w:b/>
          <w:kern w:val="0"/>
          <w:sz w:val="24"/>
          <w:szCs w:val="24"/>
          <w:highlight w:val="none"/>
        </w:rPr>
        <w:t>时间及地点：</w:t>
      </w:r>
      <w:r>
        <w:rPr>
          <w:rFonts w:hint="eastAsia" w:ascii="仿宋" w:hAnsi="仿宋" w:eastAsia="仿宋" w:cs="仿宋"/>
          <w:kern w:val="0"/>
          <w:sz w:val="24"/>
          <w:szCs w:val="24"/>
          <w:highlight w:val="none"/>
        </w:rPr>
        <w:t>业主指定时间及地点。</w:t>
      </w:r>
    </w:p>
    <w:p>
      <w:pPr>
        <w:pStyle w:val="13"/>
        <w:snapToGrid w:val="0"/>
        <w:spacing w:line="360" w:lineRule="auto"/>
        <w:outlineLvl w:val="0"/>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w:t>
      </w:r>
      <w:r>
        <w:rPr>
          <w:rFonts w:hint="eastAsia" w:ascii="仿宋" w:hAnsi="仿宋" w:eastAsia="仿宋" w:cs="仿宋"/>
          <w:b/>
          <w:kern w:val="0"/>
          <w:sz w:val="24"/>
          <w:szCs w:val="24"/>
          <w:highlight w:val="none"/>
          <w:lang w:val="en-US" w:eastAsia="zh-CN"/>
        </w:rPr>
        <w:t>六</w:t>
      </w:r>
      <w:r>
        <w:rPr>
          <w:rFonts w:hint="eastAsia" w:ascii="仿宋" w:hAnsi="仿宋" w:eastAsia="仿宋" w:cs="仿宋"/>
          <w:b/>
          <w:kern w:val="0"/>
          <w:sz w:val="24"/>
          <w:szCs w:val="24"/>
          <w:highlight w:val="none"/>
          <w:lang w:eastAsia="zh-CN"/>
        </w:rPr>
        <w:t>）</w:t>
      </w:r>
      <w:r>
        <w:rPr>
          <w:rFonts w:hint="eastAsia" w:ascii="仿宋" w:hAnsi="仿宋" w:eastAsia="仿宋" w:cs="仿宋"/>
          <w:b/>
          <w:color w:val="auto"/>
          <w:sz w:val="24"/>
          <w:szCs w:val="24"/>
          <w:highlight w:val="none"/>
        </w:rPr>
        <w:t>履约保证金、付款方式</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rPr>
        <w:t>1.履约保证金：</w:t>
      </w:r>
      <w:r>
        <w:rPr>
          <w:rFonts w:hint="eastAsia" w:ascii="仿宋" w:hAnsi="仿宋" w:eastAsia="仿宋" w:cs="仿宋"/>
          <w:color w:val="auto"/>
          <w:sz w:val="24"/>
          <w:szCs w:val="24"/>
          <w:highlight w:val="none"/>
          <w:lang w:val="en-US" w:eastAsia="zh-CN"/>
        </w:rPr>
        <w:t>具备项目实施前</w:t>
      </w:r>
      <w:r>
        <w:rPr>
          <w:rFonts w:hint="eastAsia" w:ascii="仿宋" w:hAnsi="仿宋" w:eastAsia="仿宋" w:cs="仿宋"/>
          <w:color w:val="auto"/>
          <w:sz w:val="24"/>
          <w:szCs w:val="24"/>
          <w:highlight w:val="none"/>
        </w:rPr>
        <w:t>，成交供应商须向采购人缴纳履约保证金（履约保证金为采购预算金额的1%），</w:t>
      </w:r>
      <w:r>
        <w:rPr>
          <w:rFonts w:hint="eastAsia" w:ascii="仿宋" w:hAnsi="仿宋" w:eastAsia="仿宋" w:cs="仿宋"/>
          <w:bCs/>
          <w:color w:val="auto"/>
          <w:sz w:val="24"/>
          <w:szCs w:val="24"/>
          <w:highlight w:val="none"/>
        </w:rPr>
        <w:t>履约保证金在合同期满后且无违约情况下15天内无息退还。</w:t>
      </w:r>
    </w:p>
    <w:p>
      <w:pPr>
        <w:keepNext w:val="0"/>
        <w:keepLines w:val="0"/>
        <w:pageBreakBefore w:val="0"/>
        <w:widowControl w:val="0"/>
        <w:kinsoku/>
        <w:wordWrap/>
        <w:overflowPunct/>
        <w:topLinePunct w:val="0"/>
        <w:autoSpaceDN/>
        <w:bidi w:val="0"/>
        <w:spacing w:line="360" w:lineRule="auto"/>
        <w:ind w:left="0" w:leftChars="0" w:firstLine="435"/>
        <w:jc w:val="left"/>
        <w:outlineLvl w:val="9"/>
        <w:rPr>
          <w:rFonts w:hint="eastAsia" w:ascii="仿宋" w:hAnsi="仿宋" w:eastAsia="仿宋" w:cs="仿宋"/>
          <w:kern w:val="0"/>
          <w:sz w:val="24"/>
          <w:szCs w:val="24"/>
          <w:highlight w:val="none"/>
        </w:rPr>
      </w:pP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付款</w:t>
      </w:r>
      <w:r>
        <w:rPr>
          <w:rFonts w:hint="eastAsia" w:ascii="仿宋" w:hAnsi="仿宋" w:eastAsia="仿宋" w:cs="仿宋"/>
          <w:b/>
          <w:sz w:val="24"/>
          <w:szCs w:val="24"/>
          <w:highlight w:val="none"/>
          <w:lang w:val="en-US" w:eastAsia="zh-CN"/>
        </w:rPr>
        <w:t>方式</w:t>
      </w:r>
      <w:r>
        <w:rPr>
          <w:rFonts w:hint="eastAsia" w:ascii="仿宋" w:hAnsi="仿宋" w:eastAsia="仿宋" w:cs="仿宋"/>
          <w:b/>
          <w:sz w:val="24"/>
          <w:szCs w:val="24"/>
          <w:highlight w:val="none"/>
        </w:rPr>
        <w:t>：</w:t>
      </w:r>
      <w:r>
        <w:rPr>
          <w:rFonts w:hint="eastAsia" w:ascii="仿宋" w:hAnsi="仿宋" w:eastAsia="仿宋" w:cs="宋体"/>
          <w:bCs/>
          <w:sz w:val="24"/>
          <w:highlight w:val="none"/>
          <w:lang w:val="en-US" w:eastAsia="zh-CN"/>
        </w:rPr>
        <w:t>中标单位</w:t>
      </w:r>
      <w:r>
        <w:rPr>
          <w:rFonts w:hint="eastAsia" w:ascii="仿宋" w:hAnsi="仿宋" w:eastAsia="仿宋" w:cs="宋体"/>
          <w:bCs/>
          <w:sz w:val="24"/>
          <w:highlight w:val="none"/>
        </w:rPr>
        <w:t>提供合格的</w:t>
      </w:r>
      <w:r>
        <w:rPr>
          <w:rFonts w:hint="eastAsia" w:ascii="仿宋" w:hAnsi="仿宋" w:eastAsia="仿宋" w:cs="仿宋"/>
          <w:color w:val="auto"/>
          <w:sz w:val="24"/>
          <w:szCs w:val="24"/>
          <w:highlight w:val="none"/>
          <w:lang w:val="en-US" w:eastAsia="zh-CN" w:bidi="ar"/>
        </w:rPr>
        <w:t>评估报告，经采购人验收合格后一次性付清该项目评估费用。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（七）、最高限价</w:t>
      </w:r>
    </w:p>
    <w:p>
      <w:pPr>
        <w:spacing w:line="360" w:lineRule="auto"/>
        <w:ind w:firstLine="482" w:firstLineChars="200"/>
        <w:rPr>
          <w:rFonts w:hint="eastAsia" w:ascii="仿宋" w:hAnsi="仿宋" w:eastAsia="仿宋" w:cs="仿宋"/>
          <w:sz w:val="24"/>
          <w:szCs w:val="24"/>
          <w:lang w:val="en-US"/>
        </w:rPr>
      </w:pPr>
      <w:r>
        <w:rPr>
          <w:rFonts w:hint="eastAsia" w:ascii="仿宋" w:hAnsi="仿宋" w:eastAsia="仿宋" w:cs="仿宋"/>
          <w:b/>
          <w:color w:val="auto"/>
          <w:sz w:val="24"/>
          <w:szCs w:val="24"/>
          <w:highlight w:val="none"/>
          <w:lang w:val="en-US" w:eastAsia="zh-CN"/>
        </w:rPr>
        <w:t>本项目按折扣率招标，最高折扣率为80.00%，</w:t>
      </w:r>
      <w:r>
        <w:rPr>
          <w:rFonts w:hint="eastAsia" w:ascii="仿宋" w:hAnsi="仿宋" w:eastAsia="仿宋"/>
          <w:b/>
          <w:color w:val="auto"/>
          <w:sz w:val="24"/>
          <w:szCs w:val="24"/>
        </w:rPr>
        <w:t>任何超过</w:t>
      </w:r>
      <w:r>
        <w:rPr>
          <w:rFonts w:hint="eastAsia" w:ascii="仿宋" w:hAnsi="仿宋" w:eastAsia="仿宋"/>
          <w:b/>
          <w:color w:val="auto"/>
          <w:sz w:val="24"/>
          <w:szCs w:val="24"/>
          <w:lang w:val="en-US" w:eastAsia="zh-CN"/>
        </w:rPr>
        <w:t>80.00</w:t>
      </w:r>
      <w:r>
        <w:rPr>
          <w:rFonts w:hint="eastAsia" w:ascii="仿宋" w:hAnsi="仿宋" w:eastAsia="仿宋"/>
          <w:b/>
          <w:color w:val="auto"/>
          <w:sz w:val="24"/>
          <w:szCs w:val="24"/>
        </w:rPr>
        <w:t>%的报价将被认定为无效报价</w:t>
      </w:r>
      <w:r>
        <w:rPr>
          <w:rFonts w:hint="eastAsia" w:ascii="仿宋" w:hAnsi="仿宋" w:eastAsia="仿宋"/>
          <w:b/>
          <w:color w:val="auto"/>
          <w:sz w:val="24"/>
          <w:szCs w:val="24"/>
          <w:lang w:eastAsia="zh-CN"/>
        </w:rPr>
        <w:t>。</w:t>
      </w:r>
      <w:r>
        <w:rPr>
          <w:rFonts w:hint="eastAsia" w:ascii="仿宋" w:hAnsi="仿宋" w:eastAsia="仿宋"/>
          <w:b/>
          <w:color w:val="auto"/>
          <w:sz w:val="24"/>
          <w:szCs w:val="24"/>
          <w:lang w:val="en-US" w:eastAsia="zh-CN"/>
        </w:rPr>
        <w:t>本项目</w:t>
      </w:r>
      <w:r>
        <w:rPr>
          <w:rFonts w:hint="eastAsia" w:ascii="仿宋" w:hAnsi="仿宋" w:eastAsia="仿宋" w:cs="仿宋"/>
          <w:b/>
          <w:color w:val="auto"/>
          <w:sz w:val="24"/>
          <w:szCs w:val="24"/>
          <w:highlight w:val="none"/>
          <w:lang w:val="en-US" w:eastAsia="zh-CN"/>
        </w:rPr>
        <w:t>最高合同金额不超过人民币贰拾玖万捌仟元</w:t>
      </w:r>
      <w:r>
        <w:rPr>
          <w:rFonts w:hint="eastAsia" w:ascii="仿宋" w:hAnsi="仿宋" w:eastAsia="仿宋" w:cs="仿宋"/>
          <w:b/>
          <w:bCs/>
          <w:color w:val="auto"/>
          <w:sz w:val="24"/>
          <w:szCs w:val="24"/>
          <w:highlight w:val="none"/>
          <w:u w:val="single"/>
          <w:lang w:val="en-US" w:eastAsia="zh-CN"/>
        </w:rPr>
        <w:t>（¥298000.00）</w:t>
      </w:r>
      <w:r>
        <w:rPr>
          <w:rFonts w:hint="eastAsia" w:ascii="仿宋" w:hAnsi="仿宋" w:eastAsia="仿宋" w:cs="仿宋"/>
          <w:b/>
          <w:color w:val="auto"/>
          <w:sz w:val="24"/>
          <w:szCs w:val="24"/>
          <w:highlight w:val="none"/>
          <w:lang w:val="en-US" w:eastAsia="zh-CN"/>
        </w:rPr>
        <w:t>整。</w:t>
      </w:r>
    </w:p>
    <w:p>
      <w:pPr>
        <w:autoSpaceDE/>
        <w:autoSpaceDN/>
        <w:adjustRightInd/>
        <w:spacing w:line="360" w:lineRule="auto"/>
        <w:ind w:firstLine="420" w:firstLineChars="200"/>
        <w:rPr>
          <w:rFonts w:ascii="仿宋" w:hAnsi="仿宋" w:eastAsia="仿宋" w:cs="仿宋"/>
        </w:rPr>
      </w:pPr>
    </w:p>
    <w:sectPr>
      <w:pgSz w:w="11906" w:h="16838"/>
      <w:pgMar w:top="1440" w:right="1800" w:bottom="1440" w:left="1800" w:header="510"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9</w:t>
    </w:r>
    <w:r>
      <w:rPr>
        <w:lang w:val="zh-CN"/>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sz w:val="21"/>
        <w:szCs w:val="21"/>
      </w:rPr>
    </w:pPr>
  </w:p>
  <w:p>
    <w:pPr>
      <w:pStyle w:val="18"/>
      <w:pBdr>
        <w:bottom w:val="none" w:color="auto" w:sz="0" w:space="1"/>
      </w:pBdr>
      <w:rPr>
        <w:sz w:val="21"/>
        <w:szCs w:val="21"/>
      </w:rPr>
    </w:pPr>
  </w:p>
  <w:p>
    <w:pPr>
      <w:pStyle w:val="18"/>
      <w:pBdr>
        <w:bottom w:val="none" w:color="auto" w:sz="0" w:space="1"/>
      </w:pBdr>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46CF2"/>
    <w:multiLevelType w:val="singleLevel"/>
    <w:tmpl w:val="81446C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2F6B0A11"/>
    <w:rsid w:val="00051D38"/>
    <w:rsid w:val="00076C25"/>
    <w:rsid w:val="000C1FF9"/>
    <w:rsid w:val="00162CDD"/>
    <w:rsid w:val="00207852"/>
    <w:rsid w:val="00330140"/>
    <w:rsid w:val="00387DB9"/>
    <w:rsid w:val="003C1B6C"/>
    <w:rsid w:val="00503CBB"/>
    <w:rsid w:val="00530A61"/>
    <w:rsid w:val="007379F3"/>
    <w:rsid w:val="00824069"/>
    <w:rsid w:val="00924A28"/>
    <w:rsid w:val="00A00D00"/>
    <w:rsid w:val="00A06B1C"/>
    <w:rsid w:val="00B335F9"/>
    <w:rsid w:val="00BD45F0"/>
    <w:rsid w:val="00C3766F"/>
    <w:rsid w:val="00D63C52"/>
    <w:rsid w:val="00E47491"/>
    <w:rsid w:val="00ED4BEC"/>
    <w:rsid w:val="00FC2BFD"/>
    <w:rsid w:val="015C2B0C"/>
    <w:rsid w:val="019E050C"/>
    <w:rsid w:val="01AA1AC9"/>
    <w:rsid w:val="029C3B08"/>
    <w:rsid w:val="03E219EE"/>
    <w:rsid w:val="041A2F36"/>
    <w:rsid w:val="04714B20"/>
    <w:rsid w:val="04B54A0D"/>
    <w:rsid w:val="05573D16"/>
    <w:rsid w:val="05FA5D40"/>
    <w:rsid w:val="07E04497"/>
    <w:rsid w:val="07F25F78"/>
    <w:rsid w:val="08285DC2"/>
    <w:rsid w:val="08B554F1"/>
    <w:rsid w:val="09905A49"/>
    <w:rsid w:val="0B1A381C"/>
    <w:rsid w:val="0B725406"/>
    <w:rsid w:val="0BF57DE5"/>
    <w:rsid w:val="0BFD46F8"/>
    <w:rsid w:val="0C2B4912"/>
    <w:rsid w:val="0C607954"/>
    <w:rsid w:val="0D556D8D"/>
    <w:rsid w:val="0D8633EB"/>
    <w:rsid w:val="0DAB2E51"/>
    <w:rsid w:val="0E1F739B"/>
    <w:rsid w:val="0E7476E7"/>
    <w:rsid w:val="0EDF7391"/>
    <w:rsid w:val="0EFD148A"/>
    <w:rsid w:val="0F2E6E4B"/>
    <w:rsid w:val="111A00B4"/>
    <w:rsid w:val="11493A4D"/>
    <w:rsid w:val="117D30DB"/>
    <w:rsid w:val="11B04EDA"/>
    <w:rsid w:val="127759F8"/>
    <w:rsid w:val="13A90757"/>
    <w:rsid w:val="15414EB1"/>
    <w:rsid w:val="15F92C4D"/>
    <w:rsid w:val="161C2B3E"/>
    <w:rsid w:val="16713B98"/>
    <w:rsid w:val="16B2220D"/>
    <w:rsid w:val="16B74615"/>
    <w:rsid w:val="17B9260F"/>
    <w:rsid w:val="17CE4D75"/>
    <w:rsid w:val="18695DE3"/>
    <w:rsid w:val="18D956D7"/>
    <w:rsid w:val="190B6E9A"/>
    <w:rsid w:val="195E16BF"/>
    <w:rsid w:val="1B723200"/>
    <w:rsid w:val="1BAD4238"/>
    <w:rsid w:val="1C536B8E"/>
    <w:rsid w:val="1CA23671"/>
    <w:rsid w:val="1CE974F2"/>
    <w:rsid w:val="1D4B5AB7"/>
    <w:rsid w:val="1DE55F0B"/>
    <w:rsid w:val="1E14234D"/>
    <w:rsid w:val="1E782D9D"/>
    <w:rsid w:val="1EC73863"/>
    <w:rsid w:val="1F56014C"/>
    <w:rsid w:val="1F843502"/>
    <w:rsid w:val="1FB75686"/>
    <w:rsid w:val="1FC3402A"/>
    <w:rsid w:val="213351E0"/>
    <w:rsid w:val="21625939"/>
    <w:rsid w:val="21B225A8"/>
    <w:rsid w:val="22462CF1"/>
    <w:rsid w:val="22A77C33"/>
    <w:rsid w:val="22F17100"/>
    <w:rsid w:val="2358717F"/>
    <w:rsid w:val="2446522A"/>
    <w:rsid w:val="2483647E"/>
    <w:rsid w:val="249E6E14"/>
    <w:rsid w:val="24D40A88"/>
    <w:rsid w:val="250F7D12"/>
    <w:rsid w:val="252C2672"/>
    <w:rsid w:val="25D24FC7"/>
    <w:rsid w:val="26AE478F"/>
    <w:rsid w:val="26C30DB4"/>
    <w:rsid w:val="27BB18BA"/>
    <w:rsid w:val="27E45995"/>
    <w:rsid w:val="27FC457D"/>
    <w:rsid w:val="28F039B6"/>
    <w:rsid w:val="29A30A29"/>
    <w:rsid w:val="2C7F3CAD"/>
    <w:rsid w:val="2CA16524"/>
    <w:rsid w:val="2CF00429"/>
    <w:rsid w:val="2D103E04"/>
    <w:rsid w:val="2DB72CF5"/>
    <w:rsid w:val="2ED40002"/>
    <w:rsid w:val="2EE90893"/>
    <w:rsid w:val="2F1E5F34"/>
    <w:rsid w:val="2F40679C"/>
    <w:rsid w:val="2F6B0A11"/>
    <w:rsid w:val="2F8337D6"/>
    <w:rsid w:val="2F8530AA"/>
    <w:rsid w:val="2FB76FDC"/>
    <w:rsid w:val="3025663B"/>
    <w:rsid w:val="307849BD"/>
    <w:rsid w:val="30CA06E2"/>
    <w:rsid w:val="310E70CF"/>
    <w:rsid w:val="312C5D52"/>
    <w:rsid w:val="31684A32"/>
    <w:rsid w:val="32AF00BA"/>
    <w:rsid w:val="32D51FB3"/>
    <w:rsid w:val="3364747B"/>
    <w:rsid w:val="33C7120A"/>
    <w:rsid w:val="35973B37"/>
    <w:rsid w:val="36020B05"/>
    <w:rsid w:val="36A22BCA"/>
    <w:rsid w:val="36D6068F"/>
    <w:rsid w:val="36FA437E"/>
    <w:rsid w:val="376D2DA2"/>
    <w:rsid w:val="38F117B0"/>
    <w:rsid w:val="3A257964"/>
    <w:rsid w:val="3A2D6818"/>
    <w:rsid w:val="3C4B371D"/>
    <w:rsid w:val="3C681D8A"/>
    <w:rsid w:val="3D926296"/>
    <w:rsid w:val="3E8A5889"/>
    <w:rsid w:val="40D53766"/>
    <w:rsid w:val="422624CB"/>
    <w:rsid w:val="42DF6B1E"/>
    <w:rsid w:val="43083EF5"/>
    <w:rsid w:val="43543068"/>
    <w:rsid w:val="43C31F9B"/>
    <w:rsid w:val="43E048FB"/>
    <w:rsid w:val="43F87E97"/>
    <w:rsid w:val="440B5E1C"/>
    <w:rsid w:val="45107548"/>
    <w:rsid w:val="45C36283"/>
    <w:rsid w:val="45F428E0"/>
    <w:rsid w:val="460E39A2"/>
    <w:rsid w:val="4643258E"/>
    <w:rsid w:val="469F382C"/>
    <w:rsid w:val="47573126"/>
    <w:rsid w:val="484C5DC9"/>
    <w:rsid w:val="491A30E6"/>
    <w:rsid w:val="493F0316"/>
    <w:rsid w:val="496B0246"/>
    <w:rsid w:val="497B2ED4"/>
    <w:rsid w:val="4AE271AB"/>
    <w:rsid w:val="4AEE5B50"/>
    <w:rsid w:val="4AF313B8"/>
    <w:rsid w:val="4B773D97"/>
    <w:rsid w:val="4C39729F"/>
    <w:rsid w:val="4D327D7C"/>
    <w:rsid w:val="4D6D5452"/>
    <w:rsid w:val="4E013DEC"/>
    <w:rsid w:val="4E3715BC"/>
    <w:rsid w:val="4E920EE8"/>
    <w:rsid w:val="4EAA7FE0"/>
    <w:rsid w:val="4F5A37B4"/>
    <w:rsid w:val="5052092F"/>
    <w:rsid w:val="507C3BFE"/>
    <w:rsid w:val="50EA500B"/>
    <w:rsid w:val="51713037"/>
    <w:rsid w:val="51A74CAA"/>
    <w:rsid w:val="52616849"/>
    <w:rsid w:val="52950FA7"/>
    <w:rsid w:val="532365B3"/>
    <w:rsid w:val="54E0475B"/>
    <w:rsid w:val="55067F3A"/>
    <w:rsid w:val="55CA2CDC"/>
    <w:rsid w:val="55FD1086"/>
    <w:rsid w:val="56C65BD3"/>
    <w:rsid w:val="56D54068"/>
    <w:rsid w:val="57407733"/>
    <w:rsid w:val="577613A7"/>
    <w:rsid w:val="579F7221"/>
    <w:rsid w:val="57FF75EE"/>
    <w:rsid w:val="584C035A"/>
    <w:rsid w:val="58E97957"/>
    <w:rsid w:val="59A71CEC"/>
    <w:rsid w:val="59BC1723"/>
    <w:rsid w:val="5AE44879"/>
    <w:rsid w:val="5B3E042E"/>
    <w:rsid w:val="5BEF1728"/>
    <w:rsid w:val="5CDD77D2"/>
    <w:rsid w:val="5D6D6DA8"/>
    <w:rsid w:val="5DB93D9B"/>
    <w:rsid w:val="5E7745B6"/>
    <w:rsid w:val="5ED05841"/>
    <w:rsid w:val="5EE72B8A"/>
    <w:rsid w:val="5F4E6765"/>
    <w:rsid w:val="5F8B57CF"/>
    <w:rsid w:val="5FB23198"/>
    <w:rsid w:val="601C4578"/>
    <w:rsid w:val="606345EC"/>
    <w:rsid w:val="607D5554"/>
    <w:rsid w:val="609E3654"/>
    <w:rsid w:val="614C3178"/>
    <w:rsid w:val="61A134C4"/>
    <w:rsid w:val="62934515"/>
    <w:rsid w:val="62A212A2"/>
    <w:rsid w:val="630E4B89"/>
    <w:rsid w:val="63A673F7"/>
    <w:rsid w:val="653D3504"/>
    <w:rsid w:val="65562818"/>
    <w:rsid w:val="65BD774A"/>
    <w:rsid w:val="66552ACF"/>
    <w:rsid w:val="66F91D00"/>
    <w:rsid w:val="68126954"/>
    <w:rsid w:val="68F62348"/>
    <w:rsid w:val="698B4B9D"/>
    <w:rsid w:val="6A883473"/>
    <w:rsid w:val="6B685053"/>
    <w:rsid w:val="6BC954B1"/>
    <w:rsid w:val="6C0703C8"/>
    <w:rsid w:val="6C134FBF"/>
    <w:rsid w:val="6D3A72CC"/>
    <w:rsid w:val="6E7C509D"/>
    <w:rsid w:val="6E8126B3"/>
    <w:rsid w:val="6E9A5523"/>
    <w:rsid w:val="6EA445F4"/>
    <w:rsid w:val="6F0D3F47"/>
    <w:rsid w:val="6F9208F0"/>
    <w:rsid w:val="71004650"/>
    <w:rsid w:val="7144511B"/>
    <w:rsid w:val="719970A2"/>
    <w:rsid w:val="71B42DA0"/>
    <w:rsid w:val="71E82A49"/>
    <w:rsid w:val="732D105C"/>
    <w:rsid w:val="7386251A"/>
    <w:rsid w:val="73D43285"/>
    <w:rsid w:val="743E4BA3"/>
    <w:rsid w:val="74844CAB"/>
    <w:rsid w:val="755723C0"/>
    <w:rsid w:val="75B25848"/>
    <w:rsid w:val="76196CB5"/>
    <w:rsid w:val="764F12E9"/>
    <w:rsid w:val="765D3A06"/>
    <w:rsid w:val="76A72ED3"/>
    <w:rsid w:val="787E7C64"/>
    <w:rsid w:val="78FB5758"/>
    <w:rsid w:val="793A002E"/>
    <w:rsid w:val="7A5213A8"/>
    <w:rsid w:val="7A6F5AB6"/>
    <w:rsid w:val="7AC5601E"/>
    <w:rsid w:val="7B551150"/>
    <w:rsid w:val="7C33049A"/>
    <w:rsid w:val="7C374CF9"/>
    <w:rsid w:val="7CA81306"/>
    <w:rsid w:val="7DDF2F52"/>
    <w:rsid w:val="7DE14F1D"/>
    <w:rsid w:val="7DEC38C1"/>
    <w:rsid w:val="7E631BAF"/>
    <w:rsid w:val="7E8104AE"/>
    <w:rsid w:val="7EB06B62"/>
    <w:rsid w:val="7EBE7323"/>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rFonts w:ascii="??" w:hAnsi="??" w:eastAsia="??"/>
      <w:b/>
      <w:color w:val="auto"/>
      <w:kern w:val="36"/>
      <w:sz w:val="32"/>
      <w:szCs w:val="28"/>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99"/>
    <w:pPr>
      <w:keepNext/>
      <w:keepLines/>
      <w:tabs>
        <w:tab w:val="left" w:pos="900"/>
      </w:tabs>
      <w:spacing w:before="260" w:after="260" w:line="416" w:lineRule="auto"/>
      <w:ind w:left="900" w:hanging="720"/>
      <w:outlineLvl w:val="2"/>
    </w:pPr>
    <w:rPr>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adjustRightInd/>
      <w:spacing w:after="120" w:line="240" w:lineRule="auto"/>
      <w:ind w:left="420" w:leftChars="200" w:firstLine="210"/>
    </w:pPr>
    <w:rPr>
      <w:sz w:val="21"/>
    </w:rPr>
  </w:style>
  <w:style w:type="paragraph" w:styleId="3">
    <w:name w:val="Body Text Indent"/>
    <w:basedOn w:val="1"/>
    <w:next w:val="1"/>
    <w:autoRedefine/>
    <w:qFormat/>
    <w:uiPriority w:val="99"/>
    <w:pPr>
      <w:spacing w:line="480" w:lineRule="exact"/>
      <w:ind w:firstLine="480" w:firstLineChars="200"/>
    </w:pPr>
    <w:rPr>
      <w:rFonts w:ascii="宋体" w:hAnsi="宋体"/>
      <w:sz w:val="24"/>
    </w:rPr>
  </w:style>
  <w:style w:type="paragraph" w:styleId="7">
    <w:name w:val="Normal Indent"/>
    <w:basedOn w:val="1"/>
    <w:autoRedefine/>
    <w:qFormat/>
    <w:uiPriority w:val="99"/>
    <w:pPr>
      <w:widowControl/>
      <w:snapToGrid w:val="0"/>
      <w:spacing w:line="480" w:lineRule="exact"/>
      <w:ind w:firstLine="567"/>
    </w:pPr>
    <w:rPr>
      <w:rFonts w:ascii="宋体"/>
      <w:kern w:val="28"/>
      <w:sz w:val="28"/>
      <w:szCs w:val="20"/>
    </w:rPr>
  </w:style>
  <w:style w:type="paragraph" w:styleId="8">
    <w:name w:val="annotation text"/>
    <w:basedOn w:val="1"/>
    <w:link w:val="37"/>
    <w:autoRedefine/>
    <w:qFormat/>
    <w:uiPriority w:val="0"/>
    <w:pPr>
      <w:jc w:val="left"/>
    </w:pPr>
  </w:style>
  <w:style w:type="paragraph" w:styleId="9">
    <w:name w:val="Body Text 3"/>
    <w:basedOn w:val="1"/>
    <w:autoRedefine/>
    <w:qFormat/>
    <w:uiPriority w:val="0"/>
    <w:pPr>
      <w:spacing w:after="120"/>
      <w:ind w:left="425" w:hanging="425"/>
    </w:pPr>
    <w:rPr>
      <w:rFonts w:ascii="Calibri" w:hAnsi="Calibri"/>
      <w:sz w:val="16"/>
      <w:szCs w:val="16"/>
    </w:rPr>
  </w:style>
  <w:style w:type="paragraph" w:styleId="10">
    <w:name w:val="Body Text"/>
    <w:basedOn w:val="1"/>
    <w:next w:val="11"/>
    <w:autoRedefine/>
    <w:qFormat/>
    <w:uiPriority w:val="99"/>
    <w:pPr>
      <w:spacing w:line="360" w:lineRule="auto"/>
    </w:pPr>
    <w:rPr>
      <w:rFonts w:ascii="宋体" w:hAnsi="Arial" w:cs="Arial"/>
      <w:sz w:val="24"/>
      <w:lang w:val="zh-CN"/>
    </w:rPr>
  </w:style>
  <w:style w:type="paragraph" w:styleId="11">
    <w:name w:val="Body Text First Indent"/>
    <w:basedOn w:val="10"/>
    <w:next w:val="12"/>
    <w:autoRedefine/>
    <w:qFormat/>
    <w:uiPriority w:val="99"/>
    <w:pPr>
      <w:ind w:firstLine="420"/>
    </w:pPr>
    <w:rPr>
      <w:rFonts w:hAnsi="Times New Roman" w:cs="Times New Roman"/>
      <w:szCs w:val="20"/>
    </w:rPr>
  </w:style>
  <w:style w:type="paragraph" w:styleId="12">
    <w:name w:val="toc 6"/>
    <w:basedOn w:val="1"/>
    <w:next w:val="1"/>
    <w:autoRedefine/>
    <w:qFormat/>
    <w:uiPriority w:val="99"/>
    <w:pPr>
      <w:ind w:left="2100" w:leftChars="1000"/>
    </w:pPr>
  </w:style>
  <w:style w:type="paragraph" w:styleId="13">
    <w:name w:val="Plain Text"/>
    <w:basedOn w:val="1"/>
    <w:next w:val="14"/>
    <w:autoRedefine/>
    <w:qFormat/>
    <w:uiPriority w:val="99"/>
    <w:rPr>
      <w:rFonts w:ascii="宋体" w:hAnsi="Courier New" w:cs="Arial"/>
    </w:rPr>
  </w:style>
  <w:style w:type="paragraph" w:styleId="14">
    <w:name w:val="Date"/>
    <w:basedOn w:val="1"/>
    <w:next w:val="1"/>
    <w:autoRedefine/>
    <w:qFormat/>
    <w:uiPriority w:val="99"/>
    <w:pPr>
      <w:ind w:left="2500" w:leftChars="2500"/>
    </w:pPr>
    <w:rPr>
      <w:rFonts w:ascii="Calibri" w:hAnsi="Calibri" w:eastAsia="楷体_GB2312"/>
      <w:sz w:val="32"/>
      <w:szCs w:val="22"/>
    </w:rPr>
  </w:style>
  <w:style w:type="paragraph" w:styleId="15">
    <w:name w:val="Body Text Indent 2"/>
    <w:basedOn w:val="1"/>
    <w:next w:val="2"/>
    <w:autoRedefine/>
    <w:qFormat/>
    <w:uiPriority w:val="0"/>
    <w:pPr>
      <w:spacing w:after="120" w:line="480" w:lineRule="auto"/>
      <w:ind w:left="420" w:leftChars="200"/>
    </w:pPr>
    <w:rPr>
      <w:rFonts w:eastAsia="宋体"/>
    </w:rPr>
  </w:style>
  <w:style w:type="paragraph" w:styleId="16">
    <w:name w:val="Balloon Text"/>
    <w:basedOn w:val="1"/>
    <w:link w:val="39"/>
    <w:autoRedefine/>
    <w:qFormat/>
    <w:uiPriority w:val="0"/>
    <w:rPr>
      <w:sz w:val="18"/>
      <w:szCs w:val="18"/>
    </w:rPr>
  </w:style>
  <w:style w:type="paragraph" w:styleId="17">
    <w:name w:val="footer"/>
    <w:basedOn w:val="1"/>
    <w:autoRedefine/>
    <w:qFormat/>
    <w:uiPriority w:val="99"/>
    <w:pPr>
      <w:tabs>
        <w:tab w:val="center" w:pos="4153"/>
        <w:tab w:val="right" w:pos="8306"/>
      </w:tabs>
      <w:snapToGrid w:val="0"/>
      <w:jc w:val="left"/>
    </w:pPr>
    <w:rPr>
      <w:sz w:val="18"/>
      <w:szCs w:val="20"/>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9">
    <w:name w:val="Normal (Web)"/>
    <w:basedOn w:val="1"/>
    <w:autoRedefine/>
    <w:qFormat/>
    <w:uiPriority w:val="0"/>
    <w:pPr>
      <w:spacing w:beforeAutospacing="1" w:afterAutospacing="1"/>
      <w:jc w:val="left"/>
    </w:pPr>
    <w:rPr>
      <w:sz w:val="24"/>
    </w:rPr>
  </w:style>
  <w:style w:type="paragraph" w:styleId="20">
    <w:name w:val="Title"/>
    <w:basedOn w:val="1"/>
    <w:next w:val="1"/>
    <w:autoRedefine/>
    <w:qFormat/>
    <w:uiPriority w:val="99"/>
    <w:pPr>
      <w:jc w:val="center"/>
    </w:pPr>
    <w:rPr>
      <w:rFonts w:ascii="Courier New" w:hAnsi="Courier New" w:cs="Courier New"/>
      <w:b/>
      <w:sz w:val="30"/>
      <w:szCs w:val="20"/>
      <w:shd w:val="pct10" w:color="auto" w:fill="FFFFFF"/>
    </w:rPr>
  </w:style>
  <w:style w:type="paragraph" w:styleId="21">
    <w:name w:val="annotation subject"/>
    <w:basedOn w:val="8"/>
    <w:next w:val="8"/>
    <w:link w:val="38"/>
    <w:autoRedefine/>
    <w:qFormat/>
    <w:uiPriority w:val="0"/>
    <w:rPr>
      <w:b/>
      <w:bCs/>
    </w:r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99"/>
    <w:rPr>
      <w:rFonts w:ascii="Arial" w:hAnsi="Arial" w:eastAsia="黑体" w:cs="Arial"/>
      <w:snapToGrid w:val="0"/>
      <w:kern w:val="0"/>
      <w:sz w:val="21"/>
      <w:szCs w:val="21"/>
    </w:rPr>
  </w:style>
  <w:style w:type="character" w:styleId="26">
    <w:name w:val="annotation reference"/>
    <w:basedOn w:val="24"/>
    <w:autoRedefine/>
    <w:qFormat/>
    <w:uiPriority w:val="0"/>
    <w:rPr>
      <w:sz w:val="21"/>
      <w:szCs w:val="21"/>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29">
    <w:name w:val="Body Text 31"/>
    <w:basedOn w:val="1"/>
    <w:autoRedefine/>
    <w:qFormat/>
    <w:uiPriority w:val="0"/>
    <w:pPr>
      <w:spacing w:after="120"/>
    </w:pPr>
    <w:rPr>
      <w:sz w:val="16"/>
      <w:szCs w:val="16"/>
    </w:rPr>
  </w:style>
  <w:style w:type="paragraph" w:customStyle="1" w:styleId="30">
    <w:name w:val="Body Text First Indent 21"/>
    <w:basedOn w:val="31"/>
    <w:autoRedefine/>
    <w:qFormat/>
    <w:uiPriority w:val="0"/>
    <w:pPr>
      <w:ind w:firstLine="420"/>
    </w:pPr>
    <w:rPr>
      <w:rFonts w:cs="宋体"/>
    </w:rPr>
  </w:style>
  <w:style w:type="paragraph" w:customStyle="1" w:styleId="31">
    <w:name w:val="Body Text Indent1"/>
    <w:basedOn w:val="1"/>
    <w:next w:val="1"/>
    <w:autoRedefine/>
    <w:qFormat/>
    <w:uiPriority w:val="0"/>
    <w:pPr>
      <w:spacing w:after="120"/>
      <w:ind w:left="420" w:leftChars="200"/>
    </w:pPr>
  </w:style>
  <w:style w:type="paragraph" w:customStyle="1" w:styleId="32">
    <w:name w:val="Default"/>
    <w:next w:val="3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3">
    <w:name w:val="Intense Quote"/>
    <w:basedOn w:val="1"/>
    <w:next w:val="1"/>
    <w:autoRedefine/>
    <w:qFormat/>
    <w:uiPriority w:val="0"/>
    <w:pPr>
      <w:wordWrap w:val="0"/>
      <w:spacing w:before="360" w:after="360"/>
      <w:ind w:left="950" w:right="950"/>
      <w:jc w:val="center"/>
    </w:pPr>
    <w:rPr>
      <w:i/>
    </w:rPr>
  </w:style>
  <w:style w:type="paragraph" w:customStyle="1" w:styleId="3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font01"/>
    <w:autoRedefine/>
    <w:qFormat/>
    <w:uiPriority w:val="0"/>
    <w:rPr>
      <w:rFonts w:ascii="Arial" w:hAnsi="Arial" w:cs="Arial"/>
      <w:color w:val="000000"/>
      <w:sz w:val="20"/>
      <w:szCs w:val="20"/>
      <w:u w:val="none"/>
    </w:rPr>
  </w:style>
  <w:style w:type="character" w:customStyle="1" w:styleId="36">
    <w:name w:val="font11"/>
    <w:autoRedefine/>
    <w:qFormat/>
    <w:uiPriority w:val="0"/>
    <w:rPr>
      <w:rFonts w:hint="eastAsia" w:ascii="宋体" w:hAnsi="宋体" w:eastAsia="宋体" w:cs="宋体"/>
      <w:color w:val="000000"/>
      <w:sz w:val="20"/>
      <w:szCs w:val="20"/>
      <w:u w:val="none"/>
    </w:rPr>
  </w:style>
  <w:style w:type="character" w:customStyle="1" w:styleId="37">
    <w:name w:val="批注文字 字符"/>
    <w:basedOn w:val="24"/>
    <w:link w:val="8"/>
    <w:autoRedefine/>
    <w:qFormat/>
    <w:uiPriority w:val="0"/>
    <w:rPr>
      <w:color w:val="000000"/>
      <w:sz w:val="21"/>
      <w:szCs w:val="21"/>
    </w:rPr>
  </w:style>
  <w:style w:type="character" w:customStyle="1" w:styleId="38">
    <w:name w:val="批注主题 字符"/>
    <w:basedOn w:val="37"/>
    <w:link w:val="21"/>
    <w:autoRedefine/>
    <w:qFormat/>
    <w:uiPriority w:val="0"/>
    <w:rPr>
      <w:b/>
      <w:bCs/>
      <w:color w:val="000000"/>
      <w:sz w:val="21"/>
      <w:szCs w:val="21"/>
    </w:rPr>
  </w:style>
  <w:style w:type="character" w:customStyle="1" w:styleId="39">
    <w:name w:val="批注框文本 字符"/>
    <w:basedOn w:val="24"/>
    <w:link w:val="16"/>
    <w:autoRedefine/>
    <w:qFormat/>
    <w:uiPriority w:val="0"/>
    <w:rPr>
      <w:color w:val="000000"/>
      <w:sz w:val="18"/>
      <w:szCs w:val="18"/>
    </w:rPr>
  </w:style>
  <w:style w:type="paragraph" w:customStyle="1" w:styleId="40">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41">
    <w:name w:val="DAS正文"/>
    <w:basedOn w:val="1"/>
    <w:autoRedefine/>
    <w:qFormat/>
    <w:uiPriority w:val="0"/>
    <w:pPr>
      <w:spacing w:line="360" w:lineRule="auto"/>
      <w:ind w:right="181" w:firstLine="480" w:firstLineChars="200"/>
    </w:pPr>
    <w:rPr>
      <w:rFonts w:ascii="Verdana" w:hAnsi="Verdana"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1728</Words>
  <Characters>9854</Characters>
  <Lines>82</Lines>
  <Paragraphs>23</Paragraphs>
  <TotalTime>0</TotalTime>
  <ScaleCrop>false</ScaleCrop>
  <LinksUpToDate>false</LinksUpToDate>
  <CharactersWithSpaces>11559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2023-08-07T05:38:00Z</dcterms:created>
  <dc:creator>WPS_1677486826</dc:creator>
  <cp:lastModifiedBy>A（方月山）雨蝶</cp:lastModifiedBy>
  <dcterms:modified xsi:type="dcterms:W3CDTF">2024-03-07T07:56:49Z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F54B4A9383CD49DAA58816FF457DBA31</vt:lpwstr>
  </property>
  <property fmtid="{D5CDD505-2E9C-101B-9397-08002B2CF9AE}" pid="4" name="_2015_ms_pID_725343">
    <vt:lpwstr>(2)2OfM5V0Y3WsyRi7uakJ5/zO02aDobYA6wIkQbBlzIeJdBpy5HUIhm+/q1DxurQel0lieS4tQ
H6dLZpklV3/wX3HkKA2qykIH5Xxy5imRQVWq5dgJT5xmmpwL3tBTKogKj5cm2MXAsQsqFeN8
RAygcwjbIdCPmTH6v+j1MX+t6dWkkDr5cDDwR2aMIm1riyHSDQ4XwHZ/Z67arqeQjkBQoasI
YvJxL485TXwvxQpqN0</vt:lpwstr>
  </property>
  <property fmtid="{D5CDD505-2E9C-101B-9397-08002B2CF9AE}" pid="5" name="_2015_ms_pID_7253431">
    <vt:lpwstr>EL1r35x7Ywga1iLmpEtnDuXiKCtFcPRczMuyGxHYJSIfzyfwNU8m6N
G6VzDHX4pvcG+h8CTLJCgyUOyayrr9toHcUtUYwuligxx549X40qMI/2gLxUHJ7rzhMVCZl1
H1Bo+nGX7O8+jzAb6+Tnt9XONNDOjLY5+Q+AqcKABEO/HZqYhWoEi+tu6dBCPewuO6Y93aSd
tZOCOB1kmpCkEOBO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1701157398</vt:lpwstr>
  </property>
</Properties>
</file>