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0"/>
        <w:tblpPr w:leftFromText="180" w:rightFromText="180" w:vertAnchor="text" w:horzAnchor="page" w:tblpX="8154" w:tblpY="-188"/>
        <w:tblOverlap w:val="never"/>
        <w:tblW w:w="2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1F1F1" w:themeFill="background1" w:themeFillShade="F2"/>
        <w:tblLayout w:type="fixed"/>
        <w:tblCellMar>
          <w:top w:w="0" w:type="dxa"/>
          <w:left w:w="108" w:type="dxa"/>
          <w:bottom w:w="0" w:type="dxa"/>
          <w:right w:w="108" w:type="dxa"/>
        </w:tblCellMar>
      </w:tblPr>
      <w:tblGrid>
        <w:gridCol w:w="2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1F1F1" w:themeFill="background1" w:themeFillShade="F2"/>
          <w:tblLayout w:type="fixed"/>
          <w:tblCellMar>
            <w:top w:w="0" w:type="dxa"/>
            <w:left w:w="108" w:type="dxa"/>
            <w:bottom w:w="0" w:type="dxa"/>
            <w:right w:w="108" w:type="dxa"/>
          </w:tblCellMar>
        </w:tblPrEx>
        <w:trPr>
          <w:trHeight w:val="615" w:hRule="atLeast"/>
        </w:trPr>
        <w:tc>
          <w:tcPr>
            <w:tcW w:w="2200" w:type="dxa"/>
            <w:tcBorders>
              <w:tl2br w:val="nil"/>
              <w:tr2bl w:val="nil"/>
            </w:tcBorders>
            <w:shd w:val="clear" w:color="auto" w:fill="F1F1F1" w:themeFill="background1" w:themeFillShade="F2"/>
            <w:vAlign w:val="top"/>
          </w:tcPr>
          <w:p>
            <w:pPr>
              <w:keepNext w:val="0"/>
              <w:keepLines w:val="0"/>
              <w:suppressLineNumbers w:val="0"/>
              <w:spacing w:before="0" w:beforeAutospacing="0" w:after="0" w:afterAutospacing="0"/>
              <w:ind w:left="0" w:right="0"/>
              <w:rPr>
                <w:rFonts w:hint="default" w:ascii="Arial Black" w:hAnsi="Arial Black" w:eastAsia="仿宋" w:cs="Arial Black"/>
                <w:b/>
                <w:color w:val="000000" w:themeColor="text1"/>
                <w:sz w:val="32"/>
                <w:szCs w:val="32"/>
                <w:highlight w:val="none"/>
                <w14:textFill>
                  <w14:solidFill>
                    <w14:schemeClr w14:val="tx1"/>
                  </w14:solidFill>
                </w14:textFill>
              </w:rPr>
            </w:pPr>
            <w:r>
              <w:rPr>
                <w:rFonts w:hint="default" w:ascii="Arial Black" w:hAnsi="Arial Black" w:eastAsia="仿宋" w:cs="Arial Black"/>
                <w:b/>
                <w:bCs w:val="0"/>
                <w:color w:val="000000" w:themeColor="text1"/>
                <w:sz w:val="32"/>
                <w:szCs w:val="32"/>
                <w:highlight w:val="none"/>
                <w14:textFill>
                  <w14:solidFill>
                    <w14:schemeClr w14:val="tx1"/>
                  </w14:solidFill>
                </w14:textFill>
              </w:rPr>
              <w:t>政府采购项目</w:t>
            </w:r>
          </w:p>
        </w:tc>
      </w:tr>
    </w:tbl>
    <w:p>
      <w:pPr>
        <w:snapToGrid w:val="0"/>
        <w:spacing w:before="120" w:beforeLines="50" w:line="240" w:lineRule="auto"/>
        <w:jc w:val="center"/>
        <w:rPr>
          <w:rFonts w:hint="eastAsia" w:ascii="宋体" w:hAnsi="宋体" w:eastAsia="宋体" w:cs="宋体"/>
          <w:b/>
          <w:color w:val="000000" w:themeColor="text1"/>
          <w:sz w:val="44"/>
          <w:szCs w:val="44"/>
          <w:highlight w:val="none"/>
          <w:lang w:eastAsia="zh-CN"/>
          <w14:textFill>
            <w14:solidFill>
              <w14:schemeClr w14:val="tx1"/>
            </w14:solidFill>
          </w14:textFill>
        </w:rPr>
      </w:pPr>
    </w:p>
    <w:p>
      <w:pPr>
        <w:snapToGrid w:val="0"/>
        <w:spacing w:before="120" w:beforeLines="50" w:line="240" w:lineRule="auto"/>
        <w:jc w:val="center"/>
        <w:rPr>
          <w:rFonts w:hint="eastAsia" w:ascii="宋体" w:hAnsi="宋体" w:eastAsia="宋体" w:cs="宋体"/>
          <w:b w:val="0"/>
          <w:bCs/>
          <w:color w:val="000000" w:themeColor="text1"/>
          <w:sz w:val="44"/>
          <w:szCs w:val="44"/>
          <w:highlight w:val="none"/>
          <w:lang w:eastAsia="zh-CN"/>
          <w14:textFill>
            <w14:solidFill>
              <w14:schemeClr w14:val="tx1"/>
            </w14:solidFill>
          </w14:textFill>
        </w:rPr>
      </w:pPr>
    </w:p>
    <w:p>
      <w:pPr>
        <w:snapToGrid w:val="0"/>
        <w:spacing w:before="120" w:beforeLines="50" w:line="240" w:lineRule="auto"/>
        <w:jc w:val="center"/>
        <w:rPr>
          <w:rFonts w:hint="eastAsia" w:ascii="宋体" w:hAnsi="宋体" w:eastAsia="宋体" w:cs="宋体"/>
          <w:b w:val="0"/>
          <w:bCs/>
          <w:color w:val="000000" w:themeColor="text1"/>
          <w:spacing w:val="20"/>
          <w:sz w:val="44"/>
          <w:szCs w:val="44"/>
          <w:highlight w:val="none"/>
          <w:lang w:eastAsia="zh-CN"/>
          <w14:textFill>
            <w14:solidFill>
              <w14:schemeClr w14:val="tx1"/>
            </w14:solidFill>
          </w14:textFill>
        </w:rPr>
      </w:pPr>
      <w:r>
        <w:rPr>
          <w:rFonts w:hint="eastAsia" w:ascii="宋体" w:hAnsi="宋体" w:cs="宋体"/>
          <w:b w:val="0"/>
          <w:bCs/>
          <w:color w:val="000000" w:themeColor="text1"/>
          <w:spacing w:val="20"/>
          <w:sz w:val="44"/>
          <w:szCs w:val="44"/>
          <w:highlight w:val="none"/>
          <w:lang w:eastAsia="zh-CN"/>
          <w14:textFill>
            <w14:solidFill>
              <w14:schemeClr w14:val="tx1"/>
            </w14:solidFill>
          </w14:textFill>
        </w:rPr>
        <w:t>义乌市</w:t>
      </w:r>
      <w:r>
        <w:rPr>
          <w:rFonts w:hint="eastAsia" w:ascii="宋体" w:hAnsi="宋体" w:eastAsia="宋体" w:cs="宋体"/>
          <w:b w:val="0"/>
          <w:bCs/>
          <w:color w:val="000000" w:themeColor="text1"/>
          <w:spacing w:val="20"/>
          <w:sz w:val="44"/>
          <w:szCs w:val="44"/>
          <w:highlight w:val="none"/>
          <w:lang w:eastAsia="zh-CN"/>
          <w14:textFill>
            <w14:solidFill>
              <w14:schemeClr w14:val="tx1"/>
            </w14:solidFill>
          </w14:textFill>
        </w:rPr>
        <w:t>消防救援支队</w:t>
      </w:r>
      <w:r>
        <w:rPr>
          <w:rFonts w:hint="eastAsia" w:ascii="宋体" w:hAnsi="宋体" w:cs="宋体"/>
          <w:b w:val="0"/>
          <w:bCs/>
          <w:color w:val="000000" w:themeColor="text1"/>
          <w:spacing w:val="20"/>
          <w:sz w:val="44"/>
          <w:szCs w:val="44"/>
          <w:highlight w:val="none"/>
          <w:lang w:eastAsia="zh-CN"/>
          <w14:textFill>
            <w14:solidFill>
              <w14:schemeClr w14:val="tx1"/>
            </w14:solidFill>
          </w14:textFill>
        </w:rPr>
        <w:t>2024年度消防器材装备（</w:t>
      </w:r>
      <w:r>
        <w:rPr>
          <w:rFonts w:hint="eastAsia" w:ascii="宋体" w:hAnsi="宋体" w:cs="宋体"/>
          <w:b w:val="0"/>
          <w:bCs/>
          <w:color w:val="000000" w:themeColor="text1"/>
          <w:spacing w:val="20"/>
          <w:sz w:val="44"/>
          <w:szCs w:val="44"/>
          <w:highlight w:val="none"/>
          <w:lang w:val="en-US" w:eastAsia="zh-CN"/>
          <w14:textFill>
            <w14:solidFill>
              <w14:schemeClr w14:val="tx1"/>
            </w14:solidFill>
          </w14:textFill>
        </w:rPr>
        <w:t>非信通装备类）</w:t>
      </w:r>
      <w:r>
        <w:rPr>
          <w:rFonts w:hint="eastAsia" w:ascii="宋体" w:hAnsi="宋体" w:cs="宋体"/>
          <w:b w:val="0"/>
          <w:bCs/>
          <w:color w:val="000000" w:themeColor="text1"/>
          <w:spacing w:val="20"/>
          <w:sz w:val="44"/>
          <w:szCs w:val="44"/>
          <w:highlight w:val="none"/>
          <w:lang w:eastAsia="zh-CN"/>
          <w14:textFill>
            <w14:solidFill>
              <w14:schemeClr w14:val="tx1"/>
            </w14:solidFill>
          </w14:textFill>
        </w:rPr>
        <w:t>采购项目</w:t>
      </w:r>
    </w:p>
    <w:p>
      <w:pPr>
        <w:pStyle w:val="3"/>
        <w:jc w:val="center"/>
        <w:rPr>
          <w:rFonts w:hint="eastAsia"/>
          <w:b w:val="0"/>
          <w:bCs w:val="0"/>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kern w:val="2"/>
          <w:sz w:val="28"/>
          <w:szCs w:val="28"/>
          <w:highlight w:val="none"/>
          <w:lang w:val="en-US" w:eastAsia="zh-CN" w:bidi="ar-SA"/>
          <w14:textFill>
            <w14:solidFill>
              <w14:schemeClr w14:val="tx1"/>
            </w14:solidFill>
          </w14:textFill>
        </w:rPr>
        <w:t>项目</w:t>
      </w:r>
      <w:r>
        <w:rPr>
          <w:rFonts w:hint="eastAsia" w:ascii="宋体" w:hAnsi="宋体" w:eastAsia="宋体" w:cs="宋体"/>
          <w:b w:val="0"/>
          <w:bCs w:val="0"/>
          <w:color w:val="000000" w:themeColor="text1"/>
          <w:kern w:val="2"/>
          <w:sz w:val="28"/>
          <w:szCs w:val="28"/>
          <w:highlight w:val="none"/>
          <w:lang w:val="en-US" w:eastAsia="zh-CN" w:bidi="ar-SA"/>
          <w14:textFill>
            <w14:solidFill>
              <w14:schemeClr w14:val="tx1"/>
            </w14:solidFill>
          </w14:textFill>
        </w:rPr>
        <w:t>编号：</w:t>
      </w:r>
      <w:r>
        <w:rPr>
          <w:rFonts w:hint="eastAsia" w:ascii="宋体" w:hAnsi="宋体" w:cs="宋体"/>
          <w:b w:val="0"/>
          <w:bCs w:val="0"/>
          <w:color w:val="000000" w:themeColor="text1"/>
          <w:kern w:val="2"/>
          <w:sz w:val="28"/>
          <w:szCs w:val="28"/>
          <w:highlight w:val="none"/>
          <w:lang w:val="en-US" w:eastAsia="zh-CN" w:bidi="ar-SA"/>
          <w14:textFill>
            <w14:solidFill>
              <w14:schemeClr w14:val="tx1"/>
            </w14:solidFill>
          </w14:textFill>
        </w:rPr>
        <w:t xml:space="preserve">JY2024-YW-1008  </w:t>
      </w:r>
    </w:p>
    <w:p>
      <w:pPr>
        <w:rPr>
          <w:rFonts w:hint="eastAsia"/>
          <w:color w:val="000000" w:themeColor="text1"/>
          <w:highlight w:val="none"/>
          <w:lang w:eastAsia="zh-CN"/>
          <w14:textFill>
            <w14:solidFill>
              <w14:schemeClr w14:val="tx1"/>
            </w14:solidFill>
          </w14:textFill>
        </w:rPr>
      </w:pPr>
    </w:p>
    <w:p>
      <w:pPr>
        <w:pStyle w:val="3"/>
        <w:rPr>
          <w:rFonts w:hint="eastAsia"/>
          <w:color w:val="000000" w:themeColor="text1"/>
          <w:highlight w:val="none"/>
          <w:lang w:val="en-US" w:eastAsia="zh-CN"/>
          <w14:textFill>
            <w14:solidFill>
              <w14:schemeClr w14:val="tx1"/>
            </w14:solidFill>
          </w14:textFill>
        </w:rPr>
      </w:pPr>
    </w:p>
    <w:p>
      <w:pPr>
        <w:snapToGrid w:val="0"/>
        <w:spacing w:before="120" w:beforeLines="50" w:line="360" w:lineRule="auto"/>
        <w:ind w:left="1"/>
        <w:jc w:val="center"/>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72"/>
          <w:szCs w:val="72"/>
          <w:highlight w:val="none"/>
          <w:lang w:eastAsia="zh-CN"/>
          <w14:textFill>
            <w14:solidFill>
              <w14:schemeClr w14:val="tx1"/>
            </w14:solidFill>
          </w14:textFill>
        </w:rPr>
        <w:t>招</w:t>
      </w:r>
      <w:r>
        <w:rPr>
          <w:rFonts w:hint="eastAsia" w:ascii="宋体" w:hAnsi="宋体" w:cs="宋体"/>
          <w:b/>
          <w:color w:val="000000" w:themeColor="text1"/>
          <w:sz w:val="72"/>
          <w:szCs w:val="72"/>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72"/>
          <w:szCs w:val="72"/>
          <w:highlight w:val="none"/>
          <w:lang w:eastAsia="zh-CN"/>
          <w14:textFill>
            <w14:solidFill>
              <w14:schemeClr w14:val="tx1"/>
            </w14:solidFill>
          </w14:textFill>
        </w:rPr>
        <w:t>标</w:t>
      </w:r>
      <w:r>
        <w:rPr>
          <w:rFonts w:hint="eastAsia" w:ascii="宋体" w:hAnsi="宋体" w:cs="宋体"/>
          <w:b/>
          <w:color w:val="000000" w:themeColor="text1"/>
          <w:sz w:val="72"/>
          <w:szCs w:val="72"/>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72"/>
          <w:szCs w:val="72"/>
          <w:highlight w:val="none"/>
          <w:lang w:eastAsia="zh-CN"/>
          <w14:textFill>
            <w14:solidFill>
              <w14:schemeClr w14:val="tx1"/>
            </w14:solidFill>
          </w14:textFill>
        </w:rPr>
        <w:t>文</w:t>
      </w:r>
      <w:r>
        <w:rPr>
          <w:rFonts w:hint="eastAsia" w:ascii="宋体" w:hAnsi="宋体" w:cs="宋体"/>
          <w:b/>
          <w:color w:val="000000" w:themeColor="text1"/>
          <w:sz w:val="72"/>
          <w:szCs w:val="72"/>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72"/>
          <w:szCs w:val="72"/>
          <w:highlight w:val="none"/>
          <w:lang w:eastAsia="zh-CN"/>
          <w14:textFill>
            <w14:solidFill>
              <w14:schemeClr w14:val="tx1"/>
            </w14:solidFill>
          </w14:textFill>
        </w:rPr>
        <w:t>件</w:t>
      </w:r>
    </w:p>
    <w:p>
      <w:pPr>
        <w:snapToGrid w:val="0"/>
        <w:spacing w:before="120" w:beforeLines="50" w:line="360" w:lineRule="auto"/>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p>
    <w:p>
      <w:pPr>
        <w:pStyle w:val="19"/>
        <w:snapToGrid w:val="0"/>
        <w:spacing w:before="120" w:after="120" w:line="360" w:lineRule="auto"/>
        <w:ind w:firstLine="1285" w:firstLineChars="400"/>
        <w:jc w:val="both"/>
        <w:rPr>
          <w:rFonts w:hint="eastAsia" w:ascii="宋体" w:hAnsi="宋体" w:eastAsia="宋体" w:cs="宋体"/>
          <w:b/>
          <w:bCs/>
          <w:color w:val="000000" w:themeColor="text1"/>
          <w:kern w:val="2"/>
          <w:sz w:val="32"/>
          <w:szCs w:val="32"/>
          <w:highlight w:val="none"/>
          <w:lang w:eastAsia="zh-CN"/>
          <w14:textFill>
            <w14:solidFill>
              <w14:schemeClr w14:val="tx1"/>
            </w14:solidFill>
          </w14:textFill>
        </w:rPr>
      </w:pPr>
    </w:p>
    <w:p>
      <w:pPr>
        <w:pStyle w:val="19"/>
        <w:snapToGrid w:val="0"/>
        <w:spacing w:before="120" w:after="120" w:line="360" w:lineRule="auto"/>
        <w:ind w:firstLine="1285" w:firstLineChars="400"/>
        <w:jc w:val="both"/>
        <w:rPr>
          <w:rFonts w:hint="eastAsia" w:ascii="宋体" w:hAnsi="宋体" w:eastAsia="宋体" w:cs="宋体"/>
          <w:b/>
          <w:bCs/>
          <w:color w:val="000000" w:themeColor="text1"/>
          <w:kern w:val="2"/>
          <w:sz w:val="32"/>
          <w:szCs w:val="32"/>
          <w:highlight w:val="none"/>
          <w:lang w:eastAsia="zh-CN"/>
          <w14:textFill>
            <w14:solidFill>
              <w14:schemeClr w14:val="tx1"/>
            </w14:solidFill>
          </w14:textFill>
        </w:rPr>
      </w:pPr>
    </w:p>
    <w:p>
      <w:pPr>
        <w:pStyle w:val="19"/>
        <w:snapToGrid w:val="0"/>
        <w:spacing w:before="120" w:after="120" w:line="360" w:lineRule="auto"/>
        <w:ind w:firstLine="1285" w:firstLineChars="400"/>
        <w:jc w:val="both"/>
        <w:rPr>
          <w:rFonts w:hint="eastAsia" w:ascii="宋体" w:hAnsi="宋体" w:eastAsia="宋体" w:cs="宋体"/>
          <w:b/>
          <w:bCs/>
          <w:color w:val="000000" w:themeColor="text1"/>
          <w:kern w:val="2"/>
          <w:sz w:val="32"/>
          <w:szCs w:val="32"/>
          <w:highlight w:val="none"/>
          <w:lang w:eastAsia="zh-CN"/>
          <w14:textFill>
            <w14:solidFill>
              <w14:schemeClr w14:val="tx1"/>
            </w14:solidFill>
          </w14:textFill>
        </w:rPr>
      </w:pPr>
    </w:p>
    <w:p>
      <w:pPr>
        <w:pStyle w:val="19"/>
        <w:snapToGrid w:val="0"/>
        <w:spacing w:before="120" w:after="120" w:line="360" w:lineRule="auto"/>
        <w:ind w:firstLine="1285" w:firstLineChars="400"/>
        <w:jc w:val="both"/>
        <w:rPr>
          <w:rFonts w:hint="eastAsia" w:ascii="新宋体" w:hAnsi="新宋体" w:eastAsia="新宋体" w:cs="新宋体"/>
          <w:b/>
          <w:bCs/>
          <w:color w:val="000000" w:themeColor="text1"/>
          <w:kern w:val="2"/>
          <w:sz w:val="32"/>
          <w:szCs w:val="32"/>
          <w:highlight w:val="none"/>
          <w14:textFill>
            <w14:solidFill>
              <w14:schemeClr w14:val="tx1"/>
            </w14:solidFill>
          </w14:textFill>
        </w:rPr>
      </w:pPr>
      <w:r>
        <w:rPr>
          <w:rFonts w:hint="eastAsia" w:ascii="新宋体" w:hAnsi="新宋体" w:eastAsia="新宋体" w:cs="新宋体"/>
          <w:b/>
          <w:bCs/>
          <w:color w:val="000000" w:themeColor="text1"/>
          <w:kern w:val="2"/>
          <w:sz w:val="32"/>
          <w:szCs w:val="32"/>
          <w:highlight w:val="none"/>
          <w:lang w:eastAsia="zh-CN"/>
          <w14:textFill>
            <w14:solidFill>
              <w14:schemeClr w14:val="tx1"/>
            </w14:solidFill>
          </w14:textFill>
        </w:rPr>
        <w:t>采</w:t>
      </w:r>
      <w:r>
        <w:rPr>
          <w:rFonts w:hint="eastAsia" w:ascii="新宋体" w:hAnsi="新宋体" w:eastAsia="新宋体" w:cs="新宋体"/>
          <w:b/>
          <w:bCs/>
          <w:color w:val="000000" w:themeColor="text1"/>
          <w:kern w:val="2"/>
          <w:sz w:val="32"/>
          <w:szCs w:val="32"/>
          <w:highlight w:val="none"/>
          <w:lang w:val="en-US" w:eastAsia="zh-CN"/>
          <w14:textFill>
            <w14:solidFill>
              <w14:schemeClr w14:val="tx1"/>
            </w14:solidFill>
          </w14:textFill>
        </w:rPr>
        <w:t xml:space="preserve"> </w:t>
      </w:r>
      <w:r>
        <w:rPr>
          <w:rFonts w:hint="eastAsia" w:ascii="新宋体" w:hAnsi="新宋体" w:eastAsia="新宋体" w:cs="新宋体"/>
          <w:b/>
          <w:bCs/>
          <w:color w:val="000000" w:themeColor="text1"/>
          <w:kern w:val="2"/>
          <w:sz w:val="32"/>
          <w:szCs w:val="32"/>
          <w:highlight w:val="none"/>
          <w:lang w:eastAsia="zh-CN"/>
          <w14:textFill>
            <w14:solidFill>
              <w14:schemeClr w14:val="tx1"/>
            </w14:solidFill>
          </w14:textFill>
        </w:rPr>
        <w:t>购</w:t>
      </w:r>
      <w:r>
        <w:rPr>
          <w:rFonts w:hint="eastAsia" w:ascii="新宋体" w:hAnsi="新宋体" w:eastAsia="新宋体" w:cs="新宋体"/>
          <w:b/>
          <w:bCs/>
          <w:color w:val="000000" w:themeColor="text1"/>
          <w:kern w:val="2"/>
          <w:sz w:val="32"/>
          <w:szCs w:val="32"/>
          <w:highlight w:val="none"/>
          <w:lang w:val="en-US" w:eastAsia="zh-CN"/>
          <w14:textFill>
            <w14:solidFill>
              <w14:schemeClr w14:val="tx1"/>
            </w14:solidFill>
          </w14:textFill>
        </w:rPr>
        <w:t xml:space="preserve"> </w:t>
      </w:r>
      <w:r>
        <w:rPr>
          <w:rFonts w:hint="eastAsia" w:ascii="新宋体" w:hAnsi="新宋体" w:eastAsia="新宋体" w:cs="新宋体"/>
          <w:b/>
          <w:bCs/>
          <w:color w:val="000000" w:themeColor="text1"/>
          <w:kern w:val="2"/>
          <w:sz w:val="32"/>
          <w:szCs w:val="32"/>
          <w:highlight w:val="none"/>
          <w:lang w:eastAsia="zh-CN"/>
          <w14:textFill>
            <w14:solidFill>
              <w14:schemeClr w14:val="tx1"/>
            </w14:solidFill>
          </w14:textFill>
        </w:rPr>
        <w:t>人</w:t>
      </w:r>
      <w:r>
        <w:rPr>
          <w:rFonts w:hint="eastAsia" w:ascii="新宋体" w:hAnsi="新宋体" w:eastAsia="新宋体" w:cs="新宋体"/>
          <w:b/>
          <w:bCs/>
          <w:color w:val="000000" w:themeColor="text1"/>
          <w:kern w:val="2"/>
          <w:sz w:val="32"/>
          <w:szCs w:val="32"/>
          <w:highlight w:val="none"/>
          <w14:textFill>
            <w14:solidFill>
              <w14:schemeClr w14:val="tx1"/>
            </w14:solidFill>
          </w14:textFill>
        </w:rPr>
        <w:t>：</w:t>
      </w:r>
      <w:r>
        <w:rPr>
          <w:rFonts w:hint="eastAsia" w:ascii="新宋体" w:hAnsi="新宋体" w:eastAsia="新宋体" w:cs="新宋体"/>
          <w:b/>
          <w:bCs/>
          <w:color w:val="000000" w:themeColor="text1"/>
          <w:kern w:val="2"/>
          <w:sz w:val="32"/>
          <w:szCs w:val="32"/>
          <w:highlight w:val="none"/>
          <w:lang w:eastAsia="zh-CN"/>
          <w14:textFill>
            <w14:solidFill>
              <w14:schemeClr w14:val="tx1"/>
            </w14:solidFill>
          </w14:textFill>
        </w:rPr>
        <w:t>义乌市消防救援支</w:t>
      </w:r>
      <w:r>
        <w:rPr>
          <w:rFonts w:hint="eastAsia" w:ascii="新宋体" w:hAnsi="新宋体" w:eastAsia="新宋体" w:cs="新宋体"/>
          <w:b/>
          <w:bCs/>
          <w:color w:val="000000" w:themeColor="text1"/>
          <w:kern w:val="2"/>
          <w:sz w:val="32"/>
          <w:szCs w:val="32"/>
          <w:highlight w:val="none"/>
          <w14:textFill>
            <w14:solidFill>
              <w14:schemeClr w14:val="tx1"/>
            </w14:solidFill>
          </w14:textFill>
        </w:rPr>
        <w:t>队</w:t>
      </w:r>
    </w:p>
    <w:p>
      <w:pPr>
        <w:pStyle w:val="19"/>
        <w:snapToGrid w:val="0"/>
        <w:spacing w:before="120" w:after="120" w:line="360" w:lineRule="auto"/>
        <w:ind w:firstLine="1285" w:firstLineChars="400"/>
        <w:jc w:val="both"/>
        <w:rPr>
          <w:rFonts w:hint="eastAsia" w:ascii="新宋体" w:hAnsi="新宋体" w:eastAsia="新宋体" w:cs="新宋体"/>
          <w:b/>
          <w:bCs/>
          <w:color w:val="000000" w:themeColor="text1"/>
          <w:kern w:val="2"/>
          <w:sz w:val="32"/>
          <w:szCs w:val="32"/>
          <w:highlight w:val="none"/>
          <w14:textFill>
            <w14:solidFill>
              <w14:schemeClr w14:val="tx1"/>
            </w14:solidFill>
          </w14:textFill>
        </w:rPr>
      </w:pPr>
      <w:r>
        <w:rPr>
          <w:rFonts w:hint="eastAsia" w:ascii="新宋体" w:hAnsi="新宋体" w:eastAsia="新宋体" w:cs="新宋体"/>
          <w:b/>
          <w:bCs/>
          <w:color w:val="000000" w:themeColor="text1"/>
          <w:kern w:val="2"/>
          <w:sz w:val="32"/>
          <w:szCs w:val="32"/>
          <w:highlight w:val="none"/>
          <w14:textFill>
            <w14:solidFill>
              <w14:schemeClr w14:val="tx1"/>
            </w14:solidFill>
          </w14:textFill>
        </w:rPr>
        <w:t>代理机构：</w:t>
      </w:r>
      <w:r>
        <w:rPr>
          <w:rFonts w:hint="eastAsia" w:ascii="新宋体" w:hAnsi="新宋体" w:eastAsia="新宋体" w:cs="新宋体"/>
          <w:b/>
          <w:bCs/>
          <w:color w:val="000000" w:themeColor="text1"/>
          <w:kern w:val="2"/>
          <w:sz w:val="32"/>
          <w:szCs w:val="32"/>
          <w:highlight w:val="none"/>
          <w:lang w:eastAsia="zh-CN"/>
          <w14:textFill>
            <w14:solidFill>
              <w14:schemeClr w14:val="tx1"/>
            </w14:solidFill>
          </w14:textFill>
        </w:rPr>
        <w:t>吉亿工程管理服务（诸暨）</w:t>
      </w:r>
      <w:r>
        <w:rPr>
          <w:rFonts w:hint="eastAsia" w:ascii="新宋体" w:hAnsi="新宋体" w:eastAsia="新宋体" w:cs="新宋体"/>
          <w:b/>
          <w:bCs/>
          <w:color w:val="000000" w:themeColor="text1"/>
          <w:kern w:val="2"/>
          <w:sz w:val="32"/>
          <w:szCs w:val="32"/>
          <w:highlight w:val="none"/>
          <w14:textFill>
            <w14:solidFill>
              <w14:schemeClr w14:val="tx1"/>
            </w14:solidFill>
          </w14:textFill>
        </w:rPr>
        <w:t>有限公司</w:t>
      </w:r>
    </w:p>
    <w:p>
      <w:pPr>
        <w:pStyle w:val="19"/>
        <w:snapToGrid w:val="0"/>
        <w:spacing w:before="120" w:after="120" w:line="360" w:lineRule="auto"/>
        <w:ind w:firstLine="1285" w:firstLineChars="400"/>
        <w:jc w:val="center"/>
        <w:rPr>
          <w:rFonts w:hint="eastAsia" w:ascii="新宋体" w:hAnsi="新宋体" w:eastAsia="新宋体" w:cs="新宋体"/>
          <w:b/>
          <w:bCs/>
          <w:color w:val="000000" w:themeColor="text1"/>
          <w:kern w:val="2"/>
          <w:sz w:val="32"/>
          <w:szCs w:val="32"/>
          <w:highlight w:val="none"/>
          <w14:textFill>
            <w14:solidFill>
              <w14:schemeClr w14:val="tx1"/>
            </w14:solidFill>
          </w14:textFill>
        </w:rPr>
      </w:pPr>
      <w:r>
        <w:rPr>
          <w:rFonts w:hint="eastAsia" w:ascii="新宋体" w:hAnsi="新宋体" w:eastAsia="新宋体" w:cs="新宋体"/>
          <w:b/>
          <w:bCs/>
          <w:color w:val="000000" w:themeColor="text1"/>
          <w:kern w:val="2"/>
          <w:sz w:val="32"/>
          <w:szCs w:val="32"/>
          <w:highlight w:val="none"/>
          <w14:textFill>
            <w14:solidFill>
              <w14:schemeClr w14:val="tx1"/>
            </w14:solidFill>
          </w14:textFill>
        </w:rPr>
        <w:t>二〇二</w:t>
      </w:r>
      <w:r>
        <w:rPr>
          <w:rFonts w:hint="eastAsia" w:ascii="新宋体" w:hAnsi="新宋体" w:eastAsia="新宋体" w:cs="新宋体"/>
          <w:b/>
          <w:bCs/>
          <w:color w:val="000000" w:themeColor="text1"/>
          <w:kern w:val="2"/>
          <w:sz w:val="32"/>
          <w:szCs w:val="32"/>
          <w:highlight w:val="none"/>
          <w:lang w:val="en-US" w:eastAsia="zh-CN"/>
          <w14:textFill>
            <w14:solidFill>
              <w14:schemeClr w14:val="tx1"/>
            </w14:solidFill>
          </w14:textFill>
        </w:rPr>
        <w:t>四</w:t>
      </w:r>
      <w:r>
        <w:rPr>
          <w:rFonts w:hint="eastAsia" w:ascii="新宋体" w:hAnsi="新宋体" w:eastAsia="新宋体" w:cs="新宋体"/>
          <w:b/>
          <w:bCs/>
          <w:color w:val="000000" w:themeColor="text1"/>
          <w:kern w:val="2"/>
          <w:sz w:val="32"/>
          <w:szCs w:val="32"/>
          <w:highlight w:val="none"/>
          <w14:textFill>
            <w14:solidFill>
              <w14:schemeClr w14:val="tx1"/>
            </w14:solidFill>
          </w14:textFill>
        </w:rPr>
        <w:t>年</w:t>
      </w:r>
      <w:r>
        <w:rPr>
          <w:rFonts w:hint="eastAsia" w:ascii="新宋体" w:hAnsi="新宋体" w:eastAsia="新宋体" w:cs="新宋体"/>
          <w:b/>
          <w:bCs/>
          <w:color w:val="000000" w:themeColor="text1"/>
          <w:kern w:val="2"/>
          <w:sz w:val="32"/>
          <w:szCs w:val="32"/>
          <w:highlight w:val="none"/>
          <w:lang w:val="en-US" w:eastAsia="zh-CN"/>
          <w14:textFill>
            <w14:solidFill>
              <w14:schemeClr w14:val="tx1"/>
            </w14:solidFill>
          </w14:textFill>
        </w:rPr>
        <w:t xml:space="preserve"> </w:t>
      </w:r>
      <w:r>
        <w:rPr>
          <w:rFonts w:hint="eastAsia" w:ascii="新宋体" w:hAnsi="新宋体" w:eastAsia="新宋体" w:cs="新宋体"/>
          <w:b/>
          <w:bCs/>
          <w:color w:val="000000" w:themeColor="text1"/>
          <w:kern w:val="2"/>
          <w:sz w:val="32"/>
          <w:szCs w:val="32"/>
          <w:highlight w:val="none"/>
          <w14:textFill>
            <w14:solidFill>
              <w14:schemeClr w14:val="tx1"/>
            </w14:solidFill>
          </w14:textFill>
        </w:rPr>
        <w:t>月</w:t>
      </w:r>
    </w:p>
    <w:p>
      <w:pPr>
        <w:snapToGrid w:val="0"/>
        <w:spacing w:line="360" w:lineRule="auto"/>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                            </w:t>
      </w:r>
    </w:p>
    <w:p>
      <w:pPr>
        <w:spacing w:before="0" w:beforeLines="0" w:after="0" w:afterLines="0" w:line="240" w:lineRule="auto"/>
        <w:ind w:left="0" w:leftChars="0" w:right="0" w:rightChars="0" w:firstLine="0" w:firstLineChars="0"/>
        <w:jc w:val="cente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sectPr>
          <w:headerReference r:id="rId4" w:type="first"/>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sdt>
      <w:sdtPr>
        <w:rPr>
          <w:rFonts w:hint="eastAsia" w:ascii="宋体" w:hAnsi="宋体" w:eastAsia="宋体" w:cs="宋体"/>
          <w:b/>
          <w:color w:val="000000" w:themeColor="text1"/>
          <w:spacing w:val="-6"/>
          <w:kern w:val="2"/>
          <w:sz w:val="32"/>
          <w:szCs w:val="32"/>
          <w:highlight w:val="none"/>
          <w:lang w:val="en-US" w:eastAsia="zh-CN" w:bidi="ar-SA"/>
          <w14:textFill>
            <w14:solidFill>
              <w14:schemeClr w14:val="tx1"/>
            </w14:solidFill>
          </w14:textFill>
        </w:rPr>
        <w:id w:val="147482180"/>
        <w15:color w:val="DBDBDB"/>
      </w:sdtPr>
      <w:sdtEndPr>
        <w:rPr>
          <w:rFonts w:hint="eastAsia" w:ascii="宋体" w:hAnsi="宋体" w:eastAsia="宋体" w:cs="宋体"/>
          <w:b/>
          <w:color w:val="000000" w:themeColor="text1"/>
          <w:spacing w:val="-6"/>
          <w:kern w:val="2"/>
          <w:sz w:val="24"/>
          <w:szCs w:val="24"/>
          <w:highlight w:val="none"/>
          <w:lang w:val="en-US" w:eastAsia="zh-CN" w:bidi="ar-SA"/>
          <w14:textFill>
            <w14:solidFill>
              <w14:schemeClr w14:val="tx1"/>
            </w14:solidFill>
          </w14:textFill>
        </w:rPr>
      </w:sdtEndPr>
      <w:sdtContent>
        <w:p>
          <w:pPr>
            <w:keepNext w:val="0"/>
            <w:keepLines w:val="0"/>
            <w:pageBreakBefore w:val="0"/>
            <w:widowControl w:val="0"/>
            <w:shd w:val="clear" w:fill="FFFFFF" w:themeFill="background1"/>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宋体" w:hAnsi="宋体" w:eastAsia="宋体" w:cs="宋体"/>
              <w:b/>
              <w:color w:val="000000" w:themeColor="text1"/>
              <w:spacing w:val="-6"/>
              <w:kern w:val="2"/>
              <w:sz w:val="32"/>
              <w:szCs w:val="32"/>
              <w:highlight w:val="none"/>
              <w:lang w:val="en-US" w:eastAsia="zh-CN" w:bidi="ar-SA"/>
              <w14:textFill>
                <w14:solidFill>
                  <w14:schemeClr w14:val="tx1"/>
                </w14:solidFill>
              </w14:textFill>
            </w:rPr>
          </w:pPr>
          <w:r>
            <w:rPr>
              <w:rFonts w:hint="eastAsia" w:ascii="宋体" w:hAnsi="宋体" w:eastAsia="宋体" w:cs="宋体"/>
              <w:b/>
              <w:color w:val="000000" w:themeColor="text1"/>
              <w:spacing w:val="-6"/>
              <w:kern w:val="2"/>
              <w:sz w:val="32"/>
              <w:szCs w:val="32"/>
              <w:highlight w:val="none"/>
              <w:lang w:val="en-US" w:eastAsia="zh-CN" w:bidi="ar-SA"/>
              <w14:textFill>
                <w14:solidFill>
                  <w14:schemeClr w14:val="tx1"/>
                </w14:solidFill>
              </w14:textFill>
            </w:rPr>
            <w:t>特别提示</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为确保投标顺利，在此郑重</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提醒</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各投标人务必</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注意以下事项：</w:t>
          </w:r>
        </w:p>
        <w:p>
          <w:pPr>
            <w:keepNext w:val="0"/>
            <w:keepLines w:val="0"/>
            <w:pageBreakBefore w:val="0"/>
            <w:numPr>
              <w:ilvl w:val="0"/>
              <w:numId w:val="4"/>
            </w:numPr>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关于</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w:t>
          </w:r>
        </w:p>
        <w:p>
          <w:pPr>
            <w:keepNext w:val="0"/>
            <w:keepLines w:val="0"/>
            <w:pageBreakBefore w:val="0"/>
            <w:numPr>
              <w:ilvl w:val="0"/>
              <w:numId w:val="0"/>
            </w:numPr>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1.请仔细阅读招标文件并正确理解招标文件中各项具体要求。如对招标文件有疑问，请在招标文件规定的时间内以书面形式提出，逾期将被拒绝受理。</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b w:val="0"/>
              <w:bCs w:val="0"/>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2.严格按照招标文件载明</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的</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格式要求编制</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、装订、密封并提交</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投标文件</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。为保证有序快速启封标书，避免电子版投标文件弄丢弄混乱，请严格按要求将电子版投标文件(统一将U盘装入信封）和资格、商务技术文件打包</w:t>
          </w:r>
          <w:r>
            <w:rPr>
              <w:rFonts w:hint="eastAsia" w:ascii="宋体" w:hAnsi="宋体" w:eastAsia="宋体" w:cs="宋体"/>
              <w:b w:val="0"/>
              <w:bCs w:val="0"/>
              <w:color w:val="000000" w:themeColor="text1"/>
              <w:kern w:val="2"/>
              <w:sz w:val="24"/>
              <w:szCs w:val="24"/>
              <w:highlight w:val="none"/>
              <w:u w:val="none"/>
              <w:lang w:val="en-US" w:eastAsia="zh-CN" w:bidi="ar-SA"/>
              <w14:textFill>
                <w14:solidFill>
                  <w14:schemeClr w14:val="tx1"/>
                </w14:solidFill>
              </w14:textFill>
            </w:rPr>
            <w:t>密封</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成一个整包，报价文件另外单独一个包密封</w:t>
          </w:r>
          <w:r>
            <w:rPr>
              <w:rFonts w:hint="eastAsia" w:ascii="宋体" w:hAnsi="宋体" w:eastAsia="宋体" w:cs="宋体"/>
              <w:b w:val="0"/>
              <w:bCs w:val="0"/>
              <w:color w:val="000000" w:themeColor="text1"/>
              <w:kern w:val="2"/>
              <w:sz w:val="24"/>
              <w:szCs w:val="24"/>
              <w:highlight w:val="none"/>
              <w:u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按以上要求分类打包密封后不得再合并捆绑打包。）</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3.请仔细核对投标文件是否已按照招标文件的要求签字、盖章和加盖单位公章</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等</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，实质性条款是否满足招标文件要求，投标文件中所附资格证明等资料是否齐全、有效且是否满足招标文件要求。</w:t>
          </w:r>
        </w:p>
        <w:p>
          <w:pPr>
            <w:keepNext w:val="0"/>
            <w:keepLines w:val="0"/>
            <w:pageBreakBefore w:val="0"/>
            <w:widowControl/>
            <w:shd w:val="clear"/>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eastAsia="zh-CN" w:bidi="ar"/>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4.本次采购所有标项均为专门面向中小企业的采购项目。投标文件中须提供</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投标人</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出具的《政府采购促进中小企业发展管理办法》【财库2022年19号文件】规定的《中小企业声明函》</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w:t>
          </w:r>
          <w:r>
            <w:rPr>
              <w:rFonts w:hint="eastAsia" w:ascii="宋体" w:hAnsi="宋体" w:cs="宋体"/>
              <w:b/>
              <w:bCs/>
              <w:color w:val="000000" w:themeColor="text1"/>
              <w:kern w:val="2"/>
              <w:sz w:val="24"/>
              <w:szCs w:val="24"/>
              <w:highlight w:val="none"/>
              <w:lang w:val="en-US" w:eastAsia="zh-CN" w:bidi="ar-SA"/>
              <w14:textFill>
                <w14:solidFill>
                  <w14:schemeClr w14:val="tx1"/>
                </w14:solidFill>
              </w14:textFill>
            </w:rPr>
            <w:t>所投标项涉及多种标的物的，货物制造商的相关信息应全部列入《中小企业声明函》。</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未按要求提供的将视为无效投标</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5.请确保所投标</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项</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产品型号、响应参数等与检测报告内容保持完全一致，如有前后不相符的情况，会影响最终的投标结果。</w:t>
          </w:r>
        </w:p>
        <w:p>
          <w:pPr>
            <w:keepNext w:val="0"/>
            <w:keepLines w:val="0"/>
            <w:pageBreakBefore w:val="0"/>
            <w:widowControl/>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6.请仔细核对报价一览表、明细表等，有无大小写不一致、单价与总价不相符等情况。</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提示：投标文件若不满足以上条件将有被否决的风险。</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关于</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开标</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1.</w:t>
          </w:r>
          <w:r>
            <w:rPr>
              <w:rFonts w:hint="eastAsia" w:ascii="宋体" w:hAnsi="宋体" w:eastAsia="宋体" w:cs="宋体"/>
              <w:color w:val="000000" w:themeColor="text1"/>
              <w:sz w:val="24"/>
              <w:szCs w:val="24"/>
              <w:highlight w:val="none"/>
              <w:u w:val="single"/>
              <w14:textFill>
                <w14:solidFill>
                  <w14:schemeClr w14:val="tx1"/>
                </w14:solidFill>
              </w14:textFill>
            </w:rPr>
            <w:t>除招标文件要求递交的文件和资料外，请</w:t>
          </w:r>
          <w:r>
            <w:rPr>
              <w:rFonts w:hint="eastAsia" w:ascii="宋体" w:hAnsi="宋体" w:cs="宋体"/>
              <w:color w:val="000000" w:themeColor="text1"/>
              <w:sz w:val="24"/>
              <w:szCs w:val="24"/>
              <w:highlight w:val="none"/>
              <w:u w:val="single"/>
              <w:lang w:val="en-US" w:eastAsia="zh-CN"/>
              <w14:textFill>
                <w14:solidFill>
                  <w14:schemeClr w14:val="tx1"/>
                </w14:solidFill>
              </w14:textFill>
            </w:rPr>
            <w:t>务必</w:t>
          </w:r>
          <w:r>
            <w:rPr>
              <w:rFonts w:hint="eastAsia" w:ascii="宋体" w:hAnsi="宋体" w:eastAsia="宋体" w:cs="宋体"/>
              <w:color w:val="000000" w:themeColor="text1"/>
              <w:sz w:val="24"/>
              <w:szCs w:val="24"/>
              <w:highlight w:val="none"/>
              <w:u w:val="single"/>
              <w14:textFill>
                <w14:solidFill>
                  <w14:schemeClr w14:val="tx1"/>
                </w14:solidFill>
              </w14:textFill>
            </w:rPr>
            <w:t>随身携带</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投标单位履约及廉洁纪律承诺书、</w:t>
          </w:r>
          <w:r>
            <w:rPr>
              <w:rFonts w:hint="eastAsia" w:ascii="宋体" w:hAnsi="宋体" w:cs="宋体"/>
              <w:color w:val="000000" w:themeColor="text1"/>
              <w:sz w:val="24"/>
              <w:szCs w:val="24"/>
              <w:highlight w:val="none"/>
              <w:u w:val="single"/>
              <w:lang w:val="en-US" w:eastAsia="zh-CN"/>
              <w14:textFill>
                <w14:solidFill>
                  <w14:schemeClr w14:val="tx1"/>
                </w14:solidFill>
              </w14:textFill>
            </w:rPr>
            <w:t>采购活动现场确认声明书两张材料（详见招标文件格式），投标现场不再提供该材料</w:t>
          </w:r>
          <w:r>
            <w:rPr>
              <w:rFonts w:hint="eastAsia" w:ascii="宋体" w:hAnsi="宋体" w:eastAsia="宋体" w:cs="宋体"/>
              <w:color w:val="000000" w:themeColor="text1"/>
              <w:kern w:val="2"/>
              <w:sz w:val="24"/>
              <w:szCs w:val="24"/>
              <w:highlight w:val="none"/>
              <w:u w:val="single"/>
              <w:lang w:val="en-US" w:eastAsia="zh-CN" w:bidi="ar-SA"/>
              <w14:textFill>
                <w14:solidFill>
                  <w14:schemeClr w14:val="tx1"/>
                </w14:solidFill>
              </w14:textFill>
            </w:rPr>
            <w:t>。</w:t>
          </w:r>
        </w:p>
        <w:p>
          <w:pPr>
            <w:keepNext w:val="0"/>
            <w:keepLines w:val="0"/>
            <w:pageBreakBefore w:val="0"/>
            <w:shd w:val="clear" w:fill="FFFFFF" w:themeFill="background1"/>
            <w:kinsoku/>
            <w:wordWrap/>
            <w:overflowPunct/>
            <w:topLinePunct w:val="0"/>
            <w:autoSpaceDE/>
            <w:autoSpaceDN/>
            <w:bidi w:val="0"/>
            <w:adjustRightInd/>
            <w:snapToGrid/>
            <w:spacing w:beforeLines="0" w:afterLines="0"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2.请务必考虑天气、交通等情况以及您对开标地址的路线熟悉等情况，于招标公告规定的时间及地点递交投标文件，投标文件逾期到达，将被拒绝接收。</w:t>
          </w:r>
        </w:p>
        <w:p>
          <w:pPr>
            <w:pStyle w:val="25"/>
            <w:rPr>
              <w:rFonts w:hint="eastAsia"/>
              <w:lang w:val="en-US" w:eastAsia="zh-CN"/>
            </w:rPr>
          </w:pPr>
        </w:p>
        <w:p>
          <w:pPr>
            <w:keepNext w:val="0"/>
            <w:keepLines w:val="0"/>
            <w:pageBreakBefore w:val="0"/>
            <w:widowControl w:val="0"/>
            <w:shd w:val="clear" w:fill="FFFFFF" w:themeFill="background1"/>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p>
        <w:p>
          <w:pPr>
            <w:pStyle w:val="25"/>
            <w:rPr>
              <w:rFonts w:hint="eastAsia" w:ascii="宋体" w:hAnsi="宋体" w:eastAsia="宋体" w:cs="宋体"/>
              <w:b/>
              <w:bCs/>
              <w:color w:val="000000" w:themeColor="text1"/>
              <w:sz w:val="24"/>
              <w:szCs w:val="24"/>
              <w:highlight w:val="none"/>
              <w14:textFill>
                <w14:solidFill>
                  <w14:schemeClr w14:val="tx1"/>
                </w14:solidFill>
              </w14:textFill>
            </w:rPr>
          </w:pPr>
        </w:p>
        <w:p>
          <w:pPr>
            <w:pStyle w:val="25"/>
            <w:rPr>
              <w:rFonts w:hint="eastAsia" w:ascii="宋体" w:hAnsi="宋体" w:eastAsia="宋体" w:cs="宋体"/>
              <w:b/>
              <w:bCs/>
              <w:color w:val="000000" w:themeColor="text1"/>
              <w:sz w:val="24"/>
              <w:szCs w:val="24"/>
              <w:highlight w:val="none"/>
              <w14:textFill>
                <w14:solidFill>
                  <w14:schemeClr w14:val="tx1"/>
                </w14:solidFill>
              </w14:textFill>
            </w:rPr>
          </w:pPr>
        </w:p>
        <w:p>
          <w:pPr>
            <w:pStyle w:val="25"/>
            <w:rPr>
              <w:rFonts w:hint="eastAsia" w:ascii="宋体" w:hAnsi="宋体" w:eastAsia="宋体" w:cs="宋体"/>
              <w:b/>
              <w:bCs/>
              <w:color w:val="000000" w:themeColor="text1"/>
              <w:sz w:val="24"/>
              <w:szCs w:val="24"/>
              <w:highlight w:val="none"/>
              <w14:textFill>
                <w14:solidFill>
                  <w14:schemeClr w14:val="tx1"/>
                </w14:solidFill>
              </w14:textFill>
            </w:rPr>
          </w:pPr>
        </w:p>
        <w:p>
          <w:pPr>
            <w:pStyle w:val="25"/>
            <w:rPr>
              <w:rFonts w:hint="eastAsia" w:ascii="宋体" w:hAnsi="宋体" w:eastAsia="宋体" w:cs="宋体"/>
              <w:b/>
              <w:bCs/>
              <w:color w:val="000000" w:themeColor="text1"/>
              <w:sz w:val="24"/>
              <w:szCs w:val="24"/>
              <w:highlight w:val="none"/>
              <w14:textFill>
                <w14:solidFill>
                  <w14:schemeClr w14:val="tx1"/>
                </w14:solidFill>
              </w14:textFill>
            </w:rPr>
          </w:pPr>
        </w:p>
        <w:p>
          <w:pPr>
            <w:pStyle w:val="25"/>
            <w:rPr>
              <w:rFonts w:hint="eastAsia" w:ascii="宋体" w:hAnsi="宋体" w:eastAsia="宋体" w:cs="宋体"/>
              <w:b/>
              <w:bCs/>
              <w:color w:val="000000" w:themeColor="text1"/>
              <w:sz w:val="24"/>
              <w:szCs w:val="24"/>
              <w:highlight w:val="none"/>
              <w14:textFill>
                <w14:solidFill>
                  <w14:schemeClr w14:val="tx1"/>
                </w14:solidFill>
              </w14:textFill>
            </w:rPr>
          </w:pPr>
        </w:p>
        <w:p>
          <w:pPr>
            <w:shd w:val="clear" w:fill="FFFFFF" w:themeFill="background1"/>
            <w:spacing w:before="0" w:beforeLines="0" w:after="0" w:afterLines="0" w:line="240" w:lineRule="auto"/>
            <w:ind w:left="0" w:leftChars="0" w:right="0" w:rightChars="0" w:firstLine="0" w:firstLineChars="0"/>
            <w:jc w:val="center"/>
            <w:rPr>
              <w:rFonts w:hint="eastAsia" w:ascii="宋体" w:hAnsi="宋体" w:eastAsia="宋体" w:cs="宋体"/>
              <w:b/>
              <w:bCs/>
              <w:color w:val="000000" w:themeColor="text1"/>
              <w:sz w:val="52"/>
              <w:szCs w:val="52"/>
              <w:highlight w:val="none"/>
              <w14:textFill>
                <w14:solidFill>
                  <w14:schemeClr w14:val="tx1"/>
                </w14:solidFill>
              </w14:textFill>
            </w:rPr>
          </w:pPr>
          <w:r>
            <w:rPr>
              <w:rFonts w:hint="eastAsia" w:ascii="宋体" w:hAnsi="宋体" w:eastAsia="宋体" w:cs="宋体"/>
              <w:b/>
              <w:bCs/>
              <w:color w:val="000000" w:themeColor="text1"/>
              <w:sz w:val="52"/>
              <w:szCs w:val="52"/>
              <w:highlight w:val="none"/>
              <w14:textFill>
                <w14:solidFill>
                  <w14:schemeClr w14:val="tx1"/>
                </w14:solidFill>
              </w14:textFill>
            </w:rPr>
            <w:t>目</w:t>
          </w:r>
          <w:r>
            <w:rPr>
              <w:rFonts w:hint="eastAsia" w:ascii="宋体" w:hAnsi="宋体" w:cs="宋体"/>
              <w:b/>
              <w:bCs/>
              <w:color w:val="000000" w:themeColor="text1"/>
              <w:sz w:val="52"/>
              <w:szCs w:val="52"/>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52"/>
              <w:szCs w:val="52"/>
              <w:highlight w:val="none"/>
              <w14:textFill>
                <w14:solidFill>
                  <w14:schemeClr w14:val="tx1"/>
                </w14:solidFill>
              </w14:textFill>
            </w:rPr>
            <w:t>录</w:t>
          </w:r>
        </w:p>
        <w:p>
          <w:pPr>
            <w:pStyle w:val="27"/>
            <w:keepNext w:val="0"/>
            <w:keepLines w:val="0"/>
            <w:pageBreakBefore w:val="0"/>
            <w:widowControl w:val="0"/>
            <w:shd w:val="clear" w:fill="FFFFFF" w:themeFill="background1"/>
            <w:tabs>
              <w:tab w:val="right" w:leader="dot" w:pos="8306"/>
            </w:tabs>
            <w:kinsoku/>
            <w:wordWrap/>
            <w:overflowPunct/>
            <w:topLinePunct w:val="0"/>
            <w:autoSpaceDE/>
            <w:autoSpaceDN/>
            <w:bidi w:val="0"/>
            <w:adjustRightInd/>
            <w:snapToGrid/>
            <w:spacing w:line="240" w:lineRule="auto"/>
            <w:ind w:left="0" w:leftChars="0" w:right="0" w:rightChars="0" w:firstLine="640" w:firstLineChars="0"/>
            <w:jc w:val="left"/>
            <w:textAlignment w:val="auto"/>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TOC \o "1-1" \h \u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 HYPERLINK \l _Toc5008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pacing w:val="-6"/>
              <w:sz w:val="32"/>
              <w:szCs w:val="32"/>
              <w:highlight w:val="none"/>
              <w14:textFill>
                <w14:solidFill>
                  <w14:schemeClr w14:val="tx1"/>
                </w14:solidFill>
              </w14:textFill>
            </w:rPr>
            <w:t>第一部分  招标公告</w:t>
          </w:r>
          <w:r>
            <w:rPr>
              <w:rFonts w:hint="eastAsia" w:ascii="宋体" w:hAnsi="宋体" w:eastAsia="宋体" w:cs="宋体"/>
              <w:b/>
              <w:bCs/>
              <w:color w:val="000000" w:themeColor="text1"/>
              <w:sz w:val="32"/>
              <w:szCs w:val="32"/>
              <w:highlight w:val="none"/>
              <w14:textFill>
                <w14:solidFill>
                  <w14:schemeClr w14:val="tx1"/>
                </w14:solidFill>
              </w14:textFill>
            </w:rPr>
            <w:fldChar w:fldCharType="end"/>
          </w:r>
          <w:r>
            <w:rPr>
              <w:rFonts w:hint="eastAsia" w:ascii="宋体" w:hAnsi="宋体" w:eastAsia="宋体" w:cs="宋体"/>
              <w:b/>
              <w:bCs/>
              <w:color w:val="000000" w:themeColor="text1"/>
              <w:sz w:val="32"/>
              <w:szCs w:val="32"/>
              <w:highlight w:val="none"/>
              <w14:textFill>
                <w14:solidFill>
                  <w14:schemeClr w14:val="tx1"/>
                </w14:solidFill>
              </w14:textFill>
            </w:rPr>
            <w:tab/>
          </w:r>
          <w:r>
            <w:rPr>
              <w:rFonts w:hint="eastAsia" w:ascii="宋体" w:hAnsi="宋体" w:cs="宋体"/>
              <w:b/>
              <w:bCs/>
              <w:color w:val="000000" w:themeColor="text1"/>
              <w:sz w:val="32"/>
              <w:szCs w:val="32"/>
              <w:highlight w:val="none"/>
              <w:lang w:val="en-US" w:eastAsia="zh-CN"/>
              <w14:textFill>
                <w14:solidFill>
                  <w14:schemeClr w14:val="tx1"/>
                </w14:solidFill>
              </w14:textFill>
            </w:rPr>
            <w:t>4</w:t>
          </w:r>
        </w:p>
        <w:p>
          <w:pPr>
            <w:pStyle w:val="27"/>
            <w:keepNext w:val="0"/>
            <w:keepLines w:val="0"/>
            <w:pageBreakBefore w:val="0"/>
            <w:widowControl w:val="0"/>
            <w:shd w:val="clear" w:fill="FFFFFF" w:themeFill="background1"/>
            <w:tabs>
              <w:tab w:val="right" w:leader="dot" w:pos="8306"/>
            </w:tabs>
            <w:kinsoku/>
            <w:wordWrap/>
            <w:overflowPunct/>
            <w:topLinePunct w:val="0"/>
            <w:autoSpaceDE/>
            <w:autoSpaceDN/>
            <w:bidi w:val="0"/>
            <w:adjustRightInd/>
            <w:snapToGrid/>
            <w:spacing w:line="240" w:lineRule="auto"/>
            <w:ind w:left="0" w:leftChars="0" w:right="0" w:rightChars="0" w:firstLine="640" w:firstLineChars="0"/>
            <w:jc w:val="left"/>
            <w:textAlignment w:val="auto"/>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 HYPERLINK \l _Toc30575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z w:val="32"/>
              <w:szCs w:val="32"/>
              <w:highlight w:val="none"/>
              <w14:textFill>
                <w14:solidFill>
                  <w14:schemeClr w14:val="tx1"/>
                </w14:solidFill>
              </w14:textFill>
            </w:rPr>
            <w:t>第二部分  投标人须知</w:t>
          </w:r>
          <w:r>
            <w:rPr>
              <w:rFonts w:hint="eastAsia" w:ascii="宋体" w:hAnsi="宋体" w:eastAsia="宋体" w:cs="宋体"/>
              <w:b/>
              <w:bCs/>
              <w:color w:val="000000" w:themeColor="text1"/>
              <w:sz w:val="32"/>
              <w:szCs w:val="32"/>
              <w:highlight w:val="none"/>
              <w14:textFill>
                <w14:solidFill>
                  <w14:schemeClr w14:val="tx1"/>
                </w14:solidFill>
              </w14:textFill>
            </w:rPr>
            <w:fldChar w:fldCharType="end"/>
          </w:r>
          <w:r>
            <w:rPr>
              <w:rFonts w:hint="eastAsia" w:ascii="宋体" w:hAnsi="宋体" w:eastAsia="宋体" w:cs="宋体"/>
              <w:b/>
              <w:bCs/>
              <w:color w:val="000000" w:themeColor="text1"/>
              <w:sz w:val="32"/>
              <w:szCs w:val="32"/>
              <w:highlight w:val="none"/>
              <w14:textFill>
                <w14:solidFill>
                  <w14:schemeClr w14:val="tx1"/>
                </w14:solidFill>
              </w14:textFill>
            </w:rPr>
            <w:tab/>
          </w:r>
          <w:r>
            <w:rPr>
              <w:rFonts w:hint="eastAsia" w:ascii="宋体" w:hAnsi="宋体" w:cs="宋体"/>
              <w:b/>
              <w:bCs/>
              <w:color w:val="000000" w:themeColor="text1"/>
              <w:sz w:val="32"/>
              <w:szCs w:val="32"/>
              <w:highlight w:val="none"/>
              <w:lang w:val="en-US" w:eastAsia="zh-CN"/>
              <w14:textFill>
                <w14:solidFill>
                  <w14:schemeClr w14:val="tx1"/>
                </w14:solidFill>
              </w14:textFill>
            </w:rPr>
            <w:t>7</w:t>
          </w:r>
        </w:p>
        <w:p>
          <w:pPr>
            <w:pStyle w:val="27"/>
            <w:keepNext w:val="0"/>
            <w:keepLines w:val="0"/>
            <w:pageBreakBefore w:val="0"/>
            <w:widowControl w:val="0"/>
            <w:shd w:val="clear" w:fill="FFFFFF" w:themeFill="background1"/>
            <w:tabs>
              <w:tab w:val="right" w:leader="dot" w:pos="8306"/>
            </w:tabs>
            <w:kinsoku/>
            <w:wordWrap/>
            <w:overflowPunct/>
            <w:topLinePunct w:val="0"/>
            <w:autoSpaceDE/>
            <w:autoSpaceDN/>
            <w:bidi w:val="0"/>
            <w:adjustRightInd/>
            <w:snapToGrid/>
            <w:spacing w:line="600" w:lineRule="auto"/>
            <w:ind w:left="0" w:leftChars="0" w:right="0" w:rightChars="0" w:firstLine="641" w:firstLineChars="0"/>
            <w:jc w:val="left"/>
            <w:textAlignment w:val="auto"/>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 HYPERLINK \l _Toc32093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z w:val="32"/>
              <w:szCs w:val="32"/>
              <w:highlight w:val="none"/>
              <w14:textFill>
                <w14:solidFill>
                  <w14:schemeClr w14:val="tx1"/>
                </w14:solidFill>
              </w14:textFill>
            </w:rPr>
            <w:t>第三部分  采购需求</w:t>
          </w:r>
          <w:r>
            <w:rPr>
              <w:rFonts w:hint="eastAsia" w:ascii="宋体" w:hAnsi="宋体" w:eastAsia="宋体" w:cs="宋体"/>
              <w:b/>
              <w:bCs/>
              <w:color w:val="000000" w:themeColor="text1"/>
              <w:sz w:val="32"/>
              <w:szCs w:val="32"/>
              <w:highlight w:val="none"/>
              <w14:textFill>
                <w14:solidFill>
                  <w14:schemeClr w14:val="tx1"/>
                </w14:solidFill>
              </w14:textFill>
            </w:rPr>
            <w:fldChar w:fldCharType="end"/>
          </w:r>
          <w:r>
            <w:rPr>
              <w:rFonts w:hint="eastAsia" w:ascii="宋体" w:hAnsi="宋体" w:eastAsia="宋体" w:cs="宋体"/>
              <w:b/>
              <w:bCs/>
              <w:color w:val="000000" w:themeColor="text1"/>
              <w:sz w:val="32"/>
              <w:szCs w:val="32"/>
              <w:highlight w:val="none"/>
              <w14:textFill>
                <w14:solidFill>
                  <w14:schemeClr w14:val="tx1"/>
                </w14:solidFill>
              </w14:textFill>
            </w:rPr>
            <w:tab/>
          </w:r>
          <w:r>
            <w:rPr>
              <w:rFonts w:hint="eastAsia" w:ascii="宋体" w:hAnsi="宋体" w:cs="宋体"/>
              <w:b/>
              <w:bCs/>
              <w:color w:val="000000" w:themeColor="text1"/>
              <w:sz w:val="32"/>
              <w:szCs w:val="32"/>
              <w:highlight w:val="none"/>
              <w:lang w:val="en-US" w:eastAsia="zh-CN"/>
              <w14:textFill>
                <w14:solidFill>
                  <w14:schemeClr w14:val="tx1"/>
                </w14:solidFill>
              </w14:textFill>
            </w:rPr>
            <w:t>19</w:t>
          </w:r>
        </w:p>
        <w:p>
          <w:pPr>
            <w:pStyle w:val="27"/>
            <w:keepNext w:val="0"/>
            <w:keepLines w:val="0"/>
            <w:pageBreakBefore w:val="0"/>
            <w:widowControl w:val="0"/>
            <w:shd w:val="clear" w:fill="FFFFFF" w:themeFill="background1"/>
            <w:tabs>
              <w:tab w:val="right" w:leader="dot" w:pos="8306"/>
            </w:tabs>
            <w:kinsoku/>
            <w:wordWrap/>
            <w:overflowPunct/>
            <w:topLinePunct w:val="0"/>
            <w:autoSpaceDE/>
            <w:autoSpaceDN/>
            <w:bidi w:val="0"/>
            <w:adjustRightInd/>
            <w:snapToGrid/>
            <w:spacing w:line="240" w:lineRule="auto"/>
            <w:ind w:left="0" w:leftChars="0" w:right="0" w:rightChars="0" w:firstLine="640" w:firstLineChars="0"/>
            <w:jc w:val="left"/>
            <w:textAlignment w:val="auto"/>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 HYPERLINK \l _Toc5762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pacing w:val="-6"/>
              <w:sz w:val="32"/>
              <w:szCs w:val="32"/>
              <w:highlight w:val="none"/>
              <w14:textFill>
                <w14:solidFill>
                  <w14:schemeClr w14:val="tx1"/>
                </w14:solidFill>
              </w14:textFill>
            </w:rPr>
            <w:t>第四部分  评分办法及评分标准</w:t>
          </w:r>
          <w:r>
            <w:rPr>
              <w:rFonts w:hint="eastAsia" w:ascii="宋体" w:hAnsi="宋体" w:eastAsia="宋体" w:cs="宋体"/>
              <w:b/>
              <w:bCs/>
              <w:color w:val="000000" w:themeColor="text1"/>
              <w:sz w:val="32"/>
              <w:szCs w:val="32"/>
              <w:highlight w:val="none"/>
              <w14:textFill>
                <w14:solidFill>
                  <w14:schemeClr w14:val="tx1"/>
                </w14:solidFill>
              </w14:textFill>
            </w:rPr>
            <w:fldChar w:fldCharType="end"/>
          </w:r>
          <w:r>
            <w:rPr>
              <w:rFonts w:hint="eastAsia" w:ascii="宋体" w:hAnsi="宋体" w:eastAsia="宋体" w:cs="宋体"/>
              <w:b/>
              <w:bCs/>
              <w:color w:val="000000" w:themeColor="text1"/>
              <w:sz w:val="32"/>
              <w:szCs w:val="32"/>
              <w:highlight w:val="none"/>
              <w14:textFill>
                <w14:solidFill>
                  <w14:schemeClr w14:val="tx1"/>
                </w14:solidFill>
              </w14:textFill>
            </w:rPr>
            <w:tab/>
          </w:r>
          <w:r>
            <w:rPr>
              <w:rFonts w:hint="eastAsia" w:ascii="宋体" w:hAnsi="宋体" w:cs="宋体"/>
              <w:b/>
              <w:bCs/>
              <w:color w:val="000000" w:themeColor="text1"/>
              <w:sz w:val="32"/>
              <w:szCs w:val="32"/>
              <w:highlight w:val="none"/>
              <w:lang w:val="en-US" w:eastAsia="zh-CN"/>
              <w14:textFill>
                <w14:solidFill>
                  <w14:schemeClr w14:val="tx1"/>
                </w14:solidFill>
              </w14:textFill>
            </w:rPr>
            <w:t>25</w:t>
          </w:r>
        </w:p>
        <w:p>
          <w:pPr>
            <w:pStyle w:val="27"/>
            <w:keepNext w:val="0"/>
            <w:keepLines w:val="0"/>
            <w:pageBreakBefore w:val="0"/>
            <w:widowControl w:val="0"/>
            <w:shd w:val="clear" w:fill="FFFFFF" w:themeFill="background1"/>
            <w:tabs>
              <w:tab w:val="right" w:leader="dot" w:pos="8306"/>
            </w:tabs>
            <w:kinsoku/>
            <w:wordWrap/>
            <w:overflowPunct/>
            <w:topLinePunct w:val="0"/>
            <w:autoSpaceDE/>
            <w:autoSpaceDN/>
            <w:bidi w:val="0"/>
            <w:adjustRightInd/>
            <w:snapToGrid/>
            <w:spacing w:line="240" w:lineRule="auto"/>
            <w:ind w:left="0" w:leftChars="0" w:right="0" w:rightChars="0" w:firstLine="640" w:firstLineChars="0"/>
            <w:jc w:val="left"/>
            <w:textAlignment w:val="auto"/>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 HYPERLINK \l _Toc31754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z w:val="32"/>
              <w:szCs w:val="32"/>
              <w:highlight w:val="none"/>
              <w14:textFill>
                <w14:solidFill>
                  <w14:schemeClr w14:val="tx1"/>
                </w14:solidFill>
              </w14:textFill>
            </w:rPr>
            <w:t>第五部分  合同主要条款</w:t>
          </w:r>
          <w:r>
            <w:rPr>
              <w:rFonts w:hint="eastAsia" w:ascii="宋体" w:hAnsi="宋体" w:eastAsia="宋体" w:cs="宋体"/>
              <w:b/>
              <w:bCs/>
              <w:color w:val="000000" w:themeColor="text1"/>
              <w:sz w:val="32"/>
              <w:szCs w:val="32"/>
              <w:highlight w:val="none"/>
              <w14:textFill>
                <w14:solidFill>
                  <w14:schemeClr w14:val="tx1"/>
                </w14:solidFill>
              </w14:textFill>
            </w:rPr>
            <w:fldChar w:fldCharType="end"/>
          </w:r>
          <w:r>
            <w:rPr>
              <w:rFonts w:hint="eastAsia" w:ascii="宋体" w:hAnsi="宋体" w:eastAsia="宋体" w:cs="宋体"/>
              <w:b/>
              <w:bCs/>
              <w:color w:val="000000" w:themeColor="text1"/>
              <w:sz w:val="32"/>
              <w:szCs w:val="32"/>
              <w:highlight w:val="none"/>
              <w14:textFill>
                <w14:solidFill>
                  <w14:schemeClr w14:val="tx1"/>
                </w14:solidFill>
              </w14:textFill>
            </w:rPr>
            <w:tab/>
          </w:r>
          <w:r>
            <w:rPr>
              <w:rFonts w:hint="eastAsia" w:ascii="宋体" w:hAnsi="宋体" w:cs="宋体"/>
              <w:b/>
              <w:bCs/>
              <w:color w:val="000000" w:themeColor="text1"/>
              <w:sz w:val="32"/>
              <w:szCs w:val="32"/>
              <w:highlight w:val="none"/>
              <w:lang w:val="en-US" w:eastAsia="zh-CN"/>
              <w14:textFill>
                <w14:solidFill>
                  <w14:schemeClr w14:val="tx1"/>
                </w14:solidFill>
              </w14:textFill>
            </w:rPr>
            <w:t>29</w:t>
          </w:r>
        </w:p>
        <w:p>
          <w:pPr>
            <w:pStyle w:val="27"/>
            <w:keepNext w:val="0"/>
            <w:keepLines w:val="0"/>
            <w:pageBreakBefore w:val="0"/>
            <w:widowControl w:val="0"/>
            <w:shd w:val="clear" w:fill="FFFFFF" w:themeFill="background1"/>
            <w:tabs>
              <w:tab w:val="right" w:leader="dot" w:pos="8306"/>
            </w:tabs>
            <w:kinsoku/>
            <w:wordWrap/>
            <w:overflowPunct/>
            <w:topLinePunct w:val="0"/>
            <w:autoSpaceDE/>
            <w:autoSpaceDN/>
            <w:bidi w:val="0"/>
            <w:adjustRightInd/>
            <w:snapToGrid/>
            <w:spacing w:line="240" w:lineRule="auto"/>
            <w:ind w:left="0" w:leftChars="0" w:right="0" w:rightChars="0" w:firstLine="640" w:firstLineChars="0"/>
            <w:jc w:val="left"/>
            <w:textAlignment w:val="auto"/>
            <w:outlineLvl w:val="9"/>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fldChar w:fldCharType="begin"/>
          </w:r>
          <w:r>
            <w:rPr>
              <w:rFonts w:hint="eastAsia" w:ascii="宋体" w:hAnsi="宋体" w:eastAsia="宋体" w:cs="宋体"/>
              <w:b/>
              <w:bCs/>
              <w:color w:val="000000" w:themeColor="text1"/>
              <w:sz w:val="32"/>
              <w:szCs w:val="32"/>
              <w:highlight w:val="none"/>
              <w14:textFill>
                <w14:solidFill>
                  <w14:schemeClr w14:val="tx1"/>
                </w14:solidFill>
              </w14:textFill>
            </w:rPr>
            <w:instrText xml:space="preserve"> HYPERLINK \l _Toc28239 </w:instrText>
          </w:r>
          <w:r>
            <w:rPr>
              <w:rFonts w:hint="eastAsia" w:ascii="宋体" w:hAnsi="宋体" w:eastAsia="宋体" w:cs="宋体"/>
              <w:b/>
              <w:bCs/>
              <w:color w:val="000000" w:themeColor="text1"/>
              <w:sz w:val="32"/>
              <w:szCs w:val="32"/>
              <w:highlight w:val="none"/>
              <w14:textFill>
                <w14:solidFill>
                  <w14:schemeClr w14:val="tx1"/>
                </w14:solidFill>
              </w14:textFill>
            </w:rPr>
            <w:fldChar w:fldCharType="separate"/>
          </w:r>
          <w:r>
            <w:rPr>
              <w:rFonts w:hint="eastAsia" w:ascii="宋体" w:hAnsi="宋体" w:eastAsia="宋体" w:cs="宋体"/>
              <w:b/>
              <w:bCs/>
              <w:color w:val="000000" w:themeColor="text1"/>
              <w:sz w:val="32"/>
              <w:szCs w:val="32"/>
              <w:highlight w:val="none"/>
              <w14:textFill>
                <w14:solidFill>
                  <w14:schemeClr w14:val="tx1"/>
                </w14:solidFill>
              </w14:textFill>
            </w:rPr>
            <w:t>第六部分  投标文件格式</w:t>
          </w:r>
          <w:r>
            <w:rPr>
              <w:rFonts w:hint="eastAsia" w:ascii="宋体" w:hAnsi="宋体" w:eastAsia="宋体" w:cs="宋体"/>
              <w:b/>
              <w:bCs/>
              <w:color w:val="000000" w:themeColor="text1"/>
              <w:sz w:val="32"/>
              <w:szCs w:val="32"/>
              <w:highlight w:val="none"/>
              <w14:textFill>
                <w14:solidFill>
                  <w14:schemeClr w14:val="tx1"/>
                </w14:solidFill>
              </w14:textFill>
            </w:rPr>
            <w:fldChar w:fldCharType="end"/>
          </w:r>
          <w:r>
            <w:rPr>
              <w:rFonts w:hint="eastAsia" w:ascii="宋体" w:hAnsi="宋体" w:eastAsia="宋体" w:cs="宋体"/>
              <w:b/>
              <w:bCs/>
              <w:color w:val="000000" w:themeColor="text1"/>
              <w:sz w:val="32"/>
              <w:szCs w:val="32"/>
              <w:highlight w:val="none"/>
              <w14:textFill>
                <w14:solidFill>
                  <w14:schemeClr w14:val="tx1"/>
                </w14:solidFill>
              </w14:textFill>
            </w:rPr>
            <w:tab/>
          </w:r>
          <w:r>
            <w:rPr>
              <w:rFonts w:hint="eastAsia" w:ascii="宋体" w:hAnsi="宋体" w:cs="宋体"/>
              <w:b/>
              <w:bCs/>
              <w:color w:val="000000" w:themeColor="text1"/>
              <w:sz w:val="32"/>
              <w:szCs w:val="32"/>
              <w:highlight w:val="none"/>
              <w:lang w:val="en-US" w:eastAsia="zh-CN"/>
              <w14:textFill>
                <w14:solidFill>
                  <w14:schemeClr w14:val="tx1"/>
                </w14:solidFill>
              </w14:textFill>
            </w:rPr>
            <w:t>40</w:t>
          </w:r>
        </w:p>
        <w:p>
          <w:pPr>
            <w:pStyle w:val="27"/>
            <w:shd w:val="clear" w:fill="FFFFFF" w:themeFill="background1"/>
            <w:tabs>
              <w:tab w:val="right" w:leader="dot" w:pos="8306"/>
            </w:tabs>
            <w:spacing w:line="240" w:lineRule="auto"/>
            <w:rPr>
              <w:rFonts w:hint="eastAsia" w:ascii="宋体" w:hAnsi="宋体" w:eastAsia="宋体" w:cs="宋体"/>
              <w:color w:val="000000" w:themeColor="text1"/>
              <w:sz w:val="32"/>
              <w:szCs w:val="32"/>
              <w:highlight w:val="none"/>
              <w14:textFill>
                <w14:solidFill>
                  <w14:schemeClr w14:val="tx1"/>
                </w14:solidFill>
              </w14:textFill>
            </w:rPr>
          </w:pPr>
        </w:p>
        <w:p>
          <w:pPr>
            <w:shd w:val="clear" w:fill="FFFFFF" w:themeFill="background1"/>
            <w:snapToGrid w:val="0"/>
            <w:spacing w:line="24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fldChar w:fldCharType="end"/>
          </w:r>
        </w:p>
      </w:sdtContent>
    </w:sdt>
    <w:p>
      <w:pPr>
        <w:pStyle w:val="19"/>
        <w:snapToGrid w:val="0"/>
        <w:spacing w:beforeLines="0" w:afterLines="0" w:line="360" w:lineRule="exact"/>
        <w:jc w:val="center"/>
        <w:outlineLvl w:val="9"/>
        <w:rPr>
          <w:rFonts w:hint="eastAsia" w:ascii="宋体" w:hAnsi="宋体" w:eastAsia="宋体" w:cs="宋体"/>
          <w:b/>
          <w:color w:val="000000" w:themeColor="text1"/>
          <w:spacing w:val="-6"/>
          <w:sz w:val="24"/>
          <w:szCs w:val="24"/>
          <w:highlight w:val="none"/>
          <w14:textFill>
            <w14:solidFill>
              <w14:schemeClr w14:val="tx1"/>
            </w14:solidFill>
          </w14:textFill>
        </w:rPr>
      </w:pPr>
    </w:p>
    <w:p>
      <w:pPr>
        <w:spacing w:beforeLines="0" w:afterLines="0" w:line="360" w:lineRule="exact"/>
        <w:rPr>
          <w:rFonts w:hint="eastAsia" w:ascii="宋体" w:hAnsi="宋体" w:eastAsia="宋体" w:cs="宋体"/>
          <w:b/>
          <w:color w:val="000000" w:themeColor="text1"/>
          <w:spacing w:val="-6"/>
          <w:sz w:val="24"/>
          <w:szCs w:val="24"/>
          <w:highlight w:val="none"/>
          <w14:textFill>
            <w14:solidFill>
              <w14:schemeClr w14:val="tx1"/>
            </w14:solidFill>
          </w14:textFill>
        </w:rPr>
      </w:pPr>
    </w:p>
    <w:p>
      <w:pPr>
        <w:tabs>
          <w:tab w:val="left" w:pos="5628"/>
        </w:tabs>
        <w:spacing w:beforeLines="0" w:afterLines="0" w:line="360" w:lineRule="exact"/>
        <w:jc w:val="left"/>
        <w:rPr>
          <w:rFonts w:hint="eastAsia" w:eastAsia="宋体"/>
          <w:color w:val="000000" w:themeColor="text1"/>
          <w:sz w:val="24"/>
          <w:highlight w:val="none"/>
          <w:lang w:eastAsia="zh-CN"/>
          <w14:textFill>
            <w14:solidFill>
              <w14:schemeClr w14:val="tx1"/>
            </w14:solidFill>
          </w14:textFill>
        </w:rPr>
        <w:sectPr>
          <w:footerReference r:id="rId6" w:type="firs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ascii="宋体" w:hAnsi="宋体" w:cs="宋体"/>
          <w:b/>
          <w:color w:val="000000" w:themeColor="text1"/>
          <w:spacing w:val="-6"/>
          <w:sz w:val="24"/>
          <w:szCs w:val="24"/>
          <w:highlight w:val="none"/>
          <w:lang w:eastAsia="zh-CN"/>
          <w14:textFill>
            <w14:solidFill>
              <w14:schemeClr w14:val="tx1"/>
            </w14:solidFill>
          </w14:textFill>
        </w:rPr>
        <w:tab/>
      </w:r>
    </w:p>
    <w:p>
      <w:pPr>
        <w:snapToGrid/>
        <w:spacing w:beforeLines="0" w:afterLines="0" w:line="288" w:lineRule="auto"/>
        <w:jc w:val="center"/>
        <w:outlineLvl w:val="9"/>
        <w:rPr>
          <w:rFonts w:hint="eastAsia" w:ascii="宋体" w:hAnsi="宋体" w:eastAsia="宋体" w:cs="宋体"/>
          <w:b/>
          <w:color w:val="000000" w:themeColor="text1"/>
          <w:sz w:val="32"/>
          <w:szCs w:val="32"/>
          <w:highlight w:val="none"/>
          <w14:textFill>
            <w14:solidFill>
              <w14:schemeClr w14:val="tx1"/>
            </w14:solidFill>
          </w14:textFill>
        </w:rPr>
      </w:pPr>
      <w:bookmarkStart w:id="0" w:name="_Toc5008"/>
      <w:r>
        <w:rPr>
          <w:rFonts w:hint="eastAsia" w:ascii="宋体" w:hAnsi="宋体" w:eastAsia="宋体" w:cs="宋体"/>
          <w:b/>
          <w:color w:val="000000" w:themeColor="text1"/>
          <w:spacing w:val="0"/>
          <w:sz w:val="32"/>
          <w:szCs w:val="32"/>
          <w:highlight w:val="none"/>
          <w14:textFill>
            <w14:solidFill>
              <w14:schemeClr w14:val="tx1"/>
            </w14:solidFill>
          </w14:textFill>
        </w:rPr>
        <w:t>第一部分  招标公告</w:t>
      </w:r>
      <w:bookmarkEnd w:id="0"/>
    </w:p>
    <w:tbl>
      <w:tblPr>
        <w:tblStyle w:val="40"/>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540" w:type="dxa"/>
            <w:vAlign w:val="center"/>
          </w:tcPr>
          <w:p>
            <w:pPr>
              <w:pStyle w:val="16"/>
              <w:keepNext w:val="0"/>
              <w:keepLines w:val="0"/>
              <w:pageBreakBefore w:val="0"/>
              <w:suppressLineNumbers w:val="0"/>
              <w:overflowPunct/>
              <w:topLinePunct w:val="0"/>
              <w:autoSpaceDE/>
              <w:autoSpaceDN/>
              <w:bidi w:val="0"/>
              <w:spacing w:before="0" w:beforeAutospacing="0" w:after="0" w:afterAutospacing="0" w:line="360" w:lineRule="exact"/>
              <w:ind w:left="0" w:leftChars="0" w:right="0" w:rightChars="0" w:firstLine="0"/>
              <w:jc w:val="left"/>
              <w:rPr>
                <w:rFonts w:hint="eastAsia" w:ascii="宋体" w:hAnsi="宋体" w:eastAsia="宋体" w:cs="宋体"/>
                <w:b/>
                <w:bCs/>
                <w:color w:val="000000" w:themeColor="text1"/>
                <w:sz w:val="24"/>
                <w:szCs w:val="24"/>
                <w:highlight w:val="none"/>
                <w:u w:val="single"/>
                <w14:textFill>
                  <w14:solidFill>
                    <w14:schemeClr w14:val="tx1"/>
                  </w14:solidFill>
                </w14:textFill>
              </w:rPr>
            </w:pPr>
            <w:bookmarkStart w:id="1" w:name="_Toc30575"/>
            <w:r>
              <w:rPr>
                <w:rFonts w:hint="eastAsia" w:ascii="宋体" w:hAnsi="宋体" w:eastAsia="宋体" w:cs="宋体"/>
                <w:b/>
                <w:color w:val="000000" w:themeColor="text1"/>
                <w:sz w:val="24"/>
                <w:szCs w:val="24"/>
                <w:highlight w:val="none"/>
                <w14:textFill>
                  <w14:solidFill>
                    <w14:schemeClr w14:val="tx1"/>
                  </w14:solidFill>
                </w14:textFill>
              </w:rPr>
              <w:t>项目概况</w:t>
            </w:r>
          </w:p>
          <w:p>
            <w:pPr>
              <w:pStyle w:val="16"/>
              <w:keepNext w:val="0"/>
              <w:keepLines w:val="0"/>
              <w:pageBreakBefore w:val="0"/>
              <w:suppressLineNumbers w:val="0"/>
              <w:overflowPunct/>
              <w:topLinePunct w:val="0"/>
              <w:autoSpaceDE/>
              <w:autoSpaceDN/>
              <w:bidi w:val="0"/>
              <w:spacing w:before="0" w:beforeAutospacing="0" w:after="0" w:afterAutospacing="0" w:line="360" w:lineRule="exact"/>
              <w:ind w:left="0" w:leftChars="0" w:right="0" w:rightChars="0" w:firstLine="0"/>
              <w:jc w:val="left"/>
              <w:rPr>
                <w:rFonts w:hint="eastAsia" w:ascii="宋体" w:hAnsi="宋体" w:eastAsia="宋体" w:cs="宋体"/>
                <w:b/>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w:t>
            </w:r>
            <w:r>
              <w:rPr>
                <w:rFonts w:hint="eastAsia" w:ascii="宋体" w:hAnsi="宋体" w:cs="宋体"/>
                <w:b/>
                <w:bCs/>
                <w:color w:val="000000" w:themeColor="text1"/>
                <w:sz w:val="24"/>
                <w:szCs w:val="24"/>
                <w:highlight w:val="none"/>
                <w:u w:val="single"/>
                <w:lang w:eastAsia="zh-CN"/>
                <w14:textFill>
                  <w14:solidFill>
                    <w14:schemeClr w14:val="tx1"/>
                  </w14:solidFill>
                </w14:textFill>
              </w:rPr>
              <w:t>义乌市消防救援支队2024年度消防器材装备（非信通装备类）采购项目</w:t>
            </w:r>
            <w:r>
              <w:rPr>
                <w:rFonts w:hint="eastAsia" w:ascii="宋体" w:hAnsi="宋体" w:eastAsia="宋体" w:cs="宋体"/>
                <w:color w:val="000000" w:themeColor="text1"/>
                <w:sz w:val="24"/>
                <w:szCs w:val="24"/>
                <w:highlight w:val="none"/>
                <w14:textFill>
                  <w14:solidFill>
                    <w14:schemeClr w14:val="tx1"/>
                  </w14:solidFill>
                </w14:textFill>
              </w:rPr>
              <w:t>的潜在投标人应在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招标代理处</w:t>
            </w:r>
            <w:r>
              <w:rPr>
                <w:rFonts w:hint="eastAsia" w:ascii="宋体" w:hAnsi="宋体" w:eastAsia="宋体" w:cs="宋体"/>
                <w:color w:val="000000" w:themeColor="text1"/>
                <w:sz w:val="24"/>
                <w:szCs w:val="24"/>
                <w:highlight w:val="none"/>
                <w14:textFill>
                  <w14:solidFill>
                    <w14:schemeClr w14:val="tx1"/>
                  </w14:solidFill>
                </w14:textFill>
              </w:rPr>
              <w:t>获取招标文件，并于</w:t>
            </w:r>
            <w:r>
              <w:rPr>
                <w:rFonts w:hint="eastAsia" w:ascii="宋体" w:hAnsi="宋体" w:eastAsia="宋体" w:cs="宋体"/>
                <w:b/>
                <w:color w:val="000000" w:themeColor="text1"/>
                <w:sz w:val="24"/>
                <w:szCs w:val="24"/>
                <w:highlight w:val="none"/>
                <w:u w:val="single"/>
                <w14:textFill>
                  <w14:solidFill>
                    <w14:schemeClr w14:val="tx1"/>
                  </w14:solidFill>
                </w14:textFill>
              </w:rPr>
              <w:t>202</w:t>
            </w:r>
            <w:r>
              <w:rPr>
                <w:rFonts w:hint="eastAsia" w:ascii="宋体" w:hAnsi="宋体" w:cs="宋体"/>
                <w:b/>
                <w:color w:val="000000" w:themeColor="text1"/>
                <w:sz w:val="24"/>
                <w:szCs w:val="24"/>
                <w:highlight w:val="none"/>
                <w:u w:val="single"/>
                <w:lang w:val="en-US" w:eastAsia="zh-CN"/>
                <w14:textFill>
                  <w14:solidFill>
                    <w14:schemeClr w14:val="tx1"/>
                  </w14:solidFill>
                </w14:textFill>
              </w:rPr>
              <w:t>4</w:t>
            </w:r>
            <w:r>
              <w:rPr>
                <w:rFonts w:hint="eastAsia" w:ascii="宋体" w:hAnsi="宋体" w:eastAsia="宋体" w:cs="宋体"/>
                <w:b/>
                <w:color w:val="000000" w:themeColor="text1"/>
                <w:sz w:val="24"/>
                <w:szCs w:val="24"/>
                <w:highlight w:val="none"/>
                <w:u w:val="single"/>
                <w14:textFill>
                  <w14:solidFill>
                    <w14:schemeClr w14:val="tx1"/>
                  </w14:solidFill>
                </w14:textFill>
              </w:rPr>
              <w:t>年</w:t>
            </w:r>
            <w:r>
              <w:rPr>
                <w:rFonts w:hint="eastAsia" w:ascii="宋体" w:hAnsi="宋体" w:cs="宋体"/>
                <w:b/>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color w:val="000000" w:themeColor="text1"/>
                <w:sz w:val="24"/>
                <w:szCs w:val="24"/>
                <w:highlight w:val="none"/>
                <w:u w:val="single"/>
                <w14:textFill>
                  <w14:solidFill>
                    <w14:schemeClr w14:val="tx1"/>
                  </w14:solidFill>
                </w14:textFill>
              </w:rPr>
              <w:t>月</w:t>
            </w:r>
            <w:r>
              <w:rPr>
                <w:rFonts w:hint="eastAsia" w:ascii="宋体" w:hAnsi="宋体" w:cs="宋体"/>
                <w:b/>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color w:val="000000" w:themeColor="text1"/>
                <w:sz w:val="24"/>
                <w:szCs w:val="24"/>
                <w:highlight w:val="none"/>
                <w:u w:val="single"/>
                <w14:textFill>
                  <w14:solidFill>
                    <w14:schemeClr w14:val="tx1"/>
                  </w14:solidFill>
                </w14:textFill>
              </w:rPr>
              <w:t>日</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0</w:t>
            </w:r>
            <w:r>
              <w:rPr>
                <w:rFonts w:hint="eastAsia" w:ascii="宋体" w:hAnsi="宋体" w:eastAsia="宋体" w:cs="宋体"/>
                <w:bCs/>
                <w:color w:val="000000" w:themeColor="text1"/>
                <w:sz w:val="24"/>
                <w:szCs w:val="24"/>
                <w:highlight w:val="none"/>
                <w14:textFill>
                  <w14:solidFill>
                    <w14:schemeClr w14:val="tx1"/>
                  </w14:solidFill>
                </w14:textFill>
              </w:rPr>
              <w:t>（北京时间）前递交投标文件。</w:t>
            </w:r>
          </w:p>
        </w:tc>
      </w:tr>
    </w:tbl>
    <w:p>
      <w:pPr>
        <w:pStyle w:val="16"/>
        <w:keepNext w:val="0"/>
        <w:keepLines w:val="0"/>
        <w:pageBreakBefore w:val="0"/>
        <w:overflowPunct/>
        <w:topLinePunct w:val="0"/>
        <w:autoSpaceDE/>
        <w:autoSpaceDN/>
        <w:bidi w:val="0"/>
        <w:spacing w:after="0" w:line="360" w:lineRule="exact"/>
        <w:ind w:left="0" w:leftChars="0" w:right="0" w:rightChars="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根据《中华人民共和国政府采购法》等有关规定，</w:t>
      </w:r>
      <w:r>
        <w:rPr>
          <w:rFonts w:hint="eastAsia" w:ascii="宋体" w:hAnsi="宋体" w:eastAsia="宋体" w:cs="宋体"/>
          <w:b/>
          <w:bCs/>
          <w:color w:val="000000" w:themeColor="text1"/>
          <w:sz w:val="24"/>
          <w:szCs w:val="24"/>
          <w:highlight w:val="none"/>
          <w:u w:val="single"/>
          <w:lang w:eastAsia="zh-CN"/>
          <w14:textFill>
            <w14:solidFill>
              <w14:schemeClr w14:val="tx1"/>
            </w14:solidFill>
          </w14:textFill>
        </w:rPr>
        <w:t>吉亿工程管理服务（诸暨）有限公司</w:t>
      </w:r>
      <w:r>
        <w:rPr>
          <w:rFonts w:hint="eastAsia" w:ascii="宋体" w:hAnsi="宋体" w:eastAsia="宋体" w:cs="宋体"/>
          <w:color w:val="000000" w:themeColor="text1"/>
          <w:sz w:val="24"/>
          <w:szCs w:val="24"/>
          <w:highlight w:val="none"/>
          <w14:textFill>
            <w14:solidFill>
              <w14:schemeClr w14:val="tx1"/>
            </w14:solidFill>
          </w14:textFill>
        </w:rPr>
        <w:t>受</w:t>
      </w:r>
      <w:r>
        <w:rPr>
          <w:rFonts w:hint="eastAsia" w:ascii="宋体" w:hAnsi="宋体" w:cs="宋体"/>
          <w:b/>
          <w:bCs/>
          <w:color w:val="000000" w:themeColor="text1"/>
          <w:sz w:val="24"/>
          <w:szCs w:val="24"/>
          <w:highlight w:val="none"/>
          <w:u w:val="single"/>
          <w:lang w:eastAsia="zh-CN"/>
          <w14:textFill>
            <w14:solidFill>
              <w14:schemeClr w14:val="tx1"/>
            </w14:solidFill>
          </w14:textFill>
        </w:rPr>
        <w:t>义乌市消防救援支</w:t>
      </w:r>
      <w:r>
        <w:rPr>
          <w:rFonts w:hint="eastAsia" w:ascii="宋体" w:hAnsi="宋体" w:eastAsia="宋体" w:cs="宋体"/>
          <w:b/>
          <w:bCs/>
          <w:color w:val="000000" w:themeColor="text1"/>
          <w:sz w:val="24"/>
          <w:szCs w:val="24"/>
          <w:highlight w:val="none"/>
          <w:u w:val="single"/>
          <w14:textFill>
            <w14:solidFill>
              <w14:schemeClr w14:val="tx1"/>
            </w14:solidFill>
          </w14:textFill>
        </w:rPr>
        <w:t>队</w:t>
      </w:r>
      <w:r>
        <w:rPr>
          <w:rFonts w:hint="eastAsia" w:ascii="宋体" w:hAnsi="宋体" w:eastAsia="宋体" w:cs="宋体"/>
          <w:color w:val="000000" w:themeColor="text1"/>
          <w:sz w:val="24"/>
          <w:szCs w:val="24"/>
          <w:highlight w:val="none"/>
          <w14:textFill>
            <w14:solidFill>
              <w14:schemeClr w14:val="tx1"/>
            </w14:solidFill>
          </w14:textFill>
        </w:rPr>
        <w:t>委托，就</w:t>
      </w:r>
      <w:r>
        <w:rPr>
          <w:rFonts w:hint="eastAsia" w:ascii="宋体" w:hAnsi="宋体" w:cs="宋体"/>
          <w:b/>
          <w:bCs/>
          <w:color w:val="000000" w:themeColor="text1"/>
          <w:sz w:val="24"/>
          <w:szCs w:val="24"/>
          <w:highlight w:val="none"/>
          <w:u w:val="single"/>
          <w:lang w:eastAsia="zh-CN"/>
          <w14:textFill>
            <w14:solidFill>
              <w14:schemeClr w14:val="tx1"/>
            </w14:solidFill>
          </w14:textFill>
        </w:rPr>
        <w:t>义乌市消防救援支队2024年度消防器材装备（非信通装备类）采购项目</w:t>
      </w:r>
      <w:r>
        <w:rPr>
          <w:rFonts w:hint="eastAsia" w:ascii="宋体" w:hAnsi="宋体" w:eastAsia="宋体" w:cs="宋体"/>
          <w:color w:val="000000" w:themeColor="text1"/>
          <w:sz w:val="24"/>
          <w:szCs w:val="24"/>
          <w:highlight w:val="none"/>
          <w14:textFill>
            <w14:solidFill>
              <w14:schemeClr w14:val="tx1"/>
            </w14:solidFill>
          </w14:textFill>
        </w:rPr>
        <w:t>进行公开招标，欢迎国内合格的供应商前来投标。</w:t>
      </w:r>
    </w:p>
    <w:p>
      <w:pPr>
        <w:keepNext w:val="0"/>
        <w:keepLines w:val="0"/>
        <w:pageBreakBefore w:val="0"/>
        <w:widowControl/>
        <w:overflowPunct/>
        <w:topLinePunct w:val="0"/>
        <w:autoSpaceDE/>
        <w:autoSpaceDN/>
        <w:bidi w:val="0"/>
        <w:spacing w:line="360" w:lineRule="exact"/>
        <w:ind w:left="0" w:leftChars="0" w:right="0" w:rightChars="0"/>
        <w:jc w:val="lef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一、项目基本情况</w:t>
      </w:r>
    </w:p>
    <w:p>
      <w:pPr>
        <w:keepNext w:val="0"/>
        <w:keepLines w:val="0"/>
        <w:pageBreakBefore w:val="0"/>
        <w:widowControl/>
        <w:overflowPunct/>
        <w:topLinePunct w:val="0"/>
        <w:autoSpaceDE/>
        <w:autoSpaceDN/>
        <w:bidi w:val="0"/>
        <w:spacing w:line="360" w:lineRule="exact"/>
        <w:ind w:left="0" w:leftChars="0" w:right="0" w:rightChars="0" w:firstLine="482" w:firstLineChars="200"/>
        <w:jc w:val="left"/>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项目编号：</w:t>
      </w:r>
      <w:r>
        <w:rPr>
          <w:rFonts w:hint="eastAsia" w:ascii="宋体" w:hAnsi="宋体" w:cs="宋体"/>
          <w:bCs/>
          <w:color w:val="000000" w:themeColor="text1"/>
          <w:sz w:val="24"/>
          <w:szCs w:val="24"/>
          <w:highlight w:val="none"/>
          <w:lang w:val="en-US" w:eastAsia="zh-CN"/>
          <w14:textFill>
            <w14:solidFill>
              <w14:schemeClr w14:val="tx1"/>
            </w14:solidFill>
          </w14:textFill>
        </w:rPr>
        <w:t xml:space="preserve">JY2024-YW-1008 </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overflowPunct/>
        <w:topLinePunct w:val="0"/>
        <w:autoSpaceDE/>
        <w:autoSpaceDN/>
        <w:bidi w:val="0"/>
        <w:spacing w:line="360" w:lineRule="exact"/>
        <w:ind w:left="0" w:leftChars="0" w:right="0" w:rightChars="0" w:firstLine="482" w:firstLineChars="200"/>
        <w:jc w:val="left"/>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项目名称：</w:t>
      </w:r>
      <w:r>
        <w:rPr>
          <w:rFonts w:hint="eastAsia" w:ascii="宋体" w:hAnsi="宋体" w:cs="宋体"/>
          <w:bCs/>
          <w:color w:val="000000" w:themeColor="text1"/>
          <w:sz w:val="24"/>
          <w:szCs w:val="24"/>
          <w:highlight w:val="none"/>
          <w:lang w:eastAsia="zh-CN"/>
          <w14:textFill>
            <w14:solidFill>
              <w14:schemeClr w14:val="tx1"/>
            </w14:solidFill>
          </w14:textFill>
        </w:rPr>
        <w:t>义乌市消防救援支队2024年度消防器材装备（非信通装备类）采购项目</w:t>
      </w:r>
    </w:p>
    <w:p>
      <w:pPr>
        <w:keepNext w:val="0"/>
        <w:keepLines w:val="0"/>
        <w:pageBreakBefore w:val="0"/>
        <w:widowControl/>
        <w:overflowPunct/>
        <w:topLinePunct w:val="0"/>
        <w:autoSpaceDE/>
        <w:autoSpaceDN/>
        <w:bidi w:val="0"/>
        <w:spacing w:line="360" w:lineRule="exact"/>
        <w:ind w:left="0" w:leftChars="0" w:right="0" w:rightChars="0" w:firstLine="482" w:firstLineChars="200"/>
        <w:jc w:val="left"/>
        <w:rPr>
          <w:rFonts w:hint="eastAsia" w:ascii="宋体" w:hAnsi="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采购总预算</w:t>
      </w:r>
      <w:r>
        <w:rPr>
          <w:rFonts w:hint="eastAsia" w:ascii="宋体" w:hAnsi="宋体" w:cs="宋体"/>
          <w:bCs/>
          <w:color w:val="000000" w:themeColor="text1"/>
          <w:sz w:val="24"/>
          <w:szCs w:val="24"/>
          <w:highlight w:val="none"/>
          <w:lang w:val="en-US" w:eastAsia="zh-CN"/>
          <w14:textFill>
            <w14:solidFill>
              <w14:schemeClr w14:val="tx1"/>
            </w14:solidFill>
          </w14:textFill>
        </w:rPr>
        <w:t>：</w:t>
      </w:r>
      <w:bookmarkStart w:id="72" w:name="_GoBack"/>
      <w:r>
        <w:rPr>
          <w:rFonts w:hint="eastAsia" w:ascii="宋体" w:hAnsi="宋体" w:cs="宋体"/>
          <w:bCs/>
          <w:color w:val="000000" w:themeColor="text1"/>
          <w:sz w:val="24"/>
          <w:szCs w:val="24"/>
          <w:highlight w:val="none"/>
          <w:lang w:val="en-US" w:eastAsia="zh-CN"/>
          <w14:textFill>
            <w14:solidFill>
              <w14:schemeClr w14:val="tx1"/>
            </w14:solidFill>
          </w14:textFill>
        </w:rPr>
        <w:t>458.275</w:t>
      </w:r>
      <w:bookmarkEnd w:id="72"/>
      <w:r>
        <w:rPr>
          <w:rFonts w:hint="eastAsia" w:ascii="宋体" w:hAnsi="宋体" w:cs="宋体"/>
          <w:bCs/>
          <w:color w:val="000000" w:themeColor="text1"/>
          <w:sz w:val="24"/>
          <w:szCs w:val="24"/>
          <w:highlight w:val="none"/>
          <w:lang w:val="en-US" w:eastAsia="zh-CN"/>
          <w14:textFill>
            <w14:solidFill>
              <w14:schemeClr w14:val="tx1"/>
            </w14:solidFill>
          </w14:textFill>
        </w:rPr>
        <w:t>万元</w:t>
      </w:r>
    </w:p>
    <w:p>
      <w:pPr>
        <w:keepNext w:val="0"/>
        <w:keepLines w:val="0"/>
        <w:pageBreakBefore w:val="0"/>
        <w:widowControl/>
        <w:overflowPunct/>
        <w:topLinePunct w:val="0"/>
        <w:autoSpaceDE/>
        <w:autoSpaceDN/>
        <w:bidi w:val="0"/>
        <w:spacing w:line="360" w:lineRule="exact"/>
        <w:ind w:left="0" w:leftChars="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本项目共分</w:t>
      </w:r>
      <w:r>
        <w:rPr>
          <w:rFonts w:hint="eastAsia" w:ascii="宋体" w:hAnsi="宋体" w:cs="宋体"/>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个标项，</w:t>
      </w:r>
      <w:r>
        <w:rPr>
          <w:rFonts w:hint="eastAsia" w:ascii="宋体" w:hAnsi="宋体" w:eastAsia="宋体" w:cs="宋体"/>
          <w:color w:val="000000" w:themeColor="text1"/>
          <w:sz w:val="24"/>
          <w:szCs w:val="24"/>
          <w:highlight w:val="none"/>
          <w14:textFill>
            <w14:solidFill>
              <w14:schemeClr w14:val="tx1"/>
            </w14:solidFill>
          </w14:textFill>
        </w:rPr>
        <w:t>投标人可对一个或多个标项进行选择性投标</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各标项</w:t>
      </w:r>
      <w:r>
        <w:rPr>
          <w:rFonts w:hint="eastAsia" w:ascii="宋体" w:hAnsi="宋体" w:cs="宋体"/>
          <w:b/>
          <w:bCs/>
          <w:color w:val="000000" w:themeColor="text1"/>
          <w:sz w:val="24"/>
          <w:szCs w:val="24"/>
          <w:highlight w:val="none"/>
          <w:lang w:val="en-US" w:eastAsia="zh-CN"/>
          <w14:textFill>
            <w14:solidFill>
              <w14:schemeClr w14:val="tx1"/>
            </w14:solidFill>
          </w14:textFill>
        </w:rPr>
        <w:t>最高限价（或采购预算）</w:t>
      </w:r>
      <w:r>
        <w:rPr>
          <w:rFonts w:hint="eastAsia" w:ascii="宋体" w:hAnsi="宋体" w:eastAsia="宋体" w:cs="宋体"/>
          <w:color w:val="000000" w:themeColor="text1"/>
          <w:sz w:val="24"/>
          <w:szCs w:val="24"/>
          <w:highlight w:val="none"/>
          <w14:textFill>
            <w14:solidFill>
              <w14:schemeClr w14:val="tx1"/>
            </w14:solidFill>
          </w14:textFill>
        </w:rPr>
        <w:t>具体如下</w:t>
      </w:r>
      <w:r>
        <w:rPr>
          <w:rFonts w:hint="eastAsia" w:ascii="宋体" w:hAnsi="宋体" w:eastAsia="宋体" w:cs="宋体"/>
          <w:color w:val="000000" w:themeColor="text1"/>
          <w:sz w:val="24"/>
          <w:szCs w:val="24"/>
          <w:highlight w:val="none"/>
          <w:shd w:val="clear" w:fill="FFFFFF" w:themeFill="background1"/>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fill="FFFFFF" w:themeFill="background1"/>
          <w:lang w:val="en-US" w:eastAsia="zh-CN"/>
          <w14:textFill>
            <w14:solidFill>
              <w14:schemeClr w14:val="tx1"/>
            </w14:solidFill>
          </w14:textFill>
        </w:rPr>
        <w:t>标‘</w:t>
      </w: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color w:val="000000" w:themeColor="text1"/>
          <w:sz w:val="24"/>
          <w:szCs w:val="24"/>
          <w:highlight w:val="none"/>
          <w:shd w:val="clear" w:fill="FFFFFF" w:themeFill="background1"/>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fill="FFFFFF" w:themeFill="background1"/>
          <w:lang w:val="en-US" w:eastAsia="zh-CN"/>
          <w14:textFill>
            <w14:solidFill>
              <w14:schemeClr w14:val="tx1"/>
            </w14:solidFill>
          </w14:textFill>
        </w:rPr>
        <w:t>为</w:t>
      </w:r>
      <w:r>
        <w:rPr>
          <w:rFonts w:hint="eastAsia" w:ascii="宋体" w:hAnsi="宋体" w:cs="宋体"/>
          <w:color w:val="000000" w:themeColor="text1"/>
          <w:sz w:val="24"/>
          <w:szCs w:val="24"/>
          <w:highlight w:val="none"/>
          <w:shd w:val="clear" w:fill="FFFFFF" w:themeFill="background1"/>
          <w:lang w:val="en-US" w:eastAsia="zh-CN"/>
          <w14:textFill>
            <w14:solidFill>
              <w14:schemeClr w14:val="tx1"/>
            </w14:solidFill>
          </w14:textFill>
        </w:rPr>
        <w:t>标项</w:t>
      </w:r>
      <w:r>
        <w:rPr>
          <w:rFonts w:hint="eastAsia" w:ascii="宋体" w:hAnsi="宋体" w:eastAsia="宋体" w:cs="宋体"/>
          <w:color w:val="000000" w:themeColor="text1"/>
          <w:sz w:val="24"/>
          <w:szCs w:val="24"/>
          <w:highlight w:val="none"/>
          <w:shd w:val="clear" w:fill="FFFFFF" w:themeFill="background1"/>
          <w:lang w:val="en-US" w:eastAsia="zh-CN"/>
          <w14:textFill>
            <w14:solidFill>
              <w14:schemeClr w14:val="tx1"/>
            </w14:solidFill>
          </w14:textFill>
        </w:rPr>
        <w:t>核心产品）</w:t>
      </w:r>
      <w:r>
        <w:rPr>
          <w:rFonts w:hint="eastAsia" w:ascii="宋体" w:hAnsi="宋体" w:eastAsia="宋体" w:cs="宋体"/>
          <w:color w:val="000000" w:themeColor="text1"/>
          <w:sz w:val="24"/>
          <w:szCs w:val="24"/>
          <w:highlight w:val="none"/>
          <w:shd w:val="clear" w:fill="FFFFFF" w:themeFill="background1"/>
          <w:lang w:eastAsia="zh-CN"/>
          <w14:textFill>
            <w14:solidFill>
              <w14:schemeClr w14:val="tx1"/>
            </w14:solidFill>
          </w14:textFill>
        </w:rPr>
        <w:t>：</w:t>
      </w:r>
    </w:p>
    <w:tbl>
      <w:tblPr>
        <w:tblStyle w:val="40"/>
        <w:tblW w:w="87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91"/>
        <w:gridCol w:w="1356"/>
        <w:gridCol w:w="1957"/>
        <w:gridCol w:w="650"/>
        <w:gridCol w:w="497"/>
        <w:gridCol w:w="994"/>
        <w:gridCol w:w="1022"/>
        <w:gridCol w:w="975"/>
        <w:gridCol w:w="7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8"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z w:val="24"/>
                <w:szCs w:val="24"/>
                <w:u w:val="none"/>
              </w:rPr>
            </w:pPr>
            <w:r>
              <w:rPr>
                <w:rFonts w:hint="eastAsia" w:ascii="宋体" w:hAnsi="宋体" w:eastAsia="宋体" w:cs="宋体"/>
                <w:b w:val="0"/>
                <w:bCs/>
                <w:i w:val="0"/>
                <w:color w:val="000000"/>
                <w:kern w:val="0"/>
                <w:sz w:val="24"/>
                <w:szCs w:val="24"/>
                <w:u w:val="none"/>
                <w:lang w:val="en-US" w:eastAsia="zh-CN" w:bidi="ar"/>
              </w:rPr>
              <w:t>标项</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z w:val="24"/>
                <w:szCs w:val="24"/>
                <w:u w:val="none"/>
              </w:rPr>
            </w:pPr>
            <w:r>
              <w:rPr>
                <w:rFonts w:hint="eastAsia" w:ascii="宋体" w:hAnsi="宋体" w:eastAsia="宋体" w:cs="宋体"/>
                <w:b w:val="0"/>
                <w:bCs/>
                <w:i w:val="0"/>
                <w:color w:val="000000"/>
                <w:kern w:val="0"/>
                <w:sz w:val="24"/>
                <w:szCs w:val="24"/>
                <w:u w:val="none"/>
                <w:lang w:val="en-US" w:eastAsia="zh-CN" w:bidi="ar"/>
              </w:rPr>
              <w:t>标项名称</w:t>
            </w:r>
          </w:p>
        </w:tc>
        <w:tc>
          <w:tcPr>
            <w:tcW w:w="1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z w:val="24"/>
                <w:szCs w:val="24"/>
                <w:u w:val="none"/>
              </w:rPr>
            </w:pPr>
            <w:r>
              <w:rPr>
                <w:rFonts w:hint="eastAsia" w:ascii="宋体" w:hAnsi="宋体" w:eastAsia="宋体" w:cs="宋体"/>
                <w:b w:val="0"/>
                <w:bCs/>
                <w:i w:val="0"/>
                <w:color w:val="000000"/>
                <w:kern w:val="0"/>
                <w:sz w:val="24"/>
                <w:szCs w:val="24"/>
                <w:u w:val="none"/>
                <w:lang w:val="en-US" w:eastAsia="zh-CN" w:bidi="ar"/>
              </w:rPr>
              <w:t>标的物名称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单位</w:t>
            </w: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数量</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单价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最高限价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color w:val="000000"/>
                <w:sz w:val="24"/>
                <w:szCs w:val="24"/>
                <w:u w:val="none"/>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（万元）</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分项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最高限价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color w:val="000000"/>
                <w:sz w:val="24"/>
                <w:szCs w:val="24"/>
                <w:u w:val="none"/>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（万元）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标项合计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最高限价（万元）</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具体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采购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iCs w:val="0"/>
                <w:color w:val="000000" w:themeColor="text1"/>
                <w:spacing w:val="-20"/>
                <w:kern w:val="0"/>
                <w:sz w:val="24"/>
                <w:szCs w:val="24"/>
                <w:highlight w:val="none"/>
                <w:u w:val="none"/>
                <w:lang w:val="en-US" w:eastAsia="zh-CN" w:bidi="ar"/>
                <w14:textFill>
                  <w14:solidFill>
                    <w14:schemeClr w14:val="tx1"/>
                  </w14:solidFill>
                </w14:textFill>
              </w:rPr>
              <w:t>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54" w:hRule="atLeast"/>
        </w:trPr>
        <w:tc>
          <w:tcPr>
            <w:tcW w:w="49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1</w:t>
            </w:r>
          </w:p>
        </w:tc>
        <w:tc>
          <w:tcPr>
            <w:tcW w:w="135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特种防护</w:t>
            </w:r>
          </w:p>
        </w:tc>
        <w:tc>
          <w:tcPr>
            <w:tcW w:w="195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降温背心</w:t>
            </w:r>
          </w:p>
        </w:tc>
        <w:tc>
          <w:tcPr>
            <w:tcW w:w="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件</w:t>
            </w:r>
          </w:p>
        </w:tc>
        <w:tc>
          <w:tcPr>
            <w:tcW w:w="49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50</w:t>
            </w:r>
          </w:p>
        </w:tc>
        <w:tc>
          <w:tcPr>
            <w:tcW w:w="99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0.08</w:t>
            </w:r>
          </w:p>
        </w:tc>
        <w:tc>
          <w:tcPr>
            <w:tcW w:w="102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4</w:t>
            </w:r>
          </w:p>
        </w:tc>
        <w:tc>
          <w:tcPr>
            <w:tcW w:w="97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tabs>
                <w:tab w:val="left" w:pos="388"/>
              </w:tabs>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16.925</w:t>
            </w:r>
          </w:p>
        </w:tc>
        <w:tc>
          <w:tcPr>
            <w:tcW w:w="79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详见第三部分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2"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消防员避火防护服</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套</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0.5</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0"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化学防护手套</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副</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0.005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0.2</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6"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防高温手套</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副</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45</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0.015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0.675</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4"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消防员防蜂服</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套</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0.35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1.4</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40"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电绝缘装具</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0.25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1</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34"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消防过滤式综合防毒面具</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87</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0.05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4.35</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2"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消防用救生衣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件</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55</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0.07</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3.85</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2"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无火花工具</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0.2</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0.4</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98" w:hRule="atLeast"/>
        </w:trPr>
        <w:tc>
          <w:tcPr>
            <w:tcW w:w="49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水域救援漂浮救生绳（50米）</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捆</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0.025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color w:val="000000"/>
                <w:kern w:val="0"/>
                <w:sz w:val="24"/>
                <w:szCs w:val="24"/>
                <w:u w:val="none"/>
                <w:lang w:val="en-US" w:eastAsia="zh-CN" w:bidi="ar"/>
              </w:rPr>
              <w:t>0.55</w:t>
            </w:r>
          </w:p>
        </w:tc>
        <w:tc>
          <w:tcPr>
            <w:tcW w:w="97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77" w:hRule="atLeast"/>
        </w:trPr>
        <w:tc>
          <w:tcPr>
            <w:tcW w:w="491"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2</w:t>
            </w:r>
          </w:p>
        </w:tc>
        <w:tc>
          <w:tcPr>
            <w:tcW w:w="1356"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侦检类</w:t>
            </w: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四合一有毒气体探测仪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0.6</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w:t>
            </w:r>
          </w:p>
        </w:tc>
        <w:tc>
          <w:tcPr>
            <w:tcW w:w="975"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92.4</w:t>
            </w:r>
          </w:p>
        </w:tc>
        <w:tc>
          <w:tcPr>
            <w:tcW w:w="799"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3"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水质分析仪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0.6</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0.6</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04"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电子气象仪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0.5</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1"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消防用红外热像仪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64</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3"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漏电探测仪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0.12</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70"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测温仪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0.15</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0.9</w:t>
            </w:r>
          </w:p>
        </w:tc>
        <w:tc>
          <w:tcPr>
            <w:tcW w:w="97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1" w:hRule="atLeast"/>
        </w:trPr>
        <w:tc>
          <w:tcPr>
            <w:tcW w:w="49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激光测距仪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7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32" w:hRule="atLeast"/>
        </w:trPr>
        <w:tc>
          <w:tcPr>
            <w:tcW w:w="49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3</w:t>
            </w:r>
          </w:p>
        </w:tc>
        <w:tc>
          <w:tcPr>
            <w:tcW w:w="3313"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内燃机液压破拆工具组（含双输出液压机动泵、扩张器、剪切器、液压剪扩器、撑顶器、液压管）</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组</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10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120</w:t>
            </w:r>
          </w:p>
        </w:tc>
        <w:tc>
          <w:tcPr>
            <w:tcW w:w="97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120</w:t>
            </w:r>
          </w:p>
        </w:tc>
        <w:tc>
          <w:tcPr>
            <w:tcW w:w="799" w:type="dxa"/>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5" w:hRule="atLeast"/>
        </w:trPr>
        <w:tc>
          <w:tcPr>
            <w:tcW w:w="491"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4</w:t>
            </w:r>
          </w:p>
        </w:tc>
        <w:tc>
          <w:tcPr>
            <w:tcW w:w="1356"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破拆类</w:t>
            </w: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电动液压破拆工具组（扩张器、剪切器、撑顶器）</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组</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70</w:t>
            </w:r>
          </w:p>
        </w:tc>
        <w:tc>
          <w:tcPr>
            <w:tcW w:w="975"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89.8</w:t>
            </w:r>
          </w:p>
        </w:tc>
        <w:tc>
          <w:tcPr>
            <w:tcW w:w="799"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3"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双轮异向切割锯</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7.5</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7"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机动链锯</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0.45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0.9</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62"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无齿锯</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5"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凿岩机</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0.75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0.75</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43"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绝缘剪断钳</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0.025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0.25</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4"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哈利根铁廷</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0.35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6"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多功能手动液压破拆工具</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组</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975"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0" w:hRule="atLeast"/>
        </w:trPr>
        <w:tc>
          <w:tcPr>
            <w:tcW w:w="491"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5</w:t>
            </w:r>
          </w:p>
        </w:tc>
        <w:tc>
          <w:tcPr>
            <w:tcW w:w="1356"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救生类</w:t>
            </w: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消防过滤式自救呼吸器</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0.005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0.25</w:t>
            </w:r>
          </w:p>
        </w:tc>
        <w:tc>
          <w:tcPr>
            <w:tcW w:w="975"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75</w:t>
            </w:r>
          </w:p>
        </w:tc>
        <w:tc>
          <w:tcPr>
            <w:tcW w:w="799"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32"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救生照明线</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捆</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7"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折叠式担架</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架</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0.09</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0.81</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9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多功能担架</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架</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0.24</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1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消防救生气垫</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7.5</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多功能救援支架</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1"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橡皮艇≥6人（含舷外机）</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艘</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4"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锚点扁带</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0.015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脚踏绳</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捆</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0.025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0.5</w:t>
            </w:r>
          </w:p>
        </w:tc>
        <w:tc>
          <w:tcPr>
            <w:tcW w:w="975"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70"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下降器</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0.33</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6.6</w:t>
            </w:r>
          </w:p>
        </w:tc>
        <w:tc>
          <w:tcPr>
            <w:tcW w:w="975"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6"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手提式强光照明灯</w:t>
            </w:r>
          </w:p>
        </w:tc>
        <w:tc>
          <w:tcPr>
            <w:tcW w:w="650"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994"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0.25</w:t>
            </w:r>
          </w:p>
        </w:tc>
        <w:tc>
          <w:tcPr>
            <w:tcW w:w="1022" w:type="dxa"/>
            <w:tcBorders>
              <w:top w:val="single" w:color="auto" w:sz="4" w:space="0"/>
              <w:left w:val="single" w:color="000000" w:sz="4" w:space="0"/>
              <w:bottom w:val="single" w:color="auto" w:sz="4" w:space="0"/>
              <w:right w:val="single" w:color="auto"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975"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74"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蓄电池照明灯</w:t>
            </w:r>
          </w:p>
        </w:tc>
        <w:tc>
          <w:tcPr>
            <w:tcW w:w="650"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994"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w:t>
            </w:r>
          </w:p>
        </w:tc>
        <w:tc>
          <w:tcPr>
            <w:tcW w:w="1022" w:type="dxa"/>
            <w:tcBorders>
              <w:top w:val="single" w:color="auto" w:sz="4" w:space="0"/>
              <w:left w:val="single" w:color="000000" w:sz="4" w:space="0"/>
              <w:bottom w:val="single" w:color="auto" w:sz="4" w:space="0"/>
              <w:right w:val="single" w:color="auto"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11.2</w:t>
            </w:r>
          </w:p>
        </w:tc>
        <w:tc>
          <w:tcPr>
            <w:tcW w:w="975"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07" w:hRule="atLeast"/>
        </w:trPr>
        <w:tc>
          <w:tcPr>
            <w:tcW w:w="491" w:type="dxa"/>
            <w:vMerge w:val="restart"/>
            <w:tcBorders>
              <w:top w:val="single" w:color="auto" w:sz="4" w:space="0"/>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6</w:t>
            </w:r>
          </w:p>
        </w:tc>
        <w:tc>
          <w:tcPr>
            <w:tcW w:w="1356" w:type="dxa"/>
            <w:vMerge w:val="restart"/>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其他类</w:t>
            </w: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多功能消防水枪（30把40mm,10把65mm)</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0.08</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3.2</w:t>
            </w:r>
          </w:p>
        </w:tc>
        <w:tc>
          <w:tcPr>
            <w:tcW w:w="975" w:type="dxa"/>
            <w:vMerge w:val="restart"/>
            <w:tcBorders>
              <w:top w:val="single" w:color="auto" w:sz="4" w:space="0"/>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t>64.15</w:t>
            </w:r>
          </w:p>
        </w:tc>
        <w:tc>
          <w:tcPr>
            <w:tcW w:w="799"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1"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直流水枪</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0.4</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9"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移动式细水雾灭火装置</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3.6</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49"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三路分水器</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0.08</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08"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二路分水器</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6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同型异径接口（80/65mm内扣传统接口）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0.012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0.72</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3"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同型异径接口(65/40mm内扣传统接口）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0.012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0.72</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1"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异型异径接口(100mm螺纹接口转125mm内扣传统接口）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7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异型异径接口(100mm内扣传统接口转150mm螺纹接口）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8"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异型异径接口(100mm螺纹接口转150mm内扣传统接口）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0.2</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0"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16型40mm水带（20米，带接口）</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捆</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0.03</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6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水带包布</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包</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0.006</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0.6</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6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水带挂钩</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只</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0.01</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8"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移车器</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具</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0.45</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3.15</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57"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15米拉梯</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1.3</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6.5</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9"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挂钩梯（铝制）</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把</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0.18</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2.16</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1"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空气充填泵</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台</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975"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40" w:hRule="atLeast"/>
        </w:trPr>
        <w:tc>
          <w:tcPr>
            <w:tcW w:w="491" w:type="dxa"/>
            <w:vMerge w:val="restart"/>
            <w:tcBorders>
              <w:top w:val="nil"/>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restart"/>
            <w:tcBorders>
              <w:top w:val="nil"/>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A类泡沫液</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T</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7.2</w:t>
            </w:r>
          </w:p>
        </w:tc>
        <w:tc>
          <w:tcPr>
            <w:tcW w:w="975" w:type="dxa"/>
            <w:vMerge w:val="restart"/>
            <w:tcBorders>
              <w:top w:val="nil"/>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40"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cs="宋体"/>
                <w:b w:val="0"/>
                <w:bCs/>
                <w:i w:val="0"/>
                <w:color w:val="000000"/>
                <w:kern w:val="0"/>
                <w:sz w:val="24"/>
                <w:szCs w:val="24"/>
                <w:u w:val="none"/>
                <w:lang w:val="en-US" w:eastAsia="zh-CN" w:bidi="ar"/>
              </w:rPr>
            </w:pPr>
          </w:p>
        </w:tc>
        <w:tc>
          <w:tcPr>
            <w:tcW w:w="195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水成膜泡沫液</w:t>
            </w:r>
          </w:p>
        </w:tc>
        <w:tc>
          <w:tcPr>
            <w:tcW w:w="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cs="宋体"/>
                <w:b w:val="0"/>
                <w:bCs/>
                <w:i w:val="0"/>
                <w:color w:val="000000"/>
                <w:kern w:val="0"/>
                <w:sz w:val="24"/>
                <w:szCs w:val="24"/>
                <w:u w:val="none"/>
                <w:lang w:val="en-US" w:eastAsia="zh-CN" w:bidi="ar"/>
              </w:rPr>
              <w:t xml:space="preserve">T </w:t>
            </w:r>
          </w:p>
        </w:tc>
        <w:tc>
          <w:tcPr>
            <w:tcW w:w="49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99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0.8</w:t>
            </w:r>
          </w:p>
        </w:tc>
        <w:tc>
          <w:tcPr>
            <w:tcW w:w="1022"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975"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right"/>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c>
          <w:tcPr>
            <w:tcW w:w="79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outlineLvl w:val="9"/>
              <w:rPr>
                <w:rFonts w:hint="eastAsia" w:ascii="宋体" w:hAnsi="宋体" w:eastAsia="宋体" w:cs="宋体"/>
                <w:b w:val="0"/>
                <w:bCs w:val="0"/>
                <w:i w:val="0"/>
                <w:iCs w:val="0"/>
                <w:color w:val="000000" w:themeColor="text1"/>
                <w:spacing w:val="-20"/>
                <w:kern w:val="0"/>
                <w:sz w:val="24"/>
                <w:szCs w:val="24"/>
                <w:highlight w:val="none"/>
                <w:u w:val="none"/>
                <w:lang w:val="en-US" w:eastAsia="zh-CN" w:bidi="ar"/>
                <w14:textFill>
                  <w14:solidFill>
                    <w14:schemeClr w14:val="tx1"/>
                  </w14:solidFill>
                </w14:textFill>
              </w:rPr>
            </w:pPr>
          </w:p>
        </w:tc>
      </w:tr>
    </w:tbl>
    <w:p>
      <w:pPr>
        <w:keepNext w:val="0"/>
        <w:keepLines w:val="0"/>
        <w:pageBreakBefore w:val="0"/>
        <w:kinsoku/>
        <w:wordWrap/>
        <w:overflowPunct/>
        <w:topLinePunct w:val="0"/>
        <w:autoSpaceDE/>
        <w:autoSpaceDN/>
        <w:bidi w:val="0"/>
        <w:spacing w:line="360" w:lineRule="exact"/>
        <w:ind w:left="0" w:leftChars="0" w:right="0" w:rightChars="0"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本项目( 不接受 )联合体投标。</w:t>
      </w:r>
    </w:p>
    <w:p>
      <w:pPr>
        <w:keepNext w:val="0"/>
        <w:keepLines w:val="0"/>
        <w:pageBreakBefore w:val="0"/>
        <w:kinsoku/>
        <w:wordWrap/>
        <w:overflowPunct/>
        <w:topLinePunct w:val="0"/>
        <w:autoSpaceDE/>
        <w:autoSpaceDN/>
        <w:bidi w:val="0"/>
        <w:spacing w:line="360" w:lineRule="exact"/>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合同履行期限：</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自合同签订之日起至质保期满为止</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spacing w:line="360" w:lineRule="exact"/>
        <w:ind w:left="0" w:leftChars="0" w:right="0" w:rightChars="0"/>
        <w:jc w:val="left"/>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二、申请人的资格要求：</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1.满足《中华人民共和国政府采购法》第二十二条规定；</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2.落实政府采购政策需满足的资格要求：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本项目为</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专门面向中小企业</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货物全部由符合政策要求的中小企业制造，提供中小企业声明函；</w:t>
      </w:r>
    </w:p>
    <w:p>
      <w:pPr>
        <w:keepNext w:val="0"/>
        <w:keepLines w:val="0"/>
        <w:pageBreakBefore w:val="0"/>
        <w:widowControl w:val="0"/>
        <w:kinsoku w:val="0"/>
        <w:wordWrap w:val="0"/>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3.本项目的特定资格要求：投标人未被“信用中国”（www.creditchina.gov.cn)、中国政府采购网（www.ccgp.gov.cn）列入失信被执行人、</w:t>
      </w:r>
      <w:r>
        <w:rPr>
          <w:rFonts w:hint="eastAsia" w:ascii="宋体" w:hAnsi="宋体" w:eastAsia="宋体" w:cs="宋体"/>
          <w:color w:val="000000" w:themeColor="text1"/>
          <w:sz w:val="24"/>
          <w:szCs w:val="24"/>
          <w:highlight w:val="none"/>
          <w:lang w:eastAsia="zh-CN"/>
          <w14:textFill>
            <w14:solidFill>
              <w14:schemeClr w14:val="tx1"/>
            </w14:solidFill>
          </w14:textFill>
        </w:rPr>
        <w:t>重大税收违法失信主体</w:t>
      </w:r>
      <w:r>
        <w:rPr>
          <w:rFonts w:hint="eastAsia" w:ascii="宋体" w:hAnsi="宋体" w:eastAsia="宋体" w:cs="宋体"/>
          <w:color w:val="000000" w:themeColor="text1"/>
          <w:sz w:val="24"/>
          <w:szCs w:val="24"/>
          <w:highlight w:val="none"/>
          <w14:textFill>
            <w14:solidFill>
              <w14:schemeClr w14:val="tx1"/>
            </w14:solidFill>
          </w14:textFill>
        </w:rPr>
        <w:t>、政府采购严重违法失信行为记录名单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2"/>
        <w:keepNext w:val="0"/>
        <w:keepLines w:val="0"/>
        <w:pageBreakBefore w:val="0"/>
        <w:kinsoku/>
        <w:wordWrap/>
        <w:overflowPunct/>
        <w:topLinePunct w:val="0"/>
        <w:autoSpaceDE/>
        <w:autoSpaceDN/>
        <w:bidi w:val="0"/>
        <w:spacing w:after="0" w:line="360" w:lineRule="exact"/>
        <w:ind w:left="0" w:leftChars="0" w:right="0" w:rightChars="0"/>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三、获取招标文件</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时间：202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年月日 至202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日，每天上午9:00至12:00，下午13:30至17:00（北京时间，法定节假日除外）</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地点：</w:t>
      </w:r>
      <w:r>
        <w:rPr>
          <w:rFonts w:hint="eastAsia" w:ascii="宋体" w:hAnsi="宋体" w:eastAsia="宋体" w:cs="宋体"/>
          <w:color w:val="000000" w:themeColor="text1"/>
          <w:sz w:val="24"/>
          <w:szCs w:val="24"/>
          <w:highlight w:val="none"/>
          <w:lang w:eastAsia="zh-CN"/>
          <w14:textFill>
            <w14:solidFill>
              <w14:schemeClr w14:val="tx1"/>
            </w14:solidFill>
          </w14:textFill>
        </w:rPr>
        <w:t>吉亿工程管理服务（诸暨）</w:t>
      </w:r>
      <w:r>
        <w:rPr>
          <w:rFonts w:hint="eastAsia" w:ascii="宋体" w:hAnsi="宋体" w:eastAsia="宋体" w:cs="宋体"/>
          <w:color w:val="000000" w:themeColor="text1"/>
          <w:sz w:val="24"/>
          <w:szCs w:val="24"/>
          <w:highlight w:val="none"/>
          <w14:textFill>
            <w14:solidFill>
              <w14:schemeClr w14:val="tx1"/>
            </w14:solidFill>
          </w14:textFill>
        </w:rPr>
        <w:t>有限公司</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0" w:firstLineChars="200"/>
        <w:jc w:val="left"/>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方式：</w:t>
      </w:r>
      <w:r>
        <w:rPr>
          <w:rFonts w:hint="eastAsia" w:ascii="宋体" w:hAnsi="宋体" w:eastAsia="宋体" w:cs="宋体"/>
          <w:color w:val="auto"/>
          <w:kern w:val="0"/>
          <w:sz w:val="24"/>
          <w:szCs w:val="24"/>
          <w:highlight w:val="none"/>
        </w:rPr>
        <w:t>电子邮件获取（邮箱：</w:t>
      </w:r>
      <w:r>
        <w:rPr>
          <w:rFonts w:hint="eastAsia" w:ascii="宋体" w:hAnsi="宋体" w:eastAsia="宋体" w:cs="宋体"/>
          <w:color w:val="auto"/>
          <w:kern w:val="0"/>
          <w:sz w:val="24"/>
          <w:szCs w:val="24"/>
          <w:highlight w:val="none"/>
          <w:lang w:eastAsia="zh-CN"/>
        </w:rPr>
        <w:t>597046683@qq.com</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邮件标题按‘</w:t>
      </w:r>
      <w:r>
        <w:rPr>
          <w:rFonts w:hint="eastAsia" w:ascii="宋体" w:hAnsi="宋体" w:eastAsia="宋体" w:cs="宋体"/>
          <w:b/>
          <w:bCs/>
          <w:color w:val="auto"/>
          <w:kern w:val="0"/>
          <w:sz w:val="24"/>
          <w:szCs w:val="24"/>
          <w:highlight w:val="none"/>
          <w:lang w:val="en-US" w:eastAsia="zh-CN"/>
        </w:rPr>
        <w:t>公司名+项目名</w:t>
      </w:r>
      <w:r>
        <w:rPr>
          <w:rFonts w:hint="eastAsia" w:ascii="宋体" w:hAnsi="宋体" w:eastAsia="宋体" w:cs="宋体"/>
          <w:b/>
          <w:bCs/>
          <w:color w:val="auto"/>
          <w:kern w:val="0"/>
          <w:sz w:val="24"/>
          <w:szCs w:val="24"/>
          <w:highlight w:val="none"/>
          <w:lang w:eastAsia="zh-CN"/>
        </w:rPr>
        <w:t>（</w:t>
      </w:r>
      <w:r>
        <w:rPr>
          <w:rFonts w:hint="eastAsia" w:ascii="宋体" w:hAnsi="宋体" w:cs="宋体"/>
          <w:bCs/>
          <w:color w:val="000000" w:themeColor="text1"/>
          <w:sz w:val="24"/>
          <w:szCs w:val="24"/>
          <w:highlight w:val="none"/>
          <w:lang w:eastAsia="zh-CN"/>
          <w14:textFill>
            <w14:solidFill>
              <w14:schemeClr w14:val="tx1"/>
            </w14:solidFill>
          </w14:textFill>
        </w:rPr>
        <w:t>义乌市消防救援支队2024年度消防器材装备</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+标项号’</w:t>
      </w:r>
      <w:r>
        <w:rPr>
          <w:rFonts w:hint="eastAsia" w:ascii="宋体" w:hAnsi="宋体" w:eastAsia="宋体" w:cs="宋体"/>
          <w:color w:val="auto"/>
          <w:kern w:val="0"/>
          <w:sz w:val="24"/>
          <w:szCs w:val="24"/>
          <w:highlight w:val="none"/>
          <w:lang w:val="en-US" w:eastAsia="zh-CN"/>
        </w:rPr>
        <w:t>标注;按附件格式</w:t>
      </w:r>
      <w:r>
        <w:rPr>
          <w:rFonts w:hint="eastAsia" w:ascii="宋体" w:hAnsi="宋体" w:eastAsia="宋体" w:cs="宋体"/>
          <w:color w:val="auto"/>
          <w:kern w:val="0"/>
          <w:sz w:val="24"/>
          <w:szCs w:val="24"/>
          <w:highlight w:val="none"/>
        </w:rPr>
        <w:t>备注获取相应项目采购文件名称、项目编号、</w:t>
      </w:r>
      <w:r>
        <w:rPr>
          <w:rFonts w:hint="eastAsia" w:ascii="宋体" w:hAnsi="宋体" w:eastAsia="宋体" w:cs="宋体"/>
          <w:color w:val="auto"/>
          <w:kern w:val="0"/>
          <w:sz w:val="24"/>
          <w:szCs w:val="24"/>
          <w:highlight w:val="none"/>
          <w:lang w:val="en-US" w:eastAsia="zh-CN"/>
        </w:rPr>
        <w:t>标项号、</w:t>
      </w:r>
      <w:r>
        <w:rPr>
          <w:rFonts w:hint="eastAsia" w:ascii="宋体" w:hAnsi="宋体" w:eastAsia="宋体" w:cs="宋体"/>
          <w:color w:val="auto"/>
          <w:kern w:val="0"/>
          <w:sz w:val="24"/>
          <w:szCs w:val="24"/>
          <w:highlight w:val="none"/>
        </w:rPr>
        <w:t>联系人和联系电话，同时须致电采购代理机构进行确认，联系电话</w:t>
      </w:r>
      <w:r>
        <w:rPr>
          <w:rFonts w:hint="eastAsia" w:ascii="宋体" w:hAnsi="宋体" w:eastAsia="宋体" w:cs="宋体"/>
          <w:color w:val="auto"/>
          <w:kern w:val="0"/>
          <w:sz w:val="24"/>
          <w:szCs w:val="24"/>
          <w:highlight w:val="none"/>
          <w:lang w:val="en-US" w:eastAsia="zh-CN"/>
        </w:rPr>
        <w:t>13819526680)</w:t>
      </w:r>
      <w:r>
        <w:rPr>
          <w:rFonts w:hint="eastAsia" w:ascii="宋体" w:hAnsi="宋体" w:eastAsia="宋体" w:cs="宋体"/>
          <w:color w:val="auto"/>
          <w:kern w:val="0"/>
          <w:sz w:val="24"/>
          <w:szCs w:val="24"/>
          <w:highlight w:val="none"/>
        </w:rPr>
        <w:t xml:space="preserve"> </w:t>
      </w:r>
    </w:p>
    <w:p>
      <w:pPr>
        <w:keepNext w:val="0"/>
        <w:keepLines w:val="0"/>
        <w:pageBreakBefore w:val="0"/>
        <w:widowControl/>
        <w:kinsoku/>
        <w:wordWrap/>
        <w:overflowPunct/>
        <w:topLinePunct w:val="0"/>
        <w:autoSpaceDE/>
        <w:autoSpaceDN/>
        <w:bidi w:val="0"/>
        <w:spacing w:line="360" w:lineRule="exact"/>
        <w:ind w:left="0" w:leftChars="0" w:right="0" w:rightChars="0"/>
        <w:jc w:val="left"/>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四、提交投标文件截止时间、开标时间和地点</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提交投标文件截止时间： 202</w:t>
      </w:r>
      <w:r>
        <w:rPr>
          <w:rFonts w:hint="eastAsia" w:ascii="宋体" w:hAnsi="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年月日</w:t>
      </w:r>
      <w:r>
        <w:rPr>
          <w:rFonts w:hint="eastAsia" w:ascii="宋体" w:hAnsi="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点</w:t>
      </w:r>
      <w:r>
        <w:rPr>
          <w:rFonts w:hint="eastAsia" w:ascii="宋体" w:hAnsi="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0分（北京时间）</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开标时间：202</w:t>
      </w:r>
      <w:r>
        <w:rPr>
          <w:rFonts w:hint="eastAsia" w:ascii="宋体" w:hAnsi="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年月日</w:t>
      </w:r>
      <w:r>
        <w:rPr>
          <w:rFonts w:hint="eastAsia" w:ascii="宋体" w:hAnsi="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点</w:t>
      </w:r>
      <w:r>
        <w:rPr>
          <w:rFonts w:hint="eastAsia" w:ascii="宋体" w:hAnsi="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0分（北京时间）</w:t>
      </w:r>
    </w:p>
    <w:p>
      <w:pPr>
        <w:keepNext w:val="0"/>
        <w:keepLines w:val="0"/>
        <w:pageBreakBefore w:val="0"/>
        <w:shd w:val="clea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cs="宋体"/>
          <w:b w:val="0"/>
          <w:bCs w:val="0"/>
          <w:color w:val="000000" w:themeColor="text1"/>
          <w:sz w:val="24"/>
          <w:szCs w:val="24"/>
          <w:highlight w:val="none"/>
          <w:lang w:eastAsia="zh-CN"/>
          <w14:textFill>
            <w14:solidFill>
              <w14:schemeClr w14:val="tx1"/>
            </w14:solidFill>
          </w14:textFill>
        </w:rPr>
        <w:t>义乌市消防救援支</w:t>
      </w:r>
      <w:r>
        <w:rPr>
          <w:rFonts w:hint="eastAsia" w:ascii="宋体" w:hAnsi="宋体" w:eastAsia="宋体" w:cs="宋体"/>
          <w:b w:val="0"/>
          <w:bCs w:val="0"/>
          <w:color w:val="000000" w:themeColor="text1"/>
          <w:sz w:val="24"/>
          <w:szCs w:val="24"/>
          <w:highlight w:val="none"/>
          <w14:textFill>
            <w14:solidFill>
              <w14:schemeClr w14:val="tx1"/>
            </w14:solidFill>
          </w14:textFill>
        </w:rPr>
        <w:t>队</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4"/>
          <w:szCs w:val="24"/>
          <w:highlight w:val="none"/>
          <w14:textFill>
            <w14:solidFill>
              <w14:schemeClr w14:val="tx1"/>
            </w14:solidFill>
          </w14:textFill>
        </w:rPr>
        <w:t>楼开标室</w:t>
      </w:r>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义乌市机场路636号</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spacing w:line="360" w:lineRule="exact"/>
        <w:ind w:left="0" w:leftChars="0" w:right="0" w:rightChars="0"/>
        <w:jc w:val="left"/>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五、公告期限</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自本公告发布之日起5个工作日。</w:t>
      </w:r>
    </w:p>
    <w:p>
      <w:pPr>
        <w:keepNext w:val="0"/>
        <w:keepLines w:val="0"/>
        <w:pageBreakBefore w:val="0"/>
        <w:widowControl/>
        <w:numPr>
          <w:ilvl w:val="0"/>
          <w:numId w:val="5"/>
        </w:numPr>
        <w:kinsoku/>
        <w:wordWrap/>
        <w:overflowPunct/>
        <w:topLinePunct w:val="0"/>
        <w:autoSpaceDE/>
        <w:autoSpaceDN/>
        <w:bidi w:val="0"/>
        <w:spacing w:line="360" w:lineRule="exact"/>
        <w:ind w:left="0" w:leftChars="0" w:right="0" w:rightChars="0"/>
        <w:jc w:val="left"/>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其他补充事宜</w:t>
      </w:r>
    </w:p>
    <w:p>
      <w:pPr>
        <w:pStyle w:val="16"/>
        <w:keepNext w:val="0"/>
        <w:keepLines w:val="0"/>
        <w:pageBreakBefore w:val="0"/>
        <w:numPr>
          <w:ilvl w:val="0"/>
          <w:numId w:val="0"/>
        </w:numPr>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获取</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时汇款请在用途栏中注明项目编号</w:t>
      </w:r>
      <w:r>
        <w:rPr>
          <w:rFonts w:hint="eastAsia" w:ascii="宋体" w:hAnsi="宋体" w:eastAsia="宋体" w:cs="宋体"/>
          <w:color w:val="000000" w:themeColor="text1"/>
          <w:sz w:val="24"/>
          <w:szCs w:val="24"/>
          <w:highlight w:val="none"/>
          <w:lang w:val="en-US" w:eastAsia="zh-CN"/>
          <w14:textFill>
            <w14:solidFill>
              <w14:schemeClr w14:val="tx1"/>
            </w14:solidFill>
          </w14:textFill>
        </w:rPr>
        <w:t>及所投标项。</w:t>
      </w:r>
    </w:p>
    <w:p>
      <w:pPr>
        <w:pStyle w:val="16"/>
        <w:keepNext w:val="0"/>
        <w:keepLines w:val="0"/>
        <w:pageBreakBefore w:val="0"/>
        <w:numPr>
          <w:ilvl w:val="0"/>
          <w:numId w:val="0"/>
        </w:numPr>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未按采购公告规定获取</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的投标将被拒绝。</w:t>
      </w:r>
    </w:p>
    <w:p>
      <w:pPr>
        <w:pStyle w:val="16"/>
        <w:keepNext w:val="0"/>
        <w:keepLines w:val="0"/>
        <w:pageBreakBefore w:val="0"/>
        <w:numPr>
          <w:ilvl w:val="0"/>
          <w:numId w:val="0"/>
        </w:numPr>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供应商认为</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使自己的权益受到损害的，可以自获取</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之日或者</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公告期限届满之日（公告期限届满后获取</w:t>
      </w:r>
      <w:r>
        <w:rPr>
          <w:rFonts w:hint="eastAsia" w:ascii="宋体" w:hAnsi="宋体" w:eastAsia="宋体" w:cs="宋体"/>
          <w:color w:val="000000" w:themeColor="text1"/>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z w:val="24"/>
          <w:szCs w:val="24"/>
          <w:highlight w:val="none"/>
          <w14:textFill>
            <w14:solidFill>
              <w14:schemeClr w14:val="tx1"/>
            </w14:solidFill>
          </w14:textFill>
        </w:rPr>
        <w:t>的，以公告期限届满之日为准）起7个工作日内，以书面形式向采购人和采购代理机构</w:t>
      </w:r>
      <w:r>
        <w:rPr>
          <w:rFonts w:hint="eastAsia" w:ascii="宋体" w:hAnsi="宋体" w:eastAsia="宋体" w:cs="宋体"/>
          <w:i w:val="0"/>
          <w:caps w:val="0"/>
          <w:color w:val="000000" w:themeColor="text1"/>
          <w:spacing w:val="0"/>
          <w:sz w:val="24"/>
          <w:szCs w:val="24"/>
          <w:highlight w:val="none"/>
          <w:shd w:val="clear"/>
          <w14:textFill>
            <w14:solidFill>
              <w14:schemeClr w14:val="tx1"/>
            </w14:solidFill>
          </w14:textFill>
        </w:rPr>
        <w:t>一次性提出针对同一采购程序环节的质疑</w:t>
      </w:r>
      <w:r>
        <w:rPr>
          <w:rFonts w:hint="eastAsia" w:ascii="宋体" w:hAnsi="宋体" w:eastAsia="宋体" w:cs="宋体"/>
          <w:color w:val="000000" w:themeColor="text1"/>
          <w:sz w:val="24"/>
          <w:szCs w:val="24"/>
          <w:highlight w:val="none"/>
          <w14:textFill>
            <w14:solidFill>
              <w14:schemeClr w14:val="tx1"/>
            </w14:solidFill>
          </w14:textFill>
        </w:rPr>
        <w:t>。质疑供应商对采购人、采购代理机构的答复不满意或者采购人、采购代理机构未在规定的时间内作出答复的，可以在答复期满后十五个工作日内向同级政府采购监督管理部门投诉。</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4.单位负责人为同一人或者存在直接控股、管理关系的不同供应商，不得同时参加同一合同项下的投标。</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5.为项目提供整体设计、规范编制或者项目管理、监理、检测等服务的供应商，不得再参加该采购项目的其他采购活动。</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6.投标人不得为列入失信被执行人、</w:t>
      </w:r>
      <w:r>
        <w:rPr>
          <w:rFonts w:hint="eastAsia" w:ascii="宋体" w:hAnsi="宋体" w:eastAsia="宋体" w:cs="宋体"/>
          <w:color w:val="000000" w:themeColor="text1"/>
          <w:sz w:val="24"/>
          <w:szCs w:val="24"/>
          <w:highlight w:val="none"/>
          <w:lang w:eastAsia="zh-CN"/>
          <w14:textFill>
            <w14:solidFill>
              <w14:schemeClr w14:val="tx1"/>
            </w14:solidFill>
          </w14:textFill>
        </w:rPr>
        <w:t>重大税收违法失信主体</w:t>
      </w:r>
      <w:r>
        <w:rPr>
          <w:rFonts w:hint="eastAsia" w:ascii="宋体" w:hAnsi="宋体" w:eastAsia="宋体" w:cs="宋体"/>
          <w:color w:val="000000" w:themeColor="text1"/>
          <w:sz w:val="24"/>
          <w:szCs w:val="24"/>
          <w:highlight w:val="none"/>
          <w14:textFill>
            <w14:solidFill>
              <w14:schemeClr w14:val="tx1"/>
            </w14:solidFill>
          </w14:textFill>
        </w:rPr>
        <w:t>、政府采购严重违法失信行为记录名单的供应商。</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（1）信用信息查询渠道：“信用中国”网站（www.creditchina.gov.cn）、中国政府采购网（</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"http://www.ccgp.gov.cn"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Style w:val="38"/>
          <w:rFonts w:hint="eastAsia" w:ascii="宋体" w:hAnsi="宋体" w:eastAsia="宋体" w:cs="宋体"/>
          <w:color w:val="000000" w:themeColor="text1"/>
          <w:sz w:val="24"/>
          <w:szCs w:val="24"/>
          <w:highlight w:val="none"/>
          <w14:textFill>
            <w14:solidFill>
              <w14:schemeClr w14:val="tx1"/>
            </w14:solidFill>
          </w14:textFill>
        </w:rPr>
        <w:t>www.ccgp.gov.cn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（2）信用信息查询截止时点：开标日由采购人或采购代理</w:t>
      </w:r>
      <w:r>
        <w:rPr>
          <w:rFonts w:hint="eastAsia" w:ascii="宋体" w:hAnsi="宋体" w:eastAsia="宋体" w:cs="宋体"/>
          <w:color w:val="000000" w:themeColor="text1"/>
          <w:sz w:val="24"/>
          <w:szCs w:val="24"/>
          <w:highlight w:val="none"/>
          <w:lang w:val="en-US" w:eastAsia="zh-CN"/>
          <w14:textFill>
            <w14:solidFill>
              <w14:schemeClr w14:val="tx1"/>
            </w14:solidFill>
          </w14:textFill>
        </w:rPr>
        <w:t>审查</w:t>
      </w:r>
      <w:r>
        <w:rPr>
          <w:rFonts w:hint="eastAsia" w:ascii="宋体" w:hAnsi="宋体" w:eastAsia="宋体" w:cs="宋体"/>
          <w:color w:val="000000" w:themeColor="text1"/>
          <w:sz w:val="24"/>
          <w:szCs w:val="24"/>
          <w:highlight w:val="none"/>
          <w14:textFill>
            <w14:solidFill>
              <w14:schemeClr w14:val="tx1"/>
            </w14:solidFill>
          </w14:textFill>
        </w:rPr>
        <w:t>投标人信用信息记录。</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（3）信用信息查询记录和证据留存的具体方式：</w:t>
      </w:r>
      <w:r>
        <w:rPr>
          <w:rFonts w:hint="eastAsia" w:ascii="宋体" w:hAnsi="宋体" w:eastAsia="宋体" w:cs="宋体"/>
          <w:color w:val="000000" w:themeColor="text1"/>
          <w:sz w:val="24"/>
          <w:szCs w:val="24"/>
          <w:highlight w:val="none"/>
          <w:lang w:val="en-US" w:eastAsia="zh-CN"/>
          <w14:textFill>
            <w14:solidFill>
              <w14:schemeClr w14:val="tx1"/>
            </w14:solidFill>
          </w14:textFill>
        </w:rPr>
        <w:t>以资格审查记录方式</w:t>
      </w:r>
      <w:r>
        <w:rPr>
          <w:rFonts w:hint="eastAsia" w:ascii="宋体" w:hAnsi="宋体" w:eastAsia="宋体" w:cs="宋体"/>
          <w:color w:val="000000" w:themeColor="text1"/>
          <w:sz w:val="24"/>
          <w:szCs w:val="24"/>
          <w:highlight w:val="none"/>
          <w14:textFill>
            <w14:solidFill>
              <w14:schemeClr w14:val="tx1"/>
            </w14:solidFill>
          </w14:textFill>
        </w:rPr>
        <w:t>保存。</w:t>
      </w:r>
    </w:p>
    <w:p>
      <w:pPr>
        <w:pStyle w:val="16"/>
        <w:keepNext w:val="0"/>
        <w:keepLines w:val="0"/>
        <w:pageBreakBefore w:val="0"/>
        <w:widowControl w:val="0"/>
        <w:kinsoku w:val="0"/>
        <w:wordWrap/>
        <w:overflowPunct/>
        <w:topLinePunct w:val="0"/>
        <w:autoSpaceDE/>
        <w:autoSpaceDN/>
        <w:bidi w:val="0"/>
        <w:adjustRightInd/>
        <w:snapToGrid/>
        <w:spacing w:after="0"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（4）信用信息的使用规则：如投标人为“信用中国”网站（www.creditchina.gov.cn）中列入失信被执行人或</w:t>
      </w:r>
      <w:r>
        <w:rPr>
          <w:rFonts w:hint="eastAsia" w:ascii="宋体" w:hAnsi="宋体" w:eastAsia="宋体" w:cs="宋体"/>
          <w:color w:val="000000" w:themeColor="text1"/>
          <w:sz w:val="24"/>
          <w:szCs w:val="24"/>
          <w:highlight w:val="none"/>
          <w:lang w:eastAsia="zh-CN"/>
          <w14:textFill>
            <w14:solidFill>
              <w14:schemeClr w14:val="tx1"/>
            </w14:solidFill>
          </w14:textFill>
        </w:rPr>
        <w:t>重大税收违法失信主体</w:t>
      </w:r>
      <w:r>
        <w:rPr>
          <w:rFonts w:hint="eastAsia" w:ascii="宋体" w:hAnsi="宋体" w:eastAsia="宋体" w:cs="宋体"/>
          <w:color w:val="000000" w:themeColor="text1"/>
          <w:sz w:val="24"/>
          <w:szCs w:val="24"/>
          <w:highlight w:val="none"/>
          <w14:textFill>
            <w14:solidFill>
              <w14:schemeClr w14:val="tx1"/>
            </w14:solidFill>
          </w14:textFill>
        </w:rPr>
        <w:t>的供应商，或为中国政府采购网（www.ccgp.gov.cn）政府采购严重违法失信行为记录名单中被财政部门禁止参加政府采购活动的供应商，则其投标将被拒绝。</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7.本项目不收取投标保证金。</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8.本项目执行促进中小企业发展、优先采购节能产品、优先采购环境标志产品政策。</w:t>
      </w:r>
    </w:p>
    <w:p>
      <w:pPr>
        <w:pStyle w:val="16"/>
        <w:keepNext w:val="0"/>
        <w:keepLines w:val="0"/>
        <w:pageBreakBefore w:val="0"/>
        <w:kinsoku/>
        <w:wordWrap/>
        <w:overflowPunct/>
        <w:topLinePunct w:val="0"/>
        <w:autoSpaceDE/>
        <w:autoSpaceDN/>
        <w:bidi w:val="0"/>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9.本项目相关公告在发布媒体：中国政府采购网(www.ccgp.gov.cn/)和浙江政府采购网（zfcg.czt.zj.gov.cn/）。相关公告在法定媒体上公布之日即视为有效送达，请各投标人及时关注。</w:t>
      </w:r>
    </w:p>
    <w:p>
      <w:pPr>
        <w:keepNext w:val="0"/>
        <w:keepLines w:val="0"/>
        <w:pageBreakBefore w:val="0"/>
        <w:kinsoku/>
        <w:wordWrap/>
        <w:overflowPunct/>
        <w:topLinePunct w:val="0"/>
        <w:autoSpaceDE/>
        <w:autoSpaceDN/>
        <w:bidi w:val="0"/>
        <w:snapToGrid w:val="0"/>
        <w:spacing w:line="360" w:lineRule="exact"/>
        <w:ind w:left="0" w:leftChars="0" w:right="0" w:rightChars="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七、对本次招标提出询问，请按以下方式联系</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1.采购人信息</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 称：</w:t>
      </w:r>
      <w:r>
        <w:rPr>
          <w:rFonts w:hint="eastAsia" w:ascii="宋体" w:hAnsi="宋体" w:cs="宋体"/>
          <w:color w:val="000000" w:themeColor="text1"/>
          <w:sz w:val="24"/>
          <w:szCs w:val="24"/>
          <w:highlight w:val="none"/>
          <w:lang w:eastAsia="zh-CN"/>
          <w14:textFill>
            <w14:solidFill>
              <w14:schemeClr w14:val="tx1"/>
            </w14:solidFill>
          </w14:textFill>
        </w:rPr>
        <w:t>义乌市消防救援支</w:t>
      </w:r>
      <w:r>
        <w:rPr>
          <w:rFonts w:hint="eastAsia" w:ascii="宋体" w:hAnsi="宋体" w:eastAsia="宋体" w:cs="宋体"/>
          <w:color w:val="000000" w:themeColor="text1"/>
          <w:sz w:val="24"/>
          <w:szCs w:val="24"/>
          <w:highlight w:val="none"/>
          <w14:textFill>
            <w14:solidFill>
              <w14:schemeClr w14:val="tx1"/>
            </w14:solidFill>
          </w14:textFill>
        </w:rPr>
        <w:t>队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址：</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义乌市机场路636号</w:t>
      </w:r>
      <w:r>
        <w:rPr>
          <w:rFonts w:hint="eastAsia" w:ascii="宋体" w:hAnsi="宋体" w:eastAsia="宋体" w:cs="宋体"/>
          <w:color w:val="000000" w:themeColor="text1"/>
          <w:sz w:val="24"/>
          <w:szCs w:val="24"/>
          <w:highlight w:val="none"/>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r>
        <w:rPr>
          <w:rFonts w:hint="eastAsia" w:ascii="宋体" w:hAnsi="宋体" w:cs="宋体"/>
          <w:color w:val="000000" w:themeColor="text1"/>
          <w:sz w:val="24"/>
          <w:szCs w:val="24"/>
          <w:highlight w:val="none"/>
          <w:lang w:val="en-US" w:eastAsia="zh-CN"/>
          <w14:textFill>
            <w14:solidFill>
              <w14:schemeClr w14:val="tx1"/>
            </w14:solidFill>
          </w14:textFill>
        </w:rPr>
        <w:t>丁</w:t>
      </w:r>
      <w:r>
        <w:rPr>
          <w:rFonts w:hint="eastAsia" w:ascii="宋体" w:hAnsi="宋体" w:eastAsia="宋体" w:cs="宋体"/>
          <w:color w:val="000000" w:themeColor="text1"/>
          <w:sz w:val="24"/>
          <w:szCs w:val="24"/>
          <w:highlight w:val="none"/>
          <w14:textFill>
            <w14:solidFill>
              <w14:schemeClr w14:val="tx1"/>
            </w14:solidFill>
          </w14:textFill>
        </w:rPr>
        <w:t>先生</w:t>
      </w:r>
      <w:r>
        <w:rPr>
          <w:rFonts w:hint="eastAsia" w:ascii="宋体" w:hAnsi="宋体" w:cs="宋体"/>
          <w:color w:val="000000" w:themeColor="text1"/>
          <w:sz w:val="24"/>
          <w:highlight w:val="none"/>
          <w14:textFill>
            <w14:solidFill>
              <w14:schemeClr w14:val="tx1"/>
            </w14:solidFill>
          </w14:textFill>
        </w:rPr>
        <w:t>0579</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89059712</w:t>
      </w:r>
      <w:r>
        <w:rPr>
          <w:rFonts w:hint="eastAsia" w:ascii="宋体" w:hAnsi="宋体" w:eastAsia="宋体" w:cs="宋体"/>
          <w:color w:val="000000" w:themeColor="text1"/>
          <w:sz w:val="24"/>
          <w:szCs w:val="24"/>
          <w:highlight w:val="none"/>
          <w14:textFill>
            <w14:solidFill>
              <w14:schemeClr w14:val="tx1"/>
            </w14:solidFill>
          </w14:textFill>
        </w:rPr>
        <w:t>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2.采购代理机构信息</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720" w:firstLineChars="3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r>
        <w:rPr>
          <w:rFonts w:hint="eastAsia" w:ascii="宋体" w:hAnsi="宋体" w:eastAsia="宋体" w:cs="宋体"/>
          <w:color w:val="000000" w:themeColor="text1"/>
          <w:sz w:val="24"/>
          <w:szCs w:val="24"/>
          <w:highlight w:val="none"/>
          <w:lang w:eastAsia="zh-CN"/>
          <w14:textFill>
            <w14:solidFill>
              <w14:schemeClr w14:val="tx1"/>
            </w14:solidFill>
          </w14:textFill>
        </w:rPr>
        <w:t>吉亿工程管理服务（诸暨）有限公司</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720" w:firstLineChars="3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lang w:val="en-US" w:eastAsia="zh-CN"/>
          <w14:textFill>
            <w14:solidFill>
              <w14:schemeClr w14:val="tx1"/>
            </w14:solidFill>
          </w14:textFill>
        </w:rPr>
        <w:t>诸暨市东一路88弄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720" w:firstLineChars="300"/>
        <w:textAlignment w:val="auto"/>
        <w:rPr>
          <w:rStyle w:val="111"/>
          <w:rFonts w:hint="eastAsia" w:ascii="宋体" w:hAnsi="宋体" w:eastAsia="宋体" w:cs="宋体"/>
          <w:color w:val="000000" w:themeColor="text1"/>
          <w:sz w:val="24"/>
          <w:szCs w:val="24"/>
          <w:highlight w:val="none"/>
          <w:lang w:val="en-US" w:eastAsia="zh-CN"/>
          <w14:textFill>
            <w14:solidFill>
              <w14:schemeClr w14:val="tx1"/>
            </w14:solidFill>
          </w14:textFill>
        </w:rPr>
      </w:pPr>
      <w:r>
        <w:rPr>
          <w:rStyle w:val="111"/>
          <w:rFonts w:hint="eastAsia" w:ascii="宋体" w:hAnsi="宋体" w:eastAsia="宋体" w:cs="宋体"/>
          <w:color w:val="000000" w:themeColor="text1"/>
          <w:sz w:val="24"/>
          <w:szCs w:val="24"/>
          <w:highlight w:val="none"/>
          <w14:textFill>
            <w14:solidFill>
              <w14:schemeClr w14:val="tx1"/>
            </w14:solidFill>
          </w14:textFill>
        </w:rPr>
        <w:t>联系</w:t>
      </w:r>
      <w:r>
        <w:rPr>
          <w:rFonts w:hint="eastAsia" w:ascii="宋体" w:hAnsi="宋体" w:eastAsia="宋体" w:cs="宋体"/>
          <w:color w:val="000000" w:themeColor="text1"/>
          <w:sz w:val="24"/>
          <w:szCs w:val="24"/>
          <w:highlight w:val="none"/>
          <w:lang w:val="en-US" w:eastAsia="zh-CN"/>
          <w14:textFill>
            <w14:solidFill>
              <w14:schemeClr w14:val="tx1"/>
            </w14:solidFill>
          </w14:textFill>
        </w:rPr>
        <w:t>方式：李女士</w:t>
      </w:r>
      <w:r>
        <w:rPr>
          <w:rStyle w:val="111"/>
          <w:rFonts w:hint="eastAsia" w:ascii="宋体" w:hAnsi="宋体" w:eastAsia="宋体" w:cs="宋体"/>
          <w:color w:val="000000" w:themeColor="text1"/>
          <w:sz w:val="24"/>
          <w:szCs w:val="24"/>
          <w:highlight w:val="none"/>
          <w:lang w:val="en-US" w:eastAsia="zh-CN"/>
          <w14:textFill>
            <w14:solidFill>
              <w14:schemeClr w14:val="tx1"/>
            </w14:solidFill>
          </w14:textFill>
        </w:rPr>
        <w:t>13819526680</w:t>
      </w:r>
    </w:p>
    <w:p>
      <w:pPr>
        <w:keepNext w:val="0"/>
        <w:keepLines w:val="0"/>
        <w:pageBreakBefore w:val="0"/>
        <w:kinsoku/>
        <w:wordWrap/>
        <w:overflowPunct/>
        <w:topLinePunct w:val="0"/>
        <w:autoSpaceDE/>
        <w:autoSpaceDN/>
        <w:bidi w:val="0"/>
        <w:snapToGrid w:val="0"/>
        <w:spacing w:line="360" w:lineRule="exact"/>
        <w:ind w:left="0" w:leftChars="0" w:right="0" w:rightChars="0"/>
        <w:jc w:val="righ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lang w:eastAsia="zh-CN"/>
          <w14:textFill>
            <w14:solidFill>
              <w14:schemeClr w14:val="tx1"/>
            </w14:solidFill>
          </w14:textFill>
        </w:rPr>
        <w:t>义乌市消防救援支</w:t>
      </w:r>
      <w:r>
        <w:rPr>
          <w:rFonts w:hint="eastAsia" w:ascii="宋体" w:hAnsi="宋体" w:eastAsia="宋体" w:cs="宋体"/>
          <w:bCs/>
          <w:color w:val="000000" w:themeColor="text1"/>
          <w:sz w:val="24"/>
          <w:szCs w:val="24"/>
          <w:highlight w:val="none"/>
          <w14:textFill>
            <w14:solidFill>
              <w14:schemeClr w14:val="tx1"/>
            </w14:solidFill>
          </w14:textFill>
        </w:rPr>
        <w:t>队</w:t>
      </w:r>
    </w:p>
    <w:p>
      <w:pPr>
        <w:keepNext w:val="0"/>
        <w:keepLines w:val="0"/>
        <w:pageBreakBefore w:val="0"/>
        <w:kinsoku/>
        <w:wordWrap/>
        <w:overflowPunct/>
        <w:topLinePunct w:val="0"/>
        <w:autoSpaceDE/>
        <w:autoSpaceDN/>
        <w:bidi w:val="0"/>
        <w:snapToGrid w:val="0"/>
        <w:spacing w:line="360" w:lineRule="exact"/>
        <w:ind w:left="0" w:leftChars="0" w:right="0" w:rightChars="0"/>
        <w:jc w:val="righ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w:t>
      </w:r>
      <w:r>
        <w:rPr>
          <w:rFonts w:hint="eastAsia" w:ascii="宋体" w:hAnsi="宋体" w:eastAsia="宋体" w:cs="宋体"/>
          <w:bCs/>
          <w:color w:val="000000" w:themeColor="text1"/>
          <w:sz w:val="24"/>
          <w:szCs w:val="24"/>
          <w:highlight w:val="none"/>
          <w:lang w:eastAsia="zh-CN"/>
          <w14:textFill>
            <w14:solidFill>
              <w14:schemeClr w14:val="tx1"/>
            </w14:solidFill>
          </w14:textFill>
        </w:rPr>
        <w:t>吉亿工程管理服务（诸暨）有限公司</w:t>
      </w:r>
      <w:r>
        <w:rPr>
          <w:rFonts w:hint="eastAsia" w:ascii="宋体" w:hAnsi="宋体" w:eastAsia="宋体" w:cs="宋体"/>
          <w:bCs/>
          <w:color w:val="000000" w:themeColor="text1"/>
          <w:sz w:val="24"/>
          <w:szCs w:val="24"/>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snapToGrid w:val="0"/>
        <w:spacing w:line="360" w:lineRule="exact"/>
        <w:ind w:left="0" w:leftChars="0" w:right="0" w:rightChars="0"/>
        <w:jc w:val="right"/>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二○二</w:t>
      </w:r>
      <w:r>
        <w:rPr>
          <w:rFonts w:hint="eastAsia" w:ascii="宋体" w:hAnsi="宋体" w:cs="宋体"/>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cs="宋体"/>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cs="宋体"/>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日</w:t>
      </w:r>
    </w:p>
    <w:p>
      <w:pPr>
        <w:jc w:val="left"/>
        <w:rPr>
          <w:rFonts w:hint="eastAsia"/>
          <w:color w:val="000000" w:themeColor="text1"/>
          <w:highlight w:val="none"/>
          <w14:textFill>
            <w14:solidFill>
              <w14:schemeClr w14:val="tx1"/>
            </w14:solidFill>
          </w14:textFill>
        </w:rPr>
      </w:pPr>
    </w:p>
    <w:p>
      <w:pPr>
        <w:jc w:val="left"/>
        <w:rPr>
          <w:rFonts w:hint="eastAsia"/>
          <w:color w:val="000000" w:themeColor="text1"/>
          <w:highlight w:val="none"/>
          <w14:textFill>
            <w14:solidFill>
              <w14:schemeClr w14:val="tx1"/>
            </w14:solidFill>
          </w14:textFill>
        </w:rPr>
      </w:pPr>
    </w:p>
    <w:p>
      <w:pPr>
        <w:pStyle w:val="3"/>
        <w:rPr>
          <w:rFonts w:hint="eastAsia"/>
          <w:highlight w:val="none"/>
        </w:rPr>
      </w:pPr>
    </w:p>
    <w:p>
      <w:pPr>
        <w:pStyle w:val="3"/>
        <w:rPr>
          <w:rFonts w:hint="eastAsia"/>
          <w:highlight w:val="none"/>
        </w:rPr>
      </w:pPr>
    </w:p>
    <w:p>
      <w:pPr>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bookmarkEnd w:id="1"/>
    <w:p>
      <w:pPr>
        <w:spacing w:line="288"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第二部分  投标人须知</w:t>
      </w:r>
    </w:p>
    <w:p>
      <w:pPr>
        <w:spacing w:line="288" w:lineRule="auto"/>
        <w:jc w:val="center"/>
        <w:outlineLvl w:val="1"/>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前 附 表</w:t>
      </w:r>
    </w:p>
    <w:tbl>
      <w:tblPr>
        <w:tblStyle w:val="40"/>
        <w:tblW w:w="973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3"/>
        <w:gridCol w:w="1347"/>
        <w:gridCol w:w="77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23"/>
                <w:sz w:val="24"/>
                <w:szCs w:val="24"/>
                <w:highlight w:val="none"/>
                <w14:textFill>
                  <w14:solidFill>
                    <w14:schemeClr w14:val="tx1"/>
                  </w14:solidFill>
                </w14:textFill>
              </w:rPr>
              <w:t>序号</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内容</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2"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1</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项目名称</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80" w:firstLineChars="200"/>
              <w:jc w:val="left"/>
              <w:outlineLvl w:val="9"/>
              <w:rPr>
                <w:rFonts w:hint="eastAsia" w:ascii="宋体" w:hAnsi="宋体" w:eastAsia="宋体" w:cs="宋体"/>
                <w:color w:val="000000" w:themeColor="text1"/>
                <w:spacing w:val="-6"/>
                <w:sz w:val="24"/>
                <w:szCs w:val="24"/>
                <w:highlight w:val="none"/>
                <w:lang w:eastAsia="zh-CN"/>
                <w14:textFill>
                  <w14:solidFill>
                    <w14:schemeClr w14:val="tx1"/>
                  </w14:solidFill>
                </w14:textFill>
              </w:rPr>
            </w:pPr>
            <w:r>
              <w:rPr>
                <w:rFonts w:hint="eastAsia" w:ascii="宋体" w:hAnsi="宋体" w:cs="宋体"/>
                <w:bCs/>
                <w:color w:val="000000" w:themeColor="text1"/>
                <w:sz w:val="24"/>
                <w:szCs w:val="24"/>
                <w:highlight w:val="none"/>
                <w:lang w:eastAsia="zh-CN"/>
                <w14:textFill>
                  <w14:solidFill>
                    <w14:schemeClr w14:val="tx1"/>
                  </w14:solidFill>
                </w14:textFill>
              </w:rPr>
              <w:t>义乌市消防救援支队2024年度消防器材装备（非信通装备类）采购项目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46"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2</w:t>
            </w:r>
          </w:p>
        </w:tc>
        <w:tc>
          <w:tcPr>
            <w:tcW w:w="13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pageBreakBefore w:val="0"/>
              <w:suppressLineNumbers w:val="0"/>
              <w:kinsoku/>
              <w:wordWrap/>
              <w:overflowPunct/>
              <w:topLinePunct w:val="0"/>
              <w:bidi w:val="0"/>
              <w:spacing w:before="0" w:beforeLines="0" w:beforeAutospacing="0" w:after="0" w:afterLines="0" w:afterAutospacing="0" w:line="360" w:lineRule="exact"/>
              <w:ind w:left="0" w:leftChars="0" w:right="0" w:rightChars="0"/>
              <w:jc w:val="center"/>
              <w:textAlignment w:val="auto"/>
              <w:outlineLvl w:val="9"/>
              <w:rPr>
                <w:rFonts w:hint="eastAsia" w:ascii="宋体" w:hAnsi="宋体" w:eastAsia="宋体" w:cs="宋体"/>
                <w:b/>
                <w:bCs w:val="0"/>
                <w:color w:val="000000" w:themeColor="text1"/>
                <w:spacing w:val="-20"/>
                <w:sz w:val="24"/>
                <w:szCs w:val="24"/>
                <w:highlight w:val="none"/>
                <w14:textFill>
                  <w14:solidFill>
                    <w14:schemeClr w14:val="tx1"/>
                  </w14:solidFill>
                </w14:textFill>
              </w:rPr>
            </w:pPr>
            <w:r>
              <w:rPr>
                <w:rFonts w:hint="eastAsia" w:ascii="宋体" w:hAnsi="宋体" w:eastAsia="宋体" w:cs="宋体"/>
                <w:b/>
                <w:bCs w:val="0"/>
                <w:color w:val="000000" w:themeColor="text1"/>
                <w:spacing w:val="-20"/>
                <w:sz w:val="24"/>
                <w:szCs w:val="24"/>
                <w:highlight w:val="none"/>
                <w14:textFill>
                  <w14:solidFill>
                    <w14:schemeClr w14:val="tx1"/>
                  </w14:solidFill>
                </w14:textFill>
              </w:rPr>
              <w:t>项目属性</w:t>
            </w:r>
          </w:p>
          <w:p>
            <w:pPr>
              <w:pStyle w:val="19"/>
              <w:keepNext w:val="0"/>
              <w:keepLines w:val="0"/>
              <w:pageBreakBefore w:val="0"/>
              <w:suppressLineNumbers w:val="0"/>
              <w:kinsoku/>
              <w:wordWrap/>
              <w:overflowPunct/>
              <w:topLinePunct w:val="0"/>
              <w:bidi w:val="0"/>
              <w:spacing w:before="0" w:beforeLines="0" w:beforeAutospacing="0" w:after="0" w:afterLines="0" w:afterAutospacing="0" w:line="360" w:lineRule="exact"/>
              <w:ind w:left="0" w:leftChars="0" w:right="0" w:rightChars="0"/>
              <w:jc w:val="center"/>
              <w:textAlignment w:val="auto"/>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val="0"/>
                <w:color w:val="000000" w:themeColor="text1"/>
                <w:spacing w:val="-20"/>
                <w:sz w:val="24"/>
                <w:szCs w:val="24"/>
                <w:highlight w:val="none"/>
                <w14:textFill>
                  <w14:solidFill>
                    <w14:schemeClr w14:val="tx1"/>
                  </w14:solidFill>
                </w14:textFill>
              </w:rPr>
              <w:t>与核心产品</w:t>
            </w:r>
          </w:p>
        </w:tc>
        <w:tc>
          <w:tcPr>
            <w:tcW w:w="77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pageBreakBefore w:val="0"/>
              <w:suppressLineNumbers w:val="0"/>
              <w:kinsoku/>
              <w:wordWrap/>
              <w:overflowPunct/>
              <w:topLinePunct w:val="0"/>
              <w:bidi w:val="0"/>
              <w:spacing w:before="0" w:beforeLines="0" w:beforeAutospacing="0" w:after="0" w:afterLines="0" w:afterAutospacing="0" w:line="360" w:lineRule="exact"/>
              <w:ind w:left="0" w:leftChars="0" w:right="0" w:rightChars="0" w:firstLine="482" w:firstLineChars="200"/>
              <w:textAlignment w:val="auto"/>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sym w:font="Wingdings" w:char="F0FE"/>
            </w:r>
            <w:r>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t>货物类，各标项单一产品或核心产品：详见招标文件第三部分采购需求的采购清单。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7"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3</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采购内容</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80"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cs="宋体"/>
                <w:bCs/>
                <w:color w:val="000000" w:themeColor="text1"/>
                <w:sz w:val="24"/>
                <w:szCs w:val="24"/>
                <w:highlight w:val="none"/>
                <w:lang w:eastAsia="zh-CN"/>
                <w14:textFill>
                  <w14:solidFill>
                    <w14:schemeClr w14:val="tx1"/>
                  </w14:solidFill>
                </w14:textFill>
              </w:rPr>
              <w:t>义乌市消防救援支队2024年度消防器材装备（非信通装备类）采购项目</w:t>
            </w:r>
            <w:r>
              <w:rPr>
                <w:rFonts w:hint="eastAsia" w:ascii="宋体" w:hAnsi="宋体" w:eastAsia="宋体" w:cs="宋体"/>
                <w:color w:val="000000" w:themeColor="text1"/>
                <w:spacing w:val="-6"/>
                <w:sz w:val="24"/>
                <w:szCs w:val="24"/>
                <w:highlight w:val="none"/>
                <w14:textFill>
                  <w14:solidFill>
                    <w14:schemeClr w14:val="tx1"/>
                  </w14:solidFill>
                </w14:textFill>
              </w:rPr>
              <w:t>，详见第三部分采购需求。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4</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cs="宋体"/>
                <w:b/>
                <w:bCs/>
                <w:color w:val="000000" w:themeColor="text1"/>
                <w:spacing w:val="-6"/>
                <w:sz w:val="24"/>
                <w:szCs w:val="24"/>
                <w:highlight w:val="none"/>
                <w:lang w:eastAsia="zh-CN"/>
                <w14:textFill>
                  <w14:solidFill>
                    <w14:schemeClr w14:val="tx1"/>
                  </w14:solidFill>
                </w14:textFill>
              </w:rPr>
              <w:t>供货</w:t>
            </w:r>
            <w:r>
              <w:rPr>
                <w:rFonts w:hint="eastAsia" w:ascii="宋体" w:hAnsi="宋体" w:eastAsia="宋体" w:cs="宋体"/>
                <w:b/>
                <w:bCs/>
                <w:color w:val="000000" w:themeColor="text1"/>
                <w:spacing w:val="-6"/>
                <w:sz w:val="24"/>
                <w:szCs w:val="24"/>
                <w:highlight w:val="none"/>
                <w14:textFill>
                  <w14:solidFill>
                    <w14:schemeClr w14:val="tx1"/>
                  </w14:solidFill>
                </w14:textFill>
              </w:rPr>
              <w:t>期</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合同签</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订生效之</w:t>
            </w:r>
            <w:r>
              <w:rPr>
                <w:rFonts w:hint="eastAsia" w:ascii="宋体" w:hAnsi="宋体" w:eastAsia="宋体" w:cs="宋体"/>
                <w:color w:val="000000" w:themeColor="text1"/>
                <w:spacing w:val="-6"/>
                <w:sz w:val="24"/>
                <w:szCs w:val="24"/>
                <w:highlight w:val="none"/>
                <w14:textFill>
                  <w14:solidFill>
                    <w14:schemeClr w14:val="tx1"/>
                  </w14:solidFill>
                </w14:textFill>
              </w:rPr>
              <w:t>日起2个月内完成供货，交采购人验收。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4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5</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最高限价</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exact"/>
              <w:ind w:left="0" w:leftChars="0" w:right="0" w:rightChars="0" w:firstLine="458" w:firstLineChars="200"/>
              <w:jc w:val="left"/>
              <w:textAlignment w:val="cente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最高限价详见招标文件第一部分，任何超过最高限价的报价将被认定为无效报价，</w:t>
            </w:r>
            <w:r>
              <w:rPr>
                <w:rFonts w:hint="eastAsia" w:ascii="宋体" w:hAnsi="宋体" w:eastAsia="宋体" w:cs="宋体"/>
                <w:b/>
                <w:color w:val="000000" w:themeColor="text1"/>
                <w:sz w:val="24"/>
                <w:szCs w:val="24"/>
                <w:highlight w:val="none"/>
                <w14:textFill>
                  <w14:solidFill>
                    <w14:schemeClr w14:val="tx1"/>
                  </w14:solidFill>
                </w14:textFill>
              </w:rPr>
              <w:t>其投标文件将被否决</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w:t>
            </w:r>
          </w:p>
          <w:p>
            <w:pPr>
              <w:keepNext w:val="0"/>
              <w:keepLines w:val="0"/>
              <w:pageBreakBefore w:val="0"/>
              <w:widowControl/>
              <w:suppressLineNumbers w:val="0"/>
              <w:kinsoku/>
              <w:wordWrap/>
              <w:overflowPunct/>
              <w:topLinePunct w:val="0"/>
              <w:bidi w:val="0"/>
              <w:spacing w:before="0" w:beforeAutospacing="0" w:after="0" w:afterAutospacing="0" w:line="360" w:lineRule="exact"/>
              <w:ind w:left="0" w:leftChars="0" w:right="0" w:rightChars="0" w:firstLine="458" w:firstLineChars="200"/>
              <w:jc w:val="left"/>
              <w:textAlignment w:val="center"/>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注：</w:t>
            </w:r>
            <w:r>
              <w:rPr>
                <w:rFonts w:hint="eastAsia" w:ascii="宋体" w:hAnsi="宋体" w:eastAsia="宋体" w:cs="宋体"/>
                <w:b/>
                <w:bCs/>
                <w:color w:val="000000" w:themeColor="text1"/>
                <w:sz w:val="24"/>
                <w:szCs w:val="24"/>
                <w:highlight w:val="none"/>
                <w14:textFill>
                  <w14:solidFill>
                    <w14:schemeClr w14:val="tx1"/>
                  </w14:solidFill>
                </w14:textFill>
              </w:rPr>
              <w:t>报</w:t>
            </w:r>
            <w:r>
              <w:rPr>
                <w:rFonts w:hint="eastAsia" w:ascii="宋体" w:hAnsi="宋体" w:eastAsia="宋体" w:cs="宋体"/>
                <w:b/>
                <w:color w:val="000000" w:themeColor="text1"/>
                <w:sz w:val="24"/>
                <w:szCs w:val="24"/>
                <w:highlight w:val="none"/>
                <w14:textFill>
                  <w14:solidFill>
                    <w14:schemeClr w14:val="tx1"/>
                  </w14:solidFill>
                </w14:textFill>
              </w:rPr>
              <w:t>价</w:t>
            </w:r>
            <w:r>
              <w:rPr>
                <w:rFonts w:hint="eastAsia" w:ascii="宋体" w:hAnsi="宋体" w:eastAsia="宋体" w:cs="宋体"/>
                <w:b/>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b/>
                <w:color w:val="000000" w:themeColor="text1"/>
                <w:sz w:val="24"/>
                <w:szCs w:val="24"/>
                <w:highlight w:val="none"/>
                <w14:textFill>
                  <w14:solidFill>
                    <w14:schemeClr w14:val="tx1"/>
                  </w14:solidFill>
                </w14:textFill>
              </w:rPr>
              <w:t>投标报价明细表</w:t>
            </w:r>
            <w:r>
              <w:rPr>
                <w:rFonts w:hint="eastAsia" w:ascii="宋体" w:hAnsi="宋体" w:eastAsia="宋体" w:cs="宋体"/>
                <w:b/>
                <w:color w:val="000000" w:themeColor="text1"/>
                <w:sz w:val="24"/>
                <w:szCs w:val="24"/>
                <w:highlight w:val="none"/>
                <w:lang w:val="en-US" w:eastAsia="zh-CN"/>
                <w14:textFill>
                  <w14:solidFill>
                    <w14:schemeClr w14:val="tx1"/>
                  </w14:solidFill>
                </w14:textFill>
              </w:rPr>
              <w:t>中的单价、单项报价等，以上所有报价均不得超过招标文件第一部分标明的对应最高限价。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0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6</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投标报价及费用</w:t>
            </w:r>
          </w:p>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80" w:firstLineChars="200"/>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本项目投标应以人民币报价；</w:t>
            </w:r>
          </w:p>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80" w:firstLineChars="200"/>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不论投标结果如何，投标人均应自行承担所有与投标有关的全部费用。</w:t>
            </w:r>
            <w:r>
              <w:rPr>
                <w:rFonts w:hint="eastAsia" w:ascii="宋体" w:hAnsi="宋体" w:eastAsia="宋体" w:cs="宋体"/>
                <w:b/>
                <w:color w:val="000000" w:themeColor="text1"/>
                <w:sz w:val="24"/>
                <w:szCs w:val="24"/>
                <w:highlight w:val="none"/>
                <w14:textFill>
                  <w14:solidFill>
                    <w14:schemeClr w14:val="tx1"/>
                  </w14:solidFill>
                </w14:textFill>
              </w:rPr>
              <w:t>评标委员会认为其报价明显低于其他通过符合性审查投标人的报价，且投标人不能证明其报价合理性，有可能影响产品质量或者不能诚信履约的，其投标无效。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7</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开标安排</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82" w:firstLineChars="200"/>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开标时间：202</w:t>
            </w:r>
            <w:r>
              <w:rPr>
                <w:rFonts w:hint="eastAsia" w:ascii="宋体" w:hAnsi="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年</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月</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日</w:t>
            </w:r>
            <w:r>
              <w:rPr>
                <w:rFonts w:hint="eastAsia" w:ascii="宋体" w:hAnsi="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点</w:t>
            </w:r>
            <w:r>
              <w:rPr>
                <w:rFonts w:hint="eastAsia" w:ascii="宋体" w:hAnsi="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0分（北京时间）</w:t>
            </w:r>
          </w:p>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开标地点：</w:t>
            </w:r>
            <w:r>
              <w:rPr>
                <w:rFonts w:hint="eastAsia" w:ascii="宋体" w:hAnsi="宋体" w:cs="宋体"/>
                <w:b w:val="0"/>
                <w:bCs w:val="0"/>
                <w:color w:val="000000" w:themeColor="text1"/>
                <w:sz w:val="24"/>
                <w:szCs w:val="24"/>
                <w:highlight w:val="none"/>
                <w:lang w:eastAsia="zh-CN"/>
                <w14:textFill>
                  <w14:solidFill>
                    <w14:schemeClr w14:val="tx1"/>
                  </w14:solidFill>
                </w14:textFill>
              </w:rPr>
              <w:t>义乌市消防救援支</w:t>
            </w:r>
            <w:r>
              <w:rPr>
                <w:rFonts w:hint="eastAsia" w:ascii="宋体" w:hAnsi="宋体" w:eastAsia="宋体" w:cs="宋体"/>
                <w:b w:val="0"/>
                <w:bCs w:val="0"/>
                <w:color w:val="000000" w:themeColor="text1"/>
                <w:sz w:val="24"/>
                <w:szCs w:val="24"/>
                <w:highlight w:val="none"/>
                <w14:textFill>
                  <w14:solidFill>
                    <w14:schemeClr w14:val="tx1"/>
                  </w14:solidFill>
                </w14:textFill>
              </w:rPr>
              <w:t>队</w:t>
            </w:r>
            <w:r>
              <w:rPr>
                <w:rFonts w:hint="eastAsia" w:ascii="宋体" w:hAnsi="宋体" w:cs="宋体"/>
                <w:b w:val="0"/>
                <w:bCs w:val="0"/>
                <w:color w:val="000000" w:themeColor="text1"/>
                <w:sz w:val="24"/>
                <w:szCs w:val="24"/>
                <w:highlight w:val="green"/>
                <w:lang w:val="en-US" w:eastAsia="zh-CN"/>
                <w14:textFill>
                  <w14:solidFill>
                    <w14:schemeClr w14:val="tx1"/>
                  </w14:solidFill>
                </w14:textFill>
              </w:rPr>
              <w:t>1</w:t>
            </w:r>
            <w:r>
              <w:rPr>
                <w:rFonts w:hint="eastAsia" w:ascii="宋体" w:hAnsi="宋体" w:eastAsia="宋体" w:cs="宋体"/>
                <w:b w:val="0"/>
                <w:bCs w:val="0"/>
                <w:color w:val="000000" w:themeColor="text1"/>
                <w:sz w:val="24"/>
                <w:szCs w:val="24"/>
                <w:highlight w:val="green"/>
                <w14:textFill>
                  <w14:solidFill>
                    <w14:schemeClr w14:val="tx1"/>
                  </w14:solidFill>
                </w14:textFill>
              </w:rPr>
              <w:t>楼开标室</w:t>
            </w:r>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义乌市机场路636号</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80" w:firstLineChars="200"/>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投标文件接收：202</w:t>
            </w:r>
            <w:r>
              <w:rPr>
                <w:rFonts w:hint="eastAsia" w:ascii="宋体" w:hAnsi="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年</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月</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日</w:t>
            </w:r>
            <w:r>
              <w:rPr>
                <w:rFonts w:hint="eastAsia" w:ascii="宋体" w:hAnsi="宋体" w:cs="宋体"/>
                <w:b/>
                <w:bCs/>
                <w:color w:val="000000" w:themeColor="text1"/>
                <w:sz w:val="24"/>
                <w:szCs w:val="24"/>
                <w:highlight w:val="none"/>
                <w:lang w:val="en-US" w:eastAsia="zh-CN"/>
                <w14:textFill>
                  <w14:solidFill>
                    <w14:schemeClr w14:val="tx1"/>
                  </w14:solidFill>
                </w14:textFill>
              </w:rPr>
              <w:t>8</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点</w:t>
            </w:r>
            <w:r>
              <w:rPr>
                <w:rFonts w:hint="eastAsia" w:ascii="宋体" w:hAnsi="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0分-</w:t>
            </w:r>
            <w:r>
              <w:rPr>
                <w:rFonts w:hint="eastAsia" w:ascii="宋体" w:hAnsi="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点</w:t>
            </w:r>
            <w:r>
              <w:rPr>
                <w:rFonts w:hint="eastAsia" w:ascii="宋体" w:hAnsi="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0分接收投标文件。</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递交的投标文件应包装完整、牢固不易脱落，若因包装问题在移动、搬运过程中造成遗失或破损的，由投标人承担。     </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482" w:firstLineChars="200"/>
              <w:jc w:val="left"/>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shd w:val="clear"/>
                <w:lang w:val="en-US" w:eastAsia="zh-CN"/>
                <w14:textFill>
                  <w14:solidFill>
                    <w14:schemeClr w14:val="tx1"/>
                  </w14:solidFill>
                </w14:textFill>
              </w:rPr>
              <w:t>特别提醒：同时投多个标项的投标人代表在提交投标文件时，须在所投标项相应登记表上逐一签到，投标文件分别放在所投标项指定位置。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8</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17"/>
                <w:sz w:val="24"/>
                <w:szCs w:val="24"/>
                <w:highlight w:val="none"/>
                <w14:textFill>
                  <w14:solidFill>
                    <w14:schemeClr w14:val="tx1"/>
                  </w14:solidFill>
                </w14:textFill>
              </w:rPr>
              <w:t>投标保证金</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免收</w:t>
            </w:r>
            <w:r>
              <w:rPr>
                <w:rFonts w:hint="eastAsia" w:ascii="宋体" w:hAnsi="宋体" w:eastAsia="宋体" w:cs="宋体"/>
                <w:color w:val="000000" w:themeColor="text1"/>
                <w:spacing w:val="-6"/>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9</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jc w:val="center"/>
              <w:textAlignment w:val="bottom"/>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投标文件份数</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pacing w:val="-6"/>
                <w:sz w:val="24"/>
                <w:szCs w:val="24"/>
                <w:highlight w:val="none"/>
                <w:lang w:val="en-US" w:eastAsia="zh-CN"/>
                <w14:textFill>
                  <w14:solidFill>
                    <w14:schemeClr w14:val="tx1"/>
                  </w14:solidFill>
                </w14:textFill>
              </w:rPr>
              <w:t>各标项</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正本1份，副本</w:t>
            </w:r>
            <w:r>
              <w:rPr>
                <w:rFonts w:hint="eastAsia" w:ascii="宋体" w:hAnsi="宋体" w:cs="宋体"/>
                <w:b w:val="0"/>
                <w:bCs w:val="0"/>
                <w:color w:val="000000" w:themeColor="text1"/>
                <w:spacing w:val="-6"/>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份。</w:t>
            </w:r>
          </w:p>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提供电子版投标文件</w:t>
            </w:r>
            <w:r>
              <w:rPr>
                <w:rFonts w:hint="eastAsia" w:ascii="宋体" w:hAnsi="宋体" w:eastAsia="宋体" w:cs="宋体"/>
                <w:b/>
                <w:bCs/>
                <w:color w:val="000000" w:themeColor="text1"/>
                <w:spacing w:val="-6"/>
                <w:sz w:val="24"/>
                <w:szCs w:val="24"/>
                <w:highlight w:val="none"/>
                <w:u w:val="single"/>
                <w:lang w:val="en-US" w:eastAsia="zh-CN"/>
                <w14:textFill>
                  <w14:solidFill>
                    <w14:schemeClr w14:val="tx1"/>
                  </w14:solidFill>
                </w14:textFill>
              </w:rPr>
              <w:t>U盘</w:t>
            </w:r>
            <w:r>
              <w:rPr>
                <w:rFonts w:hint="eastAsia" w:ascii="宋体" w:hAnsi="宋体" w:cs="宋体"/>
                <w:b w:val="0"/>
                <w:bCs w:val="0"/>
                <w:color w:val="000000" w:themeColor="text1"/>
                <w:spacing w:val="-6"/>
                <w:sz w:val="24"/>
                <w:szCs w:val="24"/>
                <w:highlight w:val="none"/>
                <w:lang w:val="en-US" w:eastAsia="zh-CN"/>
                <w14:textFill>
                  <w14:solidFill>
                    <w14:schemeClr w14:val="tx1"/>
                  </w14:solidFill>
                </w14:textFill>
              </w:rPr>
              <w:t>1个</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（含word版本，盖章扫描件pdf版本</w:t>
            </w:r>
            <w:r>
              <w:rPr>
                <w:rFonts w:hint="eastAsia" w:ascii="宋体" w:hAnsi="宋体" w:cs="宋体"/>
                <w:b w:val="0"/>
                <w:bCs w:val="0"/>
                <w:color w:val="000000" w:themeColor="text1"/>
                <w:spacing w:val="-6"/>
                <w:sz w:val="24"/>
                <w:szCs w:val="24"/>
                <w:highlight w:val="none"/>
                <w:lang w:val="en-US" w:eastAsia="zh-CN"/>
                <w14:textFill>
                  <w14:solidFill>
                    <w14:schemeClr w14:val="tx1"/>
                  </w14:solidFill>
                </w14:textFill>
              </w:rPr>
              <w:t>。U盘上</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的标签贴不得张贴在接近U盘插口处，否则将可能损坏电脑USB插口导致数据 无法读取），</w:t>
            </w:r>
            <w:r>
              <w:rPr>
                <w:rFonts w:hint="eastAsia" w:ascii="宋体" w:hAnsi="宋体" w:cs="宋体"/>
                <w:b w:val="0"/>
                <w:bCs w:val="0"/>
                <w:color w:val="000000" w:themeColor="text1"/>
                <w:spacing w:val="-6"/>
                <w:sz w:val="24"/>
                <w:szCs w:val="24"/>
                <w:highlight w:val="none"/>
                <w:lang w:val="en-US" w:eastAsia="zh-CN"/>
                <w14:textFill>
                  <w14:solidFill>
                    <w14:schemeClr w14:val="tx1"/>
                  </w14:solidFill>
                </w14:textFill>
              </w:rPr>
              <w:t>U盘装入信封后与资格、商务技术文件</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密封。</w:t>
            </w:r>
          </w:p>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注：按标项装订标书。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4"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10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制作及</w:t>
            </w:r>
            <w:r>
              <w:rPr>
                <w:rFonts w:hint="eastAsia" w:ascii="宋体" w:hAnsi="宋体" w:eastAsia="宋体" w:cs="宋体"/>
                <w:b/>
                <w:bCs/>
                <w:color w:val="000000" w:themeColor="text1"/>
                <w:sz w:val="24"/>
                <w:szCs w:val="24"/>
                <w:highlight w:val="none"/>
                <w14:textFill>
                  <w14:solidFill>
                    <w14:schemeClr w14:val="tx1"/>
                  </w14:solidFill>
                </w14:textFill>
              </w:rPr>
              <w:t>装订要求</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（1）制作要求：</w:t>
            </w:r>
          </w:p>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投标文件（包括资格商务技术文件、报价文件）封面后的第一页制作评标索引目录，标明提交满足招标文件要求的对应投标材料所在页码供现场工作人员及评委会查阅。</w:t>
            </w:r>
          </w:p>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（2）装订要求：</w:t>
            </w:r>
          </w:p>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8" w:firstLineChars="200"/>
              <w:outlineLvl w:val="9"/>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资格证明文件、商务技术文件合并成一册装订</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报价文件单独</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一册</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装订</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采用胶装，不得采用活页装订。采用活页装订的投标文件由现场工作人员退还投标人代表。</w:t>
            </w:r>
          </w:p>
          <w:p>
            <w:pPr>
              <w:keepNext w:val="0"/>
              <w:keepLines w:val="0"/>
              <w:pageBreakBefore w:val="0"/>
              <w:numPr>
                <w:ilvl w:val="0"/>
                <w:numId w:val="0"/>
              </w:numPr>
              <w:suppressLineNumbers w:val="0"/>
              <w:shd w:val="clear"/>
              <w:kinsoku/>
              <w:wordWrap/>
              <w:overflowPunct/>
              <w:topLinePunct w:val="0"/>
              <w:autoSpaceDE w:val="0"/>
              <w:autoSpaceDN w:val="0"/>
              <w:bidi w:val="0"/>
              <w:adjustRightIn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注：所有投标文件的封面应按规定格式标注</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所投标项</w:t>
            </w: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。副本的封面应加盖公章，副本的其他部分可以是正本的复印件，文本内容清晰可见。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1</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1</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样品</w:t>
            </w:r>
          </w:p>
        </w:tc>
        <w:tc>
          <w:tcPr>
            <w:tcW w:w="77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无需样品比对测试，不需</w:t>
            </w:r>
            <w:r>
              <w:rPr>
                <w:rFonts w:hint="eastAsia" w:ascii="宋体" w:hAnsi="宋体" w:eastAsia="宋体" w:cs="宋体"/>
                <w:color w:val="000000" w:themeColor="text1"/>
                <w:sz w:val="24"/>
                <w:szCs w:val="24"/>
                <w:highlight w:val="none"/>
                <w:lang w:val="en-US" w:eastAsia="zh-CN"/>
                <w14:textFill>
                  <w14:solidFill>
                    <w14:schemeClr w14:val="tx1"/>
                  </w14:solidFill>
                </w14:textFill>
              </w:rPr>
              <w:t>要提供样品</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3"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1</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2</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jc w:val="center"/>
              <w:textAlignment w:val="bottom"/>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投标文件有效期</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56" w:firstLineChars="200"/>
              <w:textAlignment w:val="bottom"/>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自投标截止日起180日内有效。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1"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1</w:t>
            </w: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3</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jc w:val="center"/>
              <w:textAlignment w:val="bottom"/>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b/>
                <w:bCs/>
                <w:color w:val="000000" w:themeColor="text1"/>
                <w:spacing w:val="-6"/>
                <w:sz w:val="24"/>
                <w:szCs w:val="24"/>
                <w:highlight w:val="none"/>
                <w14:textFill>
                  <w14:solidFill>
                    <w14:schemeClr w14:val="tx1"/>
                  </w14:solidFill>
                </w14:textFill>
              </w:rPr>
              <w:t>的澄清与修改</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56" w:firstLineChars="200"/>
              <w:textAlignment w:val="bottom"/>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在投标截止时间15天前，采购人有权澄清和修改</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pacing w:val="-6"/>
                <w:sz w:val="24"/>
                <w:szCs w:val="24"/>
                <w:highlight w:val="none"/>
                <w14:textFill>
                  <w14:solidFill>
                    <w14:schemeClr w14:val="tx1"/>
                  </w14:solidFill>
                </w14:textFill>
              </w:rPr>
              <w:t>，</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在财政部门指定的政府采购信息发布媒体上发布更正公告，</w:t>
            </w:r>
            <w:r>
              <w:rPr>
                <w:rFonts w:hint="eastAsia" w:ascii="宋体" w:hAnsi="宋体" w:eastAsia="宋体" w:cs="宋体"/>
                <w:color w:val="000000" w:themeColor="text1"/>
                <w:spacing w:val="-6"/>
                <w:sz w:val="24"/>
                <w:szCs w:val="24"/>
                <w:highlight w:val="none"/>
                <w14:textFill>
                  <w14:solidFill>
                    <w14:schemeClr w14:val="tx1"/>
                  </w14:solidFill>
                </w14:textFill>
              </w:rPr>
              <w:t>并以</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邮箱发送电子文件</w:t>
            </w:r>
            <w:r>
              <w:rPr>
                <w:rFonts w:hint="eastAsia" w:ascii="宋体" w:hAnsi="宋体" w:eastAsia="宋体" w:cs="宋体"/>
                <w:color w:val="000000" w:themeColor="text1"/>
                <w:spacing w:val="-6"/>
                <w:sz w:val="24"/>
                <w:szCs w:val="24"/>
                <w:highlight w:val="none"/>
                <w14:textFill>
                  <w14:solidFill>
                    <w14:schemeClr w14:val="tx1"/>
                  </w14:solidFill>
                </w14:textFill>
              </w:rPr>
              <w:t>形式通知所有已购买</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pacing w:val="-6"/>
                <w:sz w:val="24"/>
                <w:szCs w:val="24"/>
                <w:highlight w:val="none"/>
                <w14:textFill>
                  <w14:solidFill>
                    <w14:schemeClr w14:val="tx1"/>
                  </w14:solidFill>
                </w14:textFill>
              </w:rPr>
              <w:t>的供应商。修改和澄清（答疑）答复的文件作为</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pacing w:val="-6"/>
                <w:sz w:val="24"/>
                <w:szCs w:val="24"/>
                <w:highlight w:val="none"/>
                <w14:textFill>
                  <w14:solidFill>
                    <w14:schemeClr w14:val="tx1"/>
                  </w14:solidFill>
                </w14:textFill>
              </w:rPr>
              <w:t>的补充和组成部分，对所有供应商均有约束力。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8"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14</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评标办法</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textAlignment w:val="bottom"/>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综合评分法</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237" w:hRule="atLeast"/>
          <w:jc w:val="center"/>
        </w:trPr>
        <w:tc>
          <w:tcPr>
            <w:tcW w:w="633" w:type="dxa"/>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1</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5</w:t>
            </w:r>
          </w:p>
        </w:tc>
        <w:tc>
          <w:tcPr>
            <w:tcW w:w="1347"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200" w:leftChars="0" w:right="0" w:rightChars="0" w:hanging="200" w:hangingChars="83"/>
              <w:jc w:val="center"/>
              <w:textAlignment w:val="bottom"/>
              <w:outlineLvl w:val="9"/>
              <w:rPr>
                <w:rFonts w:hint="eastAsia" w:ascii="宋体" w:hAnsi="宋体" w:eastAsia="宋体" w:cs="宋体"/>
                <w:b/>
                <w:bCs/>
                <w:color w:val="000000" w:themeColor="text1"/>
                <w:sz w:val="24"/>
                <w:szCs w:val="24"/>
                <w:highlight w:val="none"/>
                <w:lang w:val="en-US" w:eastAsia="zh-CN" w:bidi="ar"/>
                <w14:textFill>
                  <w14:solidFill>
                    <w14:schemeClr w14:val="tx1"/>
                  </w14:solidFill>
                </w14:textFill>
              </w:rPr>
            </w:pPr>
            <w:r>
              <w:rPr>
                <w:rFonts w:hint="eastAsia" w:ascii="宋体" w:hAnsi="宋体" w:cs="宋体"/>
                <w:b/>
                <w:bCs/>
                <w:color w:val="000000" w:themeColor="text1"/>
                <w:sz w:val="24"/>
                <w:szCs w:val="24"/>
                <w:highlight w:val="none"/>
                <w:lang w:val="en-US" w:eastAsia="zh-CN" w:bidi="ar"/>
                <w14:textFill>
                  <w14:solidFill>
                    <w14:schemeClr w14:val="tx1"/>
                  </w14:solidFill>
                </w14:textFill>
              </w:rPr>
              <w:t>中小</w:t>
            </w:r>
            <w:r>
              <w:rPr>
                <w:rFonts w:hint="eastAsia" w:ascii="宋体" w:hAnsi="宋体" w:eastAsia="宋体" w:cs="宋体"/>
                <w:b/>
                <w:bCs/>
                <w:color w:val="000000" w:themeColor="text1"/>
                <w:sz w:val="24"/>
                <w:szCs w:val="24"/>
                <w:highlight w:val="none"/>
                <w:lang w:val="en-US" w:eastAsia="zh-CN" w:bidi="ar"/>
                <w14:textFill>
                  <w14:solidFill>
                    <w14:schemeClr w14:val="tx1"/>
                  </w14:solidFill>
                </w14:textFill>
              </w:rPr>
              <w:t>企</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200" w:leftChars="0" w:right="0" w:rightChars="0" w:hanging="200" w:hangingChars="83"/>
              <w:jc w:val="center"/>
              <w:textAlignment w:val="bottom"/>
              <w:outlineLvl w:val="9"/>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bidi="ar"/>
                <w14:textFill>
                  <w14:solidFill>
                    <w14:schemeClr w14:val="tx1"/>
                  </w14:solidFill>
                </w14:textFill>
              </w:rPr>
              <w:t>业认定</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（1）</w:t>
            </w:r>
            <w:r>
              <w:rPr>
                <w:rFonts w:hint="eastAsia" w:ascii="宋体" w:hAnsi="宋体" w:eastAsia="宋体" w:cs="宋体"/>
                <w:b/>
                <w:bCs/>
                <w:color w:val="000000" w:themeColor="text1"/>
                <w:sz w:val="24"/>
                <w:szCs w:val="24"/>
                <w:highlight w:val="none"/>
                <w:lang w:bidi="ar"/>
                <w14:textFill>
                  <w14:solidFill>
                    <w14:schemeClr w14:val="tx1"/>
                  </w14:solidFill>
                </w14:textFill>
              </w:rPr>
              <w:t>本次采购</w:t>
            </w:r>
            <w:r>
              <w:rPr>
                <w:rFonts w:hint="eastAsia" w:ascii="宋体" w:hAnsi="宋体" w:eastAsia="宋体" w:cs="宋体"/>
                <w:b/>
                <w:bCs/>
                <w:color w:val="000000" w:themeColor="text1"/>
                <w:sz w:val="24"/>
                <w:szCs w:val="24"/>
                <w:highlight w:val="none"/>
                <w:lang w:val="en-US" w:eastAsia="zh-CN" w:bidi="ar"/>
                <w14:textFill>
                  <w14:solidFill>
                    <w14:schemeClr w14:val="tx1"/>
                  </w14:solidFill>
                </w14:textFill>
              </w:rPr>
              <w:t>所有标项均</w:t>
            </w:r>
            <w:r>
              <w:rPr>
                <w:rFonts w:hint="eastAsia" w:ascii="宋体" w:hAnsi="宋体" w:eastAsia="宋体" w:cs="宋体"/>
                <w:b/>
                <w:bCs/>
                <w:color w:val="000000" w:themeColor="text1"/>
                <w:sz w:val="24"/>
                <w:szCs w:val="24"/>
                <w:highlight w:val="none"/>
                <w:lang w:bidi="ar"/>
                <w14:textFill>
                  <w14:solidFill>
                    <w14:schemeClr w14:val="tx1"/>
                  </w14:solidFill>
                </w14:textFill>
              </w:rPr>
              <w:t>为专门面向中小企业预留采购份额的采购项目。投标文件中须</w:t>
            </w:r>
            <w:r>
              <w:rPr>
                <w:rFonts w:hint="eastAsia" w:ascii="宋体" w:hAnsi="宋体" w:eastAsia="宋体" w:cs="宋体"/>
                <w:b/>
                <w:bCs/>
                <w:color w:val="000000" w:themeColor="text1"/>
                <w:sz w:val="24"/>
                <w:szCs w:val="24"/>
                <w:highlight w:val="none"/>
                <w:lang w:val="en-US" w:eastAsia="zh-CN" w:bidi="ar"/>
                <w14:textFill>
                  <w14:solidFill>
                    <w14:schemeClr w14:val="tx1"/>
                  </w14:solidFill>
                </w14:textFill>
              </w:rPr>
              <w:t>提供投标人</w:t>
            </w:r>
            <w:r>
              <w:rPr>
                <w:rFonts w:hint="eastAsia" w:ascii="宋体" w:hAnsi="宋体" w:eastAsia="宋体" w:cs="宋体"/>
                <w:b/>
                <w:bCs/>
                <w:color w:val="000000" w:themeColor="text1"/>
                <w:sz w:val="24"/>
                <w:szCs w:val="24"/>
                <w:highlight w:val="none"/>
                <w:lang w:bidi="ar"/>
                <w14:textFill>
                  <w14:solidFill>
                    <w14:schemeClr w14:val="tx1"/>
                  </w14:solidFill>
                </w14:textFill>
              </w:rPr>
              <w:t>出具</w:t>
            </w:r>
            <w:r>
              <w:rPr>
                <w:rFonts w:hint="eastAsia" w:ascii="宋体" w:hAnsi="宋体" w:eastAsia="宋体" w:cs="宋体"/>
                <w:b/>
                <w:bCs/>
                <w:color w:val="000000" w:themeColor="text1"/>
                <w:sz w:val="24"/>
                <w:szCs w:val="24"/>
                <w:highlight w:val="none"/>
                <w:lang w:val="en-US" w:eastAsia="zh-CN" w:bidi="ar"/>
                <w14:textFill>
                  <w14:solidFill>
                    <w14:schemeClr w14:val="tx1"/>
                  </w14:solidFill>
                </w14:textFill>
              </w:rPr>
              <w:t>的</w:t>
            </w:r>
            <w:r>
              <w:rPr>
                <w:rFonts w:hint="eastAsia" w:ascii="宋体" w:hAnsi="宋体" w:eastAsia="宋体" w:cs="宋体"/>
                <w:b/>
                <w:bCs/>
                <w:color w:val="000000" w:themeColor="text1"/>
                <w:sz w:val="24"/>
                <w:szCs w:val="24"/>
                <w:highlight w:val="none"/>
                <w:lang w:bidi="ar"/>
                <w14:textFill>
                  <w14:solidFill>
                    <w14:schemeClr w14:val="tx1"/>
                  </w14:solidFill>
                </w14:textFill>
              </w:rPr>
              <w:t>《政府采购促进中小企业发展管理办法》【</w:t>
            </w:r>
            <w:r>
              <w:rPr>
                <w:rFonts w:hint="eastAsia" w:ascii="宋体" w:hAnsi="宋体" w:eastAsia="宋体" w:cs="宋体"/>
                <w:b/>
                <w:bCs/>
                <w:color w:val="000000" w:themeColor="text1"/>
                <w:sz w:val="24"/>
                <w:szCs w:val="24"/>
                <w:highlight w:val="none"/>
                <w:lang w:eastAsia="zh-CN" w:bidi="ar"/>
                <w14:textFill>
                  <w14:solidFill>
                    <w14:schemeClr w14:val="tx1"/>
                  </w14:solidFill>
                </w14:textFill>
              </w:rPr>
              <w:t>财库2022年19号文件</w:t>
            </w:r>
            <w:r>
              <w:rPr>
                <w:rFonts w:hint="eastAsia" w:ascii="宋体" w:hAnsi="宋体" w:eastAsia="宋体" w:cs="宋体"/>
                <w:b/>
                <w:bCs/>
                <w:color w:val="000000" w:themeColor="text1"/>
                <w:sz w:val="24"/>
                <w:szCs w:val="24"/>
                <w:highlight w:val="none"/>
                <w:lang w:bidi="ar"/>
                <w14:textFill>
                  <w14:solidFill>
                    <w14:schemeClr w14:val="tx1"/>
                  </w14:solidFill>
                </w14:textFill>
              </w:rPr>
              <w:t>】规定的《中小企业声明函》</w:t>
            </w:r>
            <w:r>
              <w:rPr>
                <w:rFonts w:hint="eastAsia" w:ascii="宋体" w:hAnsi="宋体" w:eastAsia="宋体" w:cs="宋体"/>
                <w:b/>
                <w:bCs/>
                <w:color w:val="000000" w:themeColor="text1"/>
                <w:sz w:val="24"/>
                <w:szCs w:val="24"/>
                <w:highlight w:val="none"/>
                <w:lang w:eastAsia="zh-CN" w:bidi="ar"/>
                <w14:textFill>
                  <w14:solidFill>
                    <w14:schemeClr w14:val="tx1"/>
                  </w14:solidFill>
                </w14:textFill>
              </w:rPr>
              <w:t>。</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2</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本次采购标的为货物，对应的中小企业划分标准所属行业是：</w:t>
            </w:r>
            <w:r>
              <w:rPr>
                <w:rFonts w:hint="eastAsia" w:ascii="宋体" w:hAnsi="宋体" w:eastAsia="宋体" w:cs="宋体"/>
                <w:b w:val="0"/>
                <w:bCs w:val="0"/>
                <w:color w:val="000000" w:themeColor="text1"/>
                <w:sz w:val="24"/>
                <w:szCs w:val="24"/>
                <w:highlight w:val="none"/>
                <w:u w:val="single"/>
                <w:lang w:bidi="ar"/>
                <w14:textFill>
                  <w14:solidFill>
                    <w14:schemeClr w14:val="tx1"/>
                  </w14:solidFill>
                </w14:textFill>
              </w:rPr>
              <w:t>工业</w:t>
            </w:r>
            <w:r>
              <w:rPr>
                <w:rFonts w:hint="eastAsia" w:ascii="宋体" w:hAnsi="宋体" w:eastAsia="宋体" w:cs="宋体"/>
                <w:b w:val="0"/>
                <w:bCs w:val="0"/>
                <w:color w:val="000000" w:themeColor="text1"/>
                <w:sz w:val="24"/>
                <w:szCs w:val="24"/>
                <w:highlight w:val="none"/>
                <w:u w:val="none"/>
                <w:lang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（从业人员 1000 人以下或营业收入 40000 万元以下的为中小微型企业。其中，从业人员 300 人及以上，且营业收入 2000 万元及以上的为中型企业；从业人员20 人及以上，且营业收入 300 万元及以上的为小型企业； 从业人员 20 人以下或营业收入 300 万元以下的为微型企 业。）</w:t>
            </w:r>
          </w:p>
          <w:p>
            <w:pPr>
              <w:pStyle w:val="42"/>
              <w:keepNext w:val="0"/>
              <w:keepLines w:val="0"/>
              <w:pageBreakBefore w:val="0"/>
              <w:suppressLineNumbers w:val="0"/>
              <w:shd w:val="clear"/>
              <w:kinsoku/>
              <w:wordWrap/>
              <w:overflowPunct/>
              <w:topLinePunct w:val="0"/>
              <w:bidi w:val="0"/>
              <w:spacing w:before="0" w:beforeAutospacing="0" w:after="0" w:afterAutospacing="0" w:line="360" w:lineRule="exact"/>
              <w:ind w:left="0" w:leftChars="0" w:right="0" w:rightChars="0" w:firstLine="480" w:firstLineChars="200"/>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3</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残疾人福利性单位视同小型、微型企业，享受预留份额、评审中价格扣除等促进中小企业发展的政府采购政策。符合条件的残疾人福利性单位在参加政府采购活动时，应当提供本通知规定的《残疾人福利性单位声明函》（见附件），并对声明的真实性负责。</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享受政府采购支持政策的残疾人福利性单位应当同时满足以下条件：</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（一）安置的残疾人占本单位在职职工人数的比例不低于25%（含25%），并且安置的残疾人人数不少于10人（含10人）；</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（二）依法与安置的每位残疾人签订了一年以上（含一年）的劳动合同或服务协议；</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（三）为安置的每位残疾人按月足额缴纳了基本养老保险、基本医疗保险、失业保险、工伤保险和生育保险等社会保险费；</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（四）通过银行等金融机构向安置的每位残疾人，按月支付了不低于单位所在区县适用的经省级人民政府批准的月最低工资标准的工资；</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suppressLineNumbers w:val="0"/>
              <w:shd w:val="clear"/>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1</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6</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229" w:leftChars="0" w:right="0" w:rightChars="0" w:hanging="229" w:hangingChars="100"/>
              <w:jc w:val="left"/>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强制采购政策与优先采购政策</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1</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节能产品的强制采购政策</w:t>
            </w:r>
          </w:p>
          <w:p>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 xml:space="preserve">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认证证书，并在投标文件中提供该产品节能产品认证证书，否则无效。（注：本项目执行最新政府采购节能产品、环境标志产品品目清单。） </w:t>
            </w:r>
          </w:p>
          <w:p>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2）</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节能产品、环境标志产品的优先采购政策</w:t>
            </w:r>
          </w:p>
          <w:p>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360" w:lineRule="exact"/>
              <w:ind w:left="0" w:leftChars="0" w:right="0" w:rightChars="0" w:firstLine="480" w:firstLineChars="200"/>
              <w:jc w:val="left"/>
              <w:textAlignment w:val="bottom"/>
              <w:outlineLvl w:val="9"/>
              <w:rPr>
                <w:rFonts w:hint="eastAsia" w:ascii="宋体" w:hAnsi="宋体" w:eastAsia="宋体" w:cs="宋体"/>
                <w:b w:val="0"/>
                <w:bCs w:val="0"/>
                <w:color w:val="000000" w:themeColor="text1"/>
                <w:sz w:val="24"/>
                <w:szCs w:val="24"/>
                <w:highlight w:val="none"/>
                <w:lang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根据财政部、国家发展和改革委员会、生态环境部等部门公布的 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投标文件中提供该产品节能产品、环境标志产品认证证书</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 xml:space="preserve">（注：本项目执行最新政府采购节能产品、环境标志产品品目清单。）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1</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7</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14:textFill>
                  <w14:solidFill>
                    <w14:schemeClr w14:val="tx1"/>
                  </w14:solidFill>
                </w14:textFill>
              </w:rPr>
            </w:pPr>
            <w:r>
              <w:rPr>
                <w:rFonts w:hint="eastAsia" w:ascii="宋体" w:hAnsi="宋体" w:eastAsia="宋体" w:cs="宋体"/>
                <w:b/>
                <w:bCs/>
                <w:color w:val="000000" w:themeColor="text1"/>
                <w:spacing w:val="-6"/>
                <w:sz w:val="24"/>
                <w:szCs w:val="24"/>
                <w:highlight w:val="none"/>
                <w14:textFill>
                  <w14:solidFill>
                    <w14:schemeClr w14:val="tx1"/>
                  </w14:solidFill>
                </w14:textFill>
              </w:rPr>
              <w:t>质疑</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根据《中华人民共和国政府采购法》第五十二条、《中华人民共和国政府采购法实施条例》第五十三条、《</w:t>
            </w:r>
            <w:r>
              <w:rPr>
                <w:rFonts w:hint="eastAsia" w:ascii="宋体" w:hAnsi="宋体" w:eastAsia="宋体" w:cs="宋体"/>
                <w:caps w:val="0"/>
                <w:color w:val="000000" w:themeColor="text1"/>
                <w:spacing w:val="-6"/>
                <w:sz w:val="24"/>
                <w:szCs w:val="24"/>
                <w:highlight w:val="none"/>
                <w14:textFill>
                  <w14:solidFill>
                    <w14:schemeClr w14:val="tx1"/>
                  </w14:solidFill>
                </w14:textFill>
              </w:rPr>
              <w:t>中华人民共和国财政部令第94号《政府采购质疑和投诉办法》</w:t>
            </w:r>
            <w:r>
              <w:rPr>
                <w:rFonts w:hint="eastAsia" w:ascii="宋体" w:hAnsi="宋体" w:eastAsia="宋体" w:cs="宋体"/>
                <w:color w:val="000000" w:themeColor="text1"/>
                <w:spacing w:val="-6"/>
                <w:sz w:val="24"/>
                <w:szCs w:val="24"/>
                <w:highlight w:val="none"/>
                <w14:textFill>
                  <w14:solidFill>
                    <w14:schemeClr w14:val="tx1"/>
                  </w14:solidFill>
                </w14:textFill>
              </w:rPr>
              <w:t>的规定：</w:t>
            </w:r>
          </w:p>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供应商如认为</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pacing w:val="-6"/>
                <w:sz w:val="24"/>
                <w:szCs w:val="24"/>
                <w:highlight w:val="none"/>
                <w14:textFill>
                  <w14:solidFill>
                    <w14:schemeClr w14:val="tx1"/>
                  </w14:solidFill>
                </w14:textFill>
              </w:rPr>
              <w:t>使自身的合法权益受到损害的，应于自收到</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pacing w:val="-6"/>
                <w:sz w:val="24"/>
                <w:szCs w:val="24"/>
                <w:highlight w:val="none"/>
                <w14:textFill>
                  <w14:solidFill>
                    <w14:schemeClr w14:val="tx1"/>
                  </w14:solidFill>
                </w14:textFill>
              </w:rPr>
              <w:t>之日或者</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招标文件</w:t>
            </w:r>
            <w:r>
              <w:rPr>
                <w:rFonts w:hint="eastAsia" w:ascii="宋体" w:hAnsi="宋体" w:eastAsia="宋体" w:cs="宋体"/>
                <w:color w:val="000000" w:themeColor="text1"/>
                <w:spacing w:val="-6"/>
                <w:sz w:val="24"/>
                <w:szCs w:val="24"/>
                <w:highlight w:val="none"/>
                <w14:textFill>
                  <w14:solidFill>
                    <w14:schemeClr w14:val="tx1"/>
                  </w14:solidFill>
                </w14:textFill>
              </w:rPr>
              <w:t>公告期限届满之日起七个工作日内以书面形式向采购机构提出质疑；</w:t>
            </w:r>
          </w:p>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供应商如认为采购过程使自身的合法权益受到损害的，应于各采购程序环节结束之日起七个工作日内以书面形式向采购机构提出质疑；</w:t>
            </w:r>
          </w:p>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firstLine="456" w:firstLineChars="200"/>
              <w:outlineLvl w:val="9"/>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14:textFill>
                  <w14:solidFill>
                    <w14:schemeClr w14:val="tx1"/>
                  </w14:solidFill>
                </w14:textFill>
              </w:rPr>
              <w:t>供应商如认为中标结果使自身的合法权益受到损害的，应于中标或者成交结果公告期限届满之日起七个工作日内以书面形式向采购机构提出质疑。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7"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b/>
                <w:bCs/>
                <w:color w:val="000000" w:themeColor="text1"/>
                <w:spacing w:val="-6"/>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1</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8</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b/>
                <w:bCs/>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pacing w:val="-28"/>
                <w:kern w:val="2"/>
                <w:sz w:val="24"/>
                <w:szCs w:val="24"/>
                <w:highlight w:val="none"/>
                <w14:textFill>
                  <w14:solidFill>
                    <w14:schemeClr w14:val="tx1"/>
                  </w14:solidFill>
                </w14:textFill>
              </w:rPr>
              <w:t>是否允许采购进口产品</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7"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cs="宋体"/>
                <w:b/>
                <w:bCs/>
                <w:color w:val="000000" w:themeColor="text1"/>
                <w:spacing w:val="-6"/>
                <w:sz w:val="24"/>
                <w:szCs w:val="24"/>
                <w:highlight w:val="none"/>
                <w:lang w:val="en-US" w:eastAsia="zh-CN"/>
                <w14:textFill>
                  <w14:solidFill>
                    <w14:schemeClr w14:val="tx1"/>
                  </w14:solidFill>
                </w14:textFill>
              </w:rPr>
              <w:t>19</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shd w:val="clear" w:color="auto" w:fill="FFFFFF"/>
              <w:kinsoku/>
              <w:wordWrap/>
              <w:overflowPunct/>
              <w:topLinePunct w:val="0"/>
              <w:bidi w:val="0"/>
              <w:spacing w:before="0" w:beforeAutospacing="0" w:after="0" w:afterAutospacing="0" w:line="360" w:lineRule="exact"/>
              <w:ind w:left="0" w:leftChars="0" w:right="0" w:rightChars="0"/>
              <w:jc w:val="center"/>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28"/>
                <w:kern w:val="2"/>
                <w:sz w:val="24"/>
                <w:szCs w:val="24"/>
                <w:highlight w:val="none"/>
                <w14:textFill>
                  <w14:solidFill>
                    <w14:schemeClr w14:val="tx1"/>
                  </w14:solidFill>
                </w14:textFill>
              </w:rPr>
              <w:t>现场考察、开标前答疑会</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不组织</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7"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2</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0</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其他</w:t>
            </w:r>
          </w:p>
        </w:tc>
        <w:tc>
          <w:tcPr>
            <w:tcW w:w="7753" w:type="dxa"/>
            <w:tcBorders>
              <w:top w:val="single" w:color="auto" w:sz="4" w:space="0"/>
              <w:left w:val="single" w:color="auto" w:sz="4" w:space="0"/>
              <w:bottom w:val="single" w:color="auto" w:sz="4" w:space="0"/>
              <w:right w:val="single" w:color="auto" w:sz="4" w:space="0"/>
            </w:tcBorders>
            <w:vAlign w:val="center"/>
          </w:tcPr>
          <w:p>
            <w:pPr>
              <w:pStyle w:val="117"/>
              <w:keepNext w:val="0"/>
              <w:keepLines w:val="0"/>
              <w:pageBreakBefore w:val="0"/>
              <w:numPr>
                <w:ilvl w:val="0"/>
                <w:numId w:val="6"/>
              </w:numPr>
              <w:suppressLineNumbers w:val="0"/>
              <w:shd w:val="clear" w:fill="FFFFFF" w:themeFill="background1"/>
              <w:kinsoku/>
              <w:wordWrap/>
              <w:overflowPunct/>
              <w:topLinePunct w:val="0"/>
              <w:bidi w:val="0"/>
              <w:spacing w:before="0" w:beforeAutospacing="0" w:after="0" w:afterAutospacing="0" w:line="360" w:lineRule="exact"/>
              <w:ind w:left="0" w:leftChars="0" w:right="0" w:rightChars="0" w:firstLine="420" w:firstLineChars="175"/>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请投标人仔细阅读本招标文件，其中“▲” 系指实质性要求条款，“★”指重要性要求条款。</w:t>
            </w:r>
          </w:p>
          <w:p>
            <w:pPr>
              <w:pStyle w:val="117"/>
              <w:keepNext w:val="0"/>
              <w:keepLines w:val="0"/>
              <w:pageBreakBefore w:val="0"/>
              <w:numPr>
                <w:ilvl w:val="0"/>
                <w:numId w:val="7"/>
              </w:numPr>
              <w:suppressLineNumbers w:val="0"/>
              <w:shd w:val="clear" w:fill="FFFFFF" w:themeFill="background1"/>
              <w:kinsoku/>
              <w:wordWrap/>
              <w:overflowPunct/>
              <w:topLinePunct w:val="0"/>
              <w:bidi w:val="0"/>
              <w:spacing w:before="0" w:beforeAutospacing="0" w:after="0" w:afterAutospacing="0" w:line="360" w:lineRule="exact"/>
              <w:ind w:left="0" w:leftChars="0" w:right="0" w:rightChars="0"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shd w:val="clear" w:fill="FFFFFF" w:themeFill="background1"/>
                <w:lang w:val="en-US" w:eastAsia="zh-CN" w:bidi="ar-SA"/>
                <w14:textFill>
                  <w14:solidFill>
                    <w14:schemeClr w14:val="tx1"/>
                  </w14:solidFill>
                </w14:textFill>
              </w:rPr>
              <w:t>评</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审过程中如有需要投标人对投标文件作出澄清、说明或者补正的，将以电子邮件的方式发出。</w:t>
            </w:r>
          </w:p>
          <w:p>
            <w:pPr>
              <w:pStyle w:val="117"/>
              <w:keepNext w:val="0"/>
              <w:keepLines w:val="0"/>
              <w:pageBreakBefore w:val="0"/>
              <w:numPr>
                <w:ilvl w:val="0"/>
                <w:numId w:val="0"/>
              </w:numPr>
              <w:suppressLineNumbers w:val="0"/>
              <w:shd w:val="clear" w:fill="FFFFFF" w:themeFill="background1"/>
              <w:kinsoku/>
              <w:wordWrap/>
              <w:overflowPunct/>
              <w:topLinePunct w:val="0"/>
              <w:bidi w:val="0"/>
              <w:spacing w:before="0" w:beforeAutospacing="0" w:after="0" w:afterAutospacing="0" w:line="360" w:lineRule="exact"/>
              <w:ind w:left="0" w:right="0" w:rightChars="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特别提醒：投标人报名时须使用专人邮箱报名，有关本项目的所有通知将通过报名时的邮箱发送。投标人须指定专人即时查阅往来邮件并在规定的时间内作出答复。评审时的相关澄清、说明或补正等答复，由授权代表签字扫描后回复至指定邮箱。如因投标人未及时查看邮件等原因，导致投标失败等情况的，由投标人自行承担损失，采购人及招标代理机构不承担任何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5"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lang w:val="en-US" w:eastAsia="zh-CN"/>
                <w14:textFill>
                  <w14:solidFill>
                    <w14:schemeClr w14:val="tx1"/>
                  </w14:solidFill>
                </w14:textFill>
              </w:rPr>
              <w:t>2</w:t>
            </w:r>
            <w:r>
              <w:rPr>
                <w:rFonts w:hint="eastAsia" w:ascii="宋体" w:hAnsi="宋体" w:cs="宋体"/>
                <w:b/>
                <w:bCs/>
                <w:color w:val="000000" w:themeColor="text1"/>
                <w:spacing w:val="-6"/>
                <w:sz w:val="24"/>
                <w:szCs w:val="24"/>
                <w:highlight w:val="none"/>
                <w:lang w:val="en-US" w:eastAsia="zh-CN"/>
                <w14:textFill>
                  <w14:solidFill>
                    <w14:schemeClr w14:val="tx1"/>
                  </w14:solidFill>
                </w14:textFill>
              </w:rPr>
              <w:t>1</w:t>
            </w:r>
          </w:p>
        </w:tc>
        <w:tc>
          <w:tcPr>
            <w:tcW w:w="13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jc w:val="center"/>
              <w:outlineLvl w:val="9"/>
              <w:rPr>
                <w:rFonts w:hint="eastAsia" w:ascii="宋体" w:hAnsi="宋体" w:eastAsia="宋体" w:cs="宋体"/>
                <w:b/>
                <w:bCs/>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spacing w:val="0"/>
                <w:sz w:val="24"/>
                <w:szCs w:val="24"/>
                <w:highlight w:val="none"/>
                <w14:textFill>
                  <w14:solidFill>
                    <w14:schemeClr w14:val="tx1"/>
                  </w14:solidFill>
                </w14:textFill>
              </w:rPr>
              <w:t>解释</w:t>
            </w:r>
          </w:p>
        </w:tc>
        <w:tc>
          <w:tcPr>
            <w:tcW w:w="775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napToGrid w:val="0"/>
              <w:spacing w:before="0" w:beforeAutospacing="0" w:after="0" w:afterAutospacing="0" w:line="360" w:lineRule="exact"/>
              <w:ind w:left="0" w:leftChars="0" w:right="0" w:rightChars="0"/>
              <w:outlineLvl w:val="9"/>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本招标文件的解释权属于采购人和采购代理机构。</w:t>
            </w:r>
          </w:p>
        </w:tc>
      </w:tr>
    </w:tbl>
    <w:p>
      <w:pPr>
        <w:pStyle w:val="19"/>
        <w:keepLines w:val="0"/>
        <w:pageBreakBefore w:val="0"/>
        <w:kinsoku/>
        <w:wordWrap/>
        <w:overflowPunct/>
        <w:topLinePunct w:val="0"/>
        <w:bidi w:val="0"/>
        <w:snapToGrid w:val="0"/>
        <w:spacing w:beforeLines="0" w:afterLines="0" w:line="360" w:lineRule="exact"/>
        <w:ind w:left="0" w:leftChars="0" w:right="0" w:rightChars="0"/>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pacing w:val="-6"/>
          <w:kern w:val="2"/>
          <w:sz w:val="24"/>
          <w:szCs w:val="24"/>
          <w:highlight w:val="none"/>
          <w:lang w:val="en-US" w:eastAsia="zh-CN" w:bidi="ar-SA"/>
          <w14:textFill>
            <w14:solidFill>
              <w14:schemeClr w14:val="tx1"/>
            </w14:solidFill>
          </w14:textFill>
        </w:rPr>
        <w:t>注：以上内容如有变化将另行书面通知。另行通知中未提及事项不作变动。</w:t>
      </w:r>
    </w:p>
    <w:p>
      <w:pPr>
        <w:pStyle w:val="19"/>
        <w:snapToGrid w:val="0"/>
        <w:spacing w:beforeLines="0" w:afterLines="0" w:line="360" w:lineRule="auto"/>
        <w:ind w:firstLine="551" w:firstLineChars="196"/>
        <w:jc w:val="center"/>
        <w:outlineLvl w:val="1"/>
        <w:rPr>
          <w:rFonts w:hint="eastAsia" w:ascii="宋体" w:hAnsi="宋体" w:eastAsia="宋体" w:cs="宋体"/>
          <w:b/>
          <w:color w:val="000000" w:themeColor="text1"/>
          <w:sz w:val="28"/>
          <w:szCs w:val="28"/>
          <w:highlight w:val="none"/>
          <w14:textFill>
            <w14:solidFill>
              <w14:schemeClr w14:val="tx1"/>
            </w14:solidFill>
          </w14:textFill>
        </w:rPr>
      </w:pPr>
      <w:bookmarkStart w:id="2" w:name="_Toc9624375"/>
      <w:r>
        <w:rPr>
          <w:rFonts w:hint="eastAsia" w:ascii="宋体" w:hAnsi="宋体" w:eastAsia="宋体" w:cs="宋体"/>
          <w:b/>
          <w:color w:val="000000" w:themeColor="text1"/>
          <w:sz w:val="28"/>
          <w:szCs w:val="28"/>
          <w:highlight w:val="none"/>
          <w14:textFill>
            <w14:solidFill>
              <w14:schemeClr w14:val="tx1"/>
            </w14:solidFill>
          </w14:textFill>
        </w:rPr>
        <w:t>一、总  则</w:t>
      </w:r>
      <w:bookmarkEnd w:id="2"/>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outlineLvl w:val="2"/>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（一） 适用范围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本招标文件适用于本次采购项目的招标、投标、评标、定标、验收、合同履约、付款</w:t>
      </w:r>
      <w:r>
        <w:rPr>
          <w:rFonts w:hint="eastAsia" w:ascii="宋体" w:hAnsi="宋体" w:eastAsia="宋体" w:cs="宋体"/>
          <w:color w:val="000000" w:themeColor="text1"/>
          <w:sz w:val="24"/>
          <w:szCs w:val="24"/>
          <w:highlight w:val="none"/>
          <w14:textFill>
            <w14:solidFill>
              <w14:schemeClr w14:val="tx1"/>
            </w14:solidFill>
          </w14:textFill>
        </w:rPr>
        <w:t>等行为（法律、法规另有规定的，从其规定）。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（二）定义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1.招标采购单位：系指组织本次招标的代理机构和采购人。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2.投标人：系指购买了招标文件并向招标采购单位提交投标文件的单位或个人，也称作供应商。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3.投标人代表：是指参加本项目投标活动的供应商法定代表人或法定代表人授权代表。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4.联合体：是指两个以上供应商组成联合体，以一个供应商的身份参加投标。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5.甲方：是指合同签订的一方，一般与采购人、招标人、用户相同。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6.乙方：是指合同签订的另一方，与中标人相同。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7.“产品”系指供方按招标文件规定，须向采购人提供的一切设备、保险、税金、备品备件、工具、手册及其它有关技术资料和材料。</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10.“书面形式”包括信函、传真、电报等。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（三）招标方式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本次招标采用公开招标方式进行。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（四）投标委托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代表参加开标活动时应当持有效期内本人身份证或公安机关出具的临时身份证明或港澳台胞证或护照原件或户口本原件（其他诸如驾驶证、市民卡等一律视为未提供有效的身份证明）和法定代表人出具的授权委托书。若是法定代表人参加，须携提供法定代表人身份证明书（格式见第六部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（五）投标费用</w:t>
      </w:r>
    </w:p>
    <w:p>
      <w:pPr>
        <w:pageBreakBefore w:val="0"/>
        <w:shd w:val="clear"/>
        <w:kinsoku/>
        <w:wordWrap/>
        <w:overflowPunct/>
        <w:topLinePunct w:val="0"/>
        <w:bidi w:val="0"/>
        <w:adjustRightInd/>
        <w:snapToGrid/>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不论投标结果如何，投标人均应自行承担所有与投标有关的全部费用。（</w:t>
      </w:r>
      <w:r>
        <w:rPr>
          <w:rFonts w:hint="eastAsia" w:ascii="宋体" w:hAnsi="宋体" w:eastAsia="宋体" w:cs="宋体"/>
          <w:color w:val="000000" w:themeColor="text1"/>
          <w:sz w:val="24"/>
          <w:szCs w:val="24"/>
          <w:highlight w:val="none"/>
          <w:lang w:val="en-US" w:eastAsia="zh-CN"/>
          <w14:textFill>
            <w14:solidFill>
              <w14:schemeClr w14:val="tx1"/>
            </w14:solidFill>
          </w14:textFill>
        </w:rPr>
        <w:t>特别声明：招标代理费用为本次招标公告发布至本次招标、投标、以及开</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评</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定标中标公告发出后</w:t>
      </w:r>
      <w:r>
        <w:rPr>
          <w:rFonts w:hint="eastAsia" w:ascii="宋体" w:hAnsi="宋体" w:cs="宋体"/>
          <w:color w:val="000000" w:themeColor="text1"/>
          <w:sz w:val="24"/>
          <w:szCs w:val="24"/>
          <w:highlight w:val="none"/>
          <w:lang w:val="en-US" w:eastAsia="zh-CN"/>
          <w14:textFill>
            <w14:solidFill>
              <w14:schemeClr w14:val="tx1"/>
            </w14:solidFill>
          </w14:textFill>
        </w:rPr>
        <w:t>（即定标）</w:t>
      </w:r>
      <w:r>
        <w:rPr>
          <w:rFonts w:hint="eastAsia" w:ascii="宋体" w:hAnsi="宋体" w:eastAsia="宋体" w:cs="宋体"/>
          <w:color w:val="000000" w:themeColor="text1"/>
          <w:sz w:val="24"/>
          <w:szCs w:val="24"/>
          <w:highlight w:val="none"/>
          <w:lang w:val="en-US" w:eastAsia="zh-CN"/>
          <w14:textFill>
            <w14:solidFill>
              <w14:schemeClr w14:val="tx1"/>
            </w14:solidFill>
          </w14:textFill>
        </w:rPr>
        <w:t>招标任务完成</w:t>
      </w:r>
      <w:r>
        <w:rPr>
          <w:rFonts w:hint="eastAsia" w:ascii="宋体" w:hAnsi="宋体" w:cs="宋体"/>
          <w:color w:val="000000" w:themeColor="text1"/>
          <w:sz w:val="24"/>
          <w:szCs w:val="24"/>
          <w:highlight w:val="none"/>
          <w:lang w:val="en-US" w:eastAsia="zh-CN"/>
          <w14:textFill>
            <w14:solidFill>
              <w14:schemeClr w14:val="tx1"/>
            </w14:solidFill>
          </w14:textFill>
        </w:rPr>
        <w:t>应当收取的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服务费，该费用</w:t>
      </w:r>
      <w:r>
        <w:rPr>
          <w:rFonts w:hint="eastAsia" w:ascii="宋体" w:hAnsi="宋体" w:cs="宋体"/>
          <w:color w:val="000000" w:themeColor="text1"/>
          <w:sz w:val="24"/>
          <w:szCs w:val="24"/>
          <w:highlight w:val="none"/>
          <w:lang w:val="en-US" w:eastAsia="zh-CN"/>
          <w14:textFill>
            <w14:solidFill>
              <w14:schemeClr w14:val="tx1"/>
            </w14:solidFill>
          </w14:textFill>
        </w:rPr>
        <w:t>收取后概不退还</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联合体投标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720" w:firstLineChars="300"/>
        <w:jc w:val="left"/>
        <w:textAlignment w:val="auto"/>
        <w:outlineLvl w:val="2"/>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本项目不接受联合体参加投标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（七）</w:t>
      </w:r>
      <w:r>
        <w:rPr>
          <w:rFonts w:hint="eastAsia" w:ascii="宋体" w:hAnsi="宋体" w:eastAsia="宋体" w:cs="宋体"/>
          <w:b/>
          <w:color w:val="000000" w:themeColor="text1"/>
          <w:kern w:val="0"/>
          <w:sz w:val="24"/>
          <w:szCs w:val="24"/>
          <w:highlight w:val="none"/>
          <w14:textFill>
            <w14:solidFill>
              <w14:schemeClr w14:val="tx1"/>
            </w14:solidFill>
          </w14:textFill>
        </w:rPr>
        <w:t>转包与分包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1.本项目不允许转包。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2.</w:t>
      </w:r>
      <w:r>
        <w:rPr>
          <w:rFonts w:hint="eastAsia" w:ascii="宋体" w:hAnsi="宋体" w:eastAsia="宋体" w:cs="宋体"/>
          <w:color w:val="000000" w:themeColor="text1"/>
          <w:kern w:val="0"/>
          <w:sz w:val="24"/>
          <w:szCs w:val="24"/>
          <w:highlight w:val="none"/>
          <w14:textFill>
            <w14:solidFill>
              <w14:schemeClr w14:val="tx1"/>
            </w14:solidFill>
          </w14:textFill>
        </w:rPr>
        <w:t>本项目不允许分包。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 xml:space="preserve">（八）特别说明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招标文件中指出的工艺、材料、设备、服务等标准以及推荐、参照的品牌或型号仅起说明作用，并没有任何限制性。投标人在投标中可以选用替代标准、品牌或型号，但这些替代要实质上满足或超过招标文件的要求。</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2.除招标文件另有说明外，投标人投标所使用的资格、信誉、荣誉、业绩与企业认证证书必须为该投标人所拥有。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4" w:firstLineChars="235"/>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3.投标人应仔细阅读招标文件的所有内容，按照招标文件的要求提交投标文件，并对所提供的全部资料的真实性承担法律责任。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6" w:firstLineChars="23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（九）质疑和投诉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45" w:firstLineChars="23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投标人认为招标文件、招标过程或中标结果使自己的合法权益受到损害的，应当在知道或者应知其权益受到损害之日起七个工作日内，以书面形式一次性向采购人、采购代理机构提出质疑。</w:t>
      </w:r>
      <w:r>
        <w:rPr>
          <w:rFonts w:hint="eastAsia" w:ascii="宋体" w:hAnsi="宋体" w:eastAsia="宋体" w:cs="宋体"/>
          <w:color w:val="000000" w:themeColor="text1"/>
          <w:spacing w:val="-4"/>
          <w:sz w:val="24"/>
          <w:szCs w:val="24"/>
          <w:highlight w:val="none"/>
          <w14:textFill>
            <w14:solidFill>
              <w14:schemeClr w14:val="tx1"/>
            </w14:solidFill>
          </w14:textFill>
        </w:rPr>
        <w:t>投标人对</w:t>
      </w:r>
      <w:r>
        <w:rPr>
          <w:rFonts w:hint="eastAsia" w:ascii="宋体" w:hAnsi="宋体" w:eastAsia="宋体" w:cs="宋体"/>
          <w:bCs/>
          <w:color w:val="000000" w:themeColor="text1"/>
          <w:spacing w:val="-4"/>
          <w:sz w:val="24"/>
          <w:szCs w:val="24"/>
          <w:highlight w:val="none"/>
          <w14:textFill>
            <w14:solidFill>
              <w14:schemeClr w14:val="tx1"/>
            </w14:solidFill>
          </w14:textFill>
        </w:rPr>
        <w:t>采购人、采购代理机构</w:t>
      </w:r>
      <w:r>
        <w:rPr>
          <w:rFonts w:hint="eastAsia" w:ascii="宋体" w:hAnsi="宋体" w:eastAsia="宋体" w:cs="宋体"/>
          <w:color w:val="000000" w:themeColor="text1"/>
          <w:spacing w:val="-4"/>
          <w:sz w:val="24"/>
          <w:szCs w:val="24"/>
          <w:highlight w:val="none"/>
          <w14:textFill>
            <w14:solidFill>
              <w14:schemeClr w14:val="tx1"/>
            </w14:solidFill>
          </w14:textFill>
        </w:rPr>
        <w:t>的质疑答复不满意或者</w:t>
      </w:r>
      <w:r>
        <w:rPr>
          <w:rFonts w:hint="eastAsia" w:ascii="宋体" w:hAnsi="宋体" w:eastAsia="宋体" w:cs="宋体"/>
          <w:bCs/>
          <w:color w:val="000000" w:themeColor="text1"/>
          <w:spacing w:val="-4"/>
          <w:sz w:val="24"/>
          <w:szCs w:val="24"/>
          <w:highlight w:val="none"/>
          <w14:textFill>
            <w14:solidFill>
              <w14:schemeClr w14:val="tx1"/>
            </w14:solidFill>
          </w14:textFill>
        </w:rPr>
        <w:t>采购人、采购代理机构</w:t>
      </w:r>
      <w:r>
        <w:rPr>
          <w:rFonts w:hint="eastAsia" w:ascii="宋体" w:hAnsi="宋体" w:eastAsia="宋体" w:cs="宋体"/>
          <w:color w:val="000000" w:themeColor="text1"/>
          <w:spacing w:val="-4"/>
          <w:sz w:val="24"/>
          <w:szCs w:val="24"/>
          <w:highlight w:val="none"/>
          <w14:textFill>
            <w14:solidFill>
              <w14:schemeClr w14:val="tx1"/>
            </w14:solidFill>
          </w14:textFill>
        </w:rPr>
        <w:t>未在规定时间内作出答复的，</w:t>
      </w:r>
      <w:r>
        <w:rPr>
          <w:rFonts w:hint="eastAsia" w:ascii="宋体" w:hAnsi="宋体" w:eastAsia="宋体" w:cs="宋体"/>
          <w:color w:val="000000" w:themeColor="text1"/>
          <w:sz w:val="24"/>
          <w:szCs w:val="24"/>
          <w:highlight w:val="none"/>
          <w14:textFill>
            <w14:solidFill>
              <w14:schemeClr w14:val="tx1"/>
            </w14:solidFill>
          </w14:textFill>
        </w:rPr>
        <w:t>可以在答复期满后十五个工作日内向采购人监管部门投诉。</w:t>
      </w:r>
    </w:p>
    <w:p>
      <w:pPr>
        <w:pStyle w:val="19"/>
        <w:snapToGrid w:val="0"/>
        <w:spacing w:beforeLines="0" w:afterLines="0" w:line="360" w:lineRule="auto"/>
        <w:ind w:firstLine="551" w:firstLineChars="196"/>
        <w:jc w:val="center"/>
        <w:outlineLvl w:val="1"/>
        <w:rPr>
          <w:rFonts w:hint="eastAsia" w:ascii="宋体" w:hAnsi="宋体" w:eastAsia="宋体" w:cs="宋体"/>
          <w:b/>
          <w:color w:val="000000" w:themeColor="text1"/>
          <w:sz w:val="28"/>
          <w:szCs w:val="28"/>
          <w:highlight w:val="none"/>
          <w14:textFill>
            <w14:solidFill>
              <w14:schemeClr w14:val="tx1"/>
            </w14:solidFill>
          </w14:textFill>
        </w:rPr>
      </w:pPr>
      <w:bookmarkStart w:id="3" w:name="_Toc9624376"/>
      <w:r>
        <w:rPr>
          <w:rFonts w:hint="eastAsia" w:ascii="宋体" w:hAnsi="宋体" w:eastAsia="宋体" w:cs="宋体"/>
          <w:b/>
          <w:color w:val="000000" w:themeColor="text1"/>
          <w:sz w:val="28"/>
          <w:szCs w:val="28"/>
          <w:highlight w:val="none"/>
          <w14:textFill>
            <w14:solidFill>
              <w14:schemeClr w14:val="tx1"/>
            </w14:solidFill>
          </w14:textFill>
        </w:rPr>
        <w:t>二、招标文件</w:t>
      </w:r>
      <w:bookmarkEnd w:id="3"/>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72" w:firstLineChars="196"/>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（一）招标文件的构成。</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72" w:firstLineChars="196"/>
        <w:jc w:val="lef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本招标文件由以下部</w:t>
      </w:r>
      <w:r>
        <w:rPr>
          <w:rFonts w:hint="eastAsia" w:ascii="宋体" w:hAnsi="宋体" w:cs="宋体"/>
          <w:b/>
          <w:color w:val="000000" w:themeColor="text1"/>
          <w:sz w:val="24"/>
          <w:highlight w:val="none"/>
          <w:lang w:val="en-US" w:eastAsia="zh-CN"/>
          <w14:textFill>
            <w14:solidFill>
              <w14:schemeClr w14:val="tx1"/>
            </w14:solidFill>
          </w14:textFill>
        </w:rPr>
        <w:t>分</w:t>
      </w:r>
      <w:r>
        <w:rPr>
          <w:rFonts w:hint="eastAsia" w:ascii="宋体" w:hAnsi="宋体" w:eastAsia="宋体" w:cs="宋体"/>
          <w:b/>
          <w:color w:val="000000" w:themeColor="text1"/>
          <w:sz w:val="24"/>
          <w:highlight w:val="none"/>
          <w14:textFill>
            <w14:solidFill>
              <w14:schemeClr w14:val="tx1"/>
            </w14:solidFill>
          </w14:textFill>
        </w:rPr>
        <w:t>组成：</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1.招标公告</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2.投标人须知</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val="en-US" w:eastAsia="zh-CN"/>
          <w14:textFill>
            <w14:solidFill>
              <w14:schemeClr w14:val="tx1"/>
            </w14:solidFill>
          </w14:textFill>
        </w:rPr>
        <w:t>采购需求</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4.评标办法</w:t>
      </w:r>
      <w:r>
        <w:rPr>
          <w:rFonts w:hint="eastAsia" w:ascii="宋体" w:hAnsi="宋体" w:cs="宋体"/>
          <w:color w:val="000000" w:themeColor="text1"/>
          <w:sz w:val="24"/>
          <w:highlight w:val="none"/>
          <w:lang w:val="en-US" w:eastAsia="zh-CN"/>
          <w14:textFill>
            <w14:solidFill>
              <w14:schemeClr w14:val="tx1"/>
            </w14:solidFill>
          </w14:textFill>
        </w:rPr>
        <w:t>及评分标准</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5.合同主要条款</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6.投标文件格式</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7.本项目招标文件的澄清、修改内容（如有）</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72" w:firstLineChars="196"/>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（二）投标人的风险</w:t>
      </w:r>
    </w:p>
    <w:p>
      <w:pPr>
        <w:pStyle w:val="30"/>
        <w:keepNext w:val="0"/>
        <w:keepLines w:val="0"/>
        <w:pageBreakBefore w:val="0"/>
        <w:widowControl w:val="0"/>
        <w:kinsoku/>
        <w:wordWrap/>
        <w:overflowPunct/>
        <w:topLinePunct w:val="0"/>
        <w:autoSpaceDE/>
        <w:autoSpaceDN/>
        <w:bidi w:val="0"/>
        <w:adjustRightInd/>
        <w:spacing w:after="0"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投标人没有按照招标文件要求提供全部资料，或者投标人没有对招标文件在各方面作出实质性响应是投标人的风险，并可能导致其投标无效。</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72" w:firstLineChars="196"/>
        <w:textAlignment w:val="auto"/>
        <w:outlineLvl w:val="2"/>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 xml:space="preserve">（三）招标文件的澄清与修改 </w:t>
      </w:r>
    </w:p>
    <w:p>
      <w:pPr>
        <w:pStyle w:val="19"/>
        <w:keepNext w:val="0"/>
        <w:keepLines w:val="0"/>
        <w:pageBreakBefore w:val="0"/>
        <w:widowControl w:val="0"/>
        <w:kinsoku/>
        <w:wordWrap/>
        <w:overflowPunct/>
        <w:topLinePunct w:val="0"/>
        <w:autoSpaceDE/>
        <w:autoSpaceDN/>
        <w:bidi w:val="0"/>
        <w:adjustRightInd/>
        <w:snapToGrid w:val="0"/>
        <w:spacing w:beforeLines="0" w:afterLines="0" w:line="360" w:lineRule="exact"/>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1.招标采购单位对已发出的招标文件进行必要澄清、修改的内容可能影响投标文件编制的，应当在招标文件要求提交投标文件截止时间</w:t>
      </w:r>
      <w:r>
        <w:rPr>
          <w:rFonts w:hint="eastAsia" w:ascii="宋体" w:hAnsi="宋体" w:eastAsia="宋体" w:cs="宋体"/>
          <w:b/>
          <w:color w:val="000000" w:themeColor="text1"/>
          <w:highlight w:val="none"/>
          <w14:textFill>
            <w14:solidFill>
              <w14:schemeClr w14:val="tx1"/>
            </w14:solidFill>
          </w14:textFill>
        </w:rPr>
        <w:t>十五</w:t>
      </w:r>
      <w:r>
        <w:rPr>
          <w:rFonts w:hint="eastAsia" w:ascii="宋体" w:hAnsi="宋体" w:eastAsia="宋体" w:cs="宋体"/>
          <w:color w:val="000000" w:themeColor="text1"/>
          <w:highlight w:val="none"/>
          <w14:textFill>
            <w14:solidFill>
              <w14:schemeClr w14:val="tx1"/>
            </w14:solidFill>
          </w14:textFill>
        </w:rPr>
        <w:t>日前，在财政部门指定的政府采购信息发布媒体上发布更正公告，并以</w:t>
      </w:r>
      <w:r>
        <w:rPr>
          <w:rFonts w:hint="eastAsia" w:ascii="宋体" w:hAnsi="宋体" w:eastAsia="宋体" w:cs="宋体"/>
          <w:color w:val="000000" w:themeColor="text1"/>
          <w:highlight w:val="none"/>
          <w:lang w:eastAsia="zh-CN"/>
          <w14:textFill>
            <w14:solidFill>
              <w14:schemeClr w14:val="tx1"/>
            </w14:solidFill>
          </w14:textFill>
        </w:rPr>
        <w:t>邮箱发送电子文件</w:t>
      </w:r>
      <w:r>
        <w:rPr>
          <w:rFonts w:hint="eastAsia" w:ascii="宋体" w:hAnsi="宋体" w:eastAsia="宋体" w:cs="宋体"/>
          <w:color w:val="000000" w:themeColor="text1"/>
          <w:highlight w:val="none"/>
          <w14:textFill>
            <w14:solidFill>
              <w14:schemeClr w14:val="tx1"/>
            </w14:solidFill>
          </w14:textFill>
        </w:rPr>
        <w:t>通知所有招标文件收受人。</w:t>
      </w:r>
    </w:p>
    <w:p>
      <w:pPr>
        <w:pStyle w:val="19"/>
        <w:keepNext w:val="0"/>
        <w:keepLines w:val="0"/>
        <w:pageBreakBefore w:val="0"/>
        <w:widowControl w:val="0"/>
        <w:kinsoku/>
        <w:wordWrap/>
        <w:overflowPunct/>
        <w:topLinePunct w:val="0"/>
        <w:autoSpaceDE/>
        <w:autoSpaceDN/>
        <w:bidi w:val="0"/>
        <w:adjustRightInd/>
        <w:snapToGrid w:val="0"/>
        <w:spacing w:beforeLines="0" w:afterLines="0" w:line="360" w:lineRule="exact"/>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2.招标文件澄清、修改的内容为招标文件的组成部分。当招标文件与招标文件的澄清、修改通知就同一内容的表述不一致时，以最后发出的书面文件为准。</w:t>
      </w:r>
    </w:p>
    <w:p>
      <w:pPr>
        <w:pStyle w:val="19"/>
        <w:keepNext w:val="0"/>
        <w:keepLines w:val="0"/>
        <w:pageBreakBefore w:val="0"/>
        <w:widowControl w:val="0"/>
        <w:kinsoku/>
        <w:wordWrap/>
        <w:overflowPunct/>
        <w:topLinePunct w:val="0"/>
        <w:autoSpaceDE/>
        <w:autoSpaceDN/>
        <w:bidi w:val="0"/>
        <w:adjustRightInd/>
        <w:snapToGrid w:val="0"/>
        <w:spacing w:beforeLines="0" w:afterLines="0" w:line="360" w:lineRule="exact"/>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3.招标文件的澄清、修改都应该通过本代理机构发布。</w:t>
      </w:r>
    </w:p>
    <w:p>
      <w:pPr>
        <w:pStyle w:val="19"/>
        <w:snapToGrid w:val="0"/>
        <w:spacing w:beforeLines="0" w:afterLines="0" w:line="360" w:lineRule="auto"/>
        <w:ind w:firstLine="551" w:firstLineChars="196"/>
        <w:jc w:val="center"/>
        <w:outlineLvl w:val="1"/>
        <w:rPr>
          <w:rFonts w:hint="eastAsia" w:ascii="宋体" w:hAnsi="宋体" w:eastAsia="宋体" w:cs="宋体"/>
          <w:b/>
          <w:color w:val="000000" w:themeColor="text1"/>
          <w:sz w:val="28"/>
          <w:szCs w:val="28"/>
          <w:highlight w:val="none"/>
          <w14:textFill>
            <w14:solidFill>
              <w14:schemeClr w14:val="tx1"/>
            </w14:solidFill>
          </w14:textFill>
        </w:rPr>
      </w:pPr>
      <w:bookmarkStart w:id="4" w:name="_Toc9624377"/>
      <w:r>
        <w:rPr>
          <w:rFonts w:hint="eastAsia" w:ascii="宋体" w:hAnsi="宋体" w:eastAsia="宋体" w:cs="宋体"/>
          <w:b/>
          <w:color w:val="000000" w:themeColor="text1"/>
          <w:sz w:val="28"/>
          <w:szCs w:val="28"/>
          <w:highlight w:val="none"/>
          <w14:textFill>
            <w14:solidFill>
              <w14:schemeClr w14:val="tx1"/>
            </w14:solidFill>
          </w14:textFill>
        </w:rPr>
        <w:t>三、投标文件的编制</w:t>
      </w:r>
      <w:bookmarkEnd w:id="4"/>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82" w:firstLineChars="200"/>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（一）投标文件的组成</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各标项的投标文件由资格证明文件、商务技术文件、报价文件三部份组成。</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资格证明文件、商务技术文件</w:t>
      </w:r>
      <w:r>
        <w:rPr>
          <w:rFonts w:hint="eastAsia" w:ascii="宋体" w:hAnsi="宋体" w:cs="宋体"/>
          <w:b/>
          <w:bCs/>
          <w:color w:val="000000" w:themeColor="text1"/>
          <w:sz w:val="24"/>
          <w:highlight w:val="none"/>
          <w:lang w:val="en-US" w:eastAsia="zh-CN"/>
          <w14:textFill>
            <w14:solidFill>
              <w14:schemeClr w14:val="tx1"/>
            </w14:solidFill>
          </w14:textFill>
        </w:rPr>
        <w:t>须装订成一册</w:t>
      </w:r>
      <w:r>
        <w:rPr>
          <w:rFonts w:hint="eastAsia" w:ascii="宋体" w:hAnsi="宋体" w:cs="宋体"/>
          <w:color w:val="000000" w:themeColor="text1"/>
          <w:sz w:val="24"/>
          <w:highlight w:val="none"/>
          <w:lang w:val="en-US" w:eastAsia="zh-CN"/>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72" w:firstLineChars="196"/>
        <w:jc w:val="lef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1.资格证明文件：</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（1）符合参加政府采购活动应当具备的一般条件的承诺函(</w:t>
      </w:r>
      <w:r>
        <w:rPr>
          <w:rFonts w:hint="eastAsia" w:ascii="宋体" w:hAnsi="宋体" w:eastAsia="宋体" w:cs="宋体"/>
          <w:color w:val="000000" w:themeColor="text1"/>
          <w:sz w:val="24"/>
          <w:highlight w:val="none"/>
          <w:lang w:eastAsia="zh-CN"/>
          <w14:textFill>
            <w14:solidFill>
              <w14:schemeClr w14:val="tx1"/>
            </w14:solidFill>
          </w14:textFill>
        </w:rPr>
        <w:t>格式见附件</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）法人或者其他组织的营业执照等证明文件</w:t>
      </w:r>
      <w:r>
        <w:rPr>
          <w:rFonts w:hint="eastAsia" w:ascii="宋体" w:hAnsi="宋体" w:eastAsia="宋体" w:cs="宋体"/>
          <w:color w:val="000000" w:themeColor="text1"/>
          <w:sz w:val="24"/>
          <w:highlight w:val="none"/>
          <w:lang w:val="en-US" w:eastAsia="zh-CN"/>
          <w14:textFill>
            <w14:solidFill>
              <w14:schemeClr w14:val="tx1"/>
            </w14:solidFill>
          </w14:textFill>
        </w:rPr>
        <w:t>复印件加盖公章</w:t>
      </w:r>
      <w:r>
        <w:rPr>
          <w:rFonts w:hint="eastAsia" w:ascii="宋体" w:hAnsi="宋体" w:eastAsia="宋体" w:cs="宋体"/>
          <w:color w:val="000000" w:themeColor="text1"/>
          <w:sz w:val="24"/>
          <w:highlight w:val="none"/>
          <w14:textFill>
            <w14:solidFill>
              <w14:schemeClr w14:val="tx1"/>
            </w14:solidFill>
          </w14:textFill>
        </w:rPr>
        <w:t>（如投标人为自然人，则应提供自然人的身份证明）</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）投标声明书</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keepLines w:val="0"/>
        <w:pageBreakBefore w:val="0"/>
        <w:widowControl w:val="0"/>
        <w:kinsoku w:val="0"/>
        <w:wordWrap w:val="0"/>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投标人资格条件中要求的其他材料</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 xml:space="preserve"> 中小企业声明函、自愿提供未被‘信用中国”网站（www.creditchina.gov.cn)中国政府采购网（www.ccgp.gov.cn）’列入失信被执行人、重大税收违法失信主体、政府采购严重违法失信行为记录名单的截图证明</w:t>
      </w:r>
      <w:r>
        <w:rPr>
          <w:rFonts w:hint="eastAsia" w:ascii="宋体" w:hAnsi="宋体" w:eastAsia="宋体" w:cs="宋体"/>
          <w:color w:val="000000" w:themeColor="text1"/>
          <w:sz w:val="24"/>
          <w:highlight w:val="none"/>
          <w:lang w:eastAsia="zh-CN"/>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72" w:firstLineChars="196"/>
        <w:jc w:val="left"/>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2.商务技术文件</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70" w:firstLineChars="196"/>
        <w:jc w:val="left"/>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（1）节能产品的相关证明材料</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环境标志产品的相关证明材料</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）投标人情况介绍（格式自拟）；</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）商务响应表（格式见</w:t>
      </w:r>
      <w:r>
        <w:rPr>
          <w:rFonts w:hint="eastAsia" w:ascii="宋体" w:hAnsi="宋体" w:eastAsia="宋体" w:cs="宋体"/>
          <w:color w:val="000000" w:themeColor="text1"/>
          <w:kern w:val="0"/>
          <w:sz w:val="24"/>
          <w:highlight w:val="none"/>
          <w:lang w:eastAsia="zh-CN"/>
          <w14:textFill>
            <w14:solidFill>
              <w14:schemeClr w14:val="tx1"/>
            </w14:solidFill>
          </w14:textFill>
        </w:rPr>
        <w:t>第六部分</w:t>
      </w:r>
      <w:r>
        <w:rPr>
          <w:rFonts w:hint="eastAsia" w:ascii="宋体" w:hAnsi="宋体" w:eastAsia="宋体" w:cs="宋体"/>
          <w:color w:val="000000" w:themeColor="text1"/>
          <w:kern w:val="0"/>
          <w:sz w:val="24"/>
          <w:highlight w:val="none"/>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）同类项目业绩（格式见</w:t>
      </w:r>
      <w:r>
        <w:rPr>
          <w:rFonts w:hint="eastAsia" w:ascii="宋体" w:hAnsi="宋体" w:eastAsia="宋体" w:cs="宋体"/>
          <w:color w:val="000000" w:themeColor="text1"/>
          <w:kern w:val="0"/>
          <w:sz w:val="24"/>
          <w:highlight w:val="none"/>
          <w:lang w:eastAsia="zh-CN"/>
          <w14:textFill>
            <w14:solidFill>
              <w14:schemeClr w14:val="tx1"/>
            </w14:solidFill>
          </w14:textFill>
        </w:rPr>
        <w:t>第六部分</w:t>
      </w:r>
      <w:r>
        <w:rPr>
          <w:rFonts w:hint="eastAsia" w:ascii="宋体" w:hAnsi="宋体" w:eastAsia="宋体" w:cs="宋体"/>
          <w:color w:val="000000" w:themeColor="text1"/>
          <w:kern w:val="0"/>
          <w:sz w:val="24"/>
          <w:highlight w:val="none"/>
          <w14:textFill>
            <w14:solidFill>
              <w14:schemeClr w14:val="tx1"/>
            </w14:solidFill>
          </w14:textFill>
        </w:rPr>
        <w:t xml:space="preserve">）； </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）针对本项目建设的详细实施计划，包括技术方案、装备详细配置清单及所用材质等明细（品牌、产地、规格、参数）；</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6</w:t>
      </w:r>
      <w:r>
        <w:rPr>
          <w:rFonts w:hint="eastAsia" w:ascii="宋体" w:hAnsi="宋体" w:eastAsia="宋体" w:cs="宋体"/>
          <w:color w:val="000000" w:themeColor="text1"/>
          <w:kern w:val="0"/>
          <w:sz w:val="24"/>
          <w:highlight w:val="none"/>
          <w14:textFill>
            <w14:solidFill>
              <w14:schemeClr w14:val="tx1"/>
            </w14:solidFill>
          </w14:textFill>
        </w:rPr>
        <w:t>）生产工艺流程，质量控制措施等；</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7</w:t>
      </w:r>
      <w:r>
        <w:rPr>
          <w:rFonts w:hint="eastAsia" w:ascii="宋体" w:hAnsi="宋体" w:eastAsia="宋体" w:cs="宋体"/>
          <w:color w:val="000000" w:themeColor="text1"/>
          <w:kern w:val="0"/>
          <w:sz w:val="24"/>
          <w:highlight w:val="none"/>
          <w14:textFill>
            <w14:solidFill>
              <w14:schemeClr w14:val="tx1"/>
            </w14:solidFill>
          </w14:textFill>
        </w:rPr>
        <w:t>）所投产品或主要材质的检测报告；</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8）</w:t>
      </w:r>
      <w:r>
        <w:rPr>
          <w:rFonts w:hint="eastAsia" w:ascii="宋体" w:hAnsi="宋体" w:eastAsia="宋体" w:cs="宋体"/>
          <w:color w:val="000000" w:themeColor="text1"/>
          <w:kern w:val="0"/>
          <w:sz w:val="24"/>
          <w:highlight w:val="none"/>
          <w14:textFill>
            <w14:solidFill>
              <w14:schemeClr w14:val="tx1"/>
            </w14:solidFill>
          </w14:textFill>
        </w:rPr>
        <w:t>产品及原材料验收标准及检测具体办法；</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9</w:t>
      </w:r>
      <w:r>
        <w:rPr>
          <w:rFonts w:hint="eastAsia" w:ascii="宋体" w:hAnsi="宋体" w:eastAsia="宋体" w:cs="宋体"/>
          <w:color w:val="000000" w:themeColor="text1"/>
          <w:kern w:val="0"/>
          <w:sz w:val="24"/>
          <w:highlight w:val="none"/>
          <w14:textFill>
            <w14:solidFill>
              <w14:schemeClr w14:val="tx1"/>
            </w14:solidFill>
          </w14:textFill>
        </w:rPr>
        <w:t>）技术偏离表（格式见附件）；</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10</w:t>
      </w:r>
      <w:r>
        <w:rPr>
          <w:rFonts w:hint="eastAsia" w:ascii="宋体" w:hAnsi="宋体" w:eastAsia="宋体" w:cs="宋体"/>
          <w:color w:val="000000" w:themeColor="text1"/>
          <w:kern w:val="0"/>
          <w:sz w:val="24"/>
          <w:highlight w:val="none"/>
          <w14:textFill>
            <w14:solidFill>
              <w14:schemeClr w14:val="tx1"/>
            </w14:solidFill>
          </w14:textFill>
        </w:rPr>
        <w:t>）项目的组织实施方案，包括产品的供货、验收、安装调试方案及配送承诺等；</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11</w:t>
      </w:r>
      <w:r>
        <w:rPr>
          <w:rFonts w:hint="eastAsia" w:ascii="宋体" w:hAnsi="宋体" w:eastAsia="宋体" w:cs="宋体"/>
          <w:color w:val="000000" w:themeColor="text1"/>
          <w:kern w:val="0"/>
          <w:sz w:val="24"/>
          <w:highlight w:val="none"/>
          <w14:textFill>
            <w14:solidFill>
              <w14:schemeClr w14:val="tx1"/>
            </w14:solidFill>
          </w14:textFill>
        </w:rPr>
        <w:t>）技术服务、售后服务的内容和措施，明确售后服务承诺（范围、标准、期限</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质保期外维修及零配件</w:t>
      </w:r>
      <w:r>
        <w:rPr>
          <w:rFonts w:hint="eastAsia" w:ascii="宋体" w:hAnsi="宋体" w:eastAsia="宋体" w:cs="宋体"/>
          <w:color w:val="000000" w:themeColor="text1"/>
          <w:kern w:val="0"/>
          <w:sz w:val="24"/>
          <w:highlight w:val="none"/>
          <w14:textFill>
            <w14:solidFill>
              <w14:schemeClr w14:val="tx1"/>
            </w14:solidFill>
          </w14:textFill>
        </w:rPr>
        <w:t>等</w:t>
      </w:r>
      <w:r>
        <w:rPr>
          <w:rFonts w:hint="eastAsia" w:ascii="宋体" w:hAnsi="宋体" w:cs="宋体"/>
          <w:color w:val="000000" w:themeColor="text1"/>
          <w:kern w:val="0"/>
          <w:sz w:val="24"/>
          <w:highlight w:val="none"/>
          <w:lang w:val="en-US" w:eastAsia="zh-CN"/>
          <w14:textFill>
            <w14:solidFill>
              <w14:schemeClr w14:val="tx1"/>
            </w14:solidFill>
          </w14:textFill>
        </w:rPr>
        <w:t>费用</w:t>
      </w:r>
      <w:r>
        <w:rPr>
          <w:rFonts w:hint="eastAsia" w:ascii="宋体" w:hAnsi="宋体" w:eastAsia="宋体" w:cs="宋体"/>
          <w:color w:val="000000" w:themeColor="text1"/>
          <w:kern w:val="0"/>
          <w:sz w:val="24"/>
          <w:highlight w:val="none"/>
          <w14:textFill>
            <w14:solidFill>
              <w14:schemeClr w14:val="tx1"/>
            </w14:solidFill>
          </w14:textFill>
        </w:rPr>
        <w:t>），并明示服务承诺可能涉及的前提设定和费用，否则将被认为是无条件和免费的；</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12</w:t>
      </w:r>
      <w:r>
        <w:rPr>
          <w:rFonts w:hint="eastAsia" w:ascii="宋体" w:hAnsi="宋体" w:eastAsia="宋体" w:cs="宋体"/>
          <w:color w:val="000000" w:themeColor="text1"/>
          <w:kern w:val="0"/>
          <w:sz w:val="24"/>
          <w:highlight w:val="none"/>
          <w14:textFill>
            <w14:solidFill>
              <w14:schemeClr w14:val="tx1"/>
            </w14:solidFill>
          </w14:textFill>
        </w:rPr>
        <w:t>）本项目实施人员一览表</w:t>
      </w:r>
      <w:r>
        <w:rPr>
          <w:rFonts w:hint="eastAsia" w:ascii="宋体" w:hAnsi="宋体" w:eastAsia="宋体" w:cs="宋体"/>
          <w:color w:val="000000" w:themeColor="text1"/>
          <w:kern w:val="0"/>
          <w:sz w:val="24"/>
          <w:highlight w:val="none"/>
          <w:lang w:eastAsia="zh-CN"/>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13</w:t>
      </w: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eastAsia="zh-CN"/>
          <w14:textFill>
            <w14:solidFill>
              <w14:schemeClr w14:val="tx1"/>
            </w14:solidFill>
          </w14:textFill>
        </w:rPr>
        <w:t>项目保障应急预案</w:t>
      </w:r>
      <w:r>
        <w:rPr>
          <w:rFonts w:hint="eastAsia" w:ascii="宋体" w:hAnsi="宋体" w:eastAsia="宋体" w:cs="宋体"/>
          <w:color w:val="000000" w:themeColor="text1"/>
          <w:kern w:val="0"/>
          <w:sz w:val="24"/>
          <w:highlight w:val="none"/>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eastAsia="zh-CN"/>
          <w14:textFill>
            <w14:solidFill>
              <w14:schemeClr w14:val="tx1"/>
            </w14:solidFill>
          </w14:textFill>
        </w:rPr>
        <w:t>（1</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供应商提出的对本项目的实质性优惠条件和承诺情况；</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70" w:firstLineChars="196"/>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）供应商认为需要说明的其他文件和资料（请结合评标办法自行添加相应内容）。</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72" w:firstLineChars="196"/>
        <w:jc w:val="left"/>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3.报价文件：</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法定代表人授权委托书(格式见第六</w:t>
      </w:r>
      <w:r>
        <w:rPr>
          <w:rFonts w:hint="eastAsia" w:ascii="宋体" w:hAnsi="宋体" w:eastAsia="宋体" w:cs="宋体"/>
          <w:color w:val="000000" w:themeColor="text1"/>
          <w:sz w:val="24"/>
          <w:highlight w:val="none"/>
          <w:lang w:eastAsia="zh-CN"/>
          <w14:textFill>
            <w14:solidFill>
              <w14:schemeClr w14:val="tx1"/>
            </w14:solidFill>
          </w14:textFill>
        </w:rPr>
        <w:t>部分</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kern w:val="0"/>
          <w:sz w:val="24"/>
          <w:highlight w:val="none"/>
          <w:lang w:eastAsia="zh-CN"/>
          <w14:textFill>
            <w14:solidFill>
              <w14:schemeClr w14:val="tx1"/>
            </w14:solidFill>
          </w14:textFill>
        </w:rPr>
        <w:t>（2）开标一览表（格式见附件）；</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kern w:val="0"/>
          <w:sz w:val="24"/>
          <w:highlight w:val="none"/>
          <w:lang w:eastAsia="zh-CN"/>
          <w14:textFill>
            <w14:solidFill>
              <w14:schemeClr w14:val="tx1"/>
            </w14:solidFill>
          </w14:textFill>
        </w:rPr>
        <w:t>（3）投标报价明细表（格式见附件）；</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68" w:firstLineChars="195"/>
        <w:jc w:val="lef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lang w:eastAsia="zh-CN"/>
          <w14:textFill>
            <w14:solidFill>
              <w14:schemeClr w14:val="tx1"/>
            </w14:solidFill>
          </w14:textFill>
        </w:rPr>
        <w:t xml:space="preserve">）投标人针对报价需要说明的其他文件和说明。 </w:t>
      </w:r>
    </w:p>
    <w:p>
      <w:pPr>
        <w:keepNext w:val="0"/>
        <w:keepLines w:val="0"/>
        <w:pageBreakBefore w:val="0"/>
        <w:shd w:val="clear"/>
        <w:kinsoku/>
        <w:wordWrap/>
        <w:overflowPunct/>
        <w:topLinePunct w:val="0"/>
        <w:autoSpaceDE/>
        <w:autoSpaceDN/>
        <w:bidi w:val="0"/>
        <w:adjustRightInd/>
        <w:snapToGrid w:val="0"/>
        <w:spacing w:line="360" w:lineRule="exact"/>
        <w:ind w:left="0" w:leftChars="0" w:right="0" w:rightChars="0" w:firstLine="470" w:firstLineChars="195"/>
        <w:jc w:val="left"/>
        <w:textAlignment w:val="auto"/>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lang w:eastAsia="zh-CN"/>
          <w14:textFill>
            <w14:solidFill>
              <w14:schemeClr w14:val="tx1"/>
            </w14:solidFill>
          </w14:textFill>
        </w:rPr>
        <w:t>以上所需的各种证书、证件、证明、执照若系复印件，须在复印件上盖上有效的投标人公章。</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4" w:firstLineChars="176"/>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（二）投标文件的语言及计量</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22" w:firstLineChars="176"/>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1.投标文件以及投标人与招标方就有关投标事宜的所有来往函电，均应以中文汉语书写。除签名、盖章、专用名称等特殊情形外，以中文汉语以外的文字表述的投标文件视同未提供。 </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22" w:firstLineChars="176"/>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2.投标计量单位，招标文件已有明确规定的，使用招标文件规定的计量单位；招标文件没有规定的，应采用中华人民共和国法定计量单位（货币单位：人民币元），否则视同未响应。</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4" w:firstLineChars="176"/>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（三）投标报价</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4" w:firstLineChars="176"/>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1.投标报价应按招标文件中相关附表格式填写。</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4" w:firstLineChars="176"/>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2.投标综合单价应当包括履行合同的全部价格，包括但不限于货款、标准附件、备品备件、专用工具、包装、运输、装卸、保险、税金、货到就位以及安装、调试、培训、保修、税金</w:t>
      </w:r>
      <w:r>
        <w:rPr>
          <w:rFonts w:hint="eastAsia" w:ascii="宋体" w:hAnsi="宋体" w:cs="宋体"/>
          <w:b/>
          <w:bCs/>
          <w:color w:val="000000" w:themeColor="text1"/>
          <w:sz w:val="24"/>
          <w:highlight w:val="none"/>
          <w:lang w:eastAsia="zh-CN"/>
          <w14:textFill>
            <w14:solidFill>
              <w14:schemeClr w14:val="tx1"/>
            </w14:solidFill>
          </w14:textFill>
        </w:rPr>
        <w:t>、</w:t>
      </w:r>
      <w:r>
        <w:rPr>
          <w:rFonts w:hint="eastAsia" w:ascii="宋体" w:hAnsi="宋体" w:cs="宋体"/>
          <w:b/>
          <w:bCs/>
          <w:color w:val="000000" w:themeColor="text1"/>
          <w:sz w:val="24"/>
          <w:highlight w:val="none"/>
          <w:lang w:val="en-US" w:eastAsia="zh-CN"/>
          <w14:textFill>
            <w14:solidFill>
              <w14:schemeClr w14:val="tx1"/>
            </w14:solidFill>
          </w14:textFill>
        </w:rPr>
        <w:t>代理服务费</w:t>
      </w:r>
      <w:r>
        <w:rPr>
          <w:rFonts w:hint="eastAsia" w:ascii="宋体" w:hAnsi="宋体" w:eastAsia="宋体" w:cs="宋体"/>
          <w:b/>
          <w:bCs/>
          <w:color w:val="000000" w:themeColor="text1"/>
          <w:sz w:val="24"/>
          <w:highlight w:val="none"/>
          <w14:textFill>
            <w14:solidFill>
              <w14:schemeClr w14:val="tx1"/>
            </w14:solidFill>
          </w14:textFill>
        </w:rPr>
        <w:t>等一切费用。</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4" w:firstLineChars="176"/>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投标人的投标报价应在最高限价之内，超出最高限价的投标文件按无效标处理。</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r>
        <w:rPr>
          <w:rFonts w:hint="eastAsia" w:ascii="宋体" w:hAnsi="宋体" w:eastAsia="宋体" w:cs="宋体"/>
          <w:bCs/>
          <w:color w:val="000000" w:themeColor="text1"/>
          <w:sz w:val="24"/>
          <w:highlight w:val="none"/>
          <w14:textFill>
            <w14:solidFill>
              <w14:schemeClr w14:val="tx1"/>
            </w14:solidFill>
          </w14:textFill>
        </w:rPr>
        <w:t>不论采购结果如何，投标人均应自行承担所有与此次投标有关的全部费用。</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5.投标报价是指一次性报出不得修改的价格，投标报价应按</w:t>
      </w:r>
      <w:r>
        <w:rPr>
          <w:rFonts w:hint="eastAsia" w:ascii="宋体" w:hAnsi="宋体" w:cs="宋体"/>
          <w:color w:val="000000" w:themeColor="text1"/>
          <w:sz w:val="24"/>
          <w:highlight w:val="none"/>
          <w:lang w:eastAsia="zh-CN"/>
          <w14:textFill>
            <w14:solidFill>
              <w14:schemeClr w14:val="tx1"/>
            </w14:solidFill>
          </w14:textFill>
        </w:rPr>
        <w:t>招标文件</w:t>
      </w:r>
      <w:r>
        <w:rPr>
          <w:rFonts w:hint="eastAsia" w:ascii="宋体" w:hAnsi="宋体" w:eastAsia="宋体" w:cs="宋体"/>
          <w:color w:val="000000" w:themeColor="text1"/>
          <w:sz w:val="24"/>
          <w:highlight w:val="none"/>
          <w14:textFill>
            <w14:solidFill>
              <w14:schemeClr w14:val="tx1"/>
            </w14:solidFill>
          </w14:textFill>
        </w:rPr>
        <w:t>中相关附表格式填写。</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6.投标报价是履行合同的最终价格，应包括完成所有产品供货及履行所有规定服务所产生的全部费用。 </w:t>
      </w:r>
    </w:p>
    <w:p>
      <w:pPr>
        <w:keepNext w:val="0"/>
        <w:keepLines w:val="0"/>
        <w:pageBreakBefore w:val="0"/>
        <w:widowControl w:val="0"/>
        <w:tabs>
          <w:tab w:val="left" w:pos="0"/>
        </w:tabs>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7.投标文件只允许有一个报价，有选择或有条件的报价将不予接受，其投标无效。</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24" w:firstLineChars="176"/>
        <w:textAlignment w:val="auto"/>
        <w:outlineLvl w:val="2"/>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（四）投标文件的有效期</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22" w:firstLineChars="176"/>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1.自投标截止日起并在投标有效期内投标文件应保持有效，投标有效期详见《第二</w:t>
      </w:r>
      <w:r>
        <w:rPr>
          <w:rFonts w:hint="eastAsia" w:ascii="宋体" w:hAnsi="宋体" w:eastAsia="宋体" w:cs="宋体"/>
          <w:color w:val="000000" w:themeColor="text1"/>
          <w:szCs w:val="24"/>
          <w:highlight w:val="none"/>
          <w:lang w:eastAsia="zh-CN"/>
          <w14:textFill>
            <w14:solidFill>
              <w14:schemeClr w14:val="tx1"/>
            </w14:solidFill>
          </w14:textFill>
        </w:rPr>
        <w:t>部分</w:t>
      </w:r>
      <w:r>
        <w:rPr>
          <w:rFonts w:hint="eastAsia" w:ascii="宋体" w:hAnsi="宋体" w:eastAsia="宋体" w:cs="宋体"/>
          <w:color w:val="000000" w:themeColor="text1"/>
          <w:szCs w:val="24"/>
          <w:highlight w:val="none"/>
          <w14:textFill>
            <w14:solidFill>
              <w14:schemeClr w14:val="tx1"/>
            </w14:solidFill>
          </w14:textFill>
        </w:rPr>
        <w:t xml:space="preserve">  投标人须知》前附表。有效期不足的投标文件将被视为无效。</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22" w:firstLineChars="176"/>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2.在特殊情况下，招标人可与投标人协商延长投标书的有效期，这种要求和答复均以书面形式进行。</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22" w:firstLineChars="176"/>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3.中标人的投标文件自开标之日起至合同履行完毕之日均应保持有效。</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24" w:firstLineChars="176"/>
        <w:textAlignment w:val="auto"/>
        <w:rPr>
          <w:rFonts w:hint="eastAsia" w:ascii="宋体" w:hAnsi="宋体" w:eastAsia="宋体" w:cs="宋体"/>
          <w:b/>
          <w:bCs/>
          <w:color w:val="000000" w:themeColor="text1"/>
          <w:szCs w:val="24"/>
          <w:highlight w:val="none"/>
          <w14:textFill>
            <w14:solidFill>
              <w14:schemeClr w14:val="tx1"/>
            </w14:solidFill>
          </w14:textFill>
        </w:rPr>
      </w:pPr>
      <w:r>
        <w:rPr>
          <w:rFonts w:hint="eastAsia" w:ascii="宋体" w:hAnsi="宋体" w:eastAsia="宋体" w:cs="宋体"/>
          <w:b/>
          <w:bCs/>
          <w:color w:val="000000" w:themeColor="text1"/>
          <w:szCs w:val="24"/>
          <w:highlight w:val="none"/>
          <w14:textFill>
            <w14:solidFill>
              <w14:schemeClr w14:val="tx1"/>
            </w14:solidFill>
          </w14:textFill>
        </w:rPr>
        <w:t>（五）投标文件的装订、签署和份数</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afterLines="0" w:line="360" w:lineRule="exact"/>
        <w:ind w:left="0" w:leftChars="0" w:right="0" w:rightChars="0" w:firstLine="422" w:firstLineChars="176"/>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1.投标人应按本招标文件规定的格式和顺序编制、装订投标文件并标注页码，投标文件内容不完整、编排混乱导致投标文件被误读、漏</w:t>
      </w:r>
      <w:r>
        <w:rPr>
          <w:rFonts w:hint="eastAsia" w:ascii="宋体" w:hAnsi="宋体" w:eastAsia="宋体" w:cs="宋体"/>
          <w:color w:val="000000" w:themeColor="text1"/>
          <w:highlight w:val="none"/>
          <w14:textFill>
            <w14:solidFill>
              <w14:schemeClr w14:val="tx1"/>
            </w14:solidFill>
          </w14:textFill>
        </w:rPr>
        <w:t>读或者查找不到相关内容的，是投标人的责任。</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2.投标人按资格证明文件、商务技术文件</w:t>
      </w:r>
      <w:r>
        <w:rPr>
          <w:rFonts w:hint="eastAsia" w:ascii="宋体" w:hAnsi="宋体" w:eastAsia="宋体" w:cs="宋体"/>
          <w:color w:val="000000" w:themeColor="text1"/>
          <w:sz w:val="24"/>
          <w:highlight w:val="none"/>
          <w:lang w:val="en-US" w:eastAsia="zh-CN"/>
          <w14:textFill>
            <w14:solidFill>
              <w14:schemeClr w14:val="tx1"/>
            </w14:solidFill>
          </w14:textFill>
        </w:rPr>
        <w:t>合并装订成一</w:t>
      </w:r>
      <w:r>
        <w:rPr>
          <w:rFonts w:hint="eastAsia" w:ascii="宋体" w:hAnsi="宋体" w:eastAsia="宋体" w:cs="宋体"/>
          <w:color w:val="000000" w:themeColor="text1"/>
          <w:sz w:val="24"/>
          <w:highlight w:val="none"/>
          <w14:textFill>
            <w14:solidFill>
              <w14:schemeClr w14:val="tx1"/>
            </w14:solidFill>
          </w14:textFill>
        </w:rPr>
        <w:t>册</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报价文件</w:t>
      </w:r>
      <w:r>
        <w:rPr>
          <w:rFonts w:hint="eastAsia" w:ascii="宋体" w:hAnsi="宋体" w:eastAsia="宋体" w:cs="宋体"/>
          <w:color w:val="000000" w:themeColor="text1"/>
          <w:sz w:val="24"/>
          <w:highlight w:val="none"/>
          <w:lang w:val="en-US" w:eastAsia="zh-CN"/>
          <w14:textFill>
            <w14:solidFill>
              <w14:schemeClr w14:val="tx1"/>
            </w14:solidFill>
          </w14:textFill>
        </w:rPr>
        <w:t>单独装订</w:t>
      </w:r>
      <w:r>
        <w:rPr>
          <w:rFonts w:hint="eastAsia" w:ascii="宋体" w:hAnsi="宋体" w:eastAsia="宋体" w:cs="宋体"/>
          <w:color w:val="000000" w:themeColor="text1"/>
          <w:sz w:val="24"/>
          <w:highlight w:val="none"/>
          <w14:textFill>
            <w14:solidFill>
              <w14:schemeClr w14:val="tx1"/>
            </w14:solidFill>
          </w14:textFill>
        </w:rPr>
        <w:t>。正本各1份，副本数量按前附表要求。投标文件的封面应注明“正本”、“副本”字样。采用活页装订的投标文件将被拒绝，开标时由现场工作人员退还投标人代表。</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3.投标文件的正本需打印或用不褪色的墨水填写，副本可为正本的复印件。</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4.投标文件须由投标人在规定位置盖章并由法定代表人或法定代表人的授权委托人签署，投标人应写全称。</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5.投标文件不得涂改，若有修改错漏处，须加盖单位公章或者法定代表人或授权委托人签字或盖章。投标文件因字迹潦草或表达不清所引起的后果由投标人负责。</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4" w:firstLineChars="176"/>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（六）投标文件的</w:t>
      </w:r>
      <w:r>
        <w:rPr>
          <w:rFonts w:hint="eastAsia" w:ascii="宋体" w:hAnsi="宋体" w:cs="宋体"/>
          <w:b/>
          <w:color w:val="000000" w:themeColor="text1"/>
          <w:sz w:val="24"/>
          <w:highlight w:val="none"/>
          <w:lang w:val="en-US" w:eastAsia="zh-CN"/>
          <w14:textFill>
            <w14:solidFill>
              <w14:schemeClr w14:val="tx1"/>
            </w14:solidFill>
          </w14:textFill>
        </w:rPr>
        <w:t>制作装订包装</w:t>
      </w:r>
      <w:r>
        <w:rPr>
          <w:rFonts w:hint="eastAsia" w:ascii="宋体" w:hAnsi="宋体" w:eastAsia="宋体" w:cs="宋体"/>
          <w:b/>
          <w:color w:val="000000" w:themeColor="text1"/>
          <w:sz w:val="24"/>
          <w:highlight w:val="none"/>
          <w14:textFill>
            <w14:solidFill>
              <w14:schemeClr w14:val="tx1"/>
            </w14:solidFill>
          </w14:textFill>
        </w:rPr>
        <w:t>、密封、修改和撤回</w:t>
      </w:r>
    </w:p>
    <w:p>
      <w:pPr>
        <w:keepNext w:val="0"/>
        <w:keepLines w:val="0"/>
        <w:pageBreakBefore w:val="0"/>
        <w:widowControl w:val="0"/>
        <w:kinsoku/>
        <w:wordWrap/>
        <w:overflowPunct/>
        <w:topLinePunct w:val="0"/>
        <w:bidi w:val="0"/>
        <w:spacing w:line="360" w:lineRule="exact"/>
        <w:ind w:left="0" w:leftChars="0" w:right="0" w:rightChars="0" w:firstLine="422" w:firstLineChars="176"/>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1.投标人应按</w:t>
      </w:r>
      <w:r>
        <w:rPr>
          <w:rFonts w:hint="eastAsia" w:ascii="宋体" w:hAnsi="宋体" w:cs="宋体"/>
          <w:color w:val="000000" w:themeColor="text1"/>
          <w:sz w:val="24"/>
          <w:highlight w:val="none"/>
          <w:lang w:eastAsia="zh-CN"/>
          <w14:textFill>
            <w14:solidFill>
              <w14:schemeClr w14:val="tx1"/>
            </w14:solidFill>
          </w14:textFill>
        </w:rPr>
        <w:t>资格证明文件</w:t>
      </w:r>
      <w:r>
        <w:rPr>
          <w:rFonts w:hint="eastAsia" w:ascii="宋体" w:hAnsi="宋体" w:eastAsia="宋体" w:cs="宋体"/>
          <w:color w:val="000000" w:themeColor="text1"/>
          <w:sz w:val="24"/>
          <w:highlight w:val="none"/>
          <w14:textFill>
            <w14:solidFill>
              <w14:schemeClr w14:val="tx1"/>
            </w14:solidFill>
          </w14:textFill>
        </w:rPr>
        <w:t>、商务技术文件、报价文件三部分。</w:t>
      </w:r>
    </w:p>
    <w:p>
      <w:pPr>
        <w:keepNext w:val="0"/>
        <w:keepLines w:val="0"/>
        <w:pageBreakBefore w:val="0"/>
        <w:widowControl w:val="0"/>
        <w:numPr>
          <w:ilvl w:val="0"/>
          <w:numId w:val="0"/>
        </w:numPr>
        <w:shd w:val="clear" w:fill="FFFFFF" w:themeFill="background1"/>
        <w:kinsoku/>
        <w:wordWrap/>
        <w:overflowPunct/>
        <w:topLinePunct w:val="0"/>
        <w:autoSpaceDE w:val="0"/>
        <w:autoSpaceDN w:val="0"/>
        <w:bidi w:val="0"/>
        <w:adjustRightInd w:val="0"/>
        <w:spacing w:beforeAutospacing="0" w:afterAutospacing="0" w:line="360" w:lineRule="exact"/>
        <w:ind w:left="0" w:leftChars="0" w:right="0" w:rightChars="0" w:firstLine="458" w:firstLineChars="200"/>
        <w:jc w:val="left"/>
        <w:textAlignment w:val="auto"/>
        <w:outlineLvl w:val="9"/>
        <w:rPr>
          <w:rFonts w:hint="eastAsia" w:ascii="宋体" w:hAnsi="宋体" w:eastAsia="宋体" w:cs="宋体"/>
          <w:b/>
          <w:bCs/>
          <w:color w:val="000000" w:themeColor="text1"/>
          <w:spacing w:val="-6"/>
          <w:sz w:val="24"/>
          <w:szCs w:val="24"/>
          <w:highlight w:val="none"/>
          <w:u w:val="none"/>
          <w:lang w:val="en-US" w:eastAsia="zh-CN"/>
          <w14:textFill>
            <w14:solidFill>
              <w14:schemeClr w14:val="tx1"/>
            </w14:solidFill>
          </w14:textFill>
        </w:rPr>
      </w:pPr>
      <w:r>
        <w:rPr>
          <w:rFonts w:hint="eastAsia" w:ascii="宋体" w:hAnsi="宋体" w:eastAsia="宋体" w:cs="宋体"/>
          <w:b/>
          <w:bCs/>
          <w:color w:val="000000" w:themeColor="text1"/>
          <w:spacing w:val="-6"/>
          <w:sz w:val="24"/>
          <w:szCs w:val="24"/>
          <w:highlight w:val="none"/>
          <w:u w:val="none"/>
          <w:lang w:val="en-US" w:eastAsia="zh-CN"/>
          <w14:textFill>
            <w14:solidFill>
              <w14:schemeClr w14:val="tx1"/>
            </w14:solidFill>
          </w14:textFill>
        </w:rPr>
        <w:t>注：投标文件（包括</w:t>
      </w:r>
      <w:r>
        <w:rPr>
          <w:rFonts w:hint="eastAsia" w:ascii="宋体" w:hAnsi="宋体" w:eastAsia="宋体" w:cs="宋体"/>
          <w:b/>
          <w:bCs/>
          <w:color w:val="000000" w:themeColor="text1"/>
          <w:sz w:val="24"/>
          <w:szCs w:val="24"/>
          <w:highlight w:val="none"/>
          <w:u w:val="none"/>
          <w14:textFill>
            <w14:solidFill>
              <w14:schemeClr w14:val="tx1"/>
            </w14:solidFill>
          </w14:textFill>
        </w:rPr>
        <w:t>资格商务技术文件、报价文件</w:t>
      </w:r>
      <w:r>
        <w:rPr>
          <w:rFonts w:hint="eastAsia" w:ascii="宋体" w:hAnsi="宋体" w:eastAsia="宋体" w:cs="宋体"/>
          <w:b/>
          <w:bCs/>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b/>
          <w:bCs/>
          <w:color w:val="000000" w:themeColor="text1"/>
          <w:spacing w:val="-6"/>
          <w:sz w:val="24"/>
          <w:szCs w:val="24"/>
          <w:highlight w:val="none"/>
          <w:u w:val="none"/>
          <w:lang w:val="en-US" w:eastAsia="zh-CN"/>
          <w14:textFill>
            <w14:solidFill>
              <w14:schemeClr w14:val="tx1"/>
            </w14:solidFill>
          </w14:textFill>
        </w:rPr>
        <w:t>封面后的第一页必</w:t>
      </w:r>
      <w:r>
        <w:rPr>
          <w:rFonts w:hint="eastAsia" w:ascii="宋体" w:hAnsi="宋体" w:eastAsia="宋体" w:cs="宋体"/>
          <w:b/>
          <w:bCs/>
          <w:color w:val="000000" w:themeColor="text1"/>
          <w:sz w:val="24"/>
          <w:szCs w:val="24"/>
          <w:highlight w:val="none"/>
          <w:u w:val="none"/>
          <w:lang w:val="en-US" w:eastAsia="zh-CN"/>
          <w14:textFill>
            <w14:solidFill>
              <w14:schemeClr w14:val="tx1"/>
            </w14:solidFill>
          </w14:textFill>
        </w:rPr>
        <w:t>须制作</w:t>
      </w:r>
      <w:r>
        <w:rPr>
          <w:rFonts w:hint="eastAsia" w:ascii="宋体" w:hAnsi="宋体" w:cs="宋体"/>
          <w:b/>
          <w:bCs/>
          <w:color w:val="000000" w:themeColor="text1"/>
          <w:sz w:val="24"/>
          <w:szCs w:val="24"/>
          <w:highlight w:val="none"/>
          <w:u w:val="none"/>
          <w:lang w:val="en-US" w:eastAsia="zh-CN"/>
          <w14:textFill>
            <w14:solidFill>
              <w14:schemeClr w14:val="tx1"/>
            </w14:solidFill>
          </w14:textFill>
        </w:rPr>
        <w:t>评标</w:t>
      </w:r>
      <w:r>
        <w:rPr>
          <w:rFonts w:hint="eastAsia" w:ascii="宋体" w:hAnsi="宋体" w:eastAsia="宋体" w:cs="宋体"/>
          <w:b/>
          <w:bCs/>
          <w:color w:val="000000" w:themeColor="text1"/>
          <w:spacing w:val="-6"/>
          <w:sz w:val="24"/>
          <w:szCs w:val="24"/>
          <w:highlight w:val="none"/>
          <w:u w:val="none"/>
          <w:lang w:val="en-US" w:eastAsia="zh-CN"/>
          <w14:textFill>
            <w14:solidFill>
              <w14:schemeClr w14:val="tx1"/>
            </w14:solidFill>
          </w14:textFill>
        </w:rPr>
        <w:t>索引目录，标明</w:t>
      </w:r>
      <w:r>
        <w:rPr>
          <w:rFonts w:hint="eastAsia" w:ascii="宋体" w:hAnsi="宋体" w:cs="宋体"/>
          <w:b/>
          <w:bCs/>
          <w:color w:val="000000" w:themeColor="text1"/>
          <w:spacing w:val="-6"/>
          <w:sz w:val="24"/>
          <w:szCs w:val="24"/>
          <w:highlight w:val="none"/>
          <w:u w:val="none"/>
          <w:lang w:val="en-US" w:eastAsia="zh-CN"/>
          <w14:textFill>
            <w14:solidFill>
              <w14:schemeClr w14:val="tx1"/>
            </w14:solidFill>
          </w14:textFill>
        </w:rPr>
        <w:t>提交满足招标文件要求的</w:t>
      </w:r>
      <w:r>
        <w:rPr>
          <w:rFonts w:hint="eastAsia" w:ascii="宋体" w:hAnsi="宋体" w:eastAsia="宋体" w:cs="宋体"/>
          <w:b/>
          <w:bCs/>
          <w:color w:val="000000" w:themeColor="text1"/>
          <w:spacing w:val="-6"/>
          <w:sz w:val="24"/>
          <w:szCs w:val="24"/>
          <w:highlight w:val="none"/>
          <w:u w:val="none"/>
          <w:lang w:val="en-US" w:eastAsia="zh-CN"/>
          <w14:textFill>
            <w14:solidFill>
              <w14:schemeClr w14:val="tx1"/>
            </w14:solidFill>
          </w14:textFill>
        </w:rPr>
        <w:t>对应</w:t>
      </w:r>
      <w:r>
        <w:rPr>
          <w:rFonts w:hint="eastAsia" w:ascii="宋体" w:hAnsi="宋体" w:cs="宋体"/>
          <w:b/>
          <w:bCs/>
          <w:color w:val="000000" w:themeColor="text1"/>
          <w:spacing w:val="-6"/>
          <w:sz w:val="24"/>
          <w:szCs w:val="24"/>
          <w:highlight w:val="none"/>
          <w:u w:val="none"/>
          <w:lang w:val="en-US" w:eastAsia="zh-CN"/>
          <w14:textFill>
            <w14:solidFill>
              <w14:schemeClr w14:val="tx1"/>
            </w14:solidFill>
          </w14:textFill>
        </w:rPr>
        <w:t>投标材料所在</w:t>
      </w:r>
      <w:r>
        <w:rPr>
          <w:rFonts w:hint="eastAsia" w:ascii="宋体" w:hAnsi="宋体" w:eastAsia="宋体" w:cs="宋体"/>
          <w:b/>
          <w:bCs/>
          <w:color w:val="000000" w:themeColor="text1"/>
          <w:spacing w:val="-6"/>
          <w:sz w:val="24"/>
          <w:szCs w:val="24"/>
          <w:highlight w:val="none"/>
          <w:u w:val="none"/>
          <w:lang w:val="en-US" w:eastAsia="zh-CN"/>
          <w14:textFill>
            <w14:solidFill>
              <w14:schemeClr w14:val="tx1"/>
            </w14:solidFill>
          </w14:textFill>
        </w:rPr>
        <w:t>页码供现场工作人员及评委会查阅。</w:t>
      </w:r>
    </w:p>
    <w:p>
      <w:pPr>
        <w:keepNext w:val="0"/>
        <w:keepLines w:val="0"/>
        <w:pageBreakBefore w:val="0"/>
        <w:widowControl w:val="0"/>
        <w:numPr>
          <w:ilvl w:val="0"/>
          <w:numId w:val="0"/>
        </w:numPr>
        <w:kinsoku/>
        <w:wordWrap/>
        <w:overflowPunct/>
        <w:topLinePunct w:val="0"/>
        <w:autoSpaceDE w:val="0"/>
        <w:autoSpaceDN w:val="0"/>
        <w:bidi w:val="0"/>
        <w:adjustRightInd w:val="0"/>
        <w:spacing w:beforeAutospacing="0" w:afterAutospacing="0"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资格证明文件、商务技术文件</w:t>
      </w:r>
      <w:r>
        <w:rPr>
          <w:rFonts w:hint="eastAsia" w:ascii="宋体" w:hAnsi="宋体" w:eastAsia="宋体" w:cs="宋体"/>
          <w:color w:val="000000" w:themeColor="text1"/>
          <w:spacing w:val="-6"/>
          <w:sz w:val="24"/>
          <w:szCs w:val="24"/>
          <w:highlight w:val="none"/>
          <w14:textFill>
            <w14:solidFill>
              <w14:schemeClr w14:val="tx1"/>
            </w14:solidFill>
          </w14:textFill>
        </w:rPr>
        <w:t>合并成一册</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装订</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报价文件</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须单独装订</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，采用胶装，不得采用活页装订。采用活页装订的投标文件由现场工作人员退还投标人代表。</w:t>
      </w:r>
    </w:p>
    <w:p>
      <w:pPr>
        <w:keepNext w:val="0"/>
        <w:keepLines w:val="0"/>
        <w:pageBreakBefore w:val="0"/>
        <w:widowControl w:val="0"/>
        <w:kinsoku/>
        <w:wordWrap/>
        <w:overflowPunct/>
        <w:topLinePunct w:val="0"/>
        <w:autoSpaceDE/>
        <w:autoSpaceDN/>
        <w:bidi w:val="0"/>
        <w:adjustRightInd/>
        <w:spacing w:line="360" w:lineRule="exact"/>
        <w:ind w:left="0" w:leftChars="0" w:right="0" w:rightChars="0" w:firstLine="424"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szCs w:val="24"/>
          <w:highlight w:val="none"/>
          <w:u w:val="none"/>
          <w:lang w:val="en-US" w:eastAsia="zh-CN"/>
          <w14:textFill>
            <w14:solidFill>
              <w14:schemeClr w14:val="tx1"/>
            </w14:solidFill>
          </w14:textFill>
        </w:rPr>
        <w:t>所有投标文件的封面必须注明所投标项</w:t>
      </w:r>
      <w:r>
        <w:rPr>
          <w:rFonts w:hint="eastAsia" w:ascii="宋体" w:hAnsi="宋体" w:eastAsia="宋体" w:cs="宋体"/>
          <w:b w:val="0"/>
          <w:bCs/>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b w:val="0"/>
          <w:bCs/>
          <w:color w:val="000000" w:themeColor="text1"/>
          <w:sz w:val="24"/>
          <w:szCs w:val="24"/>
          <w:highlight w:val="none"/>
          <w:u w:val="none"/>
          <w14:textFill>
            <w14:solidFill>
              <w14:schemeClr w14:val="tx1"/>
            </w14:solidFill>
          </w14:textFill>
        </w:rPr>
        <w:t>副本的封面应加盖公章，副本的其他部分可以是正本的复印件</w:t>
      </w:r>
      <w:r>
        <w:rPr>
          <w:rFonts w:hint="eastAsia" w:ascii="宋体" w:hAnsi="宋体" w:eastAsia="宋体" w:cs="宋体"/>
          <w:b w:val="0"/>
          <w:bCs/>
          <w:color w:val="000000" w:themeColor="text1"/>
          <w:sz w:val="24"/>
          <w:szCs w:val="24"/>
          <w:highlight w:val="none"/>
          <w:u w:val="none"/>
          <w:lang w:eastAsia="zh-CN"/>
          <w14:textFill>
            <w14:solidFill>
              <w14:schemeClr w14:val="tx1"/>
            </w14:solidFill>
          </w14:textFill>
        </w:rPr>
        <w:t>，文本内容清晰可见</w:t>
      </w:r>
      <w:r>
        <w:rPr>
          <w:rFonts w:hint="eastAsia" w:ascii="宋体" w:hAnsi="宋体" w:eastAsia="宋体" w:cs="宋体"/>
          <w:b w:val="0"/>
          <w:bCs/>
          <w:color w:val="000000" w:themeColor="text1"/>
          <w:sz w:val="24"/>
          <w:szCs w:val="24"/>
          <w:highlight w:val="none"/>
          <w:u w:val="none"/>
          <w14:textFill>
            <w14:solidFill>
              <w14:schemeClr w14:val="tx1"/>
            </w14:solidFill>
          </w14:textFill>
        </w:rPr>
        <w:t>。</w:t>
      </w:r>
      <w:r>
        <w:rPr>
          <w:rFonts w:hint="eastAsia" w:ascii="宋体" w:hAnsi="宋体" w:eastAsia="宋体" w:cs="宋体"/>
          <w:b w:val="0"/>
          <w:bCs/>
          <w:color w:val="000000" w:themeColor="text1"/>
          <w:sz w:val="24"/>
          <w:highlight w:val="none"/>
          <w14:textFill>
            <w14:solidFill>
              <w14:schemeClr w14:val="tx1"/>
            </w14:solidFill>
          </w14:textFill>
        </w:rPr>
        <w:t>其</w:t>
      </w:r>
      <w:r>
        <w:rPr>
          <w:rFonts w:hint="eastAsia" w:ascii="宋体" w:hAnsi="宋体" w:eastAsia="宋体" w:cs="宋体"/>
          <w:color w:val="000000" w:themeColor="text1"/>
          <w:sz w:val="24"/>
          <w:highlight w:val="none"/>
          <w14:textFill>
            <w14:solidFill>
              <w14:schemeClr w14:val="tx1"/>
            </w14:solidFill>
          </w14:textFill>
        </w:rPr>
        <w:t>中正本1份，</w:t>
      </w:r>
      <w:r>
        <w:rPr>
          <w:rFonts w:hint="eastAsia" w:ascii="宋体" w:hAnsi="宋体" w:eastAsia="宋体" w:cs="宋体"/>
          <w:color w:val="000000" w:themeColor="text1"/>
          <w:sz w:val="24"/>
          <w:highlight w:val="none"/>
          <w:lang w:eastAsia="zh-CN"/>
          <w14:textFill>
            <w14:solidFill>
              <w14:schemeClr w14:val="tx1"/>
            </w14:solidFill>
          </w14:textFill>
        </w:rPr>
        <w:t>副本</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lang w:eastAsia="zh-CN"/>
          <w14:textFill>
            <w14:solidFill>
              <w14:schemeClr w14:val="tx1"/>
            </w14:solidFill>
          </w14:textFill>
        </w:rPr>
        <w:t>份</w:t>
      </w:r>
      <w:r>
        <w:rPr>
          <w:rFonts w:hint="eastAsia" w:ascii="宋体" w:hAnsi="宋体" w:cs="宋体"/>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2.投标文件的包装封面上应注明投标人名称、投标文件名称（资格证明文件、商务技术文件、报价文件）、投标项目名称、项目编号、标项及“在  年  月  日  时  分之前不得启封”字样，并加盖投标人公章。</w:t>
      </w:r>
    </w:p>
    <w:p>
      <w:pPr>
        <w:keepNext w:val="0"/>
        <w:keepLines w:val="0"/>
        <w:pageBreakBefore w:val="0"/>
        <w:widowControl w:val="0"/>
        <w:kinsoku/>
        <w:wordWrap/>
        <w:overflowPunct/>
        <w:topLinePunct w:val="0"/>
        <w:bidi w:val="0"/>
        <w:spacing w:line="360" w:lineRule="exact"/>
        <w:ind w:left="0" w:leftChars="0" w:right="0" w:rightChars="0" w:firstLine="422" w:firstLineChars="176"/>
        <w:textAlignment w:val="auto"/>
        <w:rPr>
          <w:rFonts w:hint="eastAsia" w:ascii="宋体" w:hAnsi="宋体" w:eastAsia="宋体" w:cs="宋体"/>
          <w:b w:val="0"/>
          <w:bCs w:val="0"/>
          <w:color w:val="000000" w:themeColor="text1"/>
          <w:sz w:val="24"/>
          <w:highlight w:val="none"/>
          <w:u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电子版投标文件和资格、商务技术文件打包</w:t>
      </w:r>
      <w:r>
        <w:rPr>
          <w:rFonts w:hint="eastAsia" w:ascii="宋体" w:hAnsi="宋体" w:eastAsia="宋体" w:cs="宋体"/>
          <w:b w:val="0"/>
          <w:bCs w:val="0"/>
          <w:color w:val="000000" w:themeColor="text1"/>
          <w:kern w:val="2"/>
          <w:sz w:val="24"/>
          <w:szCs w:val="24"/>
          <w:highlight w:val="none"/>
          <w:u w:val="none"/>
          <w:lang w:val="en-US" w:eastAsia="zh-CN" w:bidi="ar-SA"/>
          <w14:textFill>
            <w14:solidFill>
              <w14:schemeClr w14:val="tx1"/>
            </w14:solidFill>
          </w14:textFill>
        </w:rPr>
        <w:t>密封</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在一个包，报价文件另外单独一个包密封</w:t>
      </w:r>
      <w:r>
        <w:rPr>
          <w:rFonts w:hint="eastAsia" w:ascii="宋体" w:hAnsi="宋体" w:eastAsia="宋体" w:cs="宋体"/>
          <w:b w:val="0"/>
          <w:bCs w:val="0"/>
          <w:color w:val="000000" w:themeColor="text1"/>
          <w:kern w:val="2"/>
          <w:sz w:val="24"/>
          <w:szCs w:val="24"/>
          <w:highlight w:val="none"/>
          <w:u w:val="none"/>
          <w:lang w:val="en-US" w:eastAsia="zh-CN" w:bidi="ar-SA"/>
          <w14:textFill>
            <w14:solidFill>
              <w14:schemeClr w14:val="tx1"/>
            </w14:solidFill>
          </w14:textFill>
        </w:rPr>
        <w:t>。</w:t>
      </w:r>
      <w:r>
        <w:rPr>
          <w:rFonts w:hint="eastAsia" w:ascii="宋体" w:hAnsi="宋体" w:cs="宋体"/>
          <w:b w:val="0"/>
          <w:bCs w:val="0"/>
          <w:color w:val="000000" w:themeColor="text1"/>
          <w:kern w:val="2"/>
          <w:sz w:val="24"/>
          <w:szCs w:val="24"/>
          <w:highlight w:val="none"/>
          <w:u w:val="none"/>
          <w:lang w:val="en-US" w:eastAsia="zh-CN" w:bidi="ar-SA"/>
          <w14:textFill>
            <w14:solidFill>
              <w14:schemeClr w14:val="tx1"/>
            </w14:solidFill>
          </w14:textFill>
        </w:rPr>
        <w:t>按以上要求分类密封后不得合并捆绑打包</w:t>
      </w:r>
      <w:r>
        <w:rPr>
          <w:rFonts w:hint="eastAsia" w:ascii="宋体" w:hAnsi="宋体" w:eastAsia="宋体" w:cs="宋体"/>
          <w:b w:val="0"/>
          <w:bCs w:val="0"/>
          <w:color w:val="000000" w:themeColor="text1"/>
          <w:sz w:val="24"/>
          <w:highlight w:val="none"/>
          <w:u w:val="none"/>
          <w14:textFill>
            <w14:solidFill>
              <w14:schemeClr w14:val="tx1"/>
            </w14:solidFill>
          </w14:textFill>
        </w:rPr>
        <w:t>。</w:t>
      </w:r>
    </w:p>
    <w:p>
      <w:pPr>
        <w:keepNext w:val="0"/>
        <w:keepLines w:val="0"/>
        <w:pageBreakBefore w:val="0"/>
        <w:widowControl w:val="0"/>
        <w:kinsoku/>
        <w:wordWrap/>
        <w:overflowPunct/>
        <w:topLinePunct w:val="0"/>
        <w:bidi w:val="0"/>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4.未密封的投标文件将被拒绝接收，并由现场工作人员退还投标人代表。</w:t>
      </w:r>
    </w:p>
    <w:p>
      <w:pPr>
        <w:keepNext w:val="0"/>
        <w:keepLines w:val="0"/>
        <w:pageBreakBefore w:val="0"/>
        <w:widowControl w:val="0"/>
        <w:kinsoku/>
        <w:wordWrap/>
        <w:overflowPunct/>
        <w:topLinePunct w:val="0"/>
        <w:bidi w:val="0"/>
        <w:spacing w:line="360" w:lineRule="exact"/>
        <w:ind w:left="0" w:leftChars="0" w:right="0" w:rightChars="0" w:firstLine="422" w:firstLineChars="176"/>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投标人在投标截止时间之前，可以对已提交的投标文件进行修改或撤回，并书面通知招标采购单位；投标截止时间后，投标人不得撤回、修改投标文件。修改后重新递交的投标文件应当按本招标文件的要求签署、盖章、包装和密封。</w:t>
      </w:r>
    </w:p>
    <w:p>
      <w:pPr>
        <w:pStyle w:val="19"/>
        <w:snapToGrid w:val="0"/>
        <w:spacing w:beforeLines="0" w:afterLines="0" w:line="360" w:lineRule="auto"/>
        <w:jc w:val="center"/>
        <w:outlineLvl w:val="1"/>
        <w:rPr>
          <w:rFonts w:hint="eastAsia" w:ascii="宋体" w:hAnsi="宋体" w:eastAsia="宋体" w:cs="宋体"/>
          <w:b/>
          <w:color w:val="000000" w:themeColor="text1"/>
          <w:sz w:val="28"/>
          <w:szCs w:val="28"/>
          <w:highlight w:val="none"/>
          <w14:textFill>
            <w14:solidFill>
              <w14:schemeClr w14:val="tx1"/>
            </w14:solidFill>
          </w14:textFill>
        </w:rPr>
      </w:pPr>
      <w:bookmarkStart w:id="5" w:name="_Toc9624378"/>
      <w:r>
        <w:rPr>
          <w:rFonts w:hint="eastAsia" w:ascii="宋体" w:hAnsi="宋体" w:eastAsia="宋体" w:cs="宋体"/>
          <w:b/>
          <w:color w:val="000000" w:themeColor="text1"/>
          <w:sz w:val="28"/>
          <w:szCs w:val="28"/>
          <w:highlight w:val="none"/>
          <w14:textFill>
            <w14:solidFill>
              <w14:schemeClr w14:val="tx1"/>
            </w14:solidFill>
          </w14:textFill>
        </w:rPr>
        <w:t>四、开标</w:t>
      </w:r>
      <w:bookmarkEnd w:id="5"/>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176"/>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（一）开标准备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采购代理机构将在规定的时间和地点进行开标，投标人的法定代表人或其授权代表应准时参加开标会并签到。</w:t>
      </w:r>
      <w:r>
        <w:rPr>
          <w:rFonts w:hint="eastAsia" w:ascii="宋体" w:hAnsi="宋体" w:eastAsia="宋体" w:cs="宋体"/>
          <w:color w:val="000000" w:themeColor="text1"/>
          <w:kern w:val="0"/>
          <w:sz w:val="24"/>
          <w:szCs w:val="24"/>
          <w:highlight w:val="none"/>
          <w14:textFill>
            <w14:solidFill>
              <w14:schemeClr w14:val="tx1"/>
            </w14:solidFill>
          </w14:textFill>
        </w:rPr>
        <w:t>参加开标活动时</w:t>
      </w:r>
      <w:r>
        <w:rPr>
          <w:rFonts w:hint="eastAsia" w:ascii="宋体" w:hAnsi="宋体" w:eastAsia="宋体" w:cs="宋体"/>
          <w:color w:val="000000" w:themeColor="text1"/>
          <w:sz w:val="24"/>
          <w:szCs w:val="24"/>
          <w:highlight w:val="none"/>
          <w14:textFill>
            <w14:solidFill>
              <w14:schemeClr w14:val="tx1"/>
            </w14:solidFill>
          </w14:textFill>
        </w:rPr>
        <w:t>应当</w:t>
      </w:r>
      <w:r>
        <w:rPr>
          <w:rFonts w:hint="eastAsia" w:ascii="宋体" w:hAnsi="宋体" w:eastAsia="宋体" w:cs="宋体"/>
          <w:color w:val="000000" w:themeColor="text1"/>
          <w:sz w:val="24"/>
          <w:szCs w:val="24"/>
          <w:highlight w:val="none"/>
          <w:lang w:val="en-US" w:eastAsia="zh-CN"/>
          <w14:textFill>
            <w14:solidFill>
              <w14:schemeClr w14:val="tx1"/>
            </w14:solidFill>
          </w14:textFill>
        </w:rPr>
        <w:t>持有效期内</w:t>
      </w:r>
      <w:r>
        <w:rPr>
          <w:rFonts w:hint="eastAsia" w:ascii="宋体" w:hAnsi="宋体" w:eastAsia="宋体" w:cs="宋体"/>
          <w:color w:val="000000" w:themeColor="text1"/>
          <w:sz w:val="24"/>
          <w:szCs w:val="24"/>
          <w:highlight w:val="none"/>
          <w14:textFill>
            <w14:solidFill>
              <w14:schemeClr w14:val="tx1"/>
            </w14:solidFill>
          </w14:textFill>
        </w:rPr>
        <w:t>本人身份证或公安机关出具的临时身份证明或港澳台胞证或护照原件或户口本原件（其他诸如驾驶证、市民卡等一律视为未提供有效的身份证明）</w:t>
      </w:r>
      <w:r>
        <w:rPr>
          <w:rFonts w:hint="eastAsia" w:ascii="宋体" w:hAnsi="宋体" w:eastAsia="宋体" w:cs="宋体"/>
          <w:color w:val="000000" w:themeColor="text1"/>
          <w:sz w:val="24"/>
          <w:szCs w:val="24"/>
          <w:highlight w:val="none"/>
          <w:lang w:val="en-US" w:eastAsia="zh-CN"/>
          <w14:textFill>
            <w14:solidFill>
              <w14:schemeClr w14:val="tx1"/>
            </w14:solidFill>
          </w14:textFill>
        </w:rPr>
        <w:t>和法定代表人出具的授权委托书</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若</w:t>
      </w:r>
      <w:r>
        <w:rPr>
          <w:rFonts w:hint="eastAsia" w:ascii="宋体" w:hAnsi="宋体" w:eastAsia="宋体" w:cs="宋体"/>
          <w:color w:val="000000" w:themeColor="text1"/>
          <w:sz w:val="24"/>
          <w:szCs w:val="24"/>
          <w:highlight w:val="none"/>
          <w14:textFill>
            <w14:solidFill>
              <w14:schemeClr w14:val="tx1"/>
            </w14:solidFill>
          </w14:textFill>
        </w:rPr>
        <w:t>是法定代表人参加，须</w:t>
      </w:r>
      <w:r>
        <w:rPr>
          <w:rFonts w:hint="eastAsia" w:ascii="宋体" w:hAnsi="宋体" w:eastAsia="宋体" w:cs="宋体"/>
          <w:color w:val="000000" w:themeColor="text1"/>
          <w:sz w:val="24"/>
          <w:szCs w:val="24"/>
          <w:highlight w:val="none"/>
          <w:lang w:val="en-US" w:eastAsia="zh-CN"/>
          <w14:textFill>
            <w14:solidFill>
              <w14:schemeClr w14:val="tx1"/>
            </w14:solidFill>
          </w14:textFill>
        </w:rPr>
        <w:t>携提供</w:t>
      </w:r>
      <w:r>
        <w:rPr>
          <w:rFonts w:hint="eastAsia" w:ascii="宋体" w:hAnsi="宋体" w:eastAsia="宋体" w:cs="宋体"/>
          <w:color w:val="000000" w:themeColor="text1"/>
          <w:sz w:val="24"/>
          <w:szCs w:val="24"/>
          <w:highlight w:val="none"/>
          <w14:textFill>
            <w14:solidFill>
              <w14:schemeClr w14:val="tx1"/>
            </w14:solidFill>
          </w14:textFill>
        </w:rPr>
        <w:t>法定代表人身份证明书（格式见第六部分）。投标人的法定代表人或其授权代表未按时签到的，视同放弃开标监督权利、认可开标结果</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176"/>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投标文件递交有效（投标文件递交有效性以纸质投标文件递交时间为准，下同），而投标人法定代表人或其委托代理人未能参加开标或未能携带上述资料的，视同其未参加开标，不得对开标提出异议，不影响开标结果，也不作为否决其投标的评审因素。</w:t>
      </w:r>
    </w:p>
    <w:p>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0" w:leftChars="0" w:right="0" w:rightChars="0" w:firstLine="424" w:firstLineChars="0"/>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开标程序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1．开标会由采购代理机构主持，主持人宣布开标会议开始。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2．主持人介绍参加开标会的人员名单，宣布开标纪律，告知应当回避的情形，提请有关人员回避。</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3．投标人或其当场推荐的代表检查投标文件密封的完整性并签字确认。</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4．清点</w:t>
      </w:r>
      <w:r>
        <w:rPr>
          <w:rFonts w:hint="eastAsia" w:ascii="宋体" w:hAnsi="宋体" w:cs="宋体"/>
          <w:color w:val="000000" w:themeColor="text1"/>
          <w:sz w:val="24"/>
          <w:szCs w:val="24"/>
          <w:highlight w:val="none"/>
          <w:lang w:val="en-US" w:eastAsia="zh-CN"/>
          <w14:textFill>
            <w14:solidFill>
              <w14:schemeClr w14:val="tx1"/>
            </w14:solidFill>
          </w14:textFill>
        </w:rPr>
        <w:t>投标文件</w:t>
      </w:r>
      <w:r>
        <w:rPr>
          <w:rFonts w:hint="eastAsia" w:ascii="宋体" w:hAnsi="宋体" w:eastAsia="宋体" w:cs="宋体"/>
          <w:color w:val="000000" w:themeColor="text1"/>
          <w:sz w:val="24"/>
          <w:szCs w:val="24"/>
          <w:highlight w:val="none"/>
          <w14:textFill>
            <w14:solidFill>
              <w14:schemeClr w14:val="tx1"/>
            </w14:solidFill>
          </w14:textFill>
        </w:rPr>
        <w:t>。采用活页装订</w:t>
      </w:r>
      <w:r>
        <w:rPr>
          <w:rFonts w:hint="eastAsia" w:ascii="宋体" w:hAnsi="宋体" w:eastAsia="宋体" w:cs="宋体"/>
          <w:b/>
          <w:bCs/>
          <w:color w:val="000000" w:themeColor="text1"/>
          <w:sz w:val="24"/>
          <w:szCs w:val="24"/>
          <w:highlight w:val="none"/>
          <w14:textFill>
            <w14:solidFill>
              <w14:schemeClr w14:val="tx1"/>
            </w14:solidFill>
          </w14:textFill>
        </w:rPr>
        <w:t>（是指用卡条、抽杆夹、订书机等形式装订，使标书可以拆卸或者在翻动过程中易脱落的一种装订方式）</w:t>
      </w:r>
      <w:r>
        <w:rPr>
          <w:rFonts w:hint="eastAsia" w:ascii="宋体" w:hAnsi="宋体" w:eastAsia="宋体" w:cs="宋体"/>
          <w:color w:val="000000" w:themeColor="text1"/>
          <w:sz w:val="24"/>
          <w:szCs w:val="24"/>
          <w:highlight w:val="none"/>
          <w14:textFill>
            <w14:solidFill>
              <w14:schemeClr w14:val="tx1"/>
            </w14:solidFill>
          </w14:textFill>
        </w:rPr>
        <w:t>的投标文件将被当场退还投标人，并由投标人代表签字确认，无故拒绝或不签字确认的视同默认。</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5．按</w:t>
      </w:r>
      <w:r>
        <w:rPr>
          <w:rFonts w:hint="eastAsia" w:ascii="宋体" w:hAnsi="宋体" w:cs="宋体"/>
          <w:color w:val="000000" w:themeColor="text1"/>
          <w:sz w:val="24"/>
          <w:szCs w:val="24"/>
          <w:highlight w:val="none"/>
          <w:lang w:val="en-US" w:eastAsia="zh-CN"/>
          <w14:textFill>
            <w14:solidFill>
              <w14:schemeClr w14:val="tx1"/>
            </w14:solidFill>
          </w14:textFill>
        </w:rPr>
        <w:t>标项</w:t>
      </w:r>
      <w:r>
        <w:rPr>
          <w:rFonts w:hint="eastAsia" w:ascii="宋体" w:hAnsi="宋体" w:eastAsia="宋体" w:cs="宋体"/>
          <w:color w:val="000000" w:themeColor="text1"/>
          <w:sz w:val="24"/>
          <w:szCs w:val="24"/>
          <w:highlight w:val="none"/>
          <w14:textFill>
            <w14:solidFill>
              <w14:schemeClr w14:val="tx1"/>
            </w14:solidFill>
          </w14:textFill>
        </w:rPr>
        <w:t>先后顺序开标唱标</w:t>
      </w:r>
      <w:r>
        <w:rPr>
          <w:rFonts w:hint="eastAsia" w:ascii="宋体" w:hAnsi="宋体" w:eastAsia="宋体" w:cs="宋体"/>
          <w:color w:val="000000" w:themeColor="text1"/>
          <w:sz w:val="24"/>
          <w:szCs w:val="24"/>
          <w:highlight w:val="none"/>
          <w:shd w:val="clear"/>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由唱标人宣读《开标一览表》中的投标人名称及在其投标文件中承诺的投标报价，以及采购代理机构认为有必要宣读的其他内容。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采购代理机构做开标记录，投标人代表对开标记录进行当场校核及勘误，并签字确认；同时由记录人、监督人当场签字确认。投标人代表未到场签字确认或者拒绝签字确认的，视同默认开标结果，不影响开标过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7．开标会议结束，投标文件并送评标室评审。</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w:t>
      </w:r>
    </w:p>
    <w:p>
      <w:pPr>
        <w:pStyle w:val="19"/>
        <w:snapToGrid w:val="0"/>
        <w:spacing w:beforeLines="0" w:afterLines="0" w:line="360" w:lineRule="auto"/>
        <w:jc w:val="center"/>
        <w:outlineLvl w:val="1"/>
        <w:rPr>
          <w:rFonts w:hint="eastAsia" w:ascii="宋体" w:hAnsi="宋体" w:eastAsia="宋体" w:cs="宋体"/>
          <w:b/>
          <w:color w:val="000000" w:themeColor="text1"/>
          <w:sz w:val="28"/>
          <w:szCs w:val="28"/>
          <w:highlight w:val="none"/>
          <w14:textFill>
            <w14:solidFill>
              <w14:schemeClr w14:val="tx1"/>
            </w14:solidFill>
          </w14:textFill>
        </w:rPr>
      </w:pPr>
      <w:bookmarkStart w:id="6" w:name="_Toc9624379"/>
      <w:r>
        <w:rPr>
          <w:rFonts w:hint="eastAsia" w:ascii="宋体" w:hAnsi="宋体" w:eastAsia="宋体" w:cs="宋体"/>
          <w:b/>
          <w:color w:val="000000" w:themeColor="text1"/>
          <w:sz w:val="28"/>
          <w:szCs w:val="28"/>
          <w:highlight w:val="none"/>
          <w14:textFill>
            <w14:solidFill>
              <w14:schemeClr w14:val="tx1"/>
            </w14:solidFill>
          </w14:textFill>
        </w:rPr>
        <w:t>五、评标</w:t>
      </w:r>
      <w:bookmarkEnd w:id="6"/>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（一）组建评标委员会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本项目评标委员会按《中华人民共和国政府采购法》相关要求，在浙江省财政厅采购专家库中随机抽取，成员由</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14:textFill>
            <w14:solidFill>
              <w14:schemeClr w14:val="tx1"/>
            </w14:solidFill>
          </w14:textFill>
        </w:rPr>
        <w:t>人（含）以上奇数组成，其中政府采购专家人数不少于成员总数的三分之二。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（二）评标程序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1.在评审专家中推选评审小组组长。</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评审小组组长召集成员认真阅读招标文件以及相关补充、质疑、答复文件、项目书面说明等材料，熟悉采购项目的基本概况，采购项目的质量要求、数量、主要技术标准或服务需求，采购合同主要条款，投标无效情形，评审方法、评审依据、评审标准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3.招标人或者招标代理机构对各投标人的资格进行审查，投标人资格条件不符合招标文件要求的投标无效，</w:t>
      </w:r>
      <w:r>
        <w:rPr>
          <w:rFonts w:hint="eastAsia" w:ascii="宋体" w:hAnsi="宋体" w:eastAsia="宋体" w:cs="宋体"/>
          <w:bCs/>
          <w:color w:val="000000" w:themeColor="text1"/>
          <w:sz w:val="24"/>
          <w:highlight w:val="none"/>
          <w14:textFill>
            <w14:solidFill>
              <w14:schemeClr w14:val="tx1"/>
            </w14:solidFill>
          </w14:textFill>
        </w:rPr>
        <w:t>不再进入符合性审查。</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4.评审小组对各投标文件的符合性进行审查，确定是否对招标文件作出了实质性响应。</w:t>
      </w:r>
      <w:r>
        <w:rPr>
          <w:rFonts w:hint="eastAsia" w:ascii="宋体" w:hAnsi="宋体" w:eastAsia="宋体" w:cs="宋体"/>
          <w:bCs/>
          <w:color w:val="000000" w:themeColor="text1"/>
          <w:sz w:val="24"/>
          <w:highlight w:val="none"/>
          <w14:textFill>
            <w14:solidFill>
              <w14:schemeClr w14:val="tx1"/>
            </w14:solidFill>
          </w14:textFill>
        </w:rPr>
        <w:t>实质上没有响应招标文件要求的投标将被视为无效投标，不再进入下一阶段的评审。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5.评审人员按招标文件规定的评审方法和评审标准，依法独立对供应商投标文件进行评估、比较，并给予评价或打分，不受任何单位和个人的干预。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6.各投标人的得分为所有评委的有效评分的算术平均数，由指定专人进行计算复核。</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7.评标委员会完成评标后,评委对各部分得分汇总,计算出本项目最终得分。评标委员会按评标原则推荐中标候选人，同时起草评标报告。</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8.实质上响应招标文件要求的投标人</w:t>
      </w:r>
      <w:r>
        <w:rPr>
          <w:rFonts w:hint="eastAsia" w:ascii="宋体" w:hAnsi="宋体" w:eastAsia="宋体" w:cs="宋体"/>
          <w:bCs/>
          <w:color w:val="000000" w:themeColor="text1"/>
          <w:sz w:val="24"/>
          <w:highlight w:val="none"/>
          <w14:textFill>
            <w14:solidFill>
              <w14:schemeClr w14:val="tx1"/>
            </w14:solidFill>
          </w14:textFill>
        </w:rPr>
        <w:t>不足三家的，除财政部门另有规定外，应当作废标处理。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（三）澄清问题的形式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（四）错误修正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投标文件如果出现计算或表达上的错误，修正错误的原则如下：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1.投标文件中开标一览表内容与投标文件中相应内容不一致的，以开标一览表为准；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2.大写金额和小写金额不一致的，以大写金额为准；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同时出现两种以上不一致的，按照前款规定的顺序修正。评标委员会应当以书面形式要求投标人对修正后的报价予以确认并对投标人产生约束力。投标人不予确认的，其投标无效。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（五）评标原则和评标办法</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1.评标委员会必须公平、公正、客观，不带任何倾向性和启发性；不得向外界透露任何与评标有关的内容；任何单位和个人不得干扰、影响评标的正常进行；评标委员会及有关工作人员不得私下与投标人接触。</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2.本项目评标办法是综合评分法，具体评标内容及评分标准等详见《</w:t>
      </w:r>
      <w:r>
        <w:rPr>
          <w:rFonts w:hint="eastAsia" w:ascii="宋体" w:hAnsi="宋体" w:eastAsia="宋体" w:cs="宋体"/>
          <w:color w:val="000000" w:themeColor="text1"/>
          <w:sz w:val="24"/>
          <w:highlight w:val="none"/>
          <w:lang w:eastAsia="zh-CN"/>
          <w14:textFill>
            <w14:solidFill>
              <w14:schemeClr w14:val="tx1"/>
            </w14:solidFill>
          </w14:textFill>
        </w:rPr>
        <w:t>第</w:t>
      </w:r>
      <w:r>
        <w:rPr>
          <w:rFonts w:hint="eastAsia" w:ascii="宋体" w:hAnsi="宋体" w:cs="宋体"/>
          <w:color w:val="000000" w:themeColor="text1"/>
          <w:sz w:val="24"/>
          <w:highlight w:val="none"/>
          <w:lang w:val="en-US" w:eastAsia="zh-CN"/>
          <w14:textFill>
            <w14:solidFill>
              <w14:schemeClr w14:val="tx1"/>
            </w14:solidFill>
          </w14:textFill>
        </w:rPr>
        <w:t>四</w:t>
      </w:r>
      <w:r>
        <w:rPr>
          <w:rFonts w:hint="eastAsia" w:ascii="宋体" w:hAnsi="宋体" w:eastAsia="宋体" w:cs="宋体"/>
          <w:color w:val="000000" w:themeColor="text1"/>
          <w:sz w:val="24"/>
          <w:highlight w:val="none"/>
          <w:lang w:eastAsia="zh-CN"/>
          <w14:textFill>
            <w14:solidFill>
              <w14:schemeClr w14:val="tx1"/>
            </w14:solidFill>
          </w14:textFill>
        </w:rPr>
        <w:t>部分</w:t>
      </w:r>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使用综合评分法的采购项目，提供相同品牌产品且通过资格审查、符合性审查的不同投标人参加同一合同项下投标的，按一家投标人计算，评审后得分最高的同品牌投标人获得中标人推荐资格；评审得分相同的，采取“评审总得分相同的，投标报价低者优先；评审总得分且投标报价相同的，技术分高者优先；评审总得分、投标报价相同且技术分相同的，则采取随机抽取方式” 的原则确定一个投标人获得中标人推荐资格，其他同品牌投标人不作为中标候选人。</w:t>
      </w:r>
    </w:p>
    <w:p>
      <w:pPr>
        <w:pStyle w:val="19"/>
        <w:keepNext w:val="0"/>
        <w:keepLines w:val="0"/>
        <w:pageBreakBefore w:val="0"/>
        <w:widowControl w:val="0"/>
        <w:shd w:val="clear"/>
        <w:kinsoku/>
        <w:wordWrap/>
        <w:overflowPunct/>
        <w:topLinePunct w:val="0"/>
        <w:autoSpaceDE/>
        <w:autoSpaceDN/>
        <w:bidi w:val="0"/>
        <w:adjustRightInd/>
        <w:snapToGrid w:val="0"/>
        <w:spacing w:beforeLines="0" w:afterLines="0" w:line="360" w:lineRule="exact"/>
        <w:ind w:left="0" w:leftChars="0" w:right="0" w:rightChars="0" w:firstLine="480" w:firstLineChars="200"/>
        <w:jc w:val="left"/>
        <w:textAlignment w:val="auto"/>
        <w:outlineLvl w:val="1"/>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多家投标人提供的核心产品品牌相同的，按前款规定处理。</w:t>
      </w:r>
    </w:p>
    <w:p>
      <w:pPr>
        <w:pStyle w:val="19"/>
        <w:keepNext w:val="0"/>
        <w:keepLines w:val="0"/>
        <w:pageBreakBefore w:val="0"/>
        <w:widowControl w:val="0"/>
        <w:shd w:val="clear"/>
        <w:kinsoku/>
        <w:wordWrap/>
        <w:overflowPunct/>
        <w:topLinePunct w:val="0"/>
        <w:autoSpaceDE/>
        <w:autoSpaceDN/>
        <w:bidi w:val="0"/>
        <w:adjustRightInd/>
        <w:snapToGrid w:val="0"/>
        <w:spacing w:beforeLines="0" w:afterLines="0" w:line="360" w:lineRule="exact"/>
        <w:ind w:left="0" w:leftChars="0" w:right="0" w:rightChars="0" w:firstLine="482" w:firstLineChars="200"/>
        <w:jc w:val="left"/>
        <w:textAlignment w:val="auto"/>
        <w:outlineLvl w:val="1"/>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4"/>
          <w:szCs w:val="24"/>
          <w:highlight w:val="none"/>
          <w:lang w:val="en-US" w:eastAsia="zh-CN" w:bidi="ar-SA"/>
          <w14:textFill>
            <w14:solidFill>
              <w14:schemeClr w14:val="tx1"/>
            </w14:solidFill>
          </w14:textFill>
        </w:rPr>
        <w:t>（六）无效标</w:t>
      </w:r>
      <w:r>
        <w:rPr>
          <w:rFonts w:hint="eastAsia" w:hAnsi="宋体" w:cs="宋体"/>
          <w:b/>
          <w:color w:val="000000" w:themeColor="text1"/>
          <w:kern w:val="2"/>
          <w:sz w:val="24"/>
          <w:szCs w:val="24"/>
          <w:highlight w:val="none"/>
          <w:lang w:val="en-US" w:eastAsia="zh-CN" w:bidi="ar-SA"/>
          <w14:textFill>
            <w14:solidFill>
              <w14:schemeClr w14:val="tx1"/>
            </w14:solidFill>
          </w14:textFill>
        </w:rPr>
        <w:t>情形</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jc w:val="left"/>
        <w:textAlignment w:val="auto"/>
        <w:outlineLvl w:val="9"/>
        <w:rPr>
          <w:rFonts w:hint="eastAsia" w:ascii="宋体" w:hAnsi="宋体" w:eastAsia="宋体" w:cs="宋体"/>
          <w:b/>
          <w:color w:val="000000"/>
          <w:sz w:val="24"/>
          <w:szCs w:val="24"/>
          <w:highlight w:val="none"/>
          <w:u w:val="thick"/>
        </w:rPr>
      </w:pPr>
      <w:r>
        <w:rPr>
          <w:rFonts w:hint="eastAsia" w:ascii="宋体" w:hAnsi="宋体" w:eastAsia="宋体" w:cs="宋体"/>
          <w:b/>
          <w:color w:val="000000"/>
          <w:sz w:val="24"/>
          <w:szCs w:val="24"/>
          <w:highlight w:val="none"/>
          <w:u w:val="thick"/>
        </w:rPr>
        <w:t>有下列情形之一的投标文件，由评标委员会按少数服从多数原则进行认定，经认定属实后将该投标文件作无效标处理：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商务技术文件阶段：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(1）投标文件内容不能充分证明投标人符合投标资格条件的；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(2）报名的投标人与参加投标的投标人发生实质性变更的且未提供有效证明的；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(3）投标人提交两份或两份以上内容不同的投标文件或技术方案，未声明哪一份有效的；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(4）投标文件非投标人法定代表人签署的，未提供或提供无效的法定代表人授权书；</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snapToGrid w:val="0"/>
          <w:color w:val="000000"/>
          <w:kern w:val="0"/>
          <w:sz w:val="24"/>
          <w:szCs w:val="24"/>
          <w:highlight w:val="none"/>
        </w:rPr>
        <w:t>(5）投标文件中法定代表人和授权代表身份证复印件不齐全的；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(6）投标文件内容未按采购文件规定签字或盖章的；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cs="宋体"/>
          <w:color w:val="000000"/>
          <w:sz w:val="24"/>
          <w:szCs w:val="24"/>
          <w:highlight w:val="none"/>
          <w:lang w:val="en-US" w:eastAsia="zh-CN"/>
        </w:rPr>
        <w:t>未提供电子档投标文件、</w:t>
      </w:r>
      <w:r>
        <w:rPr>
          <w:rFonts w:hint="eastAsia" w:ascii="宋体" w:hAnsi="宋体" w:eastAsia="宋体" w:cs="宋体"/>
          <w:color w:val="000000"/>
          <w:sz w:val="24"/>
          <w:szCs w:val="24"/>
          <w:highlight w:val="none"/>
        </w:rPr>
        <w:t>投标文件正、副本份数不足或内容不全或内容字迹模糊辨认不清的等而导致评标活动无法正常进行；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(8）投标人未按采购文件变更通知更改投标文件的；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(9）未提供中华人民共和国工业和信息化部批准，列入有效期内的机动车公告目录[若投标时暂无法提供的，则应同时提供承诺书及其他同类机动车公告目录（包含低于国六排放标准）]的；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(10）未实质性响应采购文件中带“▲”条款要求的投标文件；</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snapToGrid w:val="0"/>
          <w:color w:val="000000"/>
          <w:kern w:val="0"/>
          <w:sz w:val="24"/>
          <w:szCs w:val="24"/>
          <w:highlight w:val="none"/>
        </w:rPr>
        <w:t>投标有效期、</w:t>
      </w:r>
      <w:r>
        <w:rPr>
          <w:rFonts w:hint="eastAsia" w:ascii="宋体" w:hAnsi="宋体" w:cs="宋体"/>
          <w:snapToGrid w:val="0"/>
          <w:color w:val="000000"/>
          <w:kern w:val="0"/>
          <w:sz w:val="24"/>
          <w:szCs w:val="24"/>
          <w:highlight w:val="none"/>
          <w:lang w:eastAsia="zh-CN"/>
        </w:rPr>
        <w:t>供货</w:t>
      </w:r>
      <w:r>
        <w:rPr>
          <w:rFonts w:hint="eastAsia" w:ascii="宋体" w:hAnsi="宋体" w:eastAsia="宋体" w:cs="宋体"/>
          <w:snapToGrid w:val="0"/>
          <w:color w:val="000000"/>
          <w:kern w:val="0"/>
          <w:sz w:val="24"/>
          <w:szCs w:val="24"/>
          <w:highlight w:val="none"/>
        </w:rPr>
        <w:t>期、质保期等商务条款不能满足招标文件要求的；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(12）投标文件附有</w:t>
      </w:r>
      <w:r>
        <w:rPr>
          <w:rFonts w:hint="eastAsia" w:ascii="宋体" w:hAnsi="宋体" w:eastAsia="宋体" w:cs="宋体"/>
          <w:color w:val="000000"/>
          <w:sz w:val="24"/>
          <w:szCs w:val="24"/>
          <w:highlight w:val="none"/>
          <w:lang w:eastAsia="zh-CN"/>
        </w:rPr>
        <w:t>采购单位</w:t>
      </w:r>
      <w:r>
        <w:rPr>
          <w:rFonts w:hint="eastAsia" w:ascii="宋体" w:hAnsi="宋体" w:eastAsia="宋体" w:cs="宋体"/>
          <w:color w:val="000000"/>
          <w:sz w:val="24"/>
          <w:szCs w:val="24"/>
          <w:highlight w:val="none"/>
        </w:rPr>
        <w:t>不能接受的条款；</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(13）投标人串通投标，妨碍其他投标人的竞争行为，损害</w:t>
      </w:r>
      <w:r>
        <w:rPr>
          <w:rFonts w:hint="eastAsia" w:ascii="宋体" w:hAnsi="宋体" w:eastAsia="宋体" w:cs="宋体"/>
          <w:color w:val="000000"/>
          <w:sz w:val="24"/>
          <w:szCs w:val="24"/>
          <w:highlight w:val="none"/>
          <w:lang w:eastAsia="zh-CN"/>
        </w:rPr>
        <w:t>采购单位</w:t>
      </w:r>
      <w:r>
        <w:rPr>
          <w:rFonts w:hint="eastAsia" w:ascii="宋体" w:hAnsi="宋体" w:eastAsia="宋体" w:cs="宋体"/>
          <w:color w:val="000000"/>
          <w:sz w:val="24"/>
          <w:szCs w:val="24"/>
          <w:highlight w:val="none"/>
        </w:rPr>
        <w:t>或者其他投标人的合法权益；</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(14）经评标委员会评定一致认定投标文件未实质性响应招标文件的；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(15）违反国家及政府部门相关法律、法规、文件规定或经评标委员会认定的其他属于重大偏离。</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报价文件评审阶段：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(1）投标人提交两份或两份以上内容不同的投标报价，未声明哪一份有效的；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(2）投标文件内容未按采购文件规定签字或盖章的；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(3）《开标一览表》和《投标报价明细表》内容不完整且不接受修正意见或字迹不能辨认的或未提供；</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(4）同型号产品参与不同标项投标的，其报价不一致；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(5）所投标项的投标报价超过采购文件规定的最高限价；</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(6）《开标一览表》投标报价为零的，或其报价（大写）无法按正常书写方式进行报价唱标的或无投标报价的；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(7）投标报价明显高于其市场报价或报价明显不合理或者低于成本，且在规定时间内不能合理说明原因并提供证明材料的；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(8）投标文件正、副本份数不足或内容不全或内容字迹模糊辨认不清的等而导致评标活动无法正常进行；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(9）投标人未按采购文件变更通知更改投标文件的；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(10）未实质性响应采购文件中带“▲”条款要求的投标文件；</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(11）投标文件附有</w:t>
      </w:r>
      <w:r>
        <w:rPr>
          <w:rFonts w:hint="eastAsia" w:ascii="宋体" w:hAnsi="宋体" w:eastAsia="宋体" w:cs="宋体"/>
          <w:color w:val="000000"/>
          <w:sz w:val="24"/>
          <w:szCs w:val="24"/>
          <w:highlight w:val="none"/>
          <w:lang w:eastAsia="zh-CN"/>
        </w:rPr>
        <w:t>采购单位</w:t>
      </w:r>
      <w:r>
        <w:rPr>
          <w:rFonts w:hint="eastAsia" w:ascii="宋体" w:hAnsi="宋体" w:eastAsia="宋体" w:cs="宋体"/>
          <w:color w:val="000000"/>
          <w:sz w:val="24"/>
          <w:szCs w:val="24"/>
          <w:highlight w:val="none"/>
        </w:rPr>
        <w:t>不能接受的条款；</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(12）投标人串通投标，妨碍其他投标人的竞争行为，损害</w:t>
      </w:r>
      <w:r>
        <w:rPr>
          <w:rFonts w:hint="eastAsia" w:ascii="宋体" w:hAnsi="宋体" w:eastAsia="宋体" w:cs="宋体"/>
          <w:color w:val="000000"/>
          <w:sz w:val="24"/>
          <w:szCs w:val="24"/>
          <w:highlight w:val="none"/>
          <w:lang w:eastAsia="zh-CN"/>
        </w:rPr>
        <w:t>采购单位</w:t>
      </w:r>
      <w:r>
        <w:rPr>
          <w:rFonts w:hint="eastAsia" w:ascii="宋体" w:hAnsi="宋体" w:eastAsia="宋体" w:cs="宋体"/>
          <w:color w:val="000000"/>
          <w:sz w:val="24"/>
          <w:szCs w:val="24"/>
          <w:highlight w:val="none"/>
        </w:rPr>
        <w:t>或者其他投标人的合法权益；</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sz w:val="24"/>
          <w:szCs w:val="24"/>
          <w:highlight w:val="none"/>
        </w:rPr>
        <w:t>(13）违反国家及政府部门相关法律、法规、文件规定或经评标委员会认定的其他属于重大偏离。</w:t>
      </w:r>
    </w:p>
    <w:p>
      <w:pPr>
        <w:pStyle w:val="19"/>
        <w:snapToGrid w:val="0"/>
        <w:spacing w:beforeLines="0" w:afterLines="0" w:line="360" w:lineRule="auto"/>
        <w:jc w:val="center"/>
        <w:outlineLvl w:val="1"/>
        <w:rPr>
          <w:rFonts w:hint="eastAsia" w:ascii="宋体" w:hAnsi="宋体" w:eastAsia="宋体" w:cs="宋体"/>
          <w:b/>
          <w:color w:val="000000" w:themeColor="text1"/>
          <w:sz w:val="28"/>
          <w:szCs w:val="28"/>
          <w:highlight w:val="none"/>
          <w14:textFill>
            <w14:solidFill>
              <w14:schemeClr w14:val="tx1"/>
            </w14:solidFill>
          </w14:textFill>
        </w:rPr>
      </w:pPr>
      <w:bookmarkStart w:id="7" w:name="_Toc9624380"/>
      <w:r>
        <w:rPr>
          <w:rFonts w:hint="eastAsia" w:ascii="宋体" w:hAnsi="宋体" w:eastAsia="宋体" w:cs="宋体"/>
          <w:b/>
          <w:color w:val="000000" w:themeColor="text1"/>
          <w:sz w:val="28"/>
          <w:szCs w:val="28"/>
          <w:highlight w:val="none"/>
          <w14:textFill>
            <w14:solidFill>
              <w14:schemeClr w14:val="tx1"/>
            </w14:solidFill>
          </w14:textFill>
        </w:rPr>
        <w:t>六、定标</w:t>
      </w:r>
      <w:bookmarkEnd w:id="7"/>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176"/>
        <w:jc w:val="left"/>
        <w:textAlignment w:val="auto"/>
        <w:outlineLvl w:val="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（一）确定中标人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56" w:firstLineChars="200"/>
        <w:jc w:val="left"/>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pacing w:val="-6"/>
          <w:sz w:val="24"/>
          <w:szCs w:val="24"/>
          <w:highlight w:val="none"/>
          <w14:textFill>
            <w14:solidFill>
              <w14:schemeClr w14:val="tx1"/>
            </w14:solidFill>
          </w14:textFill>
        </w:rPr>
        <w:t>本项目由评标委员会推荐</w:t>
      </w:r>
      <w:r>
        <w:rPr>
          <w:rFonts w:hint="eastAsia" w:ascii="宋体" w:hAnsi="宋体" w:cs="宋体"/>
          <w:color w:val="000000" w:themeColor="text1"/>
          <w:spacing w:val="-6"/>
          <w:sz w:val="24"/>
          <w:szCs w:val="24"/>
          <w:highlight w:val="none"/>
          <w:lang w:eastAsia="zh-CN"/>
          <w14:textFill>
            <w14:solidFill>
              <w14:schemeClr w14:val="tx1"/>
            </w14:solidFill>
          </w14:textFill>
        </w:rPr>
        <w:t>中标</w:t>
      </w:r>
      <w:r>
        <w:rPr>
          <w:rFonts w:hint="eastAsia" w:ascii="宋体" w:hAnsi="宋体" w:cs="宋体"/>
          <w:color w:val="000000" w:themeColor="text1"/>
          <w:spacing w:val="-6"/>
          <w:sz w:val="24"/>
          <w:szCs w:val="24"/>
          <w:highlight w:val="none"/>
          <w:lang w:val="en-US" w:eastAsia="zh-CN"/>
          <w14:textFill>
            <w14:solidFill>
              <w14:schemeClr w14:val="tx1"/>
            </w14:solidFill>
          </w14:textFill>
        </w:rPr>
        <w:t>候选人</w:t>
      </w:r>
      <w:r>
        <w:rPr>
          <w:rFonts w:hint="eastAsia" w:ascii="宋体" w:hAnsi="宋体" w:eastAsia="宋体" w:cs="宋体"/>
          <w:color w:val="000000" w:themeColor="text1"/>
          <w:spacing w:val="-6"/>
          <w:sz w:val="24"/>
          <w:szCs w:val="24"/>
          <w:highlight w:val="none"/>
          <w14:textFill>
            <w14:solidFill>
              <w14:schemeClr w14:val="tx1"/>
            </w14:solidFill>
          </w14:textFill>
        </w:rPr>
        <w:t>，采购结果由采购人确认。</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.采购人依法确定中标人后2个工作日内，采购代理机构以书面形式发出《中标通知书》,并同时在公告媒体上发布中标公告。</w:t>
      </w:r>
    </w:p>
    <w:p>
      <w:pPr>
        <w:pStyle w:val="19"/>
        <w:snapToGrid w:val="0"/>
        <w:spacing w:beforeLines="0" w:afterLines="0" w:line="360" w:lineRule="auto"/>
        <w:jc w:val="center"/>
        <w:outlineLvl w:val="1"/>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七、合同授予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w:t>
      </w:r>
      <w:r>
        <w:rPr>
          <w:rFonts w:hint="eastAsia" w:ascii="宋体" w:hAnsi="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签订合同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1.采购人与中标人应当在《中标通知书》发出之日起30日内签订政府采购合同。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175"/>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2.中标人拖延、拒签合同的,将被取消中标资格。</w:t>
      </w:r>
    </w:p>
    <w:p>
      <w:pPr>
        <w:keepNext w:val="0"/>
        <w:keepLines w:val="0"/>
        <w:pageBreakBefore w:val="0"/>
        <w:widowControl w:val="0"/>
        <w:shd w:val="clear"/>
        <w:kinsoku/>
        <w:wordWrap/>
        <w:overflowPunct/>
        <w:topLinePunct w:val="0"/>
        <w:autoSpaceDE/>
        <w:autoSpaceDN/>
        <w:bidi w:val="0"/>
        <w:adjustRightInd/>
        <w:snapToGrid/>
        <w:spacing w:line="360" w:lineRule="exact"/>
        <w:ind w:left="0" w:leftChars="0" w:right="0" w:rightChars="0" w:firstLine="422" w:firstLineChars="175"/>
        <w:jc w:val="left"/>
        <w:textAlignment w:val="auto"/>
        <w:outlineLvl w:val="2"/>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eastAsia="zh-CN"/>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二</w:t>
      </w:r>
      <w:r>
        <w:rPr>
          <w:rFonts w:hint="eastAsia" w:ascii="宋体" w:hAnsi="宋体" w:cs="宋体"/>
          <w:b/>
          <w:color w:val="000000" w:themeColor="text1"/>
          <w:sz w:val="24"/>
          <w:szCs w:val="24"/>
          <w:highlight w:val="none"/>
          <w:lang w:eastAsia="zh-CN"/>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shd w:val="clear" w:fill="FFFFFF" w:themeFill="background1"/>
          <w:lang w:val="en-US" w:eastAsia="zh-CN"/>
          <w14:textFill>
            <w14:solidFill>
              <w14:schemeClr w14:val="tx1"/>
            </w14:solidFill>
          </w14:textFill>
        </w:rPr>
        <w:t>中标人在合同签订后七个工作日内向采购人支付合同总价 2.5% 的履约保证金</w:t>
      </w:r>
      <w:r>
        <w:rPr>
          <w:rFonts w:hint="eastAsia" w:ascii="宋体" w:hAnsi="宋体" w:eastAsia="宋体" w:cs="宋体"/>
          <w:color w:val="000000" w:themeColor="text1"/>
          <w:sz w:val="24"/>
          <w:szCs w:val="24"/>
          <w:highlight w:val="none"/>
          <w:shd w:val="clear" w:fill="FFFFFF" w:themeFill="background1"/>
          <w:lang w:val="en-US" w:eastAsia="zh-CN"/>
          <w14:textFill>
            <w14:solidFill>
              <w14:schemeClr w14:val="tx1"/>
            </w14:solidFill>
          </w14:textFill>
        </w:rPr>
        <w:t>（</w:t>
      </w:r>
      <w:r>
        <w:rPr>
          <w:rFonts w:hint="eastAsia" w:ascii="宋体" w:hAnsi="宋体" w:eastAsia="宋体" w:cs="宋体"/>
          <w:color w:val="000000" w:themeColor="text1"/>
          <w:spacing w:val="-6"/>
          <w:sz w:val="24"/>
          <w:szCs w:val="24"/>
          <w:highlight w:val="none"/>
          <w14:textFill>
            <w14:solidFill>
              <w14:schemeClr w14:val="tx1"/>
            </w14:solidFill>
          </w14:textFill>
        </w:rPr>
        <w:t>履约保证金以支票、汇票、本票、</w:t>
      </w:r>
      <w:r>
        <w:rPr>
          <w:rFonts w:hint="eastAsia" w:ascii="宋体" w:hAnsi="宋体" w:cs="宋体"/>
          <w:color w:val="000000" w:themeColor="text1"/>
          <w:spacing w:val="-6"/>
          <w:sz w:val="24"/>
          <w:szCs w:val="24"/>
          <w:highlight w:val="none"/>
          <w:lang w:val="en-US" w:eastAsia="zh-CN"/>
          <w14:textFill>
            <w14:solidFill>
              <w14:schemeClr w14:val="tx1"/>
            </w14:solidFill>
          </w14:textFill>
        </w:rPr>
        <w:t>银行</w:t>
      </w:r>
      <w:r>
        <w:rPr>
          <w:rFonts w:hint="eastAsia" w:ascii="宋体" w:hAnsi="宋体" w:eastAsia="宋体" w:cs="宋体"/>
          <w:color w:val="000000" w:themeColor="text1"/>
          <w:spacing w:val="-6"/>
          <w:sz w:val="24"/>
          <w:szCs w:val="24"/>
          <w:highlight w:val="none"/>
          <w14:textFill>
            <w14:solidFill>
              <w14:schemeClr w14:val="tx1"/>
            </w14:solidFill>
          </w14:textFill>
        </w:rPr>
        <w:t>保函</w:t>
      </w:r>
      <w:r>
        <w:rPr>
          <w:rFonts w:hint="eastAsia" w:ascii="宋体" w:hAnsi="宋体" w:cs="宋体"/>
          <w:color w:val="000000" w:themeColor="text1"/>
          <w:spacing w:val="-6"/>
          <w:sz w:val="24"/>
          <w:szCs w:val="24"/>
          <w:highlight w:val="none"/>
          <w:lang w:eastAsia="zh-CN"/>
          <w14:textFill>
            <w14:solidFill>
              <w14:schemeClr w14:val="tx1"/>
            </w14:solidFill>
          </w14:textFill>
        </w:rPr>
        <w:t>、</w:t>
      </w:r>
      <w:r>
        <w:rPr>
          <w:rFonts w:hint="eastAsia" w:ascii="宋体" w:hAnsi="宋体" w:cs="宋体"/>
          <w:color w:val="000000" w:themeColor="text1"/>
          <w:spacing w:val="-6"/>
          <w:sz w:val="24"/>
          <w:szCs w:val="24"/>
          <w:highlight w:val="none"/>
          <w:lang w:val="en-US" w:eastAsia="zh-CN"/>
          <w14:textFill>
            <w14:solidFill>
              <w14:schemeClr w14:val="tx1"/>
            </w14:solidFill>
          </w14:textFill>
        </w:rPr>
        <w:t>转账</w:t>
      </w:r>
      <w:r>
        <w:rPr>
          <w:rFonts w:hint="eastAsia" w:ascii="宋体" w:hAnsi="宋体" w:eastAsia="宋体" w:cs="宋体"/>
          <w:color w:val="000000" w:themeColor="text1"/>
          <w:spacing w:val="-6"/>
          <w:sz w:val="24"/>
          <w:szCs w:val="24"/>
          <w:highlight w:val="none"/>
          <w14:textFill>
            <w14:solidFill>
              <w14:schemeClr w14:val="tx1"/>
            </w14:solidFill>
          </w14:textFill>
        </w:rPr>
        <w:t>等非现金</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形式</w:t>
      </w:r>
      <w:r>
        <w:rPr>
          <w:rFonts w:hint="eastAsia" w:ascii="宋体" w:hAnsi="宋体" w:eastAsia="宋体" w:cs="宋体"/>
          <w:color w:val="000000" w:themeColor="text1"/>
          <w:spacing w:val="-6"/>
          <w:sz w:val="24"/>
          <w:szCs w:val="24"/>
          <w:highlight w:val="none"/>
          <w14:textFill>
            <w14:solidFill>
              <w14:schemeClr w14:val="tx1"/>
            </w14:solidFill>
          </w14:textFill>
        </w:rPr>
        <w:t>提交</w:t>
      </w:r>
      <w:r>
        <w:rPr>
          <w:rFonts w:hint="eastAsia" w:ascii="宋体" w:hAnsi="宋体" w:eastAsia="宋体" w:cs="宋体"/>
          <w:color w:val="000000" w:themeColor="text1"/>
          <w:sz w:val="24"/>
          <w:szCs w:val="24"/>
          <w:highlight w:val="none"/>
          <w:shd w:val="clear" w:fill="FFFFFF" w:themeFill="background1"/>
          <w:lang w:val="en-US" w:eastAsia="zh-CN"/>
          <w14:textFill>
            <w14:solidFill>
              <w14:schemeClr w14:val="tx1"/>
            </w14:solidFill>
          </w14:textFill>
        </w:rPr>
        <w:t>）。</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货物验收合格一年</w:t>
      </w:r>
      <w:r>
        <w:rPr>
          <w:rFonts w:hint="eastAsia" w:ascii="宋体" w:hAnsi="宋体" w:eastAsia="宋体" w:cs="宋体"/>
          <w:color w:val="000000" w:themeColor="text1"/>
          <w:spacing w:val="-6"/>
          <w:sz w:val="24"/>
          <w:szCs w:val="24"/>
          <w:highlight w:val="none"/>
          <w14:textFill>
            <w14:solidFill>
              <w14:schemeClr w14:val="tx1"/>
            </w14:solidFill>
          </w14:textFill>
        </w:rPr>
        <w:t>后无发现有质量问题和维护问题，</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pacing w:val="-6"/>
          <w:sz w:val="24"/>
          <w:szCs w:val="24"/>
          <w:highlight w:val="none"/>
          <w14:textFill>
            <w14:solidFill>
              <w14:schemeClr w14:val="tx1"/>
            </w14:solidFill>
          </w14:textFill>
        </w:rPr>
        <w:t>全额无息退还</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履约保证金</w:t>
      </w:r>
      <w:r>
        <w:rPr>
          <w:rFonts w:hint="eastAsia" w:ascii="宋体" w:hAnsi="宋体" w:eastAsia="宋体" w:cs="宋体"/>
          <w:color w:val="000000" w:themeColor="text1"/>
          <w:spacing w:val="-6"/>
          <w:sz w:val="24"/>
          <w:szCs w:val="24"/>
          <w:highlight w:val="none"/>
          <w14:textFill>
            <w14:solidFill>
              <w14:schemeClr w14:val="tx1"/>
            </w14:solidFill>
          </w14:textFill>
        </w:rPr>
        <w:t>。</w:t>
      </w:r>
    </w:p>
    <w:p>
      <w:pPr>
        <w:pStyle w:val="19"/>
        <w:snapToGrid w:val="0"/>
        <w:spacing w:beforeLines="0" w:afterLines="0" w:line="360" w:lineRule="auto"/>
        <w:jc w:val="center"/>
        <w:outlineLvl w:val="1"/>
        <w:rPr>
          <w:rFonts w:hint="eastAsia" w:hAnsi="宋体" w:cs="宋体"/>
          <w:b/>
          <w:color w:val="000000" w:themeColor="text1"/>
          <w:sz w:val="28"/>
          <w:szCs w:val="28"/>
          <w:highlight w:val="none"/>
          <w:lang w:val="en-US" w:eastAsia="zh-CN"/>
          <w14:textFill>
            <w14:solidFill>
              <w14:schemeClr w14:val="tx1"/>
            </w14:solidFill>
          </w14:textFill>
        </w:rPr>
      </w:pPr>
      <w:r>
        <w:rPr>
          <w:rFonts w:hint="eastAsia" w:hAnsi="宋体" w:cs="宋体"/>
          <w:b/>
          <w:color w:val="000000" w:themeColor="text1"/>
          <w:sz w:val="28"/>
          <w:szCs w:val="28"/>
          <w:highlight w:val="none"/>
          <w:lang w:val="en-US" w:eastAsia="zh-CN"/>
          <w14:textFill>
            <w14:solidFill>
              <w14:schemeClr w14:val="tx1"/>
            </w14:solidFill>
          </w14:textFill>
        </w:rPr>
        <w:t>八、其他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58" w:firstLineChars="200"/>
        <w:jc w:val="left"/>
        <w:textAlignment w:val="auto"/>
        <w:outlineLvl w:val="9"/>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lang w:val="en-US" w:eastAsia="zh-CN"/>
          <w14:textFill>
            <w14:solidFill>
              <w14:schemeClr w14:val="tx1"/>
            </w14:solidFill>
          </w14:textFill>
        </w:rPr>
        <w:t>（一）</w:t>
      </w:r>
      <w:r>
        <w:rPr>
          <w:rFonts w:hint="eastAsia" w:ascii="宋体" w:hAnsi="宋体" w:eastAsia="宋体" w:cs="宋体"/>
          <w:b/>
          <w:color w:val="000000" w:themeColor="text1"/>
          <w:spacing w:val="-6"/>
          <w:sz w:val="24"/>
          <w:szCs w:val="24"/>
          <w:highlight w:val="none"/>
          <w14:textFill>
            <w14:solidFill>
              <w14:schemeClr w14:val="tx1"/>
            </w14:solidFill>
          </w14:textFill>
        </w:rPr>
        <w:t>采购代理服务费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由</w:t>
      </w:r>
      <w:r>
        <w:rPr>
          <w:rFonts w:hint="eastAsia" w:ascii="宋体" w:hAnsi="宋体" w:cs="宋体"/>
          <w:color w:val="000000" w:themeColor="text1"/>
          <w:sz w:val="24"/>
          <w:szCs w:val="24"/>
          <w:highlight w:val="none"/>
          <w:lang w:eastAsia="zh-CN"/>
          <w14:textFill>
            <w14:solidFill>
              <w14:schemeClr w14:val="tx1"/>
            </w14:solidFill>
          </w14:textFill>
        </w:rPr>
        <w:t>中标人</w:t>
      </w:r>
      <w:r>
        <w:rPr>
          <w:rFonts w:hint="eastAsia" w:ascii="宋体" w:hAnsi="宋体" w:eastAsia="宋体" w:cs="宋体"/>
          <w:color w:val="000000" w:themeColor="text1"/>
          <w:sz w:val="24"/>
          <w:szCs w:val="24"/>
          <w:highlight w:val="none"/>
          <w14:textFill>
            <w14:solidFill>
              <w14:schemeClr w14:val="tx1"/>
            </w14:solidFill>
          </w14:textFill>
        </w:rPr>
        <w:t>支付。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4" w:firstLineChars="176"/>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bookmarkStart w:id="8" w:name="_Toc32093"/>
      <w:r>
        <w:rPr>
          <w:rFonts w:hint="eastAsia" w:ascii="宋体" w:hAnsi="宋体" w:cs="宋体"/>
          <w:b/>
          <w:bCs/>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b/>
          <w:bCs/>
          <w:color w:val="000000" w:themeColor="text1"/>
          <w:sz w:val="24"/>
          <w:szCs w:val="24"/>
          <w:highlight w:val="none"/>
          <w14:textFill>
            <w14:solidFill>
              <w14:schemeClr w14:val="tx1"/>
            </w14:solidFill>
          </w14:textFill>
        </w:rPr>
        <w:t>人员回避</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176"/>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投标人认为招标人及其相关人员有法律法规所列与其他投标人有利害关系的，可以向招标人</w:t>
      </w:r>
      <w:r>
        <w:rPr>
          <w:rFonts w:hint="eastAsia" w:ascii="宋体" w:hAnsi="宋体" w:cs="宋体"/>
          <w:color w:val="000000" w:themeColor="text1"/>
          <w:sz w:val="24"/>
          <w:szCs w:val="24"/>
          <w:highlight w:val="none"/>
          <w:lang w:val="en-US" w:eastAsia="zh-CN"/>
          <w14:textFill>
            <w14:solidFill>
              <w14:schemeClr w14:val="tx1"/>
            </w14:solidFill>
          </w14:textFill>
        </w:rPr>
        <w:t>或招标代理机构</w:t>
      </w:r>
      <w:r>
        <w:rPr>
          <w:rFonts w:hint="eastAsia" w:ascii="宋体" w:hAnsi="宋体" w:eastAsia="宋体" w:cs="宋体"/>
          <w:color w:val="000000" w:themeColor="text1"/>
          <w:sz w:val="24"/>
          <w:szCs w:val="24"/>
          <w:highlight w:val="none"/>
          <w14:textFill>
            <w14:solidFill>
              <w14:schemeClr w14:val="tx1"/>
            </w14:solidFill>
          </w14:textFill>
        </w:rPr>
        <w:t>书面提出回避申请，并说明理由。</w:t>
      </w:r>
    </w:p>
    <w:p>
      <w:pPr>
        <w:spacing w:line="288"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p>
    <w:p>
      <w:pPr>
        <w:spacing w:line="288"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p>
    <w:p>
      <w:pPr>
        <w:pStyle w:val="25"/>
        <w:rPr>
          <w:rFonts w:hint="eastAsia" w:ascii="宋体" w:hAnsi="宋体" w:eastAsia="宋体" w:cs="宋体"/>
          <w:b/>
          <w:color w:val="000000" w:themeColor="text1"/>
          <w:sz w:val="32"/>
          <w:szCs w:val="32"/>
          <w:highlight w:val="none"/>
          <w14:textFill>
            <w14:solidFill>
              <w14:schemeClr w14:val="tx1"/>
            </w14:solidFill>
          </w14:textFill>
        </w:rPr>
      </w:pPr>
    </w:p>
    <w:p>
      <w:pPr>
        <w:pStyle w:val="25"/>
        <w:rPr>
          <w:rFonts w:hint="eastAsia" w:ascii="宋体" w:hAnsi="宋体" w:eastAsia="宋体" w:cs="宋体"/>
          <w:b/>
          <w:color w:val="000000" w:themeColor="text1"/>
          <w:sz w:val="32"/>
          <w:szCs w:val="32"/>
          <w:highlight w:val="none"/>
          <w14:textFill>
            <w14:solidFill>
              <w14:schemeClr w14:val="tx1"/>
            </w14:solidFill>
          </w14:textFill>
        </w:rPr>
      </w:pPr>
    </w:p>
    <w:p>
      <w:pPr>
        <w:pStyle w:val="25"/>
        <w:rPr>
          <w:rFonts w:hint="eastAsia" w:ascii="宋体" w:hAnsi="宋体" w:eastAsia="宋体" w:cs="宋体"/>
          <w:b/>
          <w:color w:val="000000" w:themeColor="text1"/>
          <w:sz w:val="32"/>
          <w:szCs w:val="32"/>
          <w:highlight w:val="none"/>
          <w14:textFill>
            <w14:solidFill>
              <w14:schemeClr w14:val="tx1"/>
            </w14:solidFill>
          </w14:textFill>
        </w:rPr>
      </w:pPr>
    </w:p>
    <w:p>
      <w:pPr>
        <w:pStyle w:val="25"/>
        <w:rPr>
          <w:rFonts w:hint="eastAsia" w:ascii="宋体" w:hAnsi="宋体" w:eastAsia="宋体" w:cs="宋体"/>
          <w:b/>
          <w:color w:val="000000" w:themeColor="text1"/>
          <w:sz w:val="32"/>
          <w:szCs w:val="32"/>
          <w:highlight w:val="none"/>
          <w14:textFill>
            <w14:solidFill>
              <w14:schemeClr w14:val="tx1"/>
            </w14:solidFill>
          </w14:textFill>
        </w:rPr>
      </w:pPr>
    </w:p>
    <w:p>
      <w:pPr>
        <w:pStyle w:val="25"/>
        <w:ind w:left="0" w:leftChars="0" w:firstLine="0" w:firstLineChars="0"/>
        <w:rPr>
          <w:rFonts w:hint="eastAsia" w:ascii="宋体" w:hAnsi="宋体" w:eastAsia="宋体" w:cs="宋体"/>
          <w:b/>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spacing w:after="0" w:line="288" w:lineRule="auto"/>
        <w:ind w:left="0" w:leftChars="0" w:right="0" w:rightChars="0" w:firstLine="643" w:firstLineChars="200"/>
        <w:jc w:val="center"/>
        <w:textAlignment w:val="auto"/>
        <w:outlineLvl w:val="0"/>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cs="宋体"/>
          <w:b/>
          <w:color w:val="000000" w:themeColor="text1"/>
          <w:sz w:val="32"/>
          <w:szCs w:val="32"/>
          <w:highlight w:val="none"/>
          <w:lang w:val="en-US" w:eastAsia="zh-CN"/>
          <w14:textFill>
            <w14:solidFill>
              <w14:schemeClr w14:val="tx1"/>
            </w14:solidFill>
          </w14:textFill>
        </w:rPr>
        <w:t xml:space="preserve">第三部分 </w:t>
      </w:r>
      <w:r>
        <w:rPr>
          <w:rFonts w:hint="eastAsia" w:ascii="宋体" w:hAnsi="宋体" w:eastAsia="宋体" w:cs="宋体"/>
          <w:b/>
          <w:color w:val="000000" w:themeColor="text1"/>
          <w:sz w:val="32"/>
          <w:szCs w:val="32"/>
          <w:highlight w:val="none"/>
          <w14:textFill>
            <w14:solidFill>
              <w14:schemeClr w14:val="tx1"/>
            </w14:solidFill>
          </w14:textFill>
        </w:rPr>
        <w:t>采购需求</w:t>
      </w:r>
      <w:bookmarkEnd w:id="8"/>
      <w:bookmarkStart w:id="9" w:name="_Hlk99005394"/>
    </w:p>
    <w:p>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241" w:firstLineChars="100"/>
        <w:jc w:val="left"/>
        <w:textAlignment w:val="auto"/>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一</w:t>
      </w:r>
      <w:r>
        <w:rPr>
          <w:rFonts w:hint="eastAsia" w:ascii="宋体" w:hAnsi="宋体" w:eastAsia="宋体" w:cs="宋体"/>
          <w:b/>
          <w:color w:val="000000" w:themeColor="text1"/>
          <w:sz w:val="24"/>
          <w:szCs w:val="24"/>
          <w:highlight w:val="none"/>
          <w14:textFill>
            <w14:solidFill>
              <w14:schemeClr w14:val="tx1"/>
            </w14:solidFill>
          </w14:textFill>
        </w:rPr>
        <w:t>、采购</w:t>
      </w:r>
      <w:r>
        <w:rPr>
          <w:rFonts w:hint="eastAsia" w:ascii="宋体" w:hAnsi="宋体" w:eastAsia="宋体" w:cs="宋体"/>
          <w:b/>
          <w:color w:val="000000" w:themeColor="text1"/>
          <w:sz w:val="24"/>
          <w:szCs w:val="24"/>
          <w:highlight w:val="none"/>
          <w:lang w:val="en-US" w:eastAsia="zh-CN"/>
          <w14:textFill>
            <w14:solidFill>
              <w14:schemeClr w14:val="tx1"/>
            </w14:solidFill>
          </w14:textFill>
        </w:rPr>
        <w:t>清单及技术参数等要求</w:t>
      </w:r>
    </w:p>
    <w:bookmarkEnd w:id="9"/>
    <w:tbl>
      <w:tblPr>
        <w:tblStyle w:val="40"/>
        <w:tblW w:w="96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91"/>
        <w:gridCol w:w="1151"/>
        <w:gridCol w:w="205"/>
        <w:gridCol w:w="1013"/>
        <w:gridCol w:w="272"/>
        <w:gridCol w:w="403"/>
        <w:gridCol w:w="247"/>
        <w:gridCol w:w="269"/>
        <w:gridCol w:w="228"/>
        <w:gridCol w:w="4266"/>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8" w:hRule="atLeast"/>
        </w:trPr>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pacing w:val="-20"/>
                <w:sz w:val="24"/>
                <w:szCs w:val="24"/>
                <w:u w:val="none"/>
              </w:rPr>
            </w:pPr>
            <w:bookmarkStart w:id="10" w:name="_Toc5762"/>
            <w:r>
              <w:rPr>
                <w:rFonts w:hint="eastAsia" w:ascii="宋体" w:hAnsi="宋体" w:eastAsia="宋体" w:cs="宋体"/>
                <w:b w:val="0"/>
                <w:bCs/>
                <w:i w:val="0"/>
                <w:color w:val="000000"/>
                <w:spacing w:val="-20"/>
                <w:kern w:val="0"/>
                <w:sz w:val="24"/>
                <w:szCs w:val="24"/>
                <w:u w:val="none"/>
                <w:lang w:val="en-US" w:eastAsia="zh-CN" w:bidi="ar"/>
              </w:rPr>
              <w:t>标项</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266" w:rightChars="0" w:firstLine="0" w:firstLineChars="0"/>
              <w:jc w:val="center"/>
              <w:textAlignment w:val="center"/>
              <w:rPr>
                <w:rFonts w:hint="eastAsia" w:ascii="宋体" w:hAnsi="宋体" w:eastAsia="宋体" w:cs="宋体"/>
                <w:b w:val="0"/>
                <w:bCs/>
                <w:i w:val="0"/>
                <w:color w:val="000000"/>
                <w:spacing w:val="-20"/>
                <w:sz w:val="24"/>
                <w:szCs w:val="24"/>
                <w:u w:val="none"/>
              </w:rPr>
            </w:pPr>
            <w:r>
              <w:rPr>
                <w:rFonts w:hint="eastAsia" w:ascii="宋体" w:hAnsi="宋体" w:eastAsia="宋体" w:cs="宋体"/>
                <w:b w:val="0"/>
                <w:bCs/>
                <w:i w:val="0"/>
                <w:color w:val="000000"/>
                <w:spacing w:val="-20"/>
                <w:kern w:val="0"/>
                <w:sz w:val="24"/>
                <w:szCs w:val="24"/>
                <w:u w:val="none"/>
                <w:lang w:val="en-US" w:eastAsia="zh-CN" w:bidi="ar"/>
              </w:rPr>
              <w:t>标项名称</w:t>
            </w:r>
          </w:p>
        </w:tc>
        <w:tc>
          <w:tcPr>
            <w:tcW w:w="12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pacing w:val="-20"/>
                <w:sz w:val="24"/>
                <w:szCs w:val="24"/>
                <w:u w:val="none"/>
              </w:rPr>
            </w:pPr>
            <w:r>
              <w:rPr>
                <w:rFonts w:hint="eastAsia" w:ascii="宋体" w:hAnsi="宋体" w:eastAsia="宋体" w:cs="宋体"/>
                <w:b w:val="0"/>
                <w:bCs/>
                <w:i w:val="0"/>
                <w:color w:val="000000"/>
                <w:spacing w:val="-20"/>
                <w:kern w:val="0"/>
                <w:sz w:val="24"/>
                <w:szCs w:val="24"/>
                <w:u w:val="none"/>
                <w:lang w:val="en-US" w:eastAsia="zh-CN" w:bidi="ar"/>
              </w:rPr>
              <w:t>标的物名称</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pacing w:val="-20"/>
                <w:kern w:val="0"/>
                <w:sz w:val="24"/>
                <w:szCs w:val="24"/>
                <w:u w:val="none"/>
                <w:lang w:val="en-US" w:eastAsia="zh-CN" w:bidi="ar"/>
              </w:rPr>
            </w:pPr>
            <w:r>
              <w:rPr>
                <w:rFonts w:hint="eastAsia" w:ascii="宋体" w:hAnsi="宋体" w:eastAsia="宋体" w:cs="宋体"/>
                <w:b w:val="0"/>
                <w:bCs/>
                <w:i w:val="0"/>
                <w:color w:val="000000"/>
                <w:spacing w:val="-20"/>
                <w:kern w:val="0"/>
                <w:sz w:val="24"/>
                <w:szCs w:val="24"/>
                <w:u w:val="none"/>
                <w:lang w:val="en-US" w:eastAsia="zh-CN" w:bidi="ar"/>
              </w:rPr>
              <w:t>单位</w:t>
            </w:r>
          </w:p>
        </w:tc>
        <w:tc>
          <w:tcPr>
            <w:tcW w:w="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spacing w:val="-20"/>
                <w:kern w:val="0"/>
                <w:sz w:val="24"/>
                <w:szCs w:val="24"/>
                <w:u w:val="none"/>
                <w:lang w:val="en-US" w:eastAsia="zh-CN" w:bidi="ar"/>
              </w:rPr>
            </w:pPr>
            <w:r>
              <w:rPr>
                <w:rFonts w:hint="eastAsia" w:ascii="宋体" w:hAnsi="宋体" w:eastAsia="宋体" w:cs="宋体"/>
                <w:b w:val="0"/>
                <w:bCs/>
                <w:i w:val="0"/>
                <w:color w:val="000000"/>
                <w:spacing w:val="-20"/>
                <w:kern w:val="0"/>
                <w:sz w:val="24"/>
                <w:szCs w:val="24"/>
                <w:u w:val="none"/>
                <w:lang w:val="en-US" w:eastAsia="zh-CN" w:bidi="ar"/>
              </w:rPr>
              <w:t>数量</w:t>
            </w:r>
          </w:p>
        </w:tc>
        <w:tc>
          <w:tcPr>
            <w:tcW w:w="56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00" w:firstLineChars="200"/>
              <w:jc w:val="center"/>
              <w:textAlignment w:val="center"/>
              <w:outlineLvl w:val="9"/>
              <w:rPr>
                <w:rFonts w:hint="eastAsia" w:ascii="宋体" w:hAnsi="宋体" w:eastAsia="宋体" w:cs="宋体"/>
                <w:b w:val="0"/>
                <w:bCs/>
                <w:i w:val="0"/>
                <w:color w:val="000000"/>
                <w:spacing w:val="-20"/>
                <w:kern w:val="0"/>
                <w:sz w:val="24"/>
                <w:szCs w:val="24"/>
                <w:u w:val="none"/>
                <w:lang w:val="en-US" w:eastAsia="zh-CN" w:bidi="ar"/>
              </w:rPr>
            </w:pPr>
            <w:r>
              <w:rPr>
                <w:rFonts w:hint="eastAsia" w:ascii="宋体" w:hAnsi="宋体" w:eastAsia="宋体" w:cs="宋体"/>
                <w:b w:val="0"/>
                <w:bCs/>
                <w:i w:val="0"/>
                <w:color w:val="000000"/>
                <w:spacing w:val="-20"/>
                <w:kern w:val="0"/>
                <w:sz w:val="24"/>
                <w:szCs w:val="24"/>
                <w:u w:val="none"/>
                <w:lang w:val="en-US" w:eastAsia="zh-CN" w:bidi="ar"/>
              </w:rPr>
              <w:t>技术参数等要求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4" w:hRule="atLeast"/>
        </w:trPr>
        <w:tc>
          <w:tcPr>
            <w:tcW w:w="49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1</w:t>
            </w:r>
          </w:p>
        </w:tc>
        <w:tc>
          <w:tcPr>
            <w:tcW w:w="115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特种防护</w:t>
            </w:r>
          </w:p>
        </w:tc>
        <w:tc>
          <w:tcPr>
            <w:tcW w:w="121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降温背心</w:t>
            </w:r>
          </w:p>
        </w:tc>
        <w:tc>
          <w:tcPr>
            <w:tcW w:w="67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件</w:t>
            </w:r>
          </w:p>
        </w:tc>
        <w:tc>
          <w:tcPr>
            <w:tcW w:w="516"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50</w:t>
            </w:r>
          </w:p>
        </w:tc>
        <w:tc>
          <w:tcPr>
            <w:tcW w:w="5644"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主要是对消防员的上身躯干提供保护，防护高温伤害，降低人体温度。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降温背心采用PCM相变材料（共晶盐混合物）作为蓄冷袋的蓄冷剂。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蓄冷袋可在低温环境中自动充冷。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在不破损和正常使用保养的情况下，蓄冷袋可重复使用500次以上。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背心采用人体工程学设计原理，长短、肥瘦可随意调节，且易于拆洗，易于穿脱。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背心结构设计可防冻伤及水汽凝结，配有隔冷袋，调节贴体温度，避免过冷之虞。</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降温背心有效降温面积为整个上半身，降温面积不少于0.2平方米。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sz w:val="24"/>
                <w:szCs w:val="24"/>
                <w:highlight w:val="none"/>
                <w:lang w:val="en-US" w:eastAsia="zh-CN"/>
              </w:rPr>
              <w:t>整件降温背心重量不大于1.8KG（含蓄冷袋）。</w:t>
            </w:r>
            <w:r>
              <w:rPr>
                <w:rFonts w:hint="eastAsia" w:ascii="宋体" w:hAnsi="宋体" w:eastAsia="宋体" w:cs="宋体"/>
                <w:color w:val="auto"/>
                <w:sz w:val="24"/>
                <w:szCs w:val="24"/>
                <w:highlight w:val="none"/>
                <w:lang w:val="en-US" w:eastAsia="zh-CN"/>
              </w:rPr>
              <w:br w:type="page"/>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2"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消防员避火防护服</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套</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提供国家消防装备质量检验检测中心或其他国家级消防产品检测机构出具的检测报告。 具备阻燃、耐高温、防热辐射、整体抗热性能。可进入1000℃火场,背部设有内置呼吸器袋，头罩内置安全盔。由头罩,上衣,背带裤,防火紧身带,防火靴,防火手套,手提袋组成。</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面料的阻燃性能：损毁长度≤2cm，阴燃时间≤1s，续燃时间≤0.5s；</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强力性能：经纬间撕破强力≥30N；                                                                                                                                       </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整体组合层面料抗辐射热渗透性能在13.6KW/㎡辐射热通量辐照120s后，其内表面温升不超过25℃</w:t>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整体组合层面料抗火焰燃烧性能在温度为1000摄氏度;火焰上燃烧30s后，其内表面温升不超过25℃；</w:t>
            </w:r>
            <w:r>
              <w:rPr>
                <w:rFonts w:hint="eastAsia" w:ascii="宋体" w:hAnsi="宋体" w:eastAsia="宋体" w:cs="宋体"/>
                <w:color w:val="auto"/>
                <w:sz w:val="24"/>
                <w:szCs w:val="24"/>
                <w:highlight w:val="none"/>
              </w:rPr>
              <w:cr/>
            </w:r>
          </w:p>
          <w:p>
            <w:pPr>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外观质量不得有污染、开线及破损现象，附件应装配牢固，不得有松动、脱落。</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6.</w:t>
            </w:r>
            <w:r>
              <w:rPr>
                <w:rFonts w:hint="eastAsia" w:ascii="宋体" w:hAnsi="宋体" w:eastAsia="宋体" w:cs="宋体"/>
                <w:color w:val="auto"/>
                <w:sz w:val="24"/>
                <w:szCs w:val="24"/>
                <w:highlight w:val="none"/>
              </w:rPr>
              <w:t>合同签订之前和最终用户确定型号数量（满足用户适体率要求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图片：</w:t>
            </w:r>
            <w:r>
              <w:rPr>
                <w:rFonts w:hint="eastAsia" w:ascii="宋体" w:hAnsi="宋体" w:eastAsia="宋体" w:cs="宋体"/>
                <w:color w:val="auto"/>
                <w:kern w:val="0"/>
                <w:sz w:val="24"/>
                <w:szCs w:val="24"/>
                <w:highlight w:val="none"/>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176145" cy="1885315"/>
                  <wp:effectExtent l="0" t="0" r="5080" b="635"/>
                  <wp:docPr id="4" name="图片 4" descr="https://wps-static-pro.ding.zj.gov.cn/shapes%2FV253582837ff0f4e23a9ceccb98407e20a%2F55e42dfb74ecf426eb670e100237fad7e50a700f?Expires=1721955527&amp;OSSAccessKeyId=l6waoSYxdAHjrE3N&amp;Signature=Sk12%2F5SS1jDK94nVsJu2uUTEM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wps-static-pro.ding.zj.gov.cn/shapes%2FV253582837ff0f4e23a9ceccb98407e20a%2F55e42dfb74ecf426eb670e100237fad7e50a700f?Expires=1721955527&amp;OSSAccessKeyId=l6waoSYxdAHjrE3N&amp;Signature=Sk12%2F5SS1jDK94nVsJu2uUTEMeE%3D"/>
                          <pic:cNvPicPr>
                            <a:picLocks noChangeAspect="1" noChangeArrowheads="1"/>
                          </pic:cNvPicPr>
                        </pic:nvPicPr>
                        <pic:blipFill>
                          <a:blip r:embed="rId15"/>
                          <a:srcRect/>
                          <a:stretch>
                            <a:fillRect/>
                          </a:stretch>
                        </pic:blipFill>
                        <pic:spPr>
                          <a:xfrm>
                            <a:off x="0" y="0"/>
                            <a:ext cx="2176145" cy="188531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0"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化学防护手套</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副</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总体性能符合XF770-2008《消防员化学防护服装》的标准，提供国家消防装备质量检验检测中心或其他国家级消防产品检测机构出具的检测报告。</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可抵御各种酸、碱、溶剂、酮类、碳氢化合物、油脂及润滑油、硝化甘油的侵蚀。全棉针织内胎，外覆特种氯丁橡胶层；</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长度≥35cm；</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抗化学渗透性：≥60min；</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耐刺穿力:≥22N；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345055" cy="1387475"/>
                  <wp:effectExtent l="0" t="0" r="7620" b="3175"/>
                  <wp:docPr id="23" name="图片 23" descr="https://wps-static-pro.ding.zj.gov.cn/shapes%2FV253582837ff0f4e23a9ceccb98407e20a%2F7c852e0681aafaeb467c8002e771d8831ec4e7a4?Expires=1721956724&amp;OSSAccessKeyId=l6waoSYxdAHjrE3N&amp;Signature=ie7qefX%2FfrW%2B9YcHnwKqVhuftP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wps-static-pro.ding.zj.gov.cn/shapes%2FV253582837ff0f4e23a9ceccb98407e20a%2F7c852e0681aafaeb467c8002e771d8831ec4e7a4?Expires=1721956724&amp;OSSAccessKeyId=l6waoSYxdAHjrE3N&amp;Signature=ie7qefX%2FfrW%2B9YcHnwKqVhuftPY%3D"/>
                          <pic:cNvPicPr>
                            <a:picLocks noChangeAspect="1" noChangeArrowheads="1"/>
                          </pic:cNvPicPr>
                        </pic:nvPicPr>
                        <pic:blipFill>
                          <a:blip r:embed="rId16"/>
                          <a:srcRect/>
                          <a:stretch>
                            <a:fillRect/>
                          </a:stretch>
                        </pic:blipFill>
                        <pic:spPr>
                          <a:xfrm>
                            <a:off x="0" y="0"/>
                            <a:ext cx="2345055" cy="138747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16"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防高温手套</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副</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45</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总体性能符合 XF634-2015《消防员隔热防护服》的标准，提供国家消防装备质量检验检测中心或其他国家级消防产品检测机构出具的检测报告。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防高温手套</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用于高温作业时手部和腕部的防护。具备隔热、耐磨、抗辐射热、耐高温、阻燃和手掌防切割、穿刺等性能。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防高温手套耐热性能:手套、衬里收缩率≤5%，耐热温度&gt;1000℃</w:t>
            </w:r>
            <w:r>
              <w:rPr>
                <w:rFonts w:hint="eastAsia" w:ascii="宋体" w:hAnsi="宋体" w:eastAsia="宋体" w:cs="宋体"/>
                <w:color w:val="auto"/>
                <w:kern w:val="0"/>
                <w:sz w:val="24"/>
                <w:szCs w:val="24"/>
                <w:highlight w:val="none"/>
              </w:rPr>
              <w:tab/>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381250" cy="2781300"/>
                  <wp:effectExtent l="0" t="0" r="0" b="0"/>
                  <wp:docPr id="28" name="图片 28" descr="https://wps-static-pro.ding.zj.gov.cn/shapes%2FV253582837ff0f4e23a9ceccb98407e20a%2F2c5f38ac964f7d8525b5112eecb1a6f4a5ba34d8?Expires=1721956844&amp;OSSAccessKeyId=l6waoSYxdAHjrE3N&amp;Signature=TxqcpqWw5O%2F4ij9q1IpIPgpYFZ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wps-static-pro.ding.zj.gov.cn/shapes%2FV253582837ff0f4e23a9ceccb98407e20a%2F2c5f38ac964f7d8525b5112eecb1a6f4a5ba34d8?Expires=1721956844&amp;OSSAccessKeyId=l6waoSYxdAHjrE3N&amp;Signature=TxqcpqWw5O%2F4ij9q1IpIPgpYFZg%3D"/>
                          <pic:cNvPicPr>
                            <a:picLocks noChangeAspect="1" noChangeArrowheads="1"/>
                          </pic:cNvPicPr>
                        </pic:nvPicPr>
                        <pic:blipFill>
                          <a:blip r:embed="rId17"/>
                          <a:srcRect/>
                          <a:stretch>
                            <a:fillRect/>
                          </a:stretch>
                        </pic:blipFill>
                        <pic:spPr>
                          <a:xfrm>
                            <a:off x="0" y="0"/>
                            <a:ext cx="2381250" cy="278130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4"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消防员防蜂服</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套</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符合XF3008-2020《消防员防蜂服》标准要求。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防蜂服为连体式，头罩、上下衣、靴子和防穿刺手套连为一体。衣服整体采用双层高压耐刺穿面料制作，具有良好的阻燃、防蛰、耐磨性能。含风机。在肩、肘、膝、臀易紧绷部位已进行补强。面罩为成型不锈钢网制成，具有耐折、耐压、回弹性好等特点，能很好的保护使用者的面部。不锈钢网的面罩使该服装具有透气性好，视窗清晰等优点。防蜂服整体穿着舒适，行动自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面料性能：抗蛰刺力≥0.45N；耐磨性能≥1500次。经纬向续燃时间0s，经纬向损毁长度≤90mm。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断裂强力：经向≥1300N，纬向≥800;撕破强力：经向≥200N，纬向≥80N;接缝断裂强力≥700N。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甲醛含量≤40mg/kg；PH值：7.0-8.5;表面抗湿性能≥4级;拒油性能≥6级;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头罩性能：孔径≤1mm；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手套性能：抗刺蛰力≥0.85N；割破力≥2N。撕破强力≥500N；灵巧性能：拾取钢棒直径≤10mm。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靴帮抗刺穿性能≥190N；击穿电压≥5000V，泄漏电流＜0.3mA，始滑角＞15°。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重量≤4.2kg。</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防蜂服内部</w:t>
            </w:r>
            <w:r>
              <w:rPr>
                <w:rFonts w:hint="eastAsia" w:ascii="宋体" w:hAnsi="宋体" w:eastAsia="宋体" w:cs="宋体"/>
                <w:color w:val="auto"/>
                <w:sz w:val="24"/>
                <w:szCs w:val="24"/>
                <w:highlight w:val="none"/>
                <w:lang w:val="en-US" w:eastAsia="zh-CN"/>
              </w:rPr>
              <w:t>配备</w:t>
            </w:r>
            <w:r>
              <w:rPr>
                <w:rFonts w:hint="eastAsia" w:ascii="宋体" w:hAnsi="宋体" w:eastAsia="宋体" w:cs="宋体"/>
                <w:color w:val="auto"/>
                <w:sz w:val="24"/>
                <w:szCs w:val="24"/>
                <w:highlight w:val="none"/>
              </w:rPr>
              <w:t>双风扇装置，</w:t>
            </w:r>
            <w:r>
              <w:rPr>
                <w:rFonts w:hint="eastAsia" w:ascii="宋体" w:hAnsi="宋体" w:eastAsia="宋体" w:cs="宋体"/>
                <w:color w:val="auto"/>
                <w:sz w:val="24"/>
                <w:szCs w:val="24"/>
                <w:highlight w:val="none"/>
                <w:lang w:val="en-US" w:eastAsia="zh-CN"/>
              </w:rPr>
              <w:t>自带可重复充电电源</w:t>
            </w:r>
            <w:r>
              <w:rPr>
                <w:rFonts w:hint="eastAsia" w:ascii="宋体" w:hAnsi="宋体" w:eastAsia="宋体" w:cs="宋体"/>
                <w:color w:val="auto"/>
                <w:sz w:val="24"/>
                <w:szCs w:val="24"/>
                <w:highlight w:val="none"/>
              </w:rPr>
              <w:t>，持续运转</w:t>
            </w:r>
            <w:r>
              <w:rPr>
                <w:rFonts w:hint="eastAsia" w:ascii="宋体" w:hAnsi="宋体" w:eastAsia="宋体" w:cs="宋体"/>
                <w:color w:val="auto"/>
                <w:sz w:val="24"/>
                <w:szCs w:val="24"/>
                <w:highlight w:val="none"/>
                <w:lang w:val="en-US" w:eastAsia="zh-CN"/>
              </w:rPr>
              <w:t>时间不少于2小时</w:t>
            </w:r>
            <w:r>
              <w:rPr>
                <w:rFonts w:hint="eastAsia" w:ascii="宋体" w:hAnsi="宋体" w:eastAsia="宋体" w:cs="宋体"/>
                <w:color w:val="auto"/>
                <w:sz w:val="24"/>
                <w:szCs w:val="24"/>
                <w:highlight w:val="none"/>
              </w:rPr>
              <w:t>，要有效防止</w:t>
            </w:r>
            <w:r>
              <w:rPr>
                <w:rFonts w:hint="eastAsia" w:ascii="宋体" w:hAnsi="宋体" w:eastAsia="宋体" w:cs="宋体"/>
                <w:color w:val="auto"/>
                <w:sz w:val="24"/>
                <w:szCs w:val="24"/>
                <w:highlight w:val="none"/>
                <w:lang w:val="en-US" w:eastAsia="zh-CN"/>
              </w:rPr>
              <w:t>雨水</w:t>
            </w:r>
            <w:r>
              <w:rPr>
                <w:rFonts w:hint="eastAsia" w:ascii="宋体" w:hAnsi="宋体" w:eastAsia="宋体" w:cs="宋体"/>
                <w:color w:val="auto"/>
                <w:sz w:val="24"/>
                <w:szCs w:val="24"/>
                <w:highlight w:val="none"/>
              </w:rPr>
              <w:t>进水，不能影响风扇正常运转。</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、提供国家消防装备质量检验检测中心或其他国家级消防产品检测机构出具的检测报告。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drawing>
                <wp:anchor distT="0" distB="0" distL="0" distR="0" simplePos="0" relativeHeight="251671552" behindDoc="0" locked="0" layoutInCell="1" allowOverlap="1">
                  <wp:simplePos x="0" y="0"/>
                  <wp:positionH relativeFrom="column">
                    <wp:posOffset>873125</wp:posOffset>
                  </wp:positionH>
                  <wp:positionV relativeFrom="paragraph">
                    <wp:posOffset>82550</wp:posOffset>
                  </wp:positionV>
                  <wp:extent cx="1876425" cy="1009650"/>
                  <wp:effectExtent l="0" t="401320" r="0" b="408305"/>
                  <wp:wrapNone/>
                  <wp:docPr id="33" name="图片 33" descr="https://wps-static-pro.ding.zj.gov.cn/shapes%2FV253582837ff0f4e23a9ceccb98407e20a%2Fc0ac1abda78f68db4b6720be81793284ba032286?Expires=1721956912&amp;OSSAccessKeyId=l6waoSYxdAHjrE3N&amp;Signature=9ELUMbb32GHdMIQ0hlMUF%2B4rSy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wps-static-pro.ding.zj.gov.cn/shapes%2FV253582837ff0f4e23a9ceccb98407e20a%2Fc0ac1abda78f68db4b6720be81793284ba032286?Expires=1721956912&amp;OSSAccessKeyId=l6waoSYxdAHjrE3N&amp;Signature=9ELUMbb32GHdMIQ0hlMUF%2B4rSyw%3D"/>
                          <pic:cNvPicPr>
                            <a:picLocks noChangeAspect="1" noChangeArrowheads="1"/>
                          </pic:cNvPicPr>
                        </pic:nvPicPr>
                        <pic:blipFill>
                          <a:blip r:embed="rId18"/>
                          <a:srcRect/>
                          <a:stretch>
                            <a:fillRect/>
                          </a:stretch>
                        </pic:blipFill>
                        <pic:spPr>
                          <a:xfrm>
                            <a:off x="0" y="0"/>
                            <a:ext cx="1876425" cy="1009650"/>
                          </a:xfrm>
                          <a:prstGeom prst="rect">
                            <a:avLst/>
                          </a:prstGeom>
                          <a:noFill/>
                          <a:ln w="9525">
                            <a:noFill/>
                            <a:miter lim="800000"/>
                            <a:headEnd/>
                            <a:tailEnd/>
                          </a:ln>
                          <a:scene3d>
                            <a:camera prst="orthographicFront">
                              <a:rot lat="0" lon="20699996" rev="16200000"/>
                            </a:camera>
                            <a:lightRig rig="threePt" dir="t"/>
                          </a:scene3d>
                        </pic:spPr>
                      </pic:pic>
                    </a:graphicData>
                  </a:graphic>
                </wp:anchor>
              </w:drawing>
            </w:r>
            <w:r>
              <w:rPr>
                <w:rFonts w:hint="eastAsia" w:ascii="宋体" w:hAnsi="宋体" w:eastAsia="宋体" w:cs="宋体"/>
                <w:color w:val="auto"/>
                <w:sz w:val="24"/>
                <w:szCs w:val="24"/>
                <w:highlight w:val="none"/>
              </w:rPr>
              <w:t>图片：</w:t>
            </w:r>
          </w:p>
          <w:p>
            <w:pPr>
              <w:pStyle w:val="25"/>
              <w:keepNext w:val="0"/>
              <w:keepLines w:val="0"/>
              <w:suppressLineNumbers w:val="0"/>
              <w:spacing w:before="0" w:beforeAutospacing="0" w:afterAutospacing="0"/>
              <w:ind w:right="0"/>
              <w:rPr>
                <w:rFonts w:hint="eastAsia" w:ascii="宋体" w:hAnsi="宋体" w:eastAsia="宋体" w:cs="宋体"/>
                <w:color w:val="auto"/>
                <w:sz w:val="24"/>
                <w:szCs w:val="24"/>
                <w:highlight w:val="none"/>
              </w:rPr>
            </w:pPr>
          </w:p>
          <w:p>
            <w:pPr>
              <w:pStyle w:val="25"/>
              <w:keepNext w:val="0"/>
              <w:keepLines w:val="0"/>
              <w:suppressLineNumbers w:val="0"/>
              <w:spacing w:before="0" w:beforeAutospacing="0" w:afterAutospacing="0"/>
              <w:ind w:right="0"/>
              <w:rPr>
                <w:rFonts w:hint="eastAsia" w:ascii="宋体" w:hAnsi="宋体" w:eastAsia="宋体" w:cs="宋体"/>
                <w:color w:val="auto"/>
                <w:sz w:val="24"/>
                <w:szCs w:val="24"/>
                <w:highlight w:val="none"/>
              </w:rPr>
            </w:pPr>
          </w:p>
          <w:p>
            <w:pPr>
              <w:pStyle w:val="25"/>
              <w:keepNext w:val="0"/>
              <w:keepLines w:val="0"/>
              <w:suppressLineNumbers w:val="0"/>
              <w:spacing w:before="0" w:beforeAutospacing="0" w:afterAutospacing="0"/>
              <w:ind w:right="0"/>
              <w:rPr>
                <w:rFonts w:hint="eastAsia" w:ascii="宋体" w:hAnsi="宋体" w:eastAsia="宋体" w:cs="宋体"/>
                <w:color w:val="auto"/>
                <w:sz w:val="24"/>
                <w:szCs w:val="24"/>
                <w:highlight w:val="none"/>
              </w:rPr>
            </w:pPr>
          </w:p>
          <w:p>
            <w:pPr>
              <w:pStyle w:val="25"/>
              <w:keepNext w:val="0"/>
              <w:keepLines w:val="0"/>
              <w:suppressLineNumbers w:val="0"/>
              <w:spacing w:before="0" w:beforeAutospacing="0" w:afterAutospacing="0"/>
              <w:ind w:right="0"/>
              <w:rPr>
                <w:rFonts w:hint="eastAsia" w:ascii="宋体" w:hAnsi="宋体" w:eastAsia="宋体" w:cs="宋体"/>
                <w:color w:val="auto"/>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0"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电绝缘装具</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239" w:leftChars="114" w:right="0" w:rightChars="0" w:firstLine="240" w:firstLineChars="1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符合DL/T 1125-2009《10kV带电作业用绝缘服装》、GB/T 17622-2008《带电作业用绝缘手套》、GB 12011-2009《足部防护 电绝缘靴》标准要求。</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用于高电压带电危险场所作业时的全身防护；耐高压、绝缘等性能；</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技术参数：</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3.1电气性能：试验电压为12kV，泄露电流≤3.5mA，耐受电压20kV，交流电压以1kV/s的速度上升至20kV，保持1min后，试验无闪络、击穿、发热现象。</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3.2表层拉伸强度：经向：≥1000N，纬向：≥850N；</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3.3表层耐撕裂性能：经向：≥100N，纬向：≥60N；</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3.4拉伸强度及扯断伸长率：拉伸强度：≥20MPa，扯断伸长率：≥640%；</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3.5抗刺穿性能：≥30N/mm；</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3.6电性能：测试电压：12kV，测试时间：1min，泄露电流：≤0.35mA；</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3.7重量：整套装具≤7kg。</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合同签订之前和最终用户确定型号数量（满足用户适体率要求）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821940" cy="2834005"/>
                  <wp:effectExtent l="0" t="0" r="6985" b="4445"/>
                  <wp:docPr id="42" name="图片 42" descr="https://wps-static-pro.ding.zj.gov.cn/shapes%2FV253582837ff0f4e23a9ceccb98407e20a%2F1b5a8f33f82fff7888dc14a67dbe6951d64a5135?Expires=1721957070&amp;OSSAccessKeyId=l6waoSYxdAHjrE3N&amp;Signature=%2F9ONJqHJwb1eE1%2FjRyrKYm3iNp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wps-static-pro.ding.zj.gov.cn/shapes%2FV253582837ff0f4e23a9ceccb98407e20a%2F1b5a8f33f82fff7888dc14a67dbe6951d64a5135?Expires=1721957070&amp;OSSAccessKeyId=l6waoSYxdAHjrE3N&amp;Signature=%2F9ONJqHJwb1eE1%2FjRyrKYm3iNpM%3D"/>
                          <pic:cNvPicPr>
                            <a:picLocks noChangeAspect="1" noChangeArrowheads="1"/>
                          </pic:cNvPicPr>
                        </pic:nvPicPr>
                        <pic:blipFill>
                          <a:blip r:embed="rId19"/>
                          <a:srcRect/>
                          <a:stretch>
                            <a:fillRect/>
                          </a:stretch>
                        </pic:blipFill>
                        <pic:spPr>
                          <a:xfrm>
                            <a:off x="0" y="0"/>
                            <a:ext cx="2821940" cy="283400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br w:type="page"/>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34"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消防过滤式综合防毒面具</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87</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1440" w:firstLineChars="6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总体性能符合GB21976.7-2012《建筑火灾逃生避难器材第7部分：过滤式消防自救呼吸器》的标准，提供国家消防装备质量检验检测中心或其他国家级消防产品检测机构出具的检测报告。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用于开放空间有毒环境中作业时的呼吸保护，带滤罐。与全防型滤毒罐配套使用，耐高温、阻燃、防水、重量轻、体积小。在氧气含量不低于17%，有毒气体浓度不超过1%的混合气体环境中使用。全套包含面罩1个，全防型滤毒罐</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个。</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技术要求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3.1透光率</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85％、吸气阻力</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700pa、呼气阻力</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200pa,总视野率</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75％。</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3.2佩戴质量：</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600g。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3.3配置面罩适合中国人脸型，视野较好，防水雾；</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可以有效地防止毒烟、毒雾、一氧化碳、氰化氢、氯化氢、丙烯醛、氟化氢、氧化氮、溴化氢、二氧化硫及火场中常见毒气对人的伤害。</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219325" cy="2228850"/>
                  <wp:effectExtent l="0" t="0" r="0" b="0"/>
                  <wp:docPr id="47" name="图片 47" descr="https://wps-static-pro.ding.zj.gov.cn/shapes%2FV253582837ff0f4e23a9ceccb98407e20a%2F091accb8be0f42073b0e0db0e4dd51c02adc1aff?Expires=1721957158&amp;OSSAccessKeyId=l6waoSYxdAHjrE3N&amp;Signature=0xyr6uAUz4SXuCwmPc2gmBDnzQ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s://wps-static-pro.ding.zj.gov.cn/shapes%2FV253582837ff0f4e23a9ceccb98407e20a%2F091accb8be0f42073b0e0db0e4dd51c02adc1aff?Expires=1721957158&amp;OSSAccessKeyId=l6waoSYxdAHjrE3N&amp;Signature=0xyr6uAUz4SXuCwmPc2gmBDnzQ8%3D"/>
                          <pic:cNvPicPr>
                            <a:picLocks noChangeAspect="1" noChangeArrowheads="1"/>
                          </pic:cNvPicPr>
                        </pic:nvPicPr>
                        <pic:blipFill>
                          <a:blip r:embed="rId20"/>
                          <a:srcRect/>
                          <a:stretch>
                            <a:fillRect/>
                          </a:stretch>
                        </pic:blipFill>
                        <pic:spPr>
                          <a:xfrm>
                            <a:off x="0" y="0"/>
                            <a:ext cx="2219325" cy="2228850"/>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br w:type="page"/>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2"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消防用救生衣</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件</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55</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959" w:leftChars="228" w:right="0" w:rightChars="0" w:hanging="480" w:hanging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消防用救生衣  固定浮力款</w:t>
            </w:r>
          </w:p>
          <w:p>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400" w:lineRule="exact"/>
              <w:ind w:left="959" w:leftChars="228" w:right="0" w:rightChars="0" w:hanging="480" w:hanging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符合GB/T 36508-2018标准;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59" w:leftChars="28"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2.采用固有浮力材料与充气气囊复合配置浮力的方式，固有浮力≥75N，总浮力≥150N；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3.在水中支持直立和后仰两种浮态；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4.救生衣气囊手动充气时间≤3S；</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5.具有防止在水中窜动的裆带；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6.配备示位灯、哨笛、包装袋等属具；配备≥36g二氧化碳压缩气瓶≥6支；</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7.提供国家消防装备质量检验检测中心或其他国家级消防产品检测机构出具的检测报告。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1220470" cy="1470025"/>
                  <wp:effectExtent l="0" t="0" r="8255" b="6350"/>
                  <wp:docPr id="57" name="图片 57" descr="https://wps-static-pro.ding.zj.gov.cn/shapes%2FV253582837ff0f4e23a9ceccb98407e20a%2Feb6a968494199a1aa9460e8a26ef692aea1803c1?Expires=1721957282&amp;OSSAccessKeyId=l6waoSYxdAHjrE3N&amp;Signature=YI%2FsIwzEO72oBJ5I1MvXSBAD7z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s://wps-static-pro.ding.zj.gov.cn/shapes%2FV253582837ff0f4e23a9ceccb98407e20a%2Feb6a968494199a1aa9460e8a26ef692aea1803c1?Expires=1721957282&amp;OSSAccessKeyId=l6waoSYxdAHjrE3N&amp;Signature=YI%2FsIwzEO72oBJ5I1MvXSBAD7zQ%3D"/>
                          <pic:cNvPicPr>
                            <a:picLocks noChangeAspect="1" noChangeArrowheads="1"/>
                          </pic:cNvPicPr>
                        </pic:nvPicPr>
                        <pic:blipFill>
                          <a:blip r:embed="rId21"/>
                          <a:srcRect/>
                          <a:stretch>
                            <a:fillRect/>
                          </a:stretch>
                        </pic:blipFill>
                        <pic:spPr>
                          <a:xfrm>
                            <a:off x="0" y="0"/>
                            <a:ext cx="1220470" cy="147002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2"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无火花工具</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提供国家防爆电气产品质量监督中心检测报告和国家防爆电器产品质量监督检验中心出具的防爆合格证，编号为CNE×21.3632。</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 主要用于易燃、易爆事故现场作业，在工作中不会产生火花。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采用优质铝青铜材料经撞击或打击时不产出高热能材料制作；，抗拉强度&gt;100Kgf/mm²,硬度 HRC≥30。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3、工作时无火花、无磁性、耐腐蚀。                                                                                                                          4、BeA-20C 合金在含 30%的氧或 6.5-10%甲烷空氧中承受 561IJ 的 冲击能。                                                                                                                           5、冲击＞18 次，都未发生火花。                                                                                                                                                                                                                                                                   6、全套24 件：配有300管钳1把、圆头锤1把、尖头锤1把、350断线剪1把、铲刀1把、一字螺丝刀2把、十字螺丝刀2把，8/10、10/12、12/14、14/17、17/19双头梅花扳手5把，8/10、10/12、12/14、14/17、17/19双头开口扳手5把，油桶扳手1把、F型扳手1把、老虎钳1把，尖嘴钳1把、12寸活动扳手1把。 ，配备铝合金工具箱包装。</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072005" cy="1818005"/>
                  <wp:effectExtent l="0" t="0" r="4445" b="1270"/>
                  <wp:docPr id="201" name="图片 201" descr="https://wps-static-pro.ding.zj.gov.cn/shapes%2FV253582837ff0f4e23a9ceccb98407e20a%2F842be3a24e3542f61c3571cf2dbba8c52f8e5f81?Expires=1721960013&amp;OSSAccessKeyId=l6waoSYxdAHjrE3N&amp;Signature=Rtu6gzX2342LCwda2P4l8xSSN7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https://wps-static-pro.ding.zj.gov.cn/shapes%2FV253582837ff0f4e23a9ceccb98407e20a%2F842be3a24e3542f61c3571cf2dbba8c52f8e5f81?Expires=1721960013&amp;OSSAccessKeyId=l6waoSYxdAHjrE3N&amp;Signature=Rtu6gzX2342LCwda2P4l8xSSN7I%3D"/>
                          <pic:cNvPicPr>
                            <a:picLocks noChangeAspect="1" noChangeArrowheads="1"/>
                          </pic:cNvPicPr>
                        </pic:nvPicPr>
                        <pic:blipFill>
                          <a:blip r:embed="rId22"/>
                          <a:srcRect/>
                          <a:stretch>
                            <a:fillRect/>
                          </a:stretch>
                        </pic:blipFill>
                        <pic:spPr>
                          <a:xfrm>
                            <a:off x="0" y="0"/>
                            <a:ext cx="2072005" cy="181800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98" w:hRule="atLeast"/>
        </w:trPr>
        <w:tc>
          <w:tcPr>
            <w:tcW w:w="49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水域救援漂浮救生绳（50米）</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捆</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22</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1.直径≥</w:t>
            </w:r>
            <w:r>
              <w:rPr>
                <w:rFonts w:hint="eastAsia" w:ascii="宋体" w:hAnsi="宋体" w:eastAsia="宋体" w:cs="宋体"/>
                <w:color w:val="auto"/>
                <w:kern w:val="0"/>
                <w:sz w:val="24"/>
                <w:szCs w:val="24"/>
                <w:highlight w:val="none"/>
                <w:lang w:val="en-US" w:eastAsia="zh-CN"/>
              </w:rPr>
              <w:t>12.5</w:t>
            </w:r>
            <w:r>
              <w:rPr>
                <w:rFonts w:hint="eastAsia" w:ascii="宋体" w:hAnsi="宋体" w:eastAsia="宋体" w:cs="宋体"/>
                <w:color w:val="auto"/>
                <w:kern w:val="0"/>
                <w:sz w:val="24"/>
                <w:szCs w:val="24"/>
                <w:highlight w:val="none"/>
              </w:rPr>
              <w:t>mm，长度</w:t>
            </w:r>
            <w:r>
              <w:rPr>
                <w:rFonts w:hint="eastAsia" w:ascii="宋体" w:hAnsi="宋体" w:eastAsia="宋体" w:cs="宋体"/>
                <w:color w:val="auto"/>
                <w:kern w:val="0"/>
                <w:sz w:val="24"/>
                <w:szCs w:val="24"/>
                <w:highlight w:val="none"/>
                <w:lang w:val="en-US" w:eastAsia="zh-CN"/>
              </w:rPr>
              <w:t>50</w:t>
            </w:r>
            <w:r>
              <w:rPr>
                <w:rFonts w:hint="eastAsia" w:ascii="宋体" w:hAnsi="宋体" w:eastAsia="宋体" w:cs="宋体"/>
                <w:color w:val="auto"/>
                <w:kern w:val="0"/>
                <w:sz w:val="24"/>
                <w:szCs w:val="24"/>
                <w:highlight w:val="none"/>
              </w:rPr>
              <w:t>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2.最小破断强度≥22kN；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3.在水面漂浮48小时，无明显下沉；</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4.重量≤4.</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5.夜间具有荧光效果；</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6.延伸率：承重达到最小破断强度的10%时救生绳延伸率≤3%；</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7.具有优良的耐酸碱腐蚀性能、耐油性能、抗紫外线性能；</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8.配备具有透水功能收绳包;</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9.提供国家消防装备质量检验检测中心或其他国家级消防产品检测机构出具的检测报告。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748280" cy="1720215"/>
                  <wp:effectExtent l="0" t="0" r="4445" b="3810"/>
                  <wp:docPr id="241" name="图片 241" descr="https://wps-static-pro.ding.zj.gov.cn/shapes%2FV253582837ff0f4e23a9ceccb98407e20a%2Ff99bcc8fed6a9aaf4ae40e1cb936bf4f03122340?Expires=1721960706&amp;OSSAccessKeyId=l6waoSYxdAHjrE3N&amp;Signature=dxnRv0Hr%2Ff6dMQhMB5YzsNadHH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https://wps-static-pro.ding.zj.gov.cn/shapes%2FV253582837ff0f4e23a9ceccb98407e20a%2Ff99bcc8fed6a9aaf4ae40e1cb936bf4f03122340?Expires=1721960706&amp;OSSAccessKeyId=l6waoSYxdAHjrE3N&amp;Signature=dxnRv0Hr%2Ff6dMQhMB5YzsNadHHc%3D"/>
                          <pic:cNvPicPr>
                            <a:picLocks noChangeAspect="1" noChangeArrowheads="1"/>
                          </pic:cNvPicPr>
                        </pic:nvPicPr>
                        <pic:blipFill>
                          <a:blip r:embed="rId23"/>
                          <a:srcRect/>
                          <a:stretch>
                            <a:fillRect/>
                          </a:stretch>
                        </pic:blipFill>
                        <pic:spPr>
                          <a:xfrm>
                            <a:off x="0" y="0"/>
                            <a:ext cx="2748280" cy="172021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77" w:hRule="atLeast"/>
        </w:trPr>
        <w:tc>
          <w:tcPr>
            <w:tcW w:w="491"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2</w:t>
            </w:r>
          </w:p>
        </w:tc>
        <w:tc>
          <w:tcPr>
            <w:tcW w:w="1151"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侦检类</w:t>
            </w: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四合一有毒气体探测仪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1.提供省级（含）以上检测机构或国家级检测机构出具的检测报告；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2.四气体毒气便携式探测仪，可检测可燃气、氧气、一氧化碳、硫化氢四种气体，通过屏幕显示气体类型，整机含电池重量</w:t>
            </w:r>
            <w:r>
              <w:rPr>
                <w:rFonts w:hint="eastAsia" w:ascii="宋体" w:hAnsi="宋体" w:eastAsia="宋体" w:cs="宋体"/>
                <w:color w:val="auto"/>
                <w:kern w:val="0"/>
                <w:sz w:val="24"/>
                <w:szCs w:val="24"/>
                <w:highlight w:val="none"/>
                <w:lang w:val="en-US" w:eastAsia="zh-CN"/>
              </w:rPr>
              <w:t>365g(含锂电池、鳄鱼夹和水阱过滤器)</w:t>
            </w:r>
            <w:r>
              <w:rPr>
                <w:rFonts w:hint="eastAsia" w:ascii="宋体" w:hAnsi="宋体" w:eastAsia="宋体" w:cs="宋体"/>
                <w:color w:val="auto"/>
                <w:kern w:val="0"/>
                <w:sz w:val="24"/>
                <w:szCs w:val="24"/>
                <w:highlight w:val="none"/>
              </w:rPr>
              <w:t>，每台仪表</w:t>
            </w:r>
            <w:r>
              <w:rPr>
                <w:rFonts w:hint="eastAsia" w:ascii="宋体" w:hAnsi="宋体" w:eastAsia="宋体" w:cs="宋体"/>
                <w:color w:val="auto"/>
                <w:kern w:val="0"/>
                <w:sz w:val="24"/>
                <w:szCs w:val="24"/>
                <w:highlight w:val="none"/>
                <w:lang w:val="en-US" w:eastAsia="zh-CN"/>
              </w:rPr>
              <w:t>含有一个内置</w:t>
            </w:r>
            <w:r>
              <w:rPr>
                <w:rFonts w:hint="eastAsia" w:ascii="宋体" w:hAnsi="宋体" w:eastAsia="宋体" w:cs="宋体"/>
                <w:color w:val="auto"/>
                <w:kern w:val="0"/>
                <w:sz w:val="24"/>
                <w:szCs w:val="24"/>
                <w:highlight w:val="none"/>
              </w:rPr>
              <w:t>泵；</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3.采样泵为可充电锂电池供电，带有</w:t>
            </w:r>
            <w:r>
              <w:rPr>
                <w:rFonts w:hint="eastAsia" w:ascii="宋体" w:hAnsi="宋体" w:eastAsia="宋体" w:cs="宋体"/>
                <w:color w:val="auto"/>
                <w:kern w:val="0"/>
                <w:sz w:val="24"/>
                <w:szCs w:val="24"/>
                <w:highlight w:val="none"/>
                <w:lang w:val="en-US" w:eastAsia="zh-CN"/>
              </w:rPr>
              <w:t>水阱过滤器</w:t>
            </w:r>
            <w:r>
              <w:rPr>
                <w:rFonts w:hint="eastAsia" w:ascii="宋体" w:hAnsi="宋体" w:eastAsia="宋体" w:cs="宋体"/>
                <w:color w:val="auto"/>
                <w:kern w:val="0"/>
                <w:sz w:val="24"/>
                <w:szCs w:val="24"/>
                <w:highlight w:val="none"/>
              </w:rPr>
              <w:t>，运行时间≥15小时，带有流量异常和电池低电量提示，采用声光报警；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4.气体探测仪具备声、光、震动三重报警，</w:t>
            </w:r>
            <w:r>
              <w:rPr>
                <w:rFonts w:hint="eastAsia" w:ascii="宋体" w:hAnsi="宋体" w:eastAsia="宋体" w:cs="宋体"/>
                <w:color w:val="auto"/>
                <w:kern w:val="0"/>
                <w:sz w:val="24"/>
                <w:szCs w:val="24"/>
                <w:highlight w:val="none"/>
                <w:lang w:val="en-US" w:eastAsia="zh-CN"/>
              </w:rPr>
              <w:t>95bB蜂鸣器，</w:t>
            </w:r>
            <w:r>
              <w:rPr>
                <w:rFonts w:hint="eastAsia" w:ascii="宋体" w:hAnsi="宋体" w:eastAsia="宋体" w:cs="宋体"/>
                <w:color w:val="auto"/>
                <w:kern w:val="0"/>
                <w:sz w:val="24"/>
                <w:szCs w:val="24"/>
                <w:highlight w:val="none"/>
              </w:rPr>
              <w:t>防护等级不低于IP68</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附防护等级证书</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，防爆等级不低于Ex da iaⅡC T4 Ga；</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5.抗摔性能：聚碳酸酯与橡胶二次成型复合材料外壳，气体探测仪主机能有效抗跌落≥3米；</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6.开机显示：自动测试和标定、含归零、最大值（MAX）、最小值（MIN）、STEL、TWA值，用户可自行选择的新鲜空气标定（FAS）设置；</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7.大字体液晶LCD显示屏，带有背光灯，方便黑暗作业环境查看；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8.仪表采用可充电防爆锂电池，充电时间≤5小时，使用时间≥15小时；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9.仪表探测气体响应时间：≤15S；探头标定通气时间≤60S；</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10.仪表检测范围：可燃气0-100LEL%，分辨率1%LEL；氧气0-30%Vol，分辨率0.1%Vol；一氧化碳0-1999ppm，分辨率1ppm；硫化氢0-200ppm，分辨率1ppm；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11.传感器寿命：传感器典型使用寿命4年，传感器质保期2年，仪表需带有仪表传感器寿命接近使用期限提示功能；</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12.数据记录：</w:t>
            </w:r>
            <w:r>
              <w:rPr>
                <w:rFonts w:hint="eastAsia" w:ascii="宋体" w:hAnsi="宋体" w:eastAsia="宋体" w:cs="宋体"/>
                <w:color w:val="auto"/>
                <w:kern w:val="0"/>
                <w:sz w:val="24"/>
                <w:szCs w:val="24"/>
                <w:highlight w:val="none"/>
                <w:lang w:val="en-US" w:eastAsia="zh-CN"/>
              </w:rPr>
              <w:t>超10万组存储数据，存储间隔5-3600秒可调，可数据导出，配数据线</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13.配置清单：气体检测报警仪，充电电源适配器，产品使用说明书，</w:t>
            </w:r>
            <w:r>
              <w:rPr>
                <w:rFonts w:hint="eastAsia" w:ascii="宋体" w:hAnsi="宋体" w:eastAsia="宋体" w:cs="宋体"/>
                <w:color w:val="auto"/>
                <w:kern w:val="0"/>
                <w:sz w:val="24"/>
                <w:szCs w:val="24"/>
                <w:highlight w:val="none"/>
                <w:lang w:val="en-US" w:eastAsia="zh-CN"/>
              </w:rPr>
              <w:t>水阱过滤器</w:t>
            </w:r>
            <w:r>
              <w:rPr>
                <w:rFonts w:hint="eastAsia" w:ascii="宋体" w:hAnsi="宋体" w:eastAsia="宋体" w:cs="宋体"/>
                <w:color w:val="auto"/>
                <w:kern w:val="0"/>
                <w:sz w:val="24"/>
                <w:szCs w:val="24"/>
                <w:highlight w:val="none"/>
              </w:rPr>
              <w:t>，铝合金手提箱1个</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产品使用说明书,USB数据连接线一根，橡胶塞1个</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14.提供Ex da iaⅡC T4 Ga防爆标、防爆认证证书、防爆认证的测试报告、CPA计量器具型式批准证书、计量器具型式评价报告、防跌落认证等。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3038475" cy="1400175"/>
                  <wp:effectExtent l="0" t="0" r="0" b="0"/>
                  <wp:docPr id="80" name="图片 80" descr="https://wps-static-pro.ding.zj.gov.cn/shapes%2FV253582837ff0f4e23a9ceccb98407e20a%2Ff8b83fe3a1d959d85ff6938c2f3b8103c2b6a2fe?Expires=1721958558&amp;OSSAccessKeyId=l6waoSYxdAHjrE3N&amp;Signature=HSqd%2FwHJcX%2F0gPxxBK3p6ap7nS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s://wps-static-pro.ding.zj.gov.cn/shapes%2FV253582837ff0f4e23a9ceccb98407e20a%2Ff8b83fe3a1d959d85ff6938c2f3b8103c2b6a2fe?Expires=1721958558&amp;OSSAccessKeyId=l6waoSYxdAHjrE3N&amp;Signature=HSqd%2FwHJcX%2F0gPxxBK3p6ap7nSI%3D"/>
                          <pic:cNvPicPr>
                            <a:picLocks noChangeAspect="1" noChangeArrowheads="1"/>
                          </pic:cNvPicPr>
                        </pic:nvPicPr>
                        <pic:blipFill>
                          <a:blip r:embed="rId24"/>
                          <a:srcRect/>
                          <a:stretch>
                            <a:fillRect/>
                          </a:stretch>
                        </pic:blipFill>
                        <pic:spPr>
                          <a:xfrm>
                            <a:off x="0" y="0"/>
                            <a:ext cx="3038475" cy="140017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br w:type="page"/>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3"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水质分析仪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检测项目</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lang w:val="en-US" w:eastAsia="zh-CN" w:bidi="ar"/>
              </w:rPr>
              <w:t xml:space="preserve">氨氮(水杨酸法）、氨氮（钠氏氨氮法）、磷酸盐、铜、总氯、余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氯、硝酸盐氮、亚硝酸盐氮、六价铬、总镍等多项水质参数</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lang w:val="en-US" w:eastAsia="zh-CN" w:bidi="ar"/>
              </w:rPr>
              <w:t>读数模式 ：吸光度、浓度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lang w:val="en-US" w:eastAsia="zh-CN" w:bidi="ar"/>
              </w:rPr>
              <w:t>检测方法 ：分光光度法</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lang w:val="en-US" w:eastAsia="zh-CN" w:bidi="ar"/>
              </w:rPr>
              <w:t>相对误差 ：≦±5%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比色方式 ：比色管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屏幕 ：</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lang w:val="en-US" w:eastAsia="zh-CN" w:bidi="ar"/>
              </w:rPr>
              <w:t>1.92 寸 OLED 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防护等级： IP55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主机重量 ：190 g</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主机尺寸 ：94× 75 × 31 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工作温度 ：-10-40℃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存储温度： -20-50℃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lang w:val="en-US"/>
              </w:rPr>
            </w:pPr>
            <w:r>
              <w:rPr>
                <w:rFonts w:hint="eastAsia" w:ascii="宋体" w:hAnsi="宋体" w:eastAsia="宋体" w:cs="宋体"/>
                <w:color w:val="auto"/>
                <w:kern w:val="0"/>
                <w:sz w:val="24"/>
                <w:szCs w:val="24"/>
                <w:lang w:val="en-US" w:eastAsia="zh-CN" w:bidi="ar"/>
              </w:rPr>
              <w:t>环境湿度 ：≤80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sz w:val="24"/>
                <w:szCs w:val="24"/>
                <w:lang w:val="en-US"/>
              </w:rPr>
            </w:pPr>
            <w:r>
              <w:rPr>
                <w:rFonts w:hint="eastAsia" w:ascii="宋体" w:hAnsi="宋体" w:eastAsia="宋体" w:cs="宋体"/>
                <w:color w:val="auto"/>
                <w:kern w:val="0"/>
                <w:sz w:val="24"/>
                <w:szCs w:val="24"/>
                <w:highlight w:val="none"/>
                <w:lang w:val="en-US" w:eastAsia="zh-CN"/>
              </w:rPr>
              <w:t>配置清单：比色计主机1台、说明书1个、合格证1个、保修卡1个、电子比色试剂不少于30支</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充电器1个、充电线1个、遮光罩1台、</w:t>
            </w:r>
            <w:r>
              <w:rPr>
                <w:rFonts w:hint="eastAsia" w:ascii="宋体" w:hAnsi="宋体" w:eastAsia="宋体" w:cs="宋体"/>
                <w:color w:val="auto"/>
                <w:kern w:val="0"/>
                <w:sz w:val="24"/>
                <w:szCs w:val="24"/>
                <w:lang w:val="en-US" w:eastAsia="zh-CN" w:bidi="ar"/>
              </w:rPr>
              <w:t>胶头滴管不少于3根、标准溶液不少于10瓶、比色卡不少于</w:t>
            </w:r>
            <w:r>
              <w:rPr>
                <w:rFonts w:hint="eastAsia" w:ascii="宋体" w:hAnsi="宋体" w:eastAsia="宋体" w:cs="宋体"/>
                <w:color w:val="auto"/>
                <w:sz w:val="24"/>
                <w:szCs w:val="24"/>
                <w:lang w:val="en-US" w:eastAsia="zh-CN"/>
              </w:rPr>
              <w:t>10张、</w:t>
            </w:r>
            <w:r>
              <w:rPr>
                <w:rFonts w:hint="eastAsia" w:ascii="宋体" w:hAnsi="宋体" w:eastAsia="宋体" w:cs="宋体"/>
                <w:color w:val="auto"/>
                <w:kern w:val="0"/>
                <w:sz w:val="24"/>
                <w:szCs w:val="24"/>
                <w:lang w:val="en-US" w:eastAsia="zh-CN" w:bidi="ar"/>
              </w:rPr>
              <w:t>稀释瓶1个、pH 试纸2张（一个广泛 pH 试 纸、一个精密 pH 试纸）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rPr>
              <w:drawing>
                <wp:inline distT="0" distB="0" distL="114300" distR="114300">
                  <wp:extent cx="3004185" cy="2879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004185" cy="28797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4"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电子气象仪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1.提供省级（含）以上检测机构或国家级检测机构出具的检测报告；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2.可检测事故现场风向、风速、温度、湿度、气压等气象参数,图表模式显示，可存储≥200组数据，响应时间：≤1 秒。测量范围：温度约：-29 ～70 ℃，海拔高度约：-500～9000m，气压约：870～1080hpa，相对湿度约：5～90%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4058920" cy="3729355"/>
                  <wp:effectExtent l="0" t="0" r="8255" b="4445"/>
                  <wp:docPr id="99" name="图片 99" descr="https://wps-static-pro.ding.zj.gov.cn/shapes%2FV253582837ff0f4e23a9ceccb98407e20a%2Fb40d1a7b0326fc127be51af2da1ad0ecd741e6bf?Expires=1721958929&amp;OSSAccessKeyId=l6waoSYxdAHjrE3N&amp;Signature=F2lp7y5dosSd6Cr4w76caGWEmu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ttps://wps-static-pro.ding.zj.gov.cn/shapes%2FV253582837ff0f4e23a9ceccb98407e20a%2Fb40d1a7b0326fc127be51af2da1ad0ecd741e6bf?Expires=1721958929&amp;OSSAccessKeyId=l6waoSYxdAHjrE3N&amp;Signature=F2lp7y5dosSd6Cr4w76caGWEmuo%3D"/>
                          <pic:cNvPicPr>
                            <a:picLocks noChangeAspect="1" noChangeArrowheads="1"/>
                          </pic:cNvPicPr>
                        </pic:nvPicPr>
                        <pic:blipFill>
                          <a:blip r:embed="rId26"/>
                          <a:srcRect/>
                          <a:stretch>
                            <a:fillRect/>
                          </a:stretch>
                        </pic:blipFill>
                        <pic:spPr>
                          <a:xfrm>
                            <a:off x="0" y="0"/>
                            <a:ext cx="4058920" cy="372935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1"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消防用红外热像仪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1.符合XF/T-635-2023《消防用红外热像仪》执行标准，提供国家消防装备质量检验检测中心出具的检测报告；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2.能够在黑暗、浓烟环境中人员搜救或火源寻找以及危化事故处理；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3.探测器像素≥384×288；类型：手持式热像仪（整机一体化开模成型，使用时肘关节成自然角度状态，而不是弯曲成90°（类似举手状态或端 DV 录像状态）, 腕部与手臂也成自然平握状态，而不是举握或者是端握状态，长时间使用不会有疲惫感）；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4.测温范围：-40℃～1000℃；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5.高温环境工作时长：80℃时可工作时间≥30min；</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6.耐高温结构设计：设防水结构和隔热结构，对红外热成像仪起到隔热防水保护作用；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7.冷热追踪：具有火场中全屏自动最高温及最低温指针搜寻模式，并同时显示最高及最低温度便于火场中快速定位及冷热追踪；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8.波长范围：8～14μm；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9.温度灵敏≤50mk；</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10.电池：拆卸式可充电防爆锂电池，一用两备（共3块），单块电池使用时间≥2h；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11.显示模式≥6种，成像效果好，无卡顿、无延时现象；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12.重量（含电池）：≤1kg；</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13.跌落性能：检验报告1m,实际可2m跌落至硬质地面且不影响使用；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14.包装：配备防震包装箱，手感质地好，外观质感高。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15.界面：中文操作；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16.配件包含且不限于以下物品：充电器、电池*3块、读卡器、SD卡(≥64G)、说明书、分析软件、防护箱；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17.防护等级≥IP67；图片：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2950210" cy="1649095"/>
                  <wp:effectExtent l="0" t="0" r="0" b="0"/>
                  <wp:docPr id="16" name="图片 16" descr="7a93d911613f64ec7d5f55eba28b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a93d911613f64ec7d5f55eba28bfe5"/>
                          <pic:cNvPicPr>
                            <a:picLocks noChangeAspect="1"/>
                          </pic:cNvPicPr>
                        </pic:nvPicPr>
                        <pic:blipFill>
                          <a:blip r:embed="rId27"/>
                          <a:stretch>
                            <a:fillRect/>
                          </a:stretch>
                        </pic:blipFill>
                        <pic:spPr>
                          <a:xfrm>
                            <a:off x="0" y="0"/>
                            <a:ext cx="2950210" cy="16490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3"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漏电探测仪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1.提供省级（含）以上检测机构或国家级检测机构出具的检测报告；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2.用于确定泄漏电源具体位置，声光报警；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3.探测电压120VAC（电压交流电）以上；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4.测试频率范围：20～100Hz；</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5.工作温度为-30-50℃，储存温度为-40-70℃；</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6.具有高灵敏度、低灵敏度和目标前置3档；</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7.检测时无须接触电源，随着与漏电电源距离的接近，报警频率增加。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788285" cy="2800350"/>
                  <wp:effectExtent l="0" t="0" r="2540" b="0"/>
                  <wp:docPr id="109" name="图片 109" descr="https://wps-static-pro.ding.zj.gov.cn/shapes%2FV253582837ff0f4e23a9ceccb98407e20a%2F80b79b30a6969a72d9b4108753936a1e12be19f6?Expires=1721959000&amp;OSSAccessKeyId=l6waoSYxdAHjrE3N&amp;Signature=KVbkUeqlBQ7W716JBSCiXNkwef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s://wps-static-pro.ding.zj.gov.cn/shapes%2FV253582837ff0f4e23a9ceccb98407e20a%2F80b79b30a6969a72d9b4108753936a1e12be19f6?Expires=1721959000&amp;OSSAccessKeyId=l6waoSYxdAHjrE3N&amp;Signature=KVbkUeqlBQ7W716JBSCiXNkwefw%3D"/>
                          <pic:cNvPicPr>
                            <a:picLocks noChangeAspect="1" noChangeArrowheads="1"/>
                          </pic:cNvPicPr>
                        </pic:nvPicPr>
                        <pic:blipFill>
                          <a:blip r:embed="rId28"/>
                          <a:srcRect/>
                          <a:stretch>
                            <a:fillRect/>
                          </a:stretch>
                        </pic:blipFill>
                        <pic:spPr>
                          <a:xfrm>
                            <a:off x="0" y="0"/>
                            <a:ext cx="2788285" cy="2800350"/>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0" w:hRule="atLeast"/>
        </w:trPr>
        <w:tc>
          <w:tcPr>
            <w:tcW w:w="49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测温仪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1.提供省级（含）以上检测机构或国家级检测机构出具的检测报告；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2.非接触测量物体温度，手持式，寻找隐藏火源。测温范围：-20℃~450℃或更大范围。激光瞄准，精度：±1℃；响应时间≤500毫秒；分辨率：≤1℃。配置: 主机1套、电池1个、便携箱1个、使用说明书1份。</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047875" cy="2228850"/>
                  <wp:effectExtent l="0" t="0" r="0" b="0"/>
                  <wp:docPr id="111" name="图片 111" descr="https://wps-static-pro.ding.zj.gov.cn/shapes%2FV253582837ff0f4e23a9ceccb98407e20a%2Ff1dfe8392dc1e5817068ce76efca1621bd4bbdfa?Expires=1721958854&amp;OSSAccessKeyId=l6waoSYxdAHjrE3N&amp;Signature=uilIJmilD3pDiDSmuLVbgX3%2Fty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ttps://wps-static-pro.ding.zj.gov.cn/shapes%2FV253582837ff0f4e23a9ceccb98407e20a%2Ff1dfe8392dc1e5817068ce76efca1621bd4bbdfa?Expires=1721958854&amp;OSSAccessKeyId=l6waoSYxdAHjrE3N&amp;Signature=uilIJmilD3pDiDSmuLVbgX3%2Ftys%3D"/>
                          <pic:cNvPicPr>
                            <a:picLocks noChangeAspect="1" noChangeArrowheads="1"/>
                          </pic:cNvPicPr>
                        </pic:nvPicPr>
                        <pic:blipFill>
                          <a:blip r:embed="rId29"/>
                          <a:srcRect/>
                          <a:stretch>
                            <a:fillRect/>
                          </a:stretch>
                        </pic:blipFill>
                        <pic:spPr>
                          <a:xfrm>
                            <a:off x="0" y="0"/>
                            <a:ext cx="2047875" cy="222885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1" w:hRule="atLeast"/>
        </w:trPr>
        <w:tc>
          <w:tcPr>
            <w:tcW w:w="49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151"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1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激光测距仪</w:t>
            </w:r>
          </w:p>
        </w:tc>
        <w:tc>
          <w:tcPr>
            <w:tcW w:w="67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516"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5644" w:type="dxa"/>
            <w:gridSpan w:val="3"/>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3.1 总体性能符合市场准入标准的要求，提供检测机构出具的检测报告复印件（原件现场备查）或产品合格证复印件（原件现场备查）；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3.2 测量性能：测距范围：5-1500m；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3.3 测距精度：±0.5m；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3.4 倾角精度：±0.1°；</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3.5 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846070" cy="2464435"/>
                  <wp:effectExtent l="0" t="0" r="1905" b="2540"/>
                  <wp:docPr id="113" name="图片 113" descr="https://wps-static-pro.ding.zj.gov.cn/shapes%2FV253582837ff0f4e23a9ceccb98407e20a%2F084f629a98661776f1df699bbdbb05317446b78d?Expires=1721958854&amp;OSSAccessKeyId=l6waoSYxdAHjrE3N&amp;Signature=CYtarceM%2F7xo3Y3Ryt1jbTdLF5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ttps://wps-static-pro.ding.zj.gov.cn/shapes%2FV253582837ff0f4e23a9ceccb98407e20a%2F084f629a98661776f1df699bbdbb05317446b78d?Expires=1721958854&amp;OSSAccessKeyId=l6waoSYxdAHjrE3N&amp;Signature=CYtarceM%2F7xo3Y3Ryt1jbTdLF5c%3D"/>
                          <pic:cNvPicPr>
                            <a:picLocks noChangeAspect="1" noChangeArrowheads="1"/>
                          </pic:cNvPicPr>
                        </pic:nvPicPr>
                        <pic:blipFill>
                          <a:blip r:embed="rId30"/>
                          <a:srcRect/>
                          <a:stretch>
                            <a:fillRect/>
                          </a:stretch>
                        </pic:blipFill>
                        <pic:spPr>
                          <a:xfrm>
                            <a:off x="0" y="0"/>
                            <a:ext cx="2846070" cy="2464435"/>
                          </a:xfrm>
                          <a:prstGeom prst="rect">
                            <a:avLst/>
                          </a:prstGeom>
                          <a:noFill/>
                          <a:ln w="9525">
                            <a:noFill/>
                            <a:miter lim="800000"/>
                            <a:headEnd/>
                            <a:tailEnd/>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1132" w:hRule="atLeast"/>
        </w:trPr>
        <w:tc>
          <w:tcPr>
            <w:tcW w:w="49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3</w:t>
            </w:r>
          </w:p>
        </w:tc>
        <w:tc>
          <w:tcPr>
            <w:tcW w:w="2641"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内燃机液压破拆工具组（含双输出液压机动泵、扩张器、剪切器、液压剪扩器、撑顶器、液压管）</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组</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1、总体性能符合GB/T17906-2021《液压破拆工具通用技术条件》相关要求，提供国家消防装备质量检验检测中心或其他国家级检测机构出具的检测报告。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2、配置要求：包含且不限于一台双输出液压机动泵、一把液压扩张器、一把液压剪切钳、一把液压双级顶杆、一把液压剪扩钳、两根液压管、防护布、垫块等</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3、液压机动泵双输出：三级轴向四冲程汽油机，功率</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匹千瓦，燃油油缸容量</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00毫升，液压油油缸容量</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0毫升，工作压力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0巴，重量：</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公斤，可接驳两套工具同时使用，静音设计，工作温度：</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度-55度。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4、液压扩张器：单管工作原理、可带压操作、手把处有照明系统、最大扩张距离：</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毫米、最大扩张力：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吨、最小扩张力：</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吨、挤压力：</w:t>
            </w:r>
            <w:r>
              <w:rPr>
                <w:rFonts w:hint="eastAsia" w:ascii="宋体" w:hAnsi="宋体" w:eastAsia="宋体" w:cs="宋体"/>
                <w:color w:val="auto"/>
                <w:kern w:val="0"/>
                <w:sz w:val="24"/>
                <w:szCs w:val="24"/>
                <w:highlight w:val="none"/>
                <w:lang w:val="en-US" w:eastAsia="zh-CN"/>
              </w:rPr>
              <w:t>不小于5.5</w:t>
            </w:r>
            <w:r>
              <w:rPr>
                <w:rFonts w:hint="eastAsia" w:ascii="宋体" w:hAnsi="宋体" w:eastAsia="宋体" w:cs="宋体"/>
                <w:color w:val="auto"/>
                <w:kern w:val="0"/>
                <w:sz w:val="24"/>
                <w:szCs w:val="24"/>
                <w:highlight w:val="none"/>
              </w:rPr>
              <w:t>吨、牵引距离：</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0毫米、牵引力：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吨、工作压力：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0巴、重量</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公斤、工作温度：</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-20-55度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5、液压剪切器：</w:t>
            </w:r>
            <w:r>
              <w:rPr>
                <w:rFonts w:hint="eastAsia" w:ascii="宋体" w:hAnsi="宋体" w:eastAsia="宋体" w:cs="宋体"/>
                <w:color w:val="auto"/>
                <w:kern w:val="0"/>
                <w:sz w:val="24"/>
                <w:szCs w:val="24"/>
                <w:highlight w:val="none"/>
                <w:lang w:val="en-US" w:eastAsia="zh-CN"/>
              </w:rPr>
              <w:t>刀口</w:t>
            </w:r>
            <w:r>
              <w:rPr>
                <w:rFonts w:hint="eastAsia" w:ascii="宋体" w:hAnsi="宋体" w:eastAsia="宋体" w:cs="宋体"/>
                <w:color w:val="auto"/>
                <w:kern w:val="0"/>
                <w:sz w:val="24"/>
                <w:szCs w:val="24"/>
                <w:highlight w:val="none"/>
              </w:rPr>
              <w:t>倾斜角设计。单管工作原理、可带压操作、把手处有照明系统。最大开口距离：</w:t>
            </w:r>
            <w:r>
              <w:rPr>
                <w:rFonts w:hint="eastAsia" w:ascii="宋体" w:hAnsi="宋体" w:eastAsia="宋体" w:cs="宋体"/>
                <w:color w:val="auto"/>
                <w:kern w:val="0"/>
                <w:sz w:val="24"/>
                <w:szCs w:val="24"/>
                <w:highlight w:val="none"/>
                <w:lang w:val="en-US" w:eastAsia="zh-CN"/>
              </w:rPr>
              <w:t>不小于160</w:t>
            </w:r>
            <w:r>
              <w:rPr>
                <w:rFonts w:hint="eastAsia" w:ascii="宋体" w:hAnsi="宋体" w:eastAsia="宋体" w:cs="宋体"/>
                <w:color w:val="auto"/>
                <w:kern w:val="0"/>
                <w:sz w:val="24"/>
                <w:szCs w:val="24"/>
                <w:highlight w:val="none"/>
              </w:rPr>
              <w:t>毫米、剪切力：</w:t>
            </w:r>
            <w:r>
              <w:rPr>
                <w:rFonts w:hint="eastAsia" w:ascii="宋体" w:hAnsi="宋体" w:eastAsia="宋体" w:cs="宋体"/>
                <w:color w:val="auto"/>
                <w:kern w:val="0"/>
                <w:sz w:val="24"/>
                <w:szCs w:val="24"/>
                <w:highlight w:val="none"/>
                <w:lang w:val="en-US" w:eastAsia="zh-CN"/>
              </w:rPr>
              <w:t>不小于75</w:t>
            </w:r>
            <w:r>
              <w:rPr>
                <w:rFonts w:hint="eastAsia" w:ascii="宋体" w:hAnsi="宋体" w:eastAsia="宋体" w:cs="宋体"/>
                <w:color w:val="auto"/>
                <w:kern w:val="0"/>
                <w:sz w:val="24"/>
                <w:szCs w:val="24"/>
                <w:highlight w:val="none"/>
              </w:rPr>
              <w:t>吨、</w:t>
            </w:r>
            <w:r>
              <w:rPr>
                <w:rFonts w:hint="eastAsia" w:ascii="宋体" w:hAnsi="宋体" w:eastAsia="宋体" w:cs="宋体"/>
                <w:color w:val="auto"/>
                <w:kern w:val="0"/>
                <w:sz w:val="24"/>
                <w:szCs w:val="24"/>
                <w:highlight w:val="none"/>
                <w:lang w:val="en-US" w:eastAsia="zh-CN"/>
              </w:rPr>
              <w:t>最大</w:t>
            </w:r>
            <w:r>
              <w:rPr>
                <w:rFonts w:hint="eastAsia" w:ascii="宋体" w:hAnsi="宋体" w:eastAsia="宋体" w:cs="宋体"/>
                <w:color w:val="auto"/>
                <w:kern w:val="0"/>
                <w:sz w:val="24"/>
                <w:szCs w:val="24"/>
                <w:highlight w:val="none"/>
              </w:rPr>
              <w:t>剪切圆钢直径：</w:t>
            </w:r>
            <w:r>
              <w:rPr>
                <w:rFonts w:hint="eastAsia" w:ascii="宋体" w:hAnsi="宋体" w:eastAsia="宋体" w:cs="宋体"/>
                <w:color w:val="auto"/>
                <w:kern w:val="0"/>
                <w:sz w:val="24"/>
                <w:szCs w:val="24"/>
                <w:highlight w:val="none"/>
                <w:lang w:val="en-US" w:eastAsia="zh-CN"/>
              </w:rPr>
              <w:t>不小于35</w:t>
            </w:r>
            <w:r>
              <w:rPr>
                <w:rFonts w:hint="eastAsia" w:ascii="宋体" w:hAnsi="宋体" w:eastAsia="宋体" w:cs="宋体"/>
                <w:color w:val="auto"/>
                <w:kern w:val="0"/>
                <w:sz w:val="24"/>
                <w:szCs w:val="24"/>
                <w:highlight w:val="none"/>
              </w:rPr>
              <w:t>毫米、工作压力：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0巴、重量</w:t>
            </w:r>
            <w:r>
              <w:rPr>
                <w:rFonts w:hint="eastAsia" w:ascii="宋体" w:hAnsi="宋体" w:eastAsia="宋体" w:cs="宋体"/>
                <w:color w:val="auto"/>
                <w:kern w:val="0"/>
                <w:sz w:val="24"/>
                <w:szCs w:val="24"/>
                <w:highlight w:val="none"/>
                <w:lang w:val="en-US" w:eastAsia="zh-CN"/>
              </w:rPr>
              <w:t>不大于13.5</w:t>
            </w:r>
            <w:r>
              <w:rPr>
                <w:rFonts w:hint="eastAsia" w:ascii="宋体" w:hAnsi="宋体" w:eastAsia="宋体" w:cs="宋体"/>
                <w:color w:val="auto"/>
                <w:kern w:val="0"/>
                <w:sz w:val="24"/>
                <w:szCs w:val="24"/>
                <w:highlight w:val="none"/>
              </w:rPr>
              <w:t>公斤、工作温度：</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度-55度。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6、液压剪扩钳：用于扩张、剪切、挤压和拉动，最大工作压力：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0巴；扩张距离：</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0mm；最大剪切开口：</w:t>
            </w:r>
            <w:r>
              <w:rPr>
                <w:rFonts w:hint="eastAsia" w:ascii="宋体" w:hAnsi="宋体" w:eastAsia="宋体" w:cs="宋体"/>
                <w:color w:val="auto"/>
                <w:kern w:val="0"/>
                <w:sz w:val="24"/>
                <w:szCs w:val="24"/>
                <w:highlight w:val="none"/>
                <w:lang w:val="en-US" w:eastAsia="zh-CN"/>
              </w:rPr>
              <w:t>不小于30</w:t>
            </w:r>
            <w:r>
              <w:rPr>
                <w:rFonts w:hint="eastAsia" w:ascii="宋体" w:hAnsi="宋体" w:eastAsia="宋体" w:cs="宋体"/>
                <w:color w:val="auto"/>
                <w:kern w:val="0"/>
                <w:sz w:val="24"/>
                <w:szCs w:val="24"/>
                <w:highlight w:val="none"/>
              </w:rPr>
              <w:t>0 mm；牵引距离：</w:t>
            </w:r>
            <w:r>
              <w:rPr>
                <w:rFonts w:hint="eastAsia" w:ascii="宋体" w:hAnsi="宋体" w:eastAsia="宋体" w:cs="宋体"/>
                <w:color w:val="auto"/>
                <w:kern w:val="0"/>
                <w:sz w:val="24"/>
                <w:szCs w:val="24"/>
                <w:highlight w:val="none"/>
                <w:lang w:val="en-US" w:eastAsia="zh-CN"/>
              </w:rPr>
              <w:t>不小于240</w:t>
            </w:r>
            <w:r>
              <w:rPr>
                <w:rFonts w:hint="eastAsia" w:ascii="宋体" w:hAnsi="宋体" w:eastAsia="宋体" w:cs="宋体"/>
                <w:color w:val="auto"/>
                <w:kern w:val="0"/>
                <w:sz w:val="24"/>
                <w:szCs w:val="24"/>
                <w:highlight w:val="none"/>
              </w:rPr>
              <w:t xml:space="preserve"> mm；</w:t>
            </w:r>
            <w:r>
              <w:rPr>
                <w:rFonts w:hint="eastAsia" w:ascii="宋体" w:hAnsi="宋体" w:eastAsia="宋体" w:cs="宋体"/>
                <w:color w:val="auto"/>
                <w:kern w:val="0"/>
                <w:sz w:val="24"/>
                <w:szCs w:val="24"/>
                <w:highlight w:val="none"/>
                <w:lang w:val="en-US" w:eastAsia="zh-CN"/>
              </w:rPr>
              <w:t>根部理论</w:t>
            </w:r>
            <w:r>
              <w:rPr>
                <w:rFonts w:hint="eastAsia" w:ascii="宋体" w:hAnsi="宋体" w:eastAsia="宋体" w:cs="宋体"/>
                <w:color w:val="auto"/>
                <w:kern w:val="0"/>
                <w:sz w:val="24"/>
                <w:szCs w:val="24"/>
                <w:highlight w:val="none"/>
              </w:rPr>
              <w:t>最大扩张力：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50</w:t>
            </w:r>
            <w:r>
              <w:rPr>
                <w:rFonts w:hint="eastAsia" w:ascii="宋体" w:hAnsi="宋体" w:eastAsia="宋体" w:cs="宋体"/>
                <w:color w:val="auto"/>
                <w:kern w:val="0"/>
                <w:sz w:val="24"/>
                <w:szCs w:val="24"/>
                <w:highlight w:val="none"/>
              </w:rPr>
              <w:t>t；最小扩张力 ：</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t；切割力：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t；最大收紧力：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8t；最大牵引力：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10t；保护等级：IP68；待用重量</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kg；</w:t>
            </w:r>
            <w:r>
              <w:rPr>
                <w:rFonts w:hint="eastAsia" w:ascii="宋体" w:hAnsi="宋体" w:eastAsia="宋体" w:cs="宋体"/>
                <w:color w:val="auto"/>
                <w:kern w:val="0"/>
                <w:sz w:val="24"/>
                <w:szCs w:val="24"/>
                <w:highlight w:val="none"/>
                <w:lang w:val="en-US" w:eastAsia="zh-CN"/>
              </w:rPr>
              <w:t>最大</w:t>
            </w:r>
            <w:r>
              <w:rPr>
                <w:rFonts w:hint="eastAsia" w:ascii="宋体" w:hAnsi="宋体" w:eastAsia="宋体" w:cs="宋体"/>
                <w:color w:val="auto"/>
                <w:kern w:val="0"/>
                <w:sz w:val="24"/>
                <w:szCs w:val="24"/>
                <w:highlight w:val="none"/>
              </w:rPr>
              <w:t>剪切圆钢直径：</w:t>
            </w:r>
            <w:r>
              <w:rPr>
                <w:rFonts w:hint="eastAsia" w:ascii="宋体" w:hAnsi="宋体" w:eastAsia="宋体" w:cs="宋体"/>
                <w:color w:val="auto"/>
                <w:kern w:val="0"/>
                <w:sz w:val="24"/>
                <w:szCs w:val="24"/>
                <w:highlight w:val="none"/>
                <w:lang w:val="en-US" w:eastAsia="zh-CN"/>
              </w:rPr>
              <w:t>不小于35</w:t>
            </w:r>
            <w:r>
              <w:rPr>
                <w:rFonts w:hint="eastAsia" w:ascii="宋体" w:hAnsi="宋体" w:eastAsia="宋体" w:cs="宋体"/>
                <w:color w:val="auto"/>
                <w:kern w:val="0"/>
                <w:sz w:val="24"/>
                <w:szCs w:val="24"/>
                <w:highlight w:val="none"/>
              </w:rPr>
              <w:t>毫米；工作温度：</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度-55度。</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7、液压双级顶杆：中型尺寸多级顶杆。内置激光定位灯可精确定位延伸位置。端头为可360°旋转十字头、单管、一级支撑力：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22吨、二级支撑力：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10吨、原始高度：</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0毫米、一级支撑高度：</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rPr>
              <w:t>毫米、二级支撑高度：</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0毫米、总支撑高度：</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毫米、工作压力：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0巴、重量</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kg、工作温度：</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度-55度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8、液压管：2套≥10米软管，单管设计，重量</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公斤，使用耐压高、抗磨损材料制成，可在工作状态下带压任意快速连接和插拔，可360度自由旋转而不扭曲、不打结、不漏油、在使用过程中随着操作人员拖动自动理直，即使打结也能正常使用；当液压管长度不足时也可将多根液压管进行串联，延长使用长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9、帆布锐角保护套材质</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10、AB柱45度斜角垫块各4块</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339340" cy="3121025"/>
                  <wp:effectExtent l="0" t="0" r="3810" b="3175"/>
                  <wp:docPr id="122" name="图片 122" descr="https://wps-static-pro.ding.zj.gov.cn/shapes%2FV253582837ff0f4e23a9ceccb98407e20a%2F67dfe137011c253b34c0d7b0a65f59a63f7d2bfa?Expires=1721959080&amp;OSSAccessKeyId=l6waoSYxdAHjrE3N&amp;Signature=282r7Ed1aMTkT10%2Bs9ddRqpdoM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https://wps-static-pro.ding.zj.gov.cn/shapes%2FV253582837ff0f4e23a9ceccb98407e20a%2F67dfe137011c253b34c0d7b0a65f59a63f7d2bfa?Expires=1721959080&amp;OSSAccessKeyId=l6waoSYxdAHjrE3N&amp;Signature=282r7Ed1aMTkT10%2Bs9ddRqpdoMA%3D"/>
                          <pic:cNvPicPr>
                            <a:picLocks noChangeAspect="1" noChangeArrowheads="1"/>
                          </pic:cNvPicPr>
                        </pic:nvPicPr>
                        <pic:blipFill>
                          <a:blip r:embed="rId31"/>
                          <a:srcRect/>
                          <a:stretch>
                            <a:fillRect/>
                          </a:stretch>
                        </pic:blipFill>
                        <pic:spPr>
                          <a:xfrm>
                            <a:off x="0" y="0"/>
                            <a:ext cx="2339340" cy="312102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425" w:hRule="atLeast"/>
        </w:trPr>
        <w:tc>
          <w:tcPr>
            <w:tcW w:w="491"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4</w:t>
            </w:r>
          </w:p>
        </w:tc>
        <w:tc>
          <w:tcPr>
            <w:tcW w:w="1356" w:type="dxa"/>
            <w:gridSpan w:val="2"/>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破拆类</w:t>
            </w: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电动液压破拆工具组（扩张器、剪切器、撑顶器）</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组</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性能参数：1、符合《电动液压破拆工具试验大纲》，提供国家消防装备质量检验检测中心或其他国家级消防产品检测机构出具的检测报告，用于城市救援、车辆救援、狭窄空间破拆作业。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配置要求：电动剪切器、电动</w:t>
            </w:r>
            <w:r>
              <w:rPr>
                <w:rFonts w:hint="eastAsia" w:ascii="宋体" w:hAnsi="宋体" w:eastAsia="宋体" w:cs="宋体"/>
                <w:color w:val="auto"/>
                <w:kern w:val="0"/>
                <w:sz w:val="24"/>
                <w:szCs w:val="24"/>
                <w:highlight w:val="none"/>
                <w:lang w:val="en-US" w:eastAsia="zh-CN"/>
              </w:rPr>
              <w:t>撑顶器</w:t>
            </w:r>
            <w:r>
              <w:rPr>
                <w:rFonts w:hint="eastAsia" w:ascii="宋体" w:hAnsi="宋体" w:eastAsia="宋体" w:cs="宋体"/>
                <w:color w:val="auto"/>
                <w:kern w:val="0"/>
                <w:sz w:val="24"/>
                <w:szCs w:val="24"/>
                <w:highlight w:val="none"/>
              </w:rPr>
              <w:t>、电动扩张</w:t>
            </w:r>
            <w:r>
              <w:rPr>
                <w:rFonts w:hint="eastAsia" w:ascii="宋体" w:hAnsi="宋体" w:eastAsia="宋体" w:cs="宋体"/>
                <w:color w:val="auto"/>
                <w:kern w:val="0"/>
                <w:sz w:val="24"/>
                <w:szCs w:val="24"/>
                <w:highlight w:val="none"/>
                <w:lang w:val="en-US" w:eastAsia="zh-CN"/>
              </w:rPr>
              <w:t>器</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2、电动剪切器：随时切换高速和低速。自动启动/停止功能。 当未操作工具或达到最大压力时，电机会自动停止。 最大工作压力：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0bar；理论切割力：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吨； </w:t>
            </w:r>
            <w:r>
              <w:rPr>
                <w:rFonts w:hint="eastAsia" w:ascii="宋体" w:hAnsi="宋体" w:eastAsia="宋体" w:cs="宋体"/>
                <w:color w:val="auto"/>
                <w:kern w:val="0"/>
                <w:sz w:val="24"/>
                <w:szCs w:val="24"/>
                <w:highlight w:val="none"/>
                <w:lang w:val="en-US" w:eastAsia="zh-CN"/>
              </w:rPr>
              <w:t>最大</w:t>
            </w:r>
            <w:r>
              <w:rPr>
                <w:rFonts w:hint="eastAsia" w:ascii="宋体" w:hAnsi="宋体" w:eastAsia="宋体" w:cs="宋体"/>
                <w:color w:val="auto"/>
                <w:kern w:val="0"/>
                <w:sz w:val="24"/>
                <w:szCs w:val="24"/>
                <w:highlight w:val="none"/>
              </w:rPr>
              <w:t>剪切圆钢直径：3</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毫米；最大剪切开口：</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0 毫米； 待用重量：</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千克; 保护等级：</w:t>
            </w:r>
            <w:r>
              <w:rPr>
                <w:rFonts w:hint="eastAsia" w:ascii="宋体" w:hAnsi="宋体" w:eastAsia="宋体" w:cs="宋体"/>
                <w:color w:val="auto"/>
                <w:kern w:val="0"/>
                <w:sz w:val="24"/>
                <w:szCs w:val="24"/>
                <w:highlight w:val="none"/>
                <w:lang w:val="en-US" w:eastAsia="zh-CN"/>
              </w:rPr>
              <w:t>不低于</w:t>
            </w:r>
            <w:r>
              <w:rPr>
                <w:rFonts w:hint="eastAsia" w:ascii="宋体" w:hAnsi="宋体" w:eastAsia="宋体" w:cs="宋体"/>
                <w:color w:val="auto"/>
                <w:kern w:val="0"/>
                <w:sz w:val="24"/>
                <w:szCs w:val="24"/>
                <w:highlight w:val="none"/>
              </w:rPr>
              <w:t xml:space="preserve">IP57; </w:t>
            </w:r>
            <w:r>
              <w:rPr>
                <w:rFonts w:hint="eastAsia" w:ascii="宋体" w:hAnsi="宋体" w:eastAsia="宋体" w:cs="宋体"/>
                <w:color w:val="auto"/>
                <w:kern w:val="0"/>
                <w:sz w:val="24"/>
                <w:szCs w:val="24"/>
                <w:highlight w:val="none"/>
                <w:lang w:val="en-US" w:eastAsia="zh-CN"/>
              </w:rPr>
              <w:t>低</w:t>
            </w:r>
            <w:r>
              <w:rPr>
                <w:rFonts w:hint="eastAsia" w:ascii="宋体" w:hAnsi="宋体" w:eastAsia="宋体" w:cs="宋体"/>
                <w:color w:val="auto"/>
                <w:kern w:val="0"/>
                <w:sz w:val="24"/>
                <w:szCs w:val="24"/>
                <w:highlight w:val="none"/>
              </w:rPr>
              <w:t>噪音</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工作</w:t>
            </w:r>
            <w:r>
              <w:rPr>
                <w:rFonts w:hint="eastAsia" w:ascii="宋体" w:hAnsi="宋体" w:eastAsia="宋体" w:cs="宋体"/>
                <w:color w:val="auto"/>
                <w:kern w:val="0"/>
                <w:sz w:val="24"/>
                <w:szCs w:val="24"/>
                <w:highlight w:val="none"/>
              </w:rPr>
              <w:t>温度范围：</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 xml:space="preserve">度-55度; 配置：8Ah锂电池1块，充电器1个。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、电动</w:t>
            </w:r>
            <w:r>
              <w:rPr>
                <w:rFonts w:hint="eastAsia" w:ascii="宋体" w:hAnsi="宋体" w:eastAsia="宋体" w:cs="宋体"/>
                <w:color w:val="auto"/>
                <w:kern w:val="0"/>
                <w:sz w:val="24"/>
                <w:szCs w:val="24"/>
                <w:highlight w:val="none"/>
                <w:lang w:val="en-US" w:eastAsia="zh-CN"/>
              </w:rPr>
              <w:t>撑顶器</w:t>
            </w:r>
            <w:r>
              <w:rPr>
                <w:rFonts w:hint="eastAsia" w:ascii="宋体" w:hAnsi="宋体" w:eastAsia="宋体" w:cs="宋体"/>
                <w:color w:val="auto"/>
                <w:kern w:val="0"/>
                <w:sz w:val="24"/>
                <w:szCs w:val="24"/>
                <w:highlight w:val="none"/>
              </w:rPr>
              <w:t>：随时切换高速和低速。自动启动/停止功能。 当未操作工具或达到最大压力时，电机会自动停止。最大工作压力：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 xml:space="preserve">0bar；第一扩张/牵引行程 : </w:t>
            </w:r>
            <w:r>
              <w:rPr>
                <w:rFonts w:hint="eastAsia" w:ascii="宋体" w:hAnsi="宋体" w:eastAsia="宋体" w:cs="宋体"/>
                <w:color w:val="auto"/>
                <w:kern w:val="0"/>
                <w:sz w:val="24"/>
                <w:szCs w:val="24"/>
                <w:highlight w:val="none"/>
                <w:lang w:val="en-US" w:eastAsia="zh-CN"/>
              </w:rPr>
              <w:t>不小于395</w:t>
            </w:r>
            <w:r>
              <w:rPr>
                <w:rFonts w:hint="eastAsia" w:ascii="宋体" w:hAnsi="宋体" w:eastAsia="宋体" w:cs="宋体"/>
                <w:color w:val="auto"/>
                <w:kern w:val="0"/>
                <w:sz w:val="24"/>
                <w:szCs w:val="24"/>
                <w:highlight w:val="none"/>
              </w:rPr>
              <w:t xml:space="preserve">毫米；第二扩张/牵引行程 : </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70</w:t>
            </w:r>
            <w:r>
              <w:rPr>
                <w:rFonts w:hint="eastAsia" w:ascii="宋体" w:hAnsi="宋体" w:eastAsia="宋体" w:cs="宋体"/>
                <w:color w:val="auto"/>
                <w:kern w:val="0"/>
                <w:sz w:val="24"/>
                <w:szCs w:val="24"/>
                <w:highlight w:val="none"/>
              </w:rPr>
              <w:t xml:space="preserve"> 毫米；总行程：</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65</w:t>
            </w:r>
            <w:r>
              <w:rPr>
                <w:rFonts w:hint="eastAsia" w:ascii="宋体" w:hAnsi="宋体" w:eastAsia="宋体" w:cs="宋体"/>
                <w:color w:val="auto"/>
                <w:kern w:val="0"/>
                <w:sz w:val="24"/>
                <w:szCs w:val="24"/>
                <w:highlight w:val="none"/>
              </w:rPr>
              <w:t xml:space="preserve">毫米；收缩长度: </w:t>
            </w:r>
            <w:r>
              <w:rPr>
                <w:rFonts w:hint="eastAsia" w:ascii="宋体" w:hAnsi="宋体" w:eastAsia="宋体" w:cs="宋体"/>
                <w:color w:val="auto"/>
                <w:kern w:val="0"/>
                <w:sz w:val="24"/>
                <w:szCs w:val="24"/>
                <w:highlight w:val="none"/>
                <w:lang w:val="en-US" w:eastAsia="zh-CN"/>
              </w:rPr>
              <w:t>不大于600</w:t>
            </w:r>
            <w:r>
              <w:rPr>
                <w:rFonts w:hint="eastAsia" w:ascii="宋体" w:hAnsi="宋体" w:eastAsia="宋体" w:cs="宋体"/>
                <w:color w:val="auto"/>
                <w:kern w:val="0"/>
                <w:sz w:val="24"/>
                <w:szCs w:val="24"/>
                <w:highlight w:val="none"/>
              </w:rPr>
              <w:t xml:space="preserve">毫米；伸出长度: </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13</w:t>
            </w:r>
            <w:r>
              <w:rPr>
                <w:rFonts w:hint="eastAsia" w:ascii="宋体" w:hAnsi="宋体" w:eastAsia="宋体" w:cs="宋体"/>
                <w:color w:val="auto"/>
                <w:kern w:val="0"/>
                <w:sz w:val="24"/>
                <w:szCs w:val="24"/>
                <w:highlight w:val="none"/>
                <w:lang w:val="en-US" w:eastAsia="zh-CN"/>
              </w:rPr>
              <w:t>50</w:t>
            </w:r>
            <w:r>
              <w:rPr>
                <w:rFonts w:hint="eastAsia" w:ascii="宋体" w:hAnsi="宋体" w:eastAsia="宋体" w:cs="宋体"/>
                <w:color w:val="auto"/>
                <w:kern w:val="0"/>
                <w:sz w:val="24"/>
                <w:szCs w:val="24"/>
                <w:highlight w:val="none"/>
              </w:rPr>
              <w:t xml:space="preserve">毫米;第一行程的扩张力: </w:t>
            </w:r>
            <w:r>
              <w:rPr>
                <w:rFonts w:hint="eastAsia" w:ascii="宋体" w:hAnsi="宋体" w:eastAsia="宋体" w:cs="宋体"/>
                <w:color w:val="auto"/>
                <w:kern w:val="0"/>
                <w:sz w:val="24"/>
                <w:szCs w:val="24"/>
                <w:highlight w:val="none"/>
                <w:lang w:val="en-US" w:eastAsia="zh-CN"/>
              </w:rPr>
              <w:t>不低于</w:t>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吨; 第二行程的扩张力:</w:t>
            </w:r>
            <w:r>
              <w:rPr>
                <w:rFonts w:hint="eastAsia" w:ascii="宋体" w:hAnsi="宋体" w:eastAsia="宋体" w:cs="宋体"/>
                <w:color w:val="auto"/>
                <w:kern w:val="0"/>
                <w:sz w:val="24"/>
                <w:szCs w:val="24"/>
                <w:highlight w:val="none"/>
                <w:lang w:val="en-US" w:eastAsia="zh-CN"/>
              </w:rPr>
              <w:t>不低于</w:t>
            </w:r>
            <w:r>
              <w:rPr>
                <w:rFonts w:hint="eastAsia" w:ascii="宋体" w:hAnsi="宋体" w:eastAsia="宋体" w:cs="宋体"/>
                <w:color w:val="auto"/>
                <w:kern w:val="0"/>
                <w:sz w:val="24"/>
                <w:szCs w:val="24"/>
                <w:highlight w:val="none"/>
              </w:rPr>
              <w:t xml:space="preserve"> 6吨; 待用重量：</w:t>
            </w:r>
            <w:r>
              <w:rPr>
                <w:rFonts w:hint="eastAsia" w:ascii="宋体" w:hAnsi="宋体" w:eastAsia="宋体" w:cs="宋体"/>
                <w:color w:val="auto"/>
                <w:kern w:val="0"/>
                <w:sz w:val="24"/>
                <w:szCs w:val="24"/>
                <w:highlight w:val="none"/>
                <w:lang w:val="en-US" w:eastAsia="zh-CN"/>
              </w:rPr>
              <w:t>不大于21</w:t>
            </w:r>
            <w:r>
              <w:rPr>
                <w:rFonts w:hint="eastAsia" w:ascii="宋体" w:hAnsi="宋体" w:eastAsia="宋体" w:cs="宋体"/>
                <w:color w:val="auto"/>
                <w:kern w:val="0"/>
                <w:sz w:val="24"/>
                <w:szCs w:val="24"/>
                <w:highlight w:val="none"/>
              </w:rPr>
              <w:t>千克 ;保护等级：</w:t>
            </w:r>
            <w:r>
              <w:rPr>
                <w:rFonts w:hint="eastAsia" w:ascii="宋体" w:hAnsi="宋体" w:eastAsia="宋体" w:cs="宋体"/>
                <w:color w:val="auto"/>
                <w:kern w:val="0"/>
                <w:sz w:val="24"/>
                <w:szCs w:val="24"/>
                <w:highlight w:val="none"/>
                <w:lang w:val="en-US" w:eastAsia="zh-CN"/>
              </w:rPr>
              <w:t>不低于</w:t>
            </w:r>
            <w:r>
              <w:rPr>
                <w:rFonts w:hint="eastAsia" w:ascii="宋体" w:hAnsi="宋体" w:eastAsia="宋体" w:cs="宋体"/>
                <w:color w:val="auto"/>
                <w:kern w:val="0"/>
                <w:sz w:val="24"/>
                <w:szCs w:val="24"/>
                <w:highlight w:val="none"/>
              </w:rPr>
              <w:t xml:space="preserve">IP57; </w:t>
            </w:r>
            <w:r>
              <w:rPr>
                <w:rFonts w:hint="eastAsia" w:ascii="宋体" w:hAnsi="宋体" w:eastAsia="宋体" w:cs="宋体"/>
                <w:color w:val="auto"/>
                <w:kern w:val="0"/>
                <w:sz w:val="24"/>
                <w:szCs w:val="24"/>
                <w:highlight w:val="none"/>
                <w:lang w:val="en-US" w:eastAsia="zh-CN"/>
              </w:rPr>
              <w:t>低</w:t>
            </w:r>
            <w:r>
              <w:rPr>
                <w:rFonts w:hint="eastAsia" w:ascii="宋体" w:hAnsi="宋体" w:eastAsia="宋体" w:cs="宋体"/>
                <w:color w:val="auto"/>
                <w:kern w:val="0"/>
                <w:sz w:val="24"/>
                <w:szCs w:val="24"/>
                <w:highlight w:val="none"/>
              </w:rPr>
              <w:t>噪音</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工作</w:t>
            </w:r>
            <w:r>
              <w:rPr>
                <w:rFonts w:hint="eastAsia" w:ascii="宋体" w:hAnsi="宋体" w:eastAsia="宋体" w:cs="宋体"/>
                <w:color w:val="auto"/>
                <w:kern w:val="0"/>
                <w:sz w:val="24"/>
                <w:szCs w:val="24"/>
                <w:highlight w:val="none"/>
              </w:rPr>
              <w:t>温度范围：</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 xml:space="preserve">度-55度; 配置：8Ah锂电池1块，充电器1个。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、电动扩张</w:t>
            </w:r>
            <w:r>
              <w:rPr>
                <w:rFonts w:hint="eastAsia" w:ascii="宋体" w:hAnsi="宋体" w:eastAsia="宋体" w:cs="宋体"/>
                <w:color w:val="auto"/>
                <w:kern w:val="0"/>
                <w:sz w:val="24"/>
                <w:szCs w:val="24"/>
                <w:highlight w:val="none"/>
                <w:lang w:val="en-US" w:eastAsia="zh-CN"/>
              </w:rPr>
              <w:t>器</w:t>
            </w:r>
            <w:r>
              <w:rPr>
                <w:rFonts w:hint="eastAsia" w:ascii="宋体" w:hAnsi="宋体" w:eastAsia="宋体" w:cs="宋体"/>
                <w:color w:val="auto"/>
                <w:kern w:val="0"/>
                <w:sz w:val="24"/>
                <w:szCs w:val="24"/>
                <w:highlight w:val="none"/>
              </w:rPr>
              <w:t>：随时切换高速和低速。自动启动/停止功能。 当未操作工具或达到最大压力时，电机会自动停止。配有集成LED灯，照亮顶杆两侧。最大工作压力：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0bar；最大扩张力：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吨；最小扩张力：</w:t>
            </w:r>
            <w:r>
              <w:rPr>
                <w:rFonts w:hint="eastAsia" w:ascii="宋体" w:hAnsi="宋体" w:eastAsia="宋体" w:cs="宋体"/>
                <w:color w:val="auto"/>
                <w:kern w:val="0"/>
                <w:sz w:val="24"/>
                <w:szCs w:val="24"/>
                <w:highlight w:val="none"/>
                <w:lang w:val="en-US" w:eastAsia="zh-CN"/>
              </w:rPr>
              <w:t>不大于</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吨;最大扩张距离：</w:t>
            </w:r>
            <w:r>
              <w:rPr>
                <w:rFonts w:hint="eastAsia" w:ascii="宋体" w:hAnsi="宋体" w:eastAsia="宋体" w:cs="宋体"/>
                <w:color w:val="auto"/>
                <w:kern w:val="0"/>
                <w:sz w:val="24"/>
                <w:szCs w:val="24"/>
                <w:highlight w:val="none"/>
                <w:lang w:val="en-US" w:eastAsia="zh-CN"/>
              </w:rPr>
              <w:t>不少于</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毫米; 最大牵引力：</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5吨; 牵引距离：</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 xml:space="preserve"> 毫米;  待用重量：</w:t>
            </w:r>
            <w:r>
              <w:rPr>
                <w:rFonts w:hint="eastAsia" w:ascii="宋体" w:hAnsi="宋体" w:eastAsia="宋体" w:cs="宋体"/>
                <w:color w:val="auto"/>
                <w:kern w:val="0"/>
                <w:sz w:val="24"/>
                <w:szCs w:val="24"/>
                <w:highlight w:val="none"/>
                <w:lang w:val="en-US" w:eastAsia="zh-CN"/>
              </w:rPr>
              <w:t>不大于20</w:t>
            </w:r>
            <w:r>
              <w:rPr>
                <w:rFonts w:hint="eastAsia" w:ascii="宋体" w:hAnsi="宋体" w:eastAsia="宋体" w:cs="宋体"/>
                <w:color w:val="auto"/>
                <w:kern w:val="0"/>
                <w:sz w:val="24"/>
                <w:szCs w:val="24"/>
                <w:highlight w:val="none"/>
              </w:rPr>
              <w:t>千克 ; 保护等级：</w:t>
            </w:r>
            <w:r>
              <w:rPr>
                <w:rFonts w:hint="eastAsia" w:ascii="宋体" w:hAnsi="宋体" w:eastAsia="宋体" w:cs="宋体"/>
                <w:color w:val="auto"/>
                <w:kern w:val="0"/>
                <w:sz w:val="24"/>
                <w:szCs w:val="24"/>
                <w:highlight w:val="none"/>
                <w:lang w:val="en-US" w:eastAsia="zh-CN"/>
              </w:rPr>
              <w:t>不低于</w:t>
            </w:r>
            <w:r>
              <w:rPr>
                <w:rFonts w:hint="eastAsia" w:ascii="宋体" w:hAnsi="宋体" w:eastAsia="宋体" w:cs="宋体"/>
                <w:color w:val="auto"/>
                <w:kern w:val="0"/>
                <w:sz w:val="24"/>
                <w:szCs w:val="24"/>
                <w:highlight w:val="none"/>
              </w:rPr>
              <w:t xml:space="preserve">IP57; </w:t>
            </w:r>
            <w:r>
              <w:rPr>
                <w:rFonts w:hint="eastAsia" w:ascii="宋体" w:hAnsi="宋体" w:eastAsia="宋体" w:cs="宋体"/>
                <w:color w:val="auto"/>
                <w:kern w:val="0"/>
                <w:sz w:val="24"/>
                <w:szCs w:val="24"/>
                <w:highlight w:val="none"/>
                <w:lang w:val="en-US" w:eastAsia="zh-CN"/>
              </w:rPr>
              <w:t>低</w:t>
            </w:r>
            <w:r>
              <w:rPr>
                <w:rFonts w:hint="eastAsia" w:ascii="宋体" w:hAnsi="宋体" w:eastAsia="宋体" w:cs="宋体"/>
                <w:color w:val="auto"/>
                <w:kern w:val="0"/>
                <w:sz w:val="24"/>
                <w:szCs w:val="24"/>
                <w:highlight w:val="none"/>
              </w:rPr>
              <w:t>噪音</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工作</w:t>
            </w:r>
            <w:r>
              <w:rPr>
                <w:rFonts w:hint="eastAsia" w:ascii="宋体" w:hAnsi="宋体" w:eastAsia="宋体" w:cs="宋体"/>
                <w:color w:val="auto"/>
                <w:kern w:val="0"/>
                <w:sz w:val="24"/>
                <w:szCs w:val="24"/>
                <w:highlight w:val="none"/>
              </w:rPr>
              <w:t>温度范围：</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度-55度; 配置：8Ah锂电池1块，充电器1个。</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suppressLineNumbers w:val="0"/>
              <w:spacing w:before="0" w:beforeAutospacing="0" w:after="0" w:afterAutospacing="0"/>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638300" cy="1228725"/>
                  <wp:effectExtent l="0" t="0" r="0" b="0"/>
                  <wp:docPr id="126" name="图片 126" descr="https://wps-static-pro.ding.zj.gov.cn/shapes%2FV253582837ff0f4e23a9ceccb98407e20a%2F1433eadf74320b80e2ad0c71f42cbd561503013f?Expires=1721959117&amp;OSSAccessKeyId=l6waoSYxdAHjrE3N&amp;Signature=DR%2B1qJguWC2B8gzNw27mmTxh4H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https://wps-static-pro.ding.zj.gov.cn/shapes%2FV253582837ff0f4e23a9ceccb98407e20a%2F1433eadf74320b80e2ad0c71f42cbd561503013f?Expires=1721959117&amp;OSSAccessKeyId=l6waoSYxdAHjrE3N&amp;Signature=DR%2B1qJguWC2B8gzNw27mmTxh4Ho%3D"/>
                          <pic:cNvPicPr>
                            <a:picLocks noChangeAspect="1" noChangeArrowheads="1"/>
                          </pic:cNvPicPr>
                        </pic:nvPicPr>
                        <pic:blipFill>
                          <a:blip r:embed="rId32"/>
                          <a:srcRect/>
                          <a:stretch>
                            <a:fillRect/>
                          </a:stretch>
                        </pic:blipFill>
                        <pic:spPr>
                          <a:xfrm>
                            <a:off x="0" y="0"/>
                            <a:ext cx="1638300" cy="1228725"/>
                          </a:xfrm>
                          <a:prstGeom prst="rect">
                            <a:avLst/>
                          </a:prstGeom>
                          <a:noFill/>
                          <a:ln w="9525">
                            <a:noFill/>
                            <a:miter lim="800000"/>
                            <a:headEnd/>
                            <a:tailEnd/>
                          </a:ln>
                        </pic:spPr>
                      </pic:pic>
                    </a:graphicData>
                  </a:graphic>
                </wp:inline>
              </w:drawing>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rPr>
              <w:drawing>
                <wp:inline distT="0" distB="0" distL="0" distR="0">
                  <wp:extent cx="1600200" cy="1543050"/>
                  <wp:effectExtent l="0" t="0" r="0" b="0"/>
                  <wp:docPr id="128" name="图片 128" descr="https://wps-static-pro.ding.zj.gov.cn/shapes%2FV253582837ff0f4e23a9ceccb98407e20a%2F7e110512ce2784051339c29985812a5ce8fc0355?Expires=1721959117&amp;OSSAccessKeyId=l6waoSYxdAHjrE3N&amp;Signature=0tjxboqtTEcpwsGjgrjxfTrL4W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https://wps-static-pro.ding.zj.gov.cn/shapes%2FV253582837ff0f4e23a9ceccb98407e20a%2F7e110512ce2784051339c29985812a5ce8fc0355?Expires=1721959117&amp;OSSAccessKeyId=l6waoSYxdAHjrE3N&amp;Signature=0tjxboqtTEcpwsGjgrjxfTrL4WE%3D"/>
                          <pic:cNvPicPr>
                            <a:picLocks noChangeAspect="1" noChangeArrowheads="1"/>
                          </pic:cNvPicPr>
                        </pic:nvPicPr>
                        <pic:blipFill>
                          <a:blip r:embed="rId33"/>
                          <a:srcRect/>
                          <a:stretch>
                            <a:fillRect/>
                          </a:stretch>
                        </pic:blipFill>
                        <pic:spPr>
                          <a:xfrm>
                            <a:off x="0" y="0"/>
                            <a:ext cx="1600200" cy="1543050"/>
                          </a:xfrm>
                          <a:prstGeom prst="rect">
                            <a:avLst/>
                          </a:prstGeom>
                          <a:noFill/>
                          <a:ln w="9525">
                            <a:noFill/>
                            <a:miter lim="800000"/>
                            <a:headEnd/>
                            <a:tailEnd/>
                          </a:ln>
                        </pic:spPr>
                      </pic:pic>
                    </a:graphicData>
                  </a:graphic>
                </wp:inline>
              </w:drawing>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rPr>
              <w:drawing>
                <wp:inline distT="0" distB="0" distL="0" distR="0">
                  <wp:extent cx="1781175" cy="1181100"/>
                  <wp:effectExtent l="0" t="0" r="0" b="0"/>
                  <wp:docPr id="143" name="图片 143" descr="https://wps-static-pro.ding.zj.gov.cn/shapes%2FV253582837ff0f4e23a9ceccb98407e20a%2F1d10931be7885764623395d6a4edc5be8329aa12?Expires=1721959421&amp;OSSAccessKeyId=l6waoSYxdAHjrE3N&amp;Signature=oGNxwASGa2fT2IOmXEecp8emWf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s://wps-static-pro.ding.zj.gov.cn/shapes%2FV253582837ff0f4e23a9ceccb98407e20a%2F1d10931be7885764623395d6a4edc5be8329aa12?Expires=1721959421&amp;OSSAccessKeyId=l6waoSYxdAHjrE3N&amp;Signature=oGNxwASGa2fT2IOmXEecp8emWfk%3D"/>
                          <pic:cNvPicPr>
                            <a:picLocks noChangeAspect="1" noChangeArrowheads="1"/>
                          </pic:cNvPicPr>
                        </pic:nvPicPr>
                        <pic:blipFill>
                          <a:blip r:embed="rId34"/>
                          <a:srcRect/>
                          <a:stretch>
                            <a:fillRect/>
                          </a:stretch>
                        </pic:blipFill>
                        <pic:spPr>
                          <a:xfrm>
                            <a:off x="0" y="0"/>
                            <a:ext cx="1781175" cy="118110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suppressLineNumbers w:val="0"/>
              <w:spacing w:before="0" w:beforeAutospacing="0" w:after="0" w:afterAutospacing="0"/>
              <w:ind w:left="0" w:right="0"/>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13"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双轮异向切割锯</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总体性能符合GB32460-2015《消防应急救援装备破拆机具通用技术条件》的要求，提供国家消防装备质量检验检测中心或其他国家级检测机构出具的检测报告。出具报告的检验检测机构应取得市场监督管理部门的资质认定，一并提供资质认定证明文件。</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2、主要用于钢材、钢管、电缆、铝材、木材、墙板、塑料、玻璃等材料的切割；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3、配置要求：发动机、2付锯片、油箱、专用工具箱、护目镜、专用工具、比例加油桶等部件；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4、功率≥4kW；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5、锯片直径≥315mm、切割深度≥110mm；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6、噪声（空载最高转速时）≤105dB；重量 （不含锯片和燃油）≤15kg。</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923540" cy="2025650"/>
                  <wp:effectExtent l="0" t="0" r="635" b="3175"/>
                  <wp:docPr id="156" name="图片 156" descr="https://wps-static-pro.ding.zj.gov.cn/shapes%2FV253582837ff0f4e23a9ceccb98407e20a%2F27eb9987fe7a3c11326b8ec11381eb10fa029a72?Expires=1721959527&amp;OSSAccessKeyId=l6waoSYxdAHjrE3N&amp;Signature=uMq59%2F3HOW3kW%2FLk6%2BaInAYL7e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https://wps-static-pro.ding.zj.gov.cn/shapes%2FV253582837ff0f4e23a9ceccb98407e20a%2F27eb9987fe7a3c11326b8ec11381eb10fa029a72?Expires=1721959527&amp;OSSAccessKeyId=l6waoSYxdAHjrE3N&amp;Signature=uMq59%2F3HOW3kW%2FLk6%2BaInAYL7eU%3D"/>
                          <pic:cNvPicPr>
                            <a:picLocks noChangeAspect="1" noChangeArrowheads="1"/>
                          </pic:cNvPicPr>
                        </pic:nvPicPr>
                        <pic:blipFill>
                          <a:blip r:embed="rId35"/>
                          <a:srcRect/>
                          <a:stretch>
                            <a:fillRect/>
                          </a:stretch>
                        </pic:blipFill>
                        <pic:spPr>
                          <a:xfrm>
                            <a:off x="0" y="0"/>
                            <a:ext cx="2923540" cy="202565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87"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机动链锯</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总体性能符合GB32460-2015《消防应急救援装备破拆机具通用技术条件》的要求，提供国家消防装备质量检验检测中心或其他国家级检测机构出具的检测报告。出具报告的检验检测机构应取得市场监督管理部门的资质认定，一并提供资质认定证明文件。</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2、用于切割各类木质结构障碍物，可切割木头、石膏板等；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3、配置要求：</w:t>
            </w:r>
            <w:r>
              <w:rPr>
                <w:rFonts w:hint="eastAsia" w:ascii="宋体" w:hAnsi="宋体" w:eastAsia="宋体" w:cs="宋体"/>
                <w:color w:val="auto"/>
                <w:kern w:val="0"/>
                <w:sz w:val="24"/>
                <w:szCs w:val="24"/>
                <w:highlight w:val="none"/>
              </w:rPr>
              <w:t>链条3根（混泥土</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1、木质</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2、），专用工具，加油比例桶（电池包），1副备用链条等；</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4、功率≥3.4kW；</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5、重量（不含导板链条）≤6.0kg；</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6、导板长度≥55cm。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、配置要求：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689100" cy="1084580"/>
                  <wp:effectExtent l="0" t="0" r="6350" b="1270"/>
                  <wp:docPr id="161" name="图片 161" descr="https://wps-static-pro.ding.zj.gov.cn/shapes%2FV253582837ff0f4e23a9ceccb98407e20a%2F909d0d0f45067f87b832d0ce967af95c4bfb6881?Expires=1721959560&amp;OSSAccessKeyId=l6waoSYxdAHjrE3N&amp;Signature=WWKLd%2FPr%2F8vgqt73zNjiEbZXM9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https://wps-static-pro.ding.zj.gov.cn/shapes%2FV253582837ff0f4e23a9ceccb98407e20a%2F909d0d0f45067f87b832d0ce967af95c4bfb6881?Expires=1721959560&amp;OSSAccessKeyId=l6waoSYxdAHjrE3N&amp;Signature=WWKLd%2FPr%2F8vgqt73zNjiEbZXM9E%3D"/>
                          <pic:cNvPicPr>
                            <a:picLocks noChangeAspect="1" noChangeArrowheads="1"/>
                          </pic:cNvPicPr>
                        </pic:nvPicPr>
                        <pic:blipFill>
                          <a:blip r:embed="rId36"/>
                          <a:srcRect/>
                          <a:stretch>
                            <a:fillRect/>
                          </a:stretch>
                        </pic:blipFill>
                        <pic:spPr>
                          <a:xfrm>
                            <a:off x="0" y="0"/>
                            <a:ext cx="1689100" cy="108458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62"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无齿锯</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总体性能符合GB32460-2015《消防应急救援装备破拆机具通用技术条件》的要求，提供国家消防装备质量检验检测中心或其他国家级检测机构出具的检测报告。出具报告的检验检测机构应取得市场监督管理部门的资质认定，一并提供资质认定证明文件。</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2、用于火灾救援现场快速切割金属器材及钢筋混凝土材料；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3、配置要求：不少于1套合金钢锯片、1套金钢石锯片、5片砂轮片，1套专用工具，加油比例桶等；</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 xml:space="preserve">4、功率≥ </w:t>
            </w: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kW；</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5、油箱容量≥</w:t>
            </w:r>
            <w:r>
              <w:rPr>
                <w:rFonts w:hint="eastAsia" w:ascii="宋体" w:hAnsi="宋体" w:eastAsia="宋体" w:cs="宋体"/>
                <w:color w:val="auto"/>
                <w:sz w:val="24"/>
                <w:szCs w:val="24"/>
                <w:lang w:val="en-US" w:eastAsia="zh-CN"/>
              </w:rPr>
              <w:t>0.8</w:t>
            </w:r>
            <w:r>
              <w:rPr>
                <w:rFonts w:hint="eastAsia" w:ascii="宋体" w:hAnsi="宋体" w:eastAsia="宋体" w:cs="宋体"/>
                <w:color w:val="auto"/>
                <w:sz w:val="24"/>
                <w:szCs w:val="24"/>
              </w:rPr>
              <w:t xml:space="preserve">L；                                                                                                                                                           </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6、动力切割机（不带切割锯片或燃油 ) ≤</w:t>
            </w:r>
            <w:r>
              <w:rPr>
                <w:rFonts w:hint="eastAsia" w:ascii="宋体" w:hAnsi="宋体" w:eastAsia="宋体" w:cs="宋体"/>
                <w:color w:val="auto"/>
                <w:sz w:val="24"/>
                <w:szCs w:val="24"/>
                <w:lang w:val="en-US" w:eastAsia="zh-CN"/>
              </w:rPr>
              <w:t>12.5</w:t>
            </w:r>
            <w:r>
              <w:rPr>
                <w:rFonts w:hint="eastAsia" w:ascii="宋体" w:hAnsi="宋体" w:eastAsia="宋体" w:cs="宋体"/>
                <w:color w:val="auto"/>
                <w:sz w:val="24"/>
                <w:szCs w:val="24"/>
              </w:rPr>
              <w:t>kg；</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7、最大切割深度≥145mm，锯片直径≥400mm。</w:t>
            </w:r>
          </w:p>
          <w:p>
            <w:pPr>
              <w:pStyle w:val="19"/>
              <w:keepNext w:val="0"/>
              <w:keepLines w:val="0"/>
              <w:suppressLineNumbers w:val="0"/>
              <w:spacing w:before="0" w:beforeAutospacing="0" w:after="0" w:afterAutospacing="0"/>
              <w:ind w:left="0" w:right="0"/>
              <w:rPr>
                <w:rFonts w:hint="eastAsia" w:ascii="宋体" w:hAnsi="宋体" w:eastAsia="宋体" w:cs="宋体"/>
                <w:color w:val="auto"/>
                <w:sz w:val="24"/>
                <w:szCs w:val="24"/>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t xml:space="preserve"> 图片：</w:t>
            </w:r>
            <w:r>
              <w:rPr>
                <w:rFonts w:hint="eastAsia" w:ascii="宋体" w:hAnsi="宋体" w:eastAsia="宋体" w:cs="宋体"/>
                <w:color w:val="auto"/>
                <w:sz w:val="24"/>
                <w:szCs w:val="24"/>
              </w:rPr>
              <w:drawing>
                <wp:inline distT="0" distB="0" distL="114300" distR="114300">
                  <wp:extent cx="2165985" cy="200977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a:stretch>
                            <a:fillRect/>
                          </a:stretch>
                        </pic:blipFill>
                        <pic:spPr>
                          <a:xfrm>
                            <a:off x="0" y="0"/>
                            <a:ext cx="2165985" cy="20097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15"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凿岩机</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1、提供省级（含）以上检测机构或国家级检测机构出具的检测报告。出具报告的检验检测机构应取得市场监督管理部门的资质认定，一并提供资质认定证明文件。</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2、风动式，用于破拆岩石、塌方土石或钢筋混凝土；</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3、单缸、风冷、两冲程发动机；</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4、最大功率≥1.5kw；</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5、冲击频率≥1300N/min；</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6、最大冲击能≥55J；</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7、重量≤25kg；</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8、油箱容积≥1.8L；</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9、总震动加速值≤9m/s²。</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、可更换头（平头1、尖头1、一字头1）</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736215" cy="1624965"/>
                  <wp:effectExtent l="0" t="0" r="6985" b="3810"/>
                  <wp:docPr id="166" name="图片 166" descr="https://wps-static-pro.ding.zj.gov.cn/shapes%2FV253582837ff0f4e23a9ceccb98407e20a%2Fd16919c7abb397aa68864c63820f8e7dbde39659?Expires=1721959601&amp;OSSAccessKeyId=l6waoSYxdAHjrE3N&amp;Signature=7PpGLvx0YqEqY%2F5SP5VzwaIsWh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https://wps-static-pro.ding.zj.gov.cn/shapes%2FV253582837ff0f4e23a9ceccb98407e20a%2Fd16919c7abb397aa68864c63820f8e7dbde39659?Expires=1721959601&amp;OSSAccessKeyId=l6waoSYxdAHjrE3N&amp;Signature=7PpGLvx0YqEqY%2F5SP5VzwaIsWhg%3D"/>
                          <pic:cNvPicPr>
                            <a:picLocks noChangeAspect="1" noChangeArrowheads="1"/>
                          </pic:cNvPicPr>
                        </pic:nvPicPr>
                        <pic:blipFill>
                          <a:blip r:embed="rId38"/>
                          <a:srcRect/>
                          <a:stretch>
                            <a:fillRect/>
                          </a:stretch>
                        </pic:blipFill>
                        <pic:spPr>
                          <a:xfrm>
                            <a:off x="0" y="0"/>
                            <a:ext cx="2736215" cy="162496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43"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绝缘剪断钳</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 总体性能符合市场准入标准的要求，提供检验机构出具的检测报告和产品合格证；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 由工作钳口、绝缘杆柄和绝缘手柄三部分组成，具有结构牢靠、轻巧灵活、操作简便、安全可靠等优点，是消防电力、电气检修等首选的安全工具。可短时间对带电设备进行操作的绝缘工具，用于事故现场电线电缆或其它带电体的剪切，同时还可适用于弱电场所中检修时剪断导线、清楚障碍物等。剪断钳的杆柄由高性能玻璃纤维管制成，表面光滑，绝缘性能和机械强度俱佳。</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3、配置要求：</w:t>
            </w:r>
            <w:r>
              <w:rPr>
                <w:rFonts w:hint="eastAsia" w:ascii="宋体" w:hAnsi="宋体" w:eastAsia="宋体" w:cs="宋体"/>
                <w:color w:val="auto"/>
                <w:kern w:val="0"/>
                <w:sz w:val="24"/>
                <w:szCs w:val="24"/>
                <w:highlight w:val="none"/>
                <w:lang w:val="en-US" w:eastAsia="zh-CN"/>
              </w:rPr>
              <w:t>30寸*1，重量小于4kg；18寸*1，重量小于1.6kg；8寸*1，重量小于0.5kg，共3把。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204085" cy="1206500"/>
                  <wp:effectExtent l="0" t="0" r="5715" b="3175"/>
                  <wp:docPr id="170" name="图片 170" descr="https://wps-static-pro.ding.zj.gov.cn/shapes%2FV253582837ff0f4e23a9ceccb98407e20a%2Fd98f635bc655bdad37eca20574718b15e8d00ef2?Expires=1721959678&amp;OSSAccessKeyId=l6waoSYxdAHjrE3N&amp;Signature=eECZIjgNx4dWdd6UgXrfJWRnrw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https://wps-static-pro.ding.zj.gov.cn/shapes%2FV253582837ff0f4e23a9ceccb98407e20a%2Fd98f635bc655bdad37eca20574718b15e8d00ef2?Expires=1721959678&amp;OSSAccessKeyId=l6waoSYxdAHjrE3N&amp;Signature=eECZIjgNx4dWdd6UgXrfJWRnrw8%3D"/>
                          <pic:cNvPicPr>
                            <a:picLocks noChangeAspect="1" noChangeArrowheads="1"/>
                          </pic:cNvPicPr>
                        </pic:nvPicPr>
                        <pic:blipFill>
                          <a:blip r:embed="rId39"/>
                          <a:srcRect/>
                          <a:stretch>
                            <a:fillRect/>
                          </a:stretch>
                        </pic:blipFill>
                        <pic:spPr>
                          <a:xfrm>
                            <a:off x="0" y="0"/>
                            <a:ext cx="2204085" cy="120650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34"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哈利根铁廷</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1总体性能应符合哈利根铁铤(多功能撬棍)试验大纲、GB 32459-2015消防应急救援装备手动破拆工具通用技术条件</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2铁铤1技术要求</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用于撬开挂锁，门栓及钉子，可以关掉泄露的阀门</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长度：≥900mm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破锁拔钉器：宽度≥65mm、厚度≤66mm、开口宽度≥18mm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鹰鸭嘴器：鸭嘴宽度≤55mm、鸭嘴高度≤160mm、鹰嘴高度≤172mm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杆柄受力≥800N、起翘拔钉力≥6000N</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凿击能力：镐头应能凿穿厚度1.5mm的Q235A钢板，且刃口应无明显崩刃和开裂</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3铁铤2技术要求</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切割汽车、飞机等金属材料及复合材料</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金属切割器：宽度≤75mm、厚度≤39mm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鹰鸭嘴器：鸭嘴宽度≤55mm、鸭嘴高度≤160mm、鹰嘴高度≤172mm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凿击能力：镐头应能凿穿厚度1.5mm的Q235A钢板，且刃口应无明显崩刃和开裂</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切割性能：撬斧切割部位应能切割厚度1.5mm的Q235A钢板，且刃口应无明显卷刃、崩刃和开裂等现象</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图片</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rPr>
            </w:pPr>
          </w:p>
          <w:p>
            <w:pPr>
              <w:keepNext w:val="0"/>
              <w:keepLines w:val="0"/>
              <w:widowControl/>
              <w:numPr>
                <w:ilvl w:val="0"/>
                <w:numId w:val="0"/>
              </w:numPr>
              <w:suppressLineNumbers w:val="0"/>
              <w:spacing w:before="0" w:beforeAutospacing="0" w:after="0" w:afterAutospacing="0"/>
              <w:ind w:left="0" w:leftChars="0" w:right="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2447290" cy="3265170"/>
                  <wp:effectExtent l="0" t="0" r="635" b="1905"/>
                  <wp:docPr id="15" name="图片 15" descr="b7c7e97e3c91324c77135976245e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7c7e97e3c91324c77135976245e8de"/>
                          <pic:cNvPicPr>
                            <a:picLocks noChangeAspect="1"/>
                          </pic:cNvPicPr>
                        </pic:nvPicPr>
                        <pic:blipFill>
                          <a:blip r:embed="rId40"/>
                          <a:stretch>
                            <a:fillRect/>
                          </a:stretch>
                        </pic:blipFill>
                        <pic:spPr>
                          <a:xfrm>
                            <a:off x="0" y="0"/>
                            <a:ext cx="2447290" cy="326517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416"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多功能手动液压破拆工具</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组</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2"/>
              <w:keepNext w:val="0"/>
              <w:keepLines w:val="0"/>
              <w:suppressLineNumbers w:val="0"/>
              <w:spacing w:before="0" w:beforeAutospacing="0" w:afterAutospacing="0"/>
              <w:ind w:left="0" w:right="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性能参数</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color w:val="auto"/>
                <w:sz w:val="24"/>
                <w:szCs w:val="24"/>
              </w:rPr>
            </w:pPr>
            <w:r>
              <w:rPr>
                <w:rFonts w:hint="eastAsia" w:ascii="宋体" w:hAnsi="宋体" w:eastAsia="宋体" w:cs="宋体"/>
                <w:color w:val="auto"/>
                <w:sz w:val="24"/>
                <w:szCs w:val="24"/>
              </w:rPr>
              <w:t>1、提供省级（含）以上检测机构或国家级检测机构出具的检测报告。</w:t>
            </w:r>
          </w:p>
          <w:p>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color w:val="auto"/>
                <w:sz w:val="24"/>
                <w:szCs w:val="24"/>
              </w:rPr>
              <w:t>2、</w:t>
            </w:r>
            <w:r>
              <w:rPr>
                <w:rFonts w:hint="eastAsia" w:ascii="宋体" w:hAnsi="宋体" w:eastAsia="宋体" w:cs="宋体"/>
                <w:sz w:val="24"/>
                <w:szCs w:val="24"/>
              </w:rPr>
              <w:t>可实现锤击、切割、</w:t>
            </w:r>
            <w:r>
              <w:rPr>
                <w:rFonts w:hint="eastAsia" w:ascii="宋体" w:hAnsi="宋体" w:eastAsia="宋体" w:cs="宋体"/>
                <w:sz w:val="24"/>
                <w:szCs w:val="24"/>
                <w:lang w:val="en-US" w:eastAsia="zh-CN"/>
              </w:rPr>
              <w:t>开缝、</w:t>
            </w:r>
            <w:r>
              <w:rPr>
                <w:rFonts w:hint="eastAsia" w:ascii="宋体" w:hAnsi="宋体" w:eastAsia="宋体" w:cs="宋体"/>
                <w:sz w:val="24"/>
                <w:szCs w:val="24"/>
              </w:rPr>
              <w:t>扩张、顶升、楔入和撞击功能。</w:t>
            </w:r>
          </w:p>
          <w:p>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sz w:val="24"/>
                <w:szCs w:val="24"/>
              </w:rPr>
              <w:t>最大工作压力 ≥70兆帕，扩张距离 ≥125mm，最大剪切开口 ≥2</w:t>
            </w:r>
            <w:r>
              <w:rPr>
                <w:rFonts w:hint="eastAsia" w:ascii="宋体" w:hAnsi="宋体" w:eastAsia="宋体" w:cs="宋体"/>
                <w:sz w:val="24"/>
                <w:szCs w:val="24"/>
                <w:lang w:val="en-US" w:eastAsia="zh-CN"/>
              </w:rPr>
              <w:t>5</w:t>
            </w:r>
            <w:r>
              <w:rPr>
                <w:rFonts w:hint="eastAsia" w:ascii="宋体" w:hAnsi="宋体" w:eastAsia="宋体" w:cs="宋体"/>
                <w:sz w:val="24"/>
                <w:szCs w:val="24"/>
              </w:rPr>
              <w:t>mm</w:t>
            </w:r>
          </w:p>
          <w:p>
            <w:pPr>
              <w:pStyle w:val="19"/>
              <w:keepNext w:val="0"/>
              <w:keepLines w:val="0"/>
              <w:suppressLineNumbers w:val="0"/>
              <w:spacing w:before="0" w:beforeLines="0" w:beforeAutospacing="0" w:after="0" w:afterLines="0" w:afterAutospacing="0" w:line="360" w:lineRule="auto"/>
              <w:ind w:left="0" w:right="0"/>
              <w:rPr>
                <w:rFonts w:hint="eastAsia" w:ascii="宋体" w:hAnsi="宋体" w:eastAsia="宋体" w:cs="宋体"/>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sz w:val="24"/>
                <w:szCs w:val="24"/>
              </w:rPr>
              <w:t>最小延伸力距尖端 25 毫米≥25KN，最大扩张力≥30KN。理论切割力≥135KN ，剪切圆条 (S235) ≥16mm。</w:t>
            </w:r>
          </w:p>
          <w:p>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操作人员类型 ：手动 ，待用重量 ≤</w:t>
            </w:r>
            <w:r>
              <w:rPr>
                <w:rFonts w:hint="eastAsia" w:ascii="宋体" w:hAnsi="宋体" w:eastAsia="宋体" w:cs="宋体"/>
                <w:sz w:val="24"/>
                <w:szCs w:val="24"/>
                <w:lang w:val="en-US" w:eastAsia="zh-CN"/>
              </w:rPr>
              <w:t>8</w:t>
            </w:r>
            <w:r>
              <w:rPr>
                <w:rFonts w:hint="eastAsia" w:ascii="宋体" w:hAnsi="宋体" w:eastAsia="宋体" w:cs="宋体"/>
                <w:sz w:val="24"/>
                <w:szCs w:val="24"/>
              </w:rPr>
              <w:t>kg</w:t>
            </w:r>
          </w:p>
          <w:p>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6、满足使用</w:t>
            </w:r>
            <w:r>
              <w:rPr>
                <w:rFonts w:hint="eastAsia" w:ascii="宋体" w:hAnsi="宋体" w:eastAsia="宋体" w:cs="宋体"/>
                <w:sz w:val="24"/>
                <w:szCs w:val="24"/>
              </w:rPr>
              <w:t>温度范围 -20°C</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+55 °C</w:t>
            </w:r>
          </w:p>
          <w:p>
            <w:pPr>
              <w:keepNext w:val="0"/>
              <w:keepLines w:val="0"/>
              <w:suppressLineNumbers w:val="0"/>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 xml:space="preserve"> </w:t>
            </w:r>
          </w:p>
          <w:p>
            <w:pPr>
              <w:pStyle w:val="2"/>
              <w:keepNext w:val="0"/>
              <w:keepLines w:val="0"/>
              <w:suppressLineNumbers w:val="0"/>
              <w:spacing w:before="0" w:beforeAutospacing="0" w:afterAutospacing="0"/>
              <w:ind w:left="0" w:right="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图片</w:t>
            </w:r>
          </w:p>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drawing>
                <wp:inline distT="0" distB="0" distL="114300" distR="114300">
                  <wp:extent cx="2487930" cy="855980"/>
                  <wp:effectExtent l="0" t="0" r="7620" b="1270"/>
                  <wp:docPr id="7" name="图片 7" descr="65c8e2f70ec0dbba7faa5f1339f9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c8e2f70ec0dbba7faa5f1339f9d7a"/>
                          <pic:cNvPicPr>
                            <a:picLocks noChangeAspect="1"/>
                          </pic:cNvPicPr>
                        </pic:nvPicPr>
                        <pic:blipFill>
                          <a:blip r:embed="rId41"/>
                          <a:stretch>
                            <a:fillRect/>
                          </a:stretch>
                        </pic:blipFill>
                        <pic:spPr>
                          <a:xfrm>
                            <a:off x="0" y="0"/>
                            <a:ext cx="2487930" cy="855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20" w:hRule="atLeast"/>
        </w:trPr>
        <w:tc>
          <w:tcPr>
            <w:tcW w:w="491"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5</w:t>
            </w:r>
          </w:p>
        </w:tc>
        <w:tc>
          <w:tcPr>
            <w:tcW w:w="1356" w:type="dxa"/>
            <w:gridSpan w:val="2"/>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救生类</w:t>
            </w: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消防过滤式自救呼吸器</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 防毒时间：≥30分钟，防毒、防火、防热辐射、防烟多种保护，密封性好，适用于各种面型。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 防护对象：一氧化碳（CO）、氰化氢（HCN）、毒烟、毒雾。</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 油透过系数∠5%。</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 吸气阻力∠800pa，呼气阻力∠300pa.</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 质量：≤420g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 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232025" cy="1975485"/>
                  <wp:effectExtent l="0" t="0" r="6350" b="5715"/>
                  <wp:docPr id="172" name="图片 172" descr="https://wps-static-pro.ding.zj.gov.cn/shapes%2FV253582837ff0f4e23a9ceccb98407e20a%2F9c0c0b8ef449b8c03d8a54dfec53e7a339bc5669?Expires=1721959472&amp;OSSAccessKeyId=l6waoSYxdAHjrE3N&amp;Signature=MqoN%2BUfopgerQlFkjYPAnxoK6U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https://wps-static-pro.ding.zj.gov.cn/shapes%2FV253582837ff0f4e23a9ceccb98407e20a%2F9c0c0b8ef449b8c03d8a54dfec53e7a339bc5669?Expires=1721959472&amp;OSSAccessKeyId=l6waoSYxdAHjrE3N&amp;Signature=MqoN%2BUfopgerQlFkjYPAnxoK6Uw%3D"/>
                          <pic:cNvPicPr>
                            <a:picLocks noChangeAspect="1" noChangeArrowheads="1"/>
                          </pic:cNvPicPr>
                        </pic:nvPicPr>
                        <pic:blipFill>
                          <a:blip r:embed="rId42"/>
                          <a:srcRect/>
                          <a:stretch>
                            <a:fillRect/>
                          </a:stretch>
                        </pic:blipFill>
                        <pic:spPr>
                          <a:xfrm>
                            <a:off x="0" y="0"/>
                            <a:ext cx="2232025" cy="197548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32"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救生照明线</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捆</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符合GB 26783-2011《消防救生照明线》标准要求，提供国家检验机构出具的检测报告和产品合格证；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 采用一体化绝缘结构设计，便于救援现场的逃生指示和移动使用；线体使用铜丝、电致发光荧光粉、PVC、钢丝绳。</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 照明线具有导向功能，线体每间隔（2±0.1）m有一个清晰可见方向标志；（使用黄光）</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 技术性能：线体长度：≥</w:t>
            </w:r>
            <w:r>
              <w:rPr>
                <w:rFonts w:hint="eastAsia" w:ascii="宋体" w:hAnsi="宋体" w:eastAsia="宋体" w:cs="宋体"/>
                <w:color w:val="auto"/>
                <w:kern w:val="0"/>
                <w:sz w:val="24"/>
                <w:szCs w:val="24"/>
                <w:highlight w:val="none"/>
                <w:lang w:val="en-US" w:eastAsia="zh-CN"/>
              </w:rPr>
              <w:t>95</w:t>
            </w:r>
            <w:r>
              <w:rPr>
                <w:rFonts w:hint="eastAsia" w:ascii="宋体" w:hAnsi="宋体" w:eastAsia="宋体" w:cs="宋体"/>
                <w:color w:val="auto"/>
                <w:kern w:val="0"/>
                <w:sz w:val="24"/>
                <w:szCs w:val="24"/>
                <w:highlight w:val="none"/>
              </w:rPr>
              <w:t>米，发光亮度：≥11.5cd/㎡，闪烁频率：1-2Hz、双体合并拉力大于100公斤</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绝缘电阻（MΩ）:＞50，最高表面温度：≤</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℃。连续工作时间：常亮型＞</w:t>
            </w:r>
            <w:r>
              <w:rPr>
                <w:rFonts w:hint="eastAsia" w:ascii="宋体" w:hAnsi="宋体" w:eastAsia="宋体" w:cs="宋体"/>
                <w:color w:val="auto"/>
                <w:kern w:val="0"/>
                <w:sz w:val="24"/>
                <w:szCs w:val="24"/>
                <w:highlight w:val="none"/>
                <w:lang w:val="en-US" w:eastAsia="zh-CN"/>
              </w:rPr>
              <w:t>7.5</w:t>
            </w:r>
            <w:r>
              <w:rPr>
                <w:rFonts w:hint="eastAsia" w:ascii="宋体" w:hAnsi="宋体" w:eastAsia="宋体" w:cs="宋体"/>
                <w:color w:val="auto"/>
                <w:kern w:val="0"/>
                <w:sz w:val="24"/>
                <w:szCs w:val="24"/>
                <w:highlight w:val="none"/>
              </w:rPr>
              <w:t>h，闪烁型＞</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h，重量：≤</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kg。（带有常亮、慢闪、快闪工作模式）</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 提供中文使用说明书，含装备简介、使用注意事项及维护保养等</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 两端需要有固定</w:t>
            </w:r>
            <w:r>
              <w:rPr>
                <w:rFonts w:hint="eastAsia" w:ascii="宋体" w:hAnsi="宋体" w:eastAsia="宋体" w:cs="宋体"/>
                <w:color w:val="auto"/>
                <w:kern w:val="0"/>
                <w:sz w:val="24"/>
                <w:szCs w:val="24"/>
                <w:highlight w:val="none"/>
                <w:lang w:val="en-US" w:eastAsia="zh-CN"/>
              </w:rPr>
              <w:t>措施</w:t>
            </w:r>
            <w:r>
              <w:rPr>
                <w:rFonts w:hint="eastAsia" w:ascii="宋体" w:hAnsi="宋体" w:eastAsia="宋体" w:cs="宋体"/>
                <w:color w:val="auto"/>
                <w:kern w:val="0"/>
                <w:sz w:val="24"/>
                <w:szCs w:val="24"/>
                <w:highlight w:val="none"/>
              </w:rPr>
              <w:t>防止拽拖</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 自带充电蓄电池一体式</w:t>
            </w:r>
            <w:r>
              <w:rPr>
                <w:rFonts w:hint="eastAsia" w:ascii="宋体" w:hAnsi="宋体" w:eastAsia="宋体" w:cs="宋体"/>
                <w:color w:val="auto"/>
                <w:kern w:val="0"/>
                <w:sz w:val="24"/>
                <w:szCs w:val="24"/>
                <w:highlight w:val="none"/>
              </w:rPr>
              <w:cr/>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820545" cy="1772285"/>
                  <wp:effectExtent l="0" t="0" r="8255" b="8890"/>
                  <wp:docPr id="177" name="图片 177" descr="https://wps-static-pro.ding.zj.gov.cn/shapes%2FV253582837ff0f4e23a9ceccb98407e20a%2F5332e1d89d2ea15258d1e9d9a31202803b99f820?Expires=1721959870&amp;OSSAccessKeyId=l6waoSYxdAHjrE3N&amp;Signature=CO%2FNh%2BPS%2BydSOFpDJDHZciowmM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https://wps-static-pro.ding.zj.gov.cn/shapes%2FV253582837ff0f4e23a9ceccb98407e20a%2F5332e1d89d2ea15258d1e9d9a31202803b99f820?Expires=1721959870&amp;OSSAccessKeyId=l6waoSYxdAHjrE3N&amp;Signature=CO%2FNh%2BPS%2BydSOFpDJDHZciowmM4%3D"/>
                          <pic:cNvPicPr>
                            <a:picLocks noChangeAspect="1" noChangeArrowheads="1"/>
                          </pic:cNvPicPr>
                        </pic:nvPicPr>
                        <pic:blipFill>
                          <a:blip r:embed="rId43"/>
                          <a:srcRect/>
                          <a:stretch>
                            <a:fillRect/>
                          </a:stretch>
                        </pic:blipFill>
                        <pic:spPr>
                          <a:xfrm>
                            <a:off x="0" y="0"/>
                            <a:ext cx="1820545" cy="177228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17"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折叠式担架</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架</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9</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总体性能符合市场准入标准的要求，提供检验机构出具的检测报告或产品合格证；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 担架带轮、带支腿，可折叠，采用高强度铝合金材料和牛津革担架面制成，它具有重量轻，体积小，携带方便、使用安全、易消毒清洗等优点，主要适用医院、体育场地、救护车及部队战地运送伤病员。</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 担架两头中部有用的分离聚会安装：抗冲击，抗大负荷，耐磨损，操作灵敏便利。巩固耐用，长度可调，伸缩杆上装有主动锁定安装。</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 可以折叠放置在救护车内。</w:t>
            </w:r>
            <w:r>
              <w:rPr>
                <w:rFonts w:hint="eastAsia" w:ascii="宋体" w:hAnsi="宋体" w:eastAsia="宋体" w:cs="宋体"/>
                <w:i w:val="0"/>
                <w:iCs w:val="0"/>
                <w:color w:val="auto"/>
                <w:kern w:val="0"/>
                <w:sz w:val="24"/>
                <w:szCs w:val="24"/>
                <w:u w:val="none"/>
                <w:lang w:val="en-US" w:eastAsia="zh-CN" w:bidi="ar"/>
              </w:rPr>
              <w:t>带折叠手拉杆，</w:t>
            </w:r>
            <w:r>
              <w:rPr>
                <w:rFonts w:hint="eastAsia" w:ascii="宋体" w:hAnsi="宋体" w:eastAsia="宋体" w:cs="宋体"/>
                <w:color w:val="auto"/>
                <w:kern w:val="0"/>
                <w:sz w:val="24"/>
                <w:szCs w:val="24"/>
                <w:highlight w:val="none"/>
              </w:rPr>
              <w:t>有</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个滚轮、2条保险带；承重≥150Kg、自重≤8.5Kg。撕破强力：经向≥160N，纬向≥82N。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 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3019425" cy="1887220"/>
                  <wp:effectExtent l="0" t="0" r="0" b="8255"/>
                  <wp:docPr id="182" name="图片 182" descr="https://wps-static-pro.ding.zj.gov.cn/shapes%2FV253582837ff0f4e23a9ceccb98407e20a%2F7abd71a2109ebb419787d41ed9854827c7c69b9c?Expires=1721959998&amp;OSSAccessKeyId=l6waoSYxdAHjrE3N&amp;Signature=9FzbmUQl0%2FHxCylkbvtWbLFqc0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https://wps-static-pro.ding.zj.gov.cn/shapes%2FV253582837ff0f4e23a9ceccb98407e20a%2F7abd71a2109ebb419787d41ed9854827c7c69b9c?Expires=1721959998&amp;OSSAccessKeyId=l6waoSYxdAHjrE3N&amp;Signature=9FzbmUQl0%2FHxCylkbvtWbLFqc0k%3D"/>
                          <pic:cNvPicPr>
                            <a:picLocks noChangeAspect="1" noChangeArrowheads="1"/>
                          </pic:cNvPicPr>
                        </pic:nvPicPr>
                        <pic:blipFill>
                          <a:blip r:embed="rId44"/>
                          <a:srcRect/>
                          <a:stretch>
                            <a:fillRect/>
                          </a:stretch>
                        </pic:blipFill>
                        <pic:spPr>
                          <a:xfrm>
                            <a:off x="0" y="0"/>
                            <a:ext cx="3019425" cy="188722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9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多功能担架</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架</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3.1 总体性能符合市场准入标准的要求，提供检验机构出具的检测报告或产品合格证；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3.2 由高强度复合材料制成，可用于消防紧急救援、深井及狭窄空间救护、地面一般救援、高平面下放救护、化学事故现场救护等；具有质量轻，存放空间小，便于携带。应用范围广，可单人操作等特点。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3.3 规格：≤2500*850mm，重量：≤10kg，颜色：橙色，耐温：高温+45℃，低温-20℃，最大载重：≥150kg。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3.4 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604135" cy="1340485"/>
                  <wp:effectExtent l="0" t="0" r="5715" b="2540"/>
                  <wp:docPr id="187" name="图片 187" descr="https://wps-static-pro.ding.zj.gov.cn/shapes%2FV253582837ff0f4e23a9ceccb98407e20a%2F8b48e676659688d6dd25d0a5c1ab2d6050223c85?Expires=1721960025&amp;OSSAccessKeyId=l6waoSYxdAHjrE3N&amp;Signature=49aAO%2BPFirZVKMwbmwbDYOwp3L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https://wps-static-pro.ding.zj.gov.cn/shapes%2FV253582837ff0f4e23a9ceccb98407e20a%2F8b48e676659688d6dd25d0a5c1ab2d6050223c85?Expires=1721960025&amp;OSSAccessKeyId=l6waoSYxdAHjrE3N&amp;Signature=49aAO%2BPFirZVKMwbmwbDYOwp3LU%3D"/>
                          <pic:cNvPicPr>
                            <a:picLocks noChangeAspect="1" noChangeArrowheads="1"/>
                          </pic:cNvPicPr>
                        </pic:nvPicPr>
                        <pic:blipFill>
                          <a:blip r:embed="rId45"/>
                          <a:srcRect/>
                          <a:stretch>
                            <a:fillRect/>
                          </a:stretch>
                        </pic:blipFill>
                        <pic:spPr>
                          <a:xfrm>
                            <a:off x="0" y="0"/>
                            <a:ext cx="2604135" cy="134048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1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消防救生气垫</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numPr>
                <w:ilvl w:val="0"/>
                <w:numId w:val="0"/>
              </w:numPr>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 符合 XF631-2006《消防救生气垫》的要求，气源采用的风机符合《移动式消防排烟机》 GB27901-2011 标准，提供国家检验机构出具的检测报告和产品合格证；</w:t>
            </w:r>
          </w:p>
          <w:p>
            <w:pPr>
              <w:keepNext w:val="0"/>
              <w:keepLines w:val="0"/>
              <w:widowControl/>
              <w:numPr>
                <w:ilvl w:val="0"/>
                <w:numId w:val="0"/>
              </w:numPr>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2.抗拉力纤维材质，充气时间≤60s；无重压下，10s内可恢复使用；气源：鼓风机；</w:t>
            </w:r>
          </w:p>
          <w:p>
            <w:pPr>
              <w:keepNext w:val="0"/>
              <w:keepLines w:val="0"/>
              <w:widowControl/>
              <w:numPr>
                <w:ilvl w:val="0"/>
                <w:numId w:val="0"/>
              </w:numPr>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3.气垫外层耐燃处理，气垫顶面制设靶心标识。配置：整件套配置（气垫1个、鼓风机2台，气垫包装装运袋1个，手推车1个，气垫中心设有明显靶心标志），长*宽*高≥8m×6m×2m，总重≤100kg。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609090" cy="869315"/>
                  <wp:effectExtent l="0" t="0" r="635" b="6985"/>
                  <wp:docPr id="192" name="图片 192" descr="https://wps-static-pro.ding.zj.gov.cn/shapes%2FV253582837ff0f4e23a9ceccb98407e20a%2Fb45f4a4a8ccd517349513a0a01833a3c656bb968?Expires=1721960077&amp;OSSAccessKeyId=l6waoSYxdAHjrE3N&amp;Signature=tCj4GMQbocCT3t6o1Y7u8tB4hC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https://wps-static-pro.ding.zj.gov.cn/shapes%2FV253582837ff0f4e23a9ceccb98407e20a%2Fb45f4a4a8ccd517349513a0a01833a3c656bb968?Expires=1721960077&amp;OSSAccessKeyId=l6waoSYxdAHjrE3N&amp;Signature=tCj4GMQbocCT3t6o1Y7u8tB4hC0%3D"/>
                          <pic:cNvPicPr>
                            <a:picLocks noChangeAspect="1" noChangeArrowheads="1"/>
                          </pic:cNvPicPr>
                        </pic:nvPicPr>
                        <pic:blipFill>
                          <a:blip r:embed="rId46"/>
                          <a:srcRect/>
                          <a:stretch>
                            <a:fillRect/>
                          </a:stretch>
                        </pic:blipFill>
                        <pic:spPr>
                          <a:xfrm>
                            <a:off x="0" y="0"/>
                            <a:ext cx="1609090" cy="86931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609"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多功能救援支架</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 xml:space="preserve"> 总体性能符合市场准入标准的要求，提供检验机构出具的检测报告和产品合格证；</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2.头部组件万向装置支持超90°角展开、可折叠拆卸、由主体支架、延长呼支脚、平脚3个、尖脚3个、A形支架头1个，调节连接头1个，可以组合成三角型。</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3.工作状态普通高度约为2.7m,工作状态最大高度不低于3.5m。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4.三脚架工作负荷≥300Kg。</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5.A形支架头主挂点负载≥36KN、A形支架头主挂点负载≥12KN支架调节头挂点负载≥36KN。</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6.脚架强度：8kN负荷下，持续300S，各部件完好无损，额定负重荷载下仍能正常工作。</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7.耐腐蚀性能：试样中金属零件经GB/T 10125规定的48h中性盐雾试验后，外观应符合GB/T 6461外观等级评定轻微级的要求。</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8.绞盘系统：手电一体式绞盘：工作负荷：≥300kg .钢缆长度：≥30M ,阻断力：≥22kN， 齿轮比例：≥8：1.</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9.驱动方式：手动和电动。电驱动参数：</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电机和绞盘为分体式，电机尺寸≤230mm,具有多档转速调节，最高转数≥1800转/分钟。最大扭矩：≥50牛米，具有多档扭矩设置。</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w:t>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u w:val="none"/>
                <w:bdr w:val="single" w:color="C9E4B4" w:sz="4" w:space="0"/>
                <w:shd w:val="clear" w:fill="FFFFFF"/>
                <w:lang w:val="en-US" w:eastAsia="zh-CN" w:bidi="ar"/>
              </w:rPr>
              <w:drawing>
                <wp:inline distT="0" distB="0" distL="114300" distR="114300">
                  <wp:extent cx="1102995" cy="1409065"/>
                  <wp:effectExtent l="0" t="0" r="1905" b="635"/>
                  <wp:docPr id="6" name="图片 6" descr="806e5c5a9eb126ff3e69640d084e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6e5c5a9eb126ff3e69640d084e3ed"/>
                          <pic:cNvPicPr>
                            <a:picLocks noChangeAspect="1"/>
                          </pic:cNvPicPr>
                        </pic:nvPicPr>
                        <pic:blipFill>
                          <a:blip r:embed="rId47"/>
                          <a:stretch>
                            <a:fillRect/>
                          </a:stretch>
                        </pic:blipFill>
                        <pic:spPr>
                          <a:xfrm>
                            <a:off x="0" y="0"/>
                            <a:ext cx="1102995" cy="1409065"/>
                          </a:xfrm>
                          <a:prstGeom prst="rect">
                            <a:avLst/>
                          </a:prstGeom>
                        </pic:spPr>
                      </pic:pic>
                    </a:graphicData>
                  </a:graphic>
                </wp:inline>
              </w:drawing>
            </w:r>
            <w:r>
              <w:rPr>
                <w:rFonts w:hint="eastAsia" w:ascii="宋体" w:hAnsi="宋体" w:eastAsia="宋体" w:cs="宋体"/>
                <w:i w:val="0"/>
                <w:iCs w:val="0"/>
                <w:color w:val="auto"/>
                <w:kern w:val="0"/>
                <w:sz w:val="24"/>
                <w:szCs w:val="24"/>
                <w:u w:val="none"/>
                <w:bdr w:val="single" w:color="C9E4B4" w:sz="4" w:space="0"/>
                <w:shd w:val="clear" w:fill="FFFFFF"/>
                <w:lang w:val="en-US" w:eastAsia="zh-CN" w:bidi="ar"/>
              </w:rPr>
              <w:drawing>
                <wp:anchor distT="0" distB="0" distL="114300" distR="114300" simplePos="0" relativeHeight="251669504" behindDoc="0" locked="0" layoutInCell="1" allowOverlap="1">
                  <wp:simplePos x="0" y="0"/>
                  <wp:positionH relativeFrom="column">
                    <wp:posOffset>373380</wp:posOffset>
                  </wp:positionH>
                  <wp:positionV relativeFrom="paragraph">
                    <wp:posOffset>7160260</wp:posOffset>
                  </wp:positionV>
                  <wp:extent cx="1367790" cy="1658620"/>
                  <wp:effectExtent l="0" t="0" r="3810" b="8255"/>
                  <wp:wrapNone/>
                  <wp:docPr id="8" name="图片_31"/>
                  <wp:cNvGraphicFramePr/>
                  <a:graphic xmlns:a="http://schemas.openxmlformats.org/drawingml/2006/main">
                    <a:graphicData uri="http://schemas.openxmlformats.org/drawingml/2006/picture">
                      <pic:pic xmlns:pic="http://schemas.openxmlformats.org/drawingml/2006/picture">
                        <pic:nvPicPr>
                          <pic:cNvPr id="8" name="图片_31"/>
                          <pic:cNvPicPr/>
                        </pic:nvPicPr>
                        <pic:blipFill>
                          <a:blip r:embed="rId48"/>
                          <a:stretch>
                            <a:fillRect/>
                          </a:stretch>
                        </pic:blipFill>
                        <pic:spPr>
                          <a:xfrm>
                            <a:off x="0" y="0"/>
                            <a:ext cx="1367790" cy="165862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C9E4B4"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220980</wp:posOffset>
                  </wp:positionH>
                  <wp:positionV relativeFrom="paragraph">
                    <wp:posOffset>7007860</wp:posOffset>
                  </wp:positionV>
                  <wp:extent cx="1367790" cy="1658620"/>
                  <wp:effectExtent l="0" t="0" r="3810" b="8255"/>
                  <wp:wrapNone/>
                  <wp:docPr id="5" name="图片_31"/>
                  <wp:cNvGraphicFramePr/>
                  <a:graphic xmlns:a="http://schemas.openxmlformats.org/drawingml/2006/main">
                    <a:graphicData uri="http://schemas.openxmlformats.org/drawingml/2006/picture">
                      <pic:pic xmlns:pic="http://schemas.openxmlformats.org/drawingml/2006/picture">
                        <pic:nvPicPr>
                          <pic:cNvPr id="5" name="图片_31"/>
                          <pic:cNvPicPr/>
                        </pic:nvPicPr>
                        <pic:blipFill>
                          <a:blip r:embed="rId48"/>
                          <a:stretch>
                            <a:fillRect/>
                          </a:stretch>
                        </pic:blipFill>
                        <pic:spPr>
                          <a:xfrm>
                            <a:off x="0" y="0"/>
                            <a:ext cx="1367790" cy="1658620"/>
                          </a:xfrm>
                          <a:prstGeom prst="rect">
                            <a:avLst/>
                          </a:prstGeom>
                          <a:noFill/>
                          <a:ln>
                            <a:noFill/>
                          </a:ln>
                        </pic:spPr>
                      </pic:pic>
                    </a:graphicData>
                  </a:graphic>
                </wp:anchor>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01"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橡皮艇≥6人（含舷外机）</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艘</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8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技术参数：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提供省级（含）以上或国家级检测机构出具的检测报告。出具报告的检验检测机构应取得市场监督管理部门的资质认定，一并提供资质认定证明文件。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应为本质防腐材料，具备较强耐磨、防撞、抗老化性能。船体材料撕裂强力≥75N，粘合强度≥40N/25mm，在-20℃~60℃工作温度范围内，保持其全部的使用性能；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宜采用充气式底板；艇身设有360度防撞弦，防撞弦以下部位采用耐磨材料或加装耐磨层；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船艉板应设置有2个单向止回功能的泄水孔；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船艉板应设置舷外机挂架护板，船艉板应有舷外机、油箱和拖船固定装置，船艇两侧应设有反光条；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船身周围配有安全索，船艏应设置拖曳装置，艇的内外设置金属环≥10个；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船艇静态稳定性应≤20°，船艇干舷高度≥300mm，船艇空载航速应≥30km/h，船艇半载最大航速时转弯直径应≤2倍船长；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配备船桨≥4个，舟艇维修工具包1个，内含船艇修补工具、气瓶充气转换接头、充气压力显示表等；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配备国际知名品牌螺旋桨式舷外机，加装舷外机保护罩，马力为30匹,配备2个油箱。舟艇维修工具包1个，内含胶水、气嘴扳手以及舟艇材料等；</w:t>
            </w:r>
          </w:p>
          <w:p>
            <w:pPr>
              <w:keepNext w:val="0"/>
              <w:keepLines w:val="0"/>
              <w:widowControl/>
              <w:numPr>
                <w:ilvl w:val="0"/>
                <w:numId w:val="0"/>
              </w:numPr>
              <w:suppressLineNumbers w:val="0"/>
              <w:spacing w:before="0" w:beforeAutospacing="0" w:after="0" w:afterAutospacing="0" w:line="280" w:lineRule="exact"/>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rPr>
              <w:t>艇长在在380-390cm之间。</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drawing>
                <wp:inline distT="0" distB="0" distL="0" distR="0">
                  <wp:extent cx="2568575" cy="1924685"/>
                  <wp:effectExtent l="0" t="0" r="3175" b="8890"/>
                  <wp:docPr id="199" name="图片 199" descr="https://wps-static-pro.ding.zj.gov.cn/shapes%2FV253582837ff0f4e23a9ceccb98407e20a%2Fc78c14e8a20e503b68534f5124b209429de0d024?Expires=1721959987&amp;OSSAccessKeyId=l6waoSYxdAHjrE3N&amp;Signature=Mp%2Ff%2FbpJUJAepZwO486M9k6clq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https://wps-static-pro.ding.zj.gov.cn/shapes%2FV253582837ff0f4e23a9ceccb98407e20a%2Fc78c14e8a20e503b68534f5124b209429de0d024?Expires=1721959987&amp;OSSAccessKeyId=l6waoSYxdAHjrE3N&amp;Signature=Mp%2Ff%2FbpJUJAepZwO486M9k6clq8%3D"/>
                          <pic:cNvPicPr>
                            <a:picLocks noChangeAspect="1" noChangeArrowheads="1"/>
                          </pic:cNvPicPr>
                        </pic:nvPicPr>
                        <pic:blipFill>
                          <a:blip r:embed="rId49"/>
                          <a:srcRect/>
                          <a:stretch>
                            <a:fillRect/>
                          </a:stretch>
                        </pic:blipFill>
                        <pic:spPr>
                          <a:xfrm>
                            <a:off x="0" y="0"/>
                            <a:ext cx="2568575" cy="1924685"/>
                          </a:xfrm>
                          <a:prstGeom prst="rect">
                            <a:avLst/>
                          </a:prstGeom>
                          <a:noFill/>
                          <a:ln w="9525">
                            <a:noFill/>
                            <a:miter lim="800000"/>
                            <a:headEnd/>
                            <a:tailEnd/>
                          </a:ln>
                        </pic:spPr>
                      </pic:pic>
                    </a:graphicData>
                  </a:graphic>
                </wp:inline>
              </w:drawing>
            </w:r>
            <w:r>
              <w:rPr>
                <w:rFonts w:hint="eastAsia" w:ascii="宋体" w:hAnsi="宋体" w:eastAsia="宋体" w:cs="宋体"/>
                <w:color w:val="auto"/>
                <w:kern w:val="0"/>
                <w:sz w:val="24"/>
                <w:szCs w:val="24"/>
                <w:highlight w:val="none"/>
                <w:lang w:eastAsia="zh-CN"/>
              </w:rPr>
              <w:drawing>
                <wp:inline distT="0" distB="0" distL="114300" distR="114300">
                  <wp:extent cx="2549525" cy="1614170"/>
                  <wp:effectExtent l="0" t="0" r="5080" b="3175"/>
                  <wp:docPr id="12" name="图片 12" descr="ef2fd837541a410c5afe7314db09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2fd837541a410c5afe7314db09b44"/>
                          <pic:cNvPicPr>
                            <a:picLocks noChangeAspect="1"/>
                          </pic:cNvPicPr>
                        </pic:nvPicPr>
                        <pic:blipFill>
                          <a:blip r:embed="rId50"/>
                          <a:stretch>
                            <a:fillRect/>
                          </a:stretch>
                        </pic:blipFill>
                        <pic:spPr>
                          <a:xfrm rot="5400000">
                            <a:off x="0" y="0"/>
                            <a:ext cx="2549525" cy="161417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164"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锚点扁带</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1、符合现行相关标准要求，提供省级以上（含省级）的检测报告复印件或产品合格证。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2、材质：聚脂，超高模量聚乙烯，规格：≥125CM，强度：≥25KN， 重量：≤112克，最大载荷：2人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3、用于缠绕在支撑结构上作为锚点使用，多环结构可用于不同精细的结构。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4、多用途锚点带使用分别由11cm、22cm、33CM 共6个闭环互连结构，使用时可按不同的长度要求，单环多环灵活使用。</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5、110克左右的轻量及短规格多环结构，高空作业中随身携带很方便。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059305" cy="1212850"/>
                  <wp:effectExtent l="0" t="0" r="7620" b="6350"/>
                  <wp:docPr id="233" name="图片 233" descr="https://wps-static-pro.ding.zj.gov.cn/shapes%2FV253582837ff0f4e23a9ceccb98407e20a%2Fa7e94aa503a6201b3c05abbed5dfc2672f72f32b?Expires=1721960598&amp;OSSAccessKeyId=l6waoSYxdAHjrE3N&amp;Signature=EyXCjvR43LjAqvYWs6qEjRDDr7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https://wps-static-pro.ding.zj.gov.cn/shapes%2FV253582837ff0f4e23a9ceccb98407e20a%2Fa7e94aa503a6201b3c05abbed5dfc2672f72f32b?Expires=1721960598&amp;OSSAccessKeyId=l6waoSYxdAHjrE3N&amp;Signature=EyXCjvR43LjAqvYWs6qEjRDDr74%3D"/>
                          <pic:cNvPicPr>
                            <a:picLocks noChangeAspect="1" noChangeArrowheads="1"/>
                          </pic:cNvPicPr>
                        </pic:nvPicPr>
                        <pic:blipFill>
                          <a:blip r:embed="rId51"/>
                          <a:srcRect/>
                          <a:stretch>
                            <a:fillRect/>
                          </a:stretch>
                        </pic:blipFill>
                        <pic:spPr>
                          <a:xfrm>
                            <a:off x="0" y="0"/>
                            <a:ext cx="2059305" cy="121285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80" w:hRule="atLeast"/>
        </w:trPr>
        <w:tc>
          <w:tcPr>
            <w:tcW w:w="491" w:type="dxa"/>
            <w:vMerge w:val="continue"/>
            <w:tcBorders>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脚踏绳</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捆</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1、材质：大力马(UHMWPE)纤维，长度：≥155cm，直径：5.5（±0.5）mm，重量：≤45g，执行标准：GB/T30668-2014  GB/T10125-2012。</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2、脚踏绳用于绳索作业中进行沿绳上升时配合手持上升器使用，可以调节长度，以适应不同身高的使用者。</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3、使用（UHMWPE）纤维绳与扁带的结合，重量轻，体积小，具有良好的耐磨性和低延展性，使用圆绳结构，能防止脚踏绳在沿绳上升时卡入胸式上升器，避免对绳索作业靠成干扰。</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4、通过不锈钢二孔调节扣，可以快速调节绳索长度，提高绳索作业时年移动效率。</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672080" cy="1402715"/>
                  <wp:effectExtent l="0" t="0" r="4445" b="6985"/>
                  <wp:docPr id="235" name="图片 235" descr="https://wps-static-pro.ding.zj.gov.cn/shapes%2FV253582837ff0f4e23a9ceccb98407e20a%2F63f548a15ac979ec3a434719ad4afa53e7e2cf15?Expires=1721960639&amp;OSSAccessKeyId=l6waoSYxdAHjrE3N&amp;Signature=DJdHcJhp8tKe90gQuLPqDJ%2FW0z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https://wps-static-pro.ding.zj.gov.cn/shapes%2FV253582837ff0f4e23a9ceccb98407e20a%2F63f548a15ac979ec3a434719ad4afa53e7e2cf15?Expires=1721960639&amp;OSSAccessKeyId=l6waoSYxdAHjrE3N&amp;Signature=DJdHcJhp8tKe90gQuLPqDJ%2FW0zk%3D"/>
                          <pic:cNvPicPr>
                            <a:picLocks noChangeAspect="1" noChangeArrowheads="1"/>
                          </pic:cNvPicPr>
                        </pic:nvPicPr>
                        <pic:blipFill>
                          <a:blip r:embed="rId52"/>
                          <a:srcRect/>
                          <a:stretch>
                            <a:fillRect/>
                          </a:stretch>
                        </pic:blipFill>
                        <pic:spPr>
                          <a:xfrm>
                            <a:off x="0" y="0"/>
                            <a:ext cx="2672080" cy="140271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70"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下降器</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总体性能符合XF494-2004《消防用防坠落装备》标准内的，提供国家消防装备质量检验检测中心出具的检测报告。不在XF标准内的提供省级（含）以上或国家级检测机构出具的检测报告，并附带CE等认证证书或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2.防恐慌自动制停下降保护器，主要适用于高空作业及绳索作业；它带有一个人体工程学手柄，可以舒适地控制下降；</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3.内置的防恐慌功能和防错装齿能降低因错误使用而产生事故的风险；安全开关可在安装绳索的同时保持设备始终与安全带相连；安全侧板开关降低设备意外掉落的风险；</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4.兼容10mm-11.5mm直径的绳索；</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5.最大工作负荷≥250kg；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6.重量≤600g。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741805" cy="1288415"/>
                  <wp:effectExtent l="0" t="0" r="1270" b="6985"/>
                  <wp:docPr id="237" name="图片 237" descr="https://wps-static-pro.ding.zj.gov.cn/shapes%2FV253582837ff0f4e23a9ceccb98407e20a%2Fee82149d2a3e922db6135d2cdcebc9ed0e6664f6?Expires=1721960639&amp;OSSAccessKeyId=l6waoSYxdAHjrE3N&amp;Signature=eTLkdCkuWUxRcTKaw5sGpcSoFy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https://wps-static-pro.ding.zj.gov.cn/shapes%2FV253582837ff0f4e23a9ceccb98407e20a%2Fee82149d2a3e922db6135d2cdcebc9ed0e6664f6?Expires=1721960639&amp;OSSAccessKeyId=l6waoSYxdAHjrE3N&amp;Signature=eTLkdCkuWUxRcTKaw5sGpcSoFy8%3D"/>
                          <pic:cNvPicPr>
                            <a:picLocks noChangeAspect="1" noChangeArrowheads="1"/>
                          </pic:cNvPicPr>
                        </pic:nvPicPr>
                        <pic:blipFill>
                          <a:blip r:embed="rId53"/>
                          <a:srcRect/>
                          <a:stretch>
                            <a:fillRect/>
                          </a:stretch>
                        </pic:blipFill>
                        <pic:spPr>
                          <a:xfrm>
                            <a:off x="0" y="0"/>
                            <a:ext cx="1741805" cy="128841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26"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手提式强光照明灯</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4266"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1.总体性能符合GB30734-2014《消防员照明灯具》的标准，提供国家消防装备质量检验检测中心或其他国家级检测机构出具的检测报告。</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xml:space="preserve">2、电池额定电压应不小于DC22V                                                                                                                      </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、灯具同时具备冷暖两种色温光源，可根据作业环境需要随意切换。</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、灯具应具备高亮度频闪警示功能，起到远距离警示作用和信号指示作用。</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、灯具应具备聚光、泛光两种功能，且聚、泛光可以同时开启，每种模式有强光、工作光两种模式，且都可独立控制。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 xml:space="preserve">、灯具有双面红蓝警示功能，用于应急救援安全提醒。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7.灯泡应采用LED灯珠；灯具强光平均照度≥640 lx，最低照度≥610 lx 弱光平均照度≥390 lx，最低照度≥360 lx；</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、灯具耐高温55℃（±2℃），耐低温-25℃（±2℃）。</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、灯具外壳防护等级符合GB/T4208-2008规定的防护等级IP66/IP68，潜水深度应不小于1.5米，连续时间</w:t>
            </w:r>
            <w:r>
              <w:rPr>
                <w:rFonts w:hint="eastAsia" w:ascii="宋体" w:hAnsi="宋体" w:eastAsia="宋体" w:cs="宋体"/>
                <w:color w:val="auto"/>
                <w:kern w:val="0"/>
                <w:sz w:val="24"/>
                <w:szCs w:val="24"/>
                <w:highlight w:val="none"/>
                <w:lang w:val="en-US" w:eastAsia="zh-CN"/>
              </w:rPr>
              <w:t>不小于</w:t>
            </w:r>
            <w:r>
              <w:rPr>
                <w:rFonts w:hint="eastAsia" w:ascii="宋体" w:hAnsi="宋体" w:eastAsia="宋体" w:cs="宋体"/>
                <w:color w:val="auto"/>
                <w:kern w:val="0"/>
                <w:sz w:val="24"/>
                <w:szCs w:val="24"/>
                <w:highlight w:val="none"/>
              </w:rPr>
              <w:t>1小时。                                                                                                 1</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、灯具防爆等级不低于Ex diaⅡC T6；</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、灯具的连续稳定工作时间，聚光强光不低于5小时，工作光不低于10小时；泛光强光不低于4小时，泛光工作光不低于8小时。                                                                                                                                                           1</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 xml:space="preserve">、灯具应具备电量显示功能，方便消防员随时知道电量，及时充电。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灯具重量不大于1.2Kg；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携带方式多样化，手提、肩挎和磁力吸附三种方式，同时搭配双开关操作设计操作便携。背带缝合要牢靠，能承受静态15KG的拉力不变形、不断裂。同时金属扣带螺母自锁功能。</w:t>
            </w:r>
          </w:p>
          <w:p>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14.使用DC充电口或type-c充电口充电。</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400810" cy="1371600"/>
                  <wp:effectExtent l="0" t="0" r="8890" b="0"/>
                  <wp:docPr id="75" name="图片 75" descr="https://wps-static-pro.ding.zj.gov.cn/shapes%2FV253582837ff0f4e23a9ceccb98407e20a%2F88dd6f065c48840f19d28178facf29ca99e04fb0?Expires=1721958500&amp;OSSAccessKeyId=l6waoSYxdAHjrE3N&amp;Signature=K%2BvacRbqdT0pP0TJWzL8qtrPfu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s://wps-static-pro.ding.zj.gov.cn/shapes%2FV253582837ff0f4e23a9ceccb98407e20a%2F88dd6f065c48840f19d28178facf29ca99e04fb0?Expires=1721958500&amp;OSSAccessKeyId=l6waoSYxdAHjrE3N&amp;Signature=K%2BvacRbqdT0pP0TJWzL8qtrPfuk%3D"/>
                          <pic:cNvPicPr>
                            <a:picLocks noChangeAspect="1" noChangeArrowheads="1"/>
                          </pic:cNvPicPr>
                        </pic:nvPicPr>
                        <pic:blipFill>
                          <a:blip r:embed="rId54"/>
                          <a:srcRect/>
                          <a:stretch>
                            <a:fillRect/>
                          </a:stretch>
                        </pic:blipFill>
                        <pic:spPr>
                          <a:xfrm>
                            <a:off x="0" y="0"/>
                            <a:ext cx="1400810" cy="137160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br w:type="page"/>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74"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蓄电池照明灯</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4266" w:type="dxa"/>
            <w:tcBorders>
              <w:top w:val="single" w:color="auto" w:sz="4" w:space="0"/>
              <w:left w:val="single" w:color="000000" w:sz="4" w:space="0"/>
              <w:bottom w:val="single" w:color="auto" w:sz="4" w:space="0"/>
              <w:right w:val="single" w:color="000000" w:sz="4" w:space="0"/>
            </w:tcBorders>
            <w:shd w:val="clear" w:color="auto" w:fill="F1F1F1" w:themeFill="background1" w:themeFillShade="F2"/>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性能参数：</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1提供国家消防装备质量检验检测中心或其他国家级检测机构出具的检测报告。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2灯具采用防爆设计，可在易燃易爆场所使用</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3最大升起高度不低于2.2M，照射范围广，10米处强光照度不低于750LX</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4灯具具备手动挡调光、蓝牙无级调光的调节功能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5灯具配备三角支撑脚腿，且支腿支撑高度可调。</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6光源（LED）最大照明功率：100W、平均使用寿命不低于100000H</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7额定电压：22.2V 额定容量：3X5AH 电池使用寿命：≥500（循环）</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8充电时间＜6H</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9连续照明时间：强光5H、中光10H、工作光14H</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10外形尺寸：升降杆收缩状态：Φ201×872（主50)m0升降杆展开状态：Φ820×2253（150）mm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11重量8KG</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12防护等级IP66</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lang w:val="en-US" w:eastAsia="zh-CN"/>
              </w:rPr>
              <w:t>图片</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rPr>
              <w:drawing>
                <wp:inline distT="0" distB="0" distL="114300" distR="114300">
                  <wp:extent cx="688340" cy="1440180"/>
                  <wp:effectExtent l="0" t="0" r="6985"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55"/>
                          <a:stretch>
                            <a:fillRect/>
                          </a:stretch>
                        </pic:blipFill>
                        <pic:spPr>
                          <a:xfrm>
                            <a:off x="0" y="0"/>
                            <a:ext cx="688340" cy="144018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07" w:hRule="atLeast"/>
        </w:trPr>
        <w:tc>
          <w:tcPr>
            <w:tcW w:w="491" w:type="dxa"/>
            <w:vMerge w:val="restart"/>
            <w:tcBorders>
              <w:top w:val="single" w:color="auto" w:sz="4" w:space="0"/>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6</w:t>
            </w:r>
          </w:p>
        </w:tc>
        <w:tc>
          <w:tcPr>
            <w:tcW w:w="1356" w:type="dxa"/>
            <w:gridSpan w:val="2"/>
            <w:vMerge w:val="restart"/>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其他类</w:t>
            </w: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多功能消防水枪（30把40mm,10把65mm)</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性能参数：</w:t>
            </w:r>
          </w:p>
          <w:p>
            <w:pPr>
              <w:keepNext w:val="0"/>
              <w:keepLines w:val="0"/>
              <w:widowControl/>
              <w:numPr>
                <w:ilvl w:val="0"/>
                <w:numId w:val="13"/>
              </w:numPr>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rPr>
              <w:t>产品标准：执行标准：GB 8181-2005《消防水枪》 CCCF-CPRZ-26： 2019《消防类产品认证实施规则 灭火设备产品消防给水设备产品》</w:t>
            </w:r>
            <w:r>
              <w:rPr>
                <w:rFonts w:hint="eastAsia" w:ascii="宋体" w:hAnsi="宋体" w:eastAsia="宋体" w:cs="宋体"/>
                <w:sz w:val="24"/>
                <w:szCs w:val="24"/>
              </w:rPr>
              <w:cr/>
            </w:r>
            <w:r>
              <w:rPr>
                <w:rFonts w:hint="eastAsia" w:ascii="宋体" w:hAnsi="宋体" w:eastAsia="宋体" w:cs="宋体"/>
                <w:sz w:val="24"/>
                <w:szCs w:val="24"/>
              </w:rPr>
              <w:t>2.具备直流、开花、喷雾三种功能，用于火场灭火救援和冷却稀释；</w:t>
            </w:r>
            <w:r>
              <w:rPr>
                <w:rFonts w:hint="eastAsia" w:ascii="宋体" w:hAnsi="宋体" w:eastAsia="宋体" w:cs="宋体"/>
                <w:sz w:val="24"/>
                <w:szCs w:val="24"/>
              </w:rPr>
              <w:cr/>
            </w:r>
            <w:r>
              <w:rPr>
                <w:rFonts w:hint="eastAsia" w:ascii="宋体" w:hAnsi="宋体" w:eastAsia="宋体" w:cs="宋体"/>
                <w:sz w:val="24"/>
                <w:szCs w:val="24"/>
              </w:rPr>
              <w:t>3.优质合金为主要材料，并经压制而成，配件为橡塑和不锈钢，金属部件整体阳极防腐处理，环形式开关，有枪柄；</w:t>
            </w:r>
          </w:p>
          <w:p>
            <w:pPr>
              <w:keepNext w:val="0"/>
              <w:keepLines w:val="0"/>
              <w:widowControl/>
              <w:numPr>
                <w:ilvl w:val="0"/>
                <w:numId w:val="0"/>
              </w:numPr>
              <w:suppressLineNumbers w:val="0"/>
              <w:spacing w:before="0" w:beforeAutospacing="0" w:after="0" w:afterAutospacing="0"/>
              <w:ind w:left="0" w:right="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4.40mm:额定喷射压力不小于0.50MPa、流量：I档：不小于2.5L/s、流量：II档：直流：不小于3.9L/s、0°喷雾角:不小于3.9L/s、70°喷雾角:不小于3.9L/s、最大喷雾角:不小于4.1L/s;喷雾角调节范围（°）：0~120、射程(m)：不小于27m。、重量：不小于1kg。</w:t>
            </w:r>
          </w:p>
          <w:p>
            <w:pPr>
              <w:keepNext w:val="0"/>
              <w:keepLines w:val="0"/>
              <w:widowControl/>
              <w:numPr>
                <w:ilvl w:val="0"/>
                <w:numId w:val="0"/>
              </w:numPr>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.40mm口径铝合金锻造接口。 </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pPr>
              <w:keepNext w:val="0"/>
              <w:keepLines w:val="0"/>
              <w:widowControl/>
              <w:numPr>
                <w:ilvl w:val="0"/>
                <w:numId w:val="0"/>
              </w:numPr>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产品标准：执行标准：GB 8181-2005《消防水枪》 CCCF-CPRZ-26： 2019《消防类产品认证实施规则 灭火设备产品消防给水设备产品》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2.具备直流、开花、喷雾三种功能，用于火场灭火救援和冷却稀释；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3.优质合金为主要材料，并经压制而成，配件为橡塑和不锈钢，金属部件整体阳极防腐处理，环形式开关，有枪柄；</w:t>
            </w:r>
          </w:p>
          <w:p>
            <w:pPr>
              <w:keepNext w:val="0"/>
              <w:keepLines w:val="0"/>
              <w:widowControl/>
              <w:numPr>
                <w:ilvl w:val="0"/>
                <w:numId w:val="0"/>
              </w:numPr>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4.流量可调2.5—8L/S、直流射程为≥30m、喷雾角度至少满足0－100°可调、反作用力≤10N.m；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65mm</w:t>
            </w:r>
            <w:r>
              <w:rPr>
                <w:rFonts w:hint="eastAsia" w:ascii="宋体" w:hAnsi="宋体" w:eastAsia="宋体" w:cs="宋体"/>
                <w:color w:val="auto"/>
                <w:kern w:val="0"/>
                <w:sz w:val="24"/>
                <w:szCs w:val="24"/>
                <w:highlight w:val="none"/>
              </w:rPr>
              <w:t xml:space="preserve">口径铝合金锻造接口。 </w:t>
            </w:r>
          </w:p>
          <w:p>
            <w:pPr>
              <w:keepNext w:val="0"/>
              <w:keepLines w:val="0"/>
              <w:widowControl/>
              <w:numPr>
                <w:ilvl w:val="0"/>
                <w:numId w:val="0"/>
              </w:numPr>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pStyle w:val="25"/>
              <w:keepNext w:val="0"/>
              <w:keepLines w:val="0"/>
              <w:suppressLineNumbers w:val="0"/>
              <w:spacing w:before="0" w:beforeAutospacing="0" w:afterAutospacing="0"/>
              <w:ind w:right="0"/>
              <w:rPr>
                <w:rFonts w:hint="eastAsia" w:ascii="宋体" w:hAnsi="宋体" w:eastAsia="宋体" w:cs="宋体"/>
                <w:sz w:val="24"/>
                <w:szCs w:val="24"/>
                <w:lang w:val="en-US" w:eastAsia="zh-CN"/>
              </w:rPr>
            </w:pPr>
            <w:r>
              <w:rPr>
                <w:rFonts w:hint="eastAsia" w:ascii="宋体" w:hAnsi="宋体" w:eastAsia="宋体" w:cs="宋体"/>
                <w:color w:val="auto"/>
                <w:kern w:val="0"/>
                <w:sz w:val="24"/>
                <w:szCs w:val="24"/>
                <w:highlight w:val="none"/>
              </w:rPr>
              <w:drawing>
                <wp:inline distT="0" distB="0" distL="0" distR="0">
                  <wp:extent cx="1847850" cy="1487805"/>
                  <wp:effectExtent l="0" t="0" r="0" b="7620"/>
                  <wp:docPr id="207" name="图片 207" descr="https://wps-static-pro.ding.zj.gov.cn/shapes%2FV253582837ff0f4e23a9ceccb98407e20a%2F3c5040acfe51f28bb8be6e190a5ff64f43a9c038?Expires=1721960167&amp;OSSAccessKeyId=l6waoSYxdAHjrE3N&amp;Signature=OGMkGDTKzUDmxGQZE8AK370hrX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https://wps-static-pro.ding.zj.gov.cn/shapes%2FV253582837ff0f4e23a9ceccb98407e20a%2F3c5040acfe51f28bb8be6e190a5ff64f43a9c038?Expires=1721960167&amp;OSSAccessKeyId=l6waoSYxdAHjrE3N&amp;Signature=OGMkGDTKzUDmxGQZE8AK370hrX0%3D"/>
                          <pic:cNvPicPr>
                            <a:picLocks noChangeAspect="1" noChangeArrowheads="1"/>
                          </pic:cNvPicPr>
                        </pic:nvPicPr>
                        <pic:blipFill>
                          <a:blip r:embed="rId56"/>
                          <a:srcRect/>
                          <a:stretch>
                            <a:fillRect/>
                          </a:stretch>
                        </pic:blipFill>
                        <pic:spPr>
                          <a:xfrm>
                            <a:off x="0" y="0"/>
                            <a:ext cx="1847850" cy="148780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11"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直流水枪</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1.符合GB8181-2005《消防水枪》的标准，提供国家消防装备质量检验检测中心或其他国家级检测机构出具的检测报告；</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2.进水口径：65mm；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3.出水口径：19mm；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4.密封性能试验：0.9MPa；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5.工作压力：0.2-0.7MPa；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6.流量：流量范围：2-8L/S；</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7.射程：≥25m；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8.质量：≤2kg；</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sz w:val="24"/>
                <w:szCs w:val="24"/>
              </w:rPr>
              <w:t>9.材质：65mm口径6061铝合金锻造接口</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带开关</w:t>
            </w:r>
            <w:r>
              <w:rPr>
                <w:rFonts w:hint="eastAsia" w:ascii="宋体" w:hAnsi="宋体" w:eastAsia="宋体" w:cs="宋体"/>
                <w:color w:val="auto"/>
                <w:sz w:val="24"/>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89"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移动式细水雾灭火装置</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1.符合XF1149-2014《细水雾灭火装置》的标准，提供国家消防装备质量检验检测中心出具的检测报告；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以水为灭火剂，必要时也可以添加灭火添加剂，可以扑灭A、B、C类火灾；该细水雾灭火枪工作压力低，结构紧凑、轻巧，以制成背负式，方便地在不同环境中达到消防灭火的目的，操作安全、可靠便捷、效率高；</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3.喷射方式为直流或者喷雾，直流喷射距离≥15m，喷雾距离≥9m；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4.流量≥0.3L/S；</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5.水桶容积≥10L，工作压力为0.8Mpa，碳纤维储气瓶压力30Mpa，气瓶容积≥3L；</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6.背带有醒目反光贴，背带与背架连接处采用防割处理，气瓶使用无扣快速阻燃魔术贴固定，防锈铜质喷头，金属部位采用304不锈钢，整体含气瓶总重≤15kg；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7.水枪枪头必须具备远距离直流喷射和近距离大范围喷射两种模式，并可以通过翻转枪头转换喷射模式；</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8.配置轮式携行装置。</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1584960" cy="2268220"/>
                  <wp:effectExtent l="0" t="0" r="5715" b="8255"/>
                  <wp:docPr id="209" name="图片 209" descr="https://wps-static-pro.ding.zj.gov.cn/shapes%2FV253582837ff0f4e23a9ceccb98407e20a%2F741ebca545331c765e1934cfbd75794f2ffe96a9?Expires=1721960196&amp;OSSAccessKeyId=l6waoSYxdAHjrE3N&amp;Signature=XCzT%2BXqveTF66ADqwYioR8Ug3n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https://wps-static-pro.ding.zj.gov.cn/shapes%2FV253582837ff0f4e23a9ceccb98407e20a%2F741ebca545331c765e1934cfbd75794f2ffe96a9?Expires=1721960196&amp;OSSAccessKeyId=l6waoSYxdAHjrE3N&amp;Signature=XCzT%2BXqveTF66ADqwYioR8Ug3nY%3D"/>
                          <pic:cNvPicPr>
                            <a:picLocks noChangeAspect="1" noChangeArrowheads="1"/>
                          </pic:cNvPicPr>
                        </pic:nvPicPr>
                        <pic:blipFill>
                          <a:blip r:embed="rId57"/>
                          <a:srcRect/>
                          <a:stretch>
                            <a:fillRect/>
                          </a:stretch>
                        </pic:blipFill>
                        <pic:spPr>
                          <a:xfrm>
                            <a:off x="0" y="0"/>
                            <a:ext cx="1584960" cy="226822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49"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三路分水器</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 分水器主要装置于水带干线上。每一个分水器有一个进水口和几个出水口，可以同时使用，也可以分别使用。出水口上均有阀门装置，可以随时关闭，控制水流，便于增加和调换支线水带。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3.2 铝合金材料，金属模浇铸。</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3.3 进水口为1个80mm快速接口，出水口为可拆卸2个65mm  1个40mm可更换接口，</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3.4 开启力≤200N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3.5 公称压力：2.5MPa</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3.6 提供国家消防装备质量监督检验中心的检测报告和强制性产品认证证书。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122170" cy="1819275"/>
                  <wp:effectExtent l="0" t="0" r="1905" b="0"/>
                  <wp:docPr id="211" name="图片 211" descr="https://wps-static-pro.ding.zj.gov.cn/shapes%2FV253582837ff0f4e23a9ceccb98407e20a%2Fae3389a585b66387df3ede88a875cf4649998b39?Expires=1721960235&amp;OSSAccessKeyId=l6waoSYxdAHjrE3N&amp;Signature=IXrynmUlJHZmOx6Gn8rNWRGc8G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https://wps-static-pro.ding.zj.gov.cn/shapes%2FV253582837ff0f4e23a9ceccb98407e20a%2Fae3389a585b66387df3ede88a875cf4649998b39?Expires=1721960235&amp;OSSAccessKeyId=l6waoSYxdAHjrE3N&amp;Signature=IXrynmUlJHZmOx6Gn8rNWRGc8Gc%3D"/>
                          <pic:cNvPicPr>
                            <a:picLocks noChangeAspect="1" noChangeArrowheads="1"/>
                          </pic:cNvPicPr>
                        </pic:nvPicPr>
                        <pic:blipFill>
                          <a:blip r:embed="rId58"/>
                          <a:srcRect/>
                          <a:stretch>
                            <a:fillRect/>
                          </a:stretch>
                        </pic:blipFill>
                        <pic:spPr>
                          <a:xfrm>
                            <a:off x="0" y="0"/>
                            <a:ext cx="2122170" cy="181927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08"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二路分水器</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 分水器主要装置于水带干线上。每一个分水器有一个进水口和几个出水口，可以同时使用，也可以分别使用。出水口上均有阀门装置，可以随时关闭，控制水流，便于增加和调换支线水带。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3.2 铝合金材料，金属模浇铸。</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3.3 进水口为1个80mm接口，出水口为更拆卸2个65mm  2个40mm接口，</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3.4 开启力≤200N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3.5 公称压力：2.5MPa</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3.6 提供国家消防装备质量监督检验中心的检测报告和强制性产品认证证书。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047240" cy="1590040"/>
                  <wp:effectExtent l="0" t="0" r="635" b="635"/>
                  <wp:docPr id="213" name="图片 213" descr="https://wps-static-pro.ding.zj.gov.cn/shapes%2FV253582837ff0f4e23a9ceccb98407e20a%2F1cfdb8d9704cca0c6e1063ab2e76f0b7396725f8?Expires=1721960235&amp;OSSAccessKeyId=l6waoSYxdAHjrE3N&amp;Signature=%2BksSjDX6hYnoSMxn71kUN6SgQz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https://wps-static-pro.ding.zj.gov.cn/shapes%2FV253582837ff0f4e23a9ceccb98407e20a%2F1cfdb8d9704cca0c6e1063ab2e76f0b7396725f8?Expires=1721960235&amp;OSSAccessKeyId=l6waoSYxdAHjrE3N&amp;Signature=%2BksSjDX6hYnoSMxn71kUN6SgQzY%3D"/>
                          <pic:cNvPicPr>
                            <a:picLocks noChangeAspect="1" noChangeArrowheads="1"/>
                          </pic:cNvPicPr>
                        </pic:nvPicPr>
                        <pic:blipFill>
                          <a:blip r:embed="rId59"/>
                          <a:srcRect/>
                          <a:stretch>
                            <a:fillRect/>
                          </a:stretch>
                        </pic:blipFill>
                        <pic:spPr>
                          <a:xfrm>
                            <a:off x="0" y="0"/>
                            <a:ext cx="2047240" cy="159004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6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同型异径接口（80/65mm内扣传统接口）</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1、整体材质为6061铝合金材质或优于此材质，锻造成型；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2、表面经抛光和阳极氧化处理，平整、光洁；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3、卡式口径80mm转65mm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4、在2.4Mpa水压下，不出现裂纹或断裂；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5、接口表面无结疤、裂纹、砂眼，加工表面无明显的伤痕；</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6、接口公母根据最终用户需求确定；</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总体性能符合GB12514-2005《消防接口》的要求；提供国家消防装备质量检验检测中心或其他国家级检测机构出具的检测报告。出具报告的检验检测机构应取得市场监督管理部门的资质认定，一并提供资质认定证明文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1630045" cy="1480820"/>
                  <wp:effectExtent l="0" t="0" r="8255" b="5080"/>
                  <wp:docPr id="215" name="图片 215" descr="https://wps-static-pro.ding.zj.gov.cn/shapes%2FV253582837ff0f4e23a9ceccb98407e20a%2F1c5835b8fafae19af2c8687534c17301c3bf0d7a?Expires=1721960297&amp;OSSAccessKeyId=l6waoSYxdAHjrE3N&amp;Signature=DEyI0jlHhwi6H2KUPVfytwaXY7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https://wps-static-pro.ding.zj.gov.cn/shapes%2FV253582837ff0f4e23a9ceccb98407e20a%2F1c5835b8fafae19af2c8687534c17301c3bf0d7a?Expires=1721960297&amp;OSSAccessKeyId=l6waoSYxdAHjrE3N&amp;Signature=DEyI0jlHhwi6H2KUPVfytwaXY7Y%3D"/>
                          <pic:cNvPicPr>
                            <a:picLocks noChangeAspect="1" noChangeArrowheads="1"/>
                          </pic:cNvPicPr>
                        </pic:nvPicPr>
                        <pic:blipFill>
                          <a:blip r:embed="rId60"/>
                          <a:srcRect/>
                          <a:stretch>
                            <a:fillRect/>
                          </a:stretch>
                        </pic:blipFill>
                        <pic:spPr>
                          <a:xfrm>
                            <a:off x="0" y="0"/>
                            <a:ext cx="1630045" cy="148082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83"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同型异径接口(65/40mm内扣传统接口）</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整体材质为6061铝合金材质或优于此材质，锻造成型；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表面经抛光和阳极氧化处理，平整、光洁；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卡式口径65mm转40mm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4、在2.4Mpa水压下，不出现裂纹或断裂；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5、接口表面无结疤、裂纹、砂眼，加工表面无明显的伤痕；</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6、接口公母根据最终用户需求确定；</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总体性能符合GB12514-2005《消防接口》的要求；提供国家消防装备质量检验检测中心或其他国家级检测机构出具的检测报告。出具报告的检验检测机构应取得市场监督管理部门的资质认定，一并提供资质认定证明文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495550" cy="1962150"/>
                  <wp:effectExtent l="0" t="0" r="0" b="0"/>
                  <wp:docPr id="217" name="图片 217" descr="https://wps-static-pro.ding.zj.gov.cn/shapes%2FV253582837ff0f4e23a9ceccb98407e20a%2F3cd12ff07e604b3b32ff115a08fa5d541cdf462c?Expires=1721960326&amp;OSSAccessKeyId=l6waoSYxdAHjrE3N&amp;Signature=O7e8C7GxAfxCmOiML%2Fa4kENmz9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https://wps-static-pro.ding.zj.gov.cn/shapes%2FV253582837ff0f4e23a9ceccb98407e20a%2F3cd12ff07e604b3b32ff115a08fa5d541cdf462c?Expires=1721960326&amp;OSSAccessKeyId=l6waoSYxdAHjrE3N&amp;Signature=O7e8C7GxAfxCmOiML%2Fa4kENmz9A%3D"/>
                          <pic:cNvPicPr>
                            <a:picLocks noChangeAspect="1" noChangeArrowheads="1"/>
                          </pic:cNvPicPr>
                        </pic:nvPicPr>
                        <pic:blipFill>
                          <a:blip r:embed="rId61"/>
                          <a:srcRect/>
                          <a:stretch>
                            <a:fillRect/>
                          </a:stretch>
                        </pic:blipFill>
                        <pic:spPr>
                          <a:xfrm>
                            <a:off x="0" y="0"/>
                            <a:ext cx="2495550" cy="196215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11"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异型异径接口(100mm螺纹接口转125mm内扣传统接口）</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1、整体材质为6061铝合金材质或优于此材质，锻造成型；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2、表面经抛光和阳极氧化处理，平整、光洁；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3、100mm螺纹接口转125mm内扣传统接口</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4、在2.4Mpa水压下，不出现裂纹或断裂；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5、接口表面无结疤、裂纹、砂眼，加工表面无明显的伤痕；</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6、接口公母根据最终用户需求确定；</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总体性能符合GB12514-2005《消防接口》的要求；提供国家消防装备质量检验检测中心或其他国家级检测机构出具的检测报告。出具报告的检验检测机构应取得市场监督管理部门的资质认定，一并提供资质认定证明文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647950" cy="1857375"/>
                  <wp:effectExtent l="0" t="0" r="0" b="0"/>
                  <wp:docPr id="219" name="图片 219" descr="https://wps-static-pro.ding.zj.gov.cn/shapes%2FV253582837ff0f4e23a9ceccb98407e20a%2F6099c8bdd1f63ecdd8d9eefd7f3cb0528788cb2f?Expires=1721960363&amp;OSSAccessKeyId=l6waoSYxdAHjrE3N&amp;Signature=58OamKKpe5nW21iMDDzLM4%2BXJz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https://wps-static-pro.ding.zj.gov.cn/shapes%2FV253582837ff0f4e23a9ceccb98407e20a%2F6099c8bdd1f63ecdd8d9eefd7f3cb0528788cb2f?Expires=1721960363&amp;OSSAccessKeyId=l6waoSYxdAHjrE3N&amp;Signature=58OamKKpe5nW21iMDDzLM4%2BXJzo%3D"/>
                          <pic:cNvPicPr>
                            <a:picLocks noChangeAspect="1" noChangeArrowheads="1"/>
                          </pic:cNvPicPr>
                        </pic:nvPicPr>
                        <pic:blipFill>
                          <a:blip r:embed="rId62"/>
                          <a:srcRect/>
                          <a:stretch>
                            <a:fillRect/>
                          </a:stretch>
                        </pic:blipFill>
                        <pic:spPr>
                          <a:xfrm>
                            <a:off x="0" y="0"/>
                            <a:ext cx="2647950" cy="1857375"/>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7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异型异径接口(100mm内扣传统接口转150mm螺纹接口）</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t>1、整体材质为6061铝合金材质或优于此材质，锻造成型；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2、表面经抛光和阳极氧化处理，平整、光洁；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3、100mm内扣传统接口转150mm螺纹接口</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4、在2.4Mpa水压下，不出现裂纹或断裂；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5、接口表面无结疤、裂纹、砂眼，加工表面无明显的伤痕；</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6、接口公母根据最终用户需求确定；</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总体性能符合GB12514-2005《消防接口》的要求；提供国家消防装备质量检验检测中心或其他国家级检测机构出具的检测报告。出具报告的检验检测机构应取得市场监督管理部门的资质认定，一并提供资质认定证明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58"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异型异径接口(100mm螺纹接口转150mm内扣传统接口）</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1、整体材质为6061铝合金材质或优于此材质，锻造成型；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2、表面经抛光和阳极氧化处理，平整、光洁；</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3、100mm螺纹接口转150mm内扣传统接口</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4、在2.4Mpa水压下，不出现裂纹或断裂；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5、接口表面无结疤、裂纹、砂眼，加工表面无明显的伤痕；</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6、接口公母根据最终用户需求确定；</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总体性能符合GB12514-2005《消防接口》的要求；提供国家消防装备质量检验检测中心或其他国家级检测机构出具的检测报告。出具报告的检验检测机构应取得市场监督管理部门的资质认定，一并提供资质认定证明文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691130" cy="2853690"/>
                  <wp:effectExtent l="0" t="0" r="4445" b="3810"/>
                  <wp:docPr id="221" name="图片 221" descr="https://wps-static-pro.ding.zj.gov.cn/shapes%2FV253582837ff0f4e23a9ceccb98407e20a%2Fe6feb007a95612b3d8765460df3ce82293023387?Expires=1721960475&amp;OSSAccessKeyId=l6waoSYxdAHjrE3N&amp;Signature=CHBrA4VFzmLsfnN5gI0JpUREJN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https://wps-static-pro.ding.zj.gov.cn/shapes%2FV253582837ff0f4e23a9ceccb98407e20a%2Fe6feb007a95612b3d8765460df3ce82293023387?Expires=1721960475&amp;OSSAccessKeyId=l6waoSYxdAHjrE3N&amp;Signature=CHBrA4VFzmLsfnN5gI0JpUREJNA%3D"/>
                          <pic:cNvPicPr>
                            <a:picLocks noChangeAspect="1" noChangeArrowheads="1"/>
                          </pic:cNvPicPr>
                        </pic:nvPicPr>
                        <pic:blipFill>
                          <a:blip r:embed="rId63"/>
                          <a:srcRect/>
                          <a:stretch>
                            <a:fillRect/>
                          </a:stretch>
                        </pic:blipFill>
                        <pic:spPr>
                          <a:xfrm>
                            <a:off x="0" y="0"/>
                            <a:ext cx="2691130" cy="285369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30"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16型40mm水带（20米，带接口）</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捆</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t>1.产品符合GB6246-2011《消防水带》和GB12514-2005《消防接口》的要求；提供国家消防装备质量检验检测中心或其他国家级检测机构出具的检测报告；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2.水带长度20m，设计压力：1.6MPa，口径：40mm，爆破压力≥4.8MPa,在0.3Mpa和1.6Mpa水压下无渗漏，在1.8Mpa水压下，不出现裂纹或断裂；</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3.接口要求：内扣式，采用6061型铝合金或优于铝合金材料，锻造方式生产，接口表面进行阳极氧化处理，加工表面平整，无损伤，无结疤、裂痕；水带接口的密封圈采用耐油橡胶材质，按照1：1的备份比配备备件；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4.水带颜色和标识：根据甲方要求染色和印字；</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5.水带外观：编织均匀、紧密，表面整洁耐磨，无跳双经、断双经、跳纬、露纬及划伤；</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6.内衬材质为聚氨酯材料或优于此材质，</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7.在水带表面具备反光功能。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6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水带包布</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包</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性能参数</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1提供国家消防装备质量检验检测中心或其他国家级检测机构出具的检测报告。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2与水带配套使用。用于包裹消防水带破漏处，是消防水带、消防车上必备的附件之一，它由特殊材料制作。使用时只要将包布一端穿入夹钳中，夹牢即可。</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3重量约：约28g</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4长度：约350mm</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5抗拉力：30kg以上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6使用次数：30次以上</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7工作温度：-20~100℃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8适应口径：Φ50、Φ65、Φ80、Φ90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图片</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lang w:val="en-US" w:eastAsia="zh-CN"/>
              </w:rPr>
              <w:drawing>
                <wp:inline distT="0" distB="0" distL="114300" distR="114300">
                  <wp:extent cx="2449830" cy="2449830"/>
                  <wp:effectExtent l="0" t="0" r="7620" b="7620"/>
                  <wp:docPr id="10" name="图片 10" descr="a962c0da2ce91bab3e5ff088bf99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962c0da2ce91bab3e5ff088bf990ce"/>
                          <pic:cNvPicPr>
                            <a:picLocks noChangeAspect="1"/>
                          </pic:cNvPicPr>
                        </pic:nvPicPr>
                        <pic:blipFill>
                          <a:blip r:embed="rId64"/>
                          <a:stretch>
                            <a:fillRect/>
                          </a:stretch>
                        </pic:blipFill>
                        <pic:spPr>
                          <a:xfrm>
                            <a:off x="0" y="0"/>
                            <a:ext cx="2449830" cy="24498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64"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水带挂钩</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只</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性能参数</w:t>
            </w:r>
          </w:p>
          <w:p>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1、参照XF494-2004《消防用防坠落装备》。</w:t>
            </w:r>
          </w:p>
          <w:p>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2、破断强度：6958N（头部断裂）。</w:t>
            </w:r>
          </w:p>
          <w:p>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3、安全钩采用25KN锻造大挂钩镀铬工艺，安全带采用高强度聚酯纤维编织工艺强度大耐腐蚀（实际耐拉14.9KN）</w:t>
            </w:r>
          </w:p>
          <w:p>
            <w:pPr>
              <w:keepNext w:val="0"/>
              <w:keepLines w:val="0"/>
              <w:widowControl/>
              <w:numPr>
                <w:ilvl w:val="0"/>
                <w:numId w:val="0"/>
              </w:numPr>
              <w:suppressLineNumbers w:val="0"/>
              <w:spacing w:before="0" w:beforeAutospacing="0" w:after="0" w:afterAutospacing="0"/>
              <w:ind w:left="0" w:leftChars="0" w:right="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图片</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lang w:val="en-US" w:eastAsia="zh-CN"/>
              </w:rPr>
              <w:drawing>
                <wp:inline distT="0" distB="0" distL="114300" distR="114300">
                  <wp:extent cx="3364230" cy="3364230"/>
                  <wp:effectExtent l="0" t="0" r="7620" b="7620"/>
                  <wp:docPr id="13" name="图片 13" descr="7d5cb96fcae4d73ee043b3602d03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d5cb96fcae4d73ee043b3602d037d0"/>
                          <pic:cNvPicPr>
                            <a:picLocks noChangeAspect="1"/>
                          </pic:cNvPicPr>
                        </pic:nvPicPr>
                        <pic:blipFill>
                          <a:blip r:embed="rId65"/>
                          <a:stretch>
                            <a:fillRect/>
                          </a:stretch>
                        </pic:blipFill>
                        <pic:spPr>
                          <a:xfrm>
                            <a:off x="0" y="0"/>
                            <a:ext cx="3364230" cy="33642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98"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移车器</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具</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功能用途：移车器能安全快捷地抬升和移动汽车，可使汽车任意方向移动。使用该移车器，可在1-2分钟内把汽车移开，及时疏通道路，紧急清除违章障碍车辆，处理司机乱停乱放、违章停车、阻碍交通、侵占他人车位等行为。由万向脚轮，铝合金滚筒等组成</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2、技术参数：</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类型：液压型；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规格： ≤450*800mm(闭合*拉开）；</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轮胎直径：100（±5）mm；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承重：≥4000kg。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3、提供中文使用说明书，含装备简介、使用注意事项及维护保养等内容。</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drawing>
                <wp:inline distT="0" distB="0" distL="0" distR="0">
                  <wp:extent cx="2456815" cy="1940560"/>
                  <wp:effectExtent l="0" t="0" r="635" b="2540"/>
                  <wp:docPr id="223" name="图片 223" descr="https://wps-static-pro.ding.zj.gov.cn/shapes%2FV253582837ff0f4e23a9ceccb98407e20a%2F1024ad176377407adda36957c9d8cec0c7332b84?Expires=1721960497&amp;OSSAccessKeyId=l6waoSYxdAHjrE3N&amp;Signature=b3zFzW6jqwXpmuS0RaFJTh%2FtA1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https://wps-static-pro.ding.zj.gov.cn/shapes%2FV253582837ff0f4e23a9ceccb98407e20a%2F1024ad176377407adda36957c9d8cec0c7332b84?Expires=1721960497&amp;OSSAccessKeyId=l6waoSYxdAHjrE3N&amp;Signature=b3zFzW6jqwXpmuS0RaFJTh%2FtA1M%3D"/>
                          <pic:cNvPicPr>
                            <a:picLocks noChangeAspect="1" noChangeArrowheads="1"/>
                          </pic:cNvPicPr>
                        </pic:nvPicPr>
                        <pic:blipFill>
                          <a:blip r:embed="rId66"/>
                          <a:srcRect/>
                          <a:stretch>
                            <a:fillRect/>
                          </a:stretch>
                        </pic:blipFill>
                        <pic:spPr>
                          <a:xfrm>
                            <a:off x="0" y="0"/>
                            <a:ext cx="2456815" cy="1940560"/>
                          </a:xfrm>
                          <a:prstGeom prst="rect">
                            <a:avLst/>
                          </a:prstGeom>
                          <a:noFill/>
                          <a:ln w="9525">
                            <a:noFill/>
                            <a:miter lim="800000"/>
                            <a:headEnd/>
                            <a:tailEnd/>
                          </a:ln>
                        </pic:spPr>
                      </pic:pic>
                    </a:graphicData>
                  </a:graphic>
                </wp:inline>
              </w:drawing>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157"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15米拉梯</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1.总体性能符合XF137-2007《消防梯》的要求，提供国家消防装备质量检验检测中心出具的检测报告。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2.主要用于消防队员登高、跨越高墙；</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3.优质高强度金属材料制成,经过防腐处理；</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4.工作高度15000±300mm；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5.整梯质量</w:t>
            </w: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5KG±</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176780" cy="2176780"/>
                  <wp:effectExtent l="0" t="0" r="4445" b="4445"/>
                  <wp:docPr id="225" name="图片 225" descr="https://wps-static-pro.ding.zj.gov.cn/shapes%2FV253582837ff0f4e23a9ceccb98407e20a%2F805705af6c184857fa18561a6ab3e86fbf5ccdd6?Expires=1721960573&amp;OSSAccessKeyId=l6waoSYxdAHjrE3N&amp;Signature=4ju5LjE6NBLYUtxoT3Hubcef8j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https://wps-static-pro.ding.zj.gov.cn/shapes%2FV253582837ff0f4e23a9ceccb98407e20a%2F805705af6c184857fa18561a6ab3e86fbf5ccdd6?Expires=1721960573&amp;OSSAccessKeyId=l6waoSYxdAHjrE3N&amp;Signature=4ju5LjE6NBLYUtxoT3Hubcef8jU%3D"/>
                          <pic:cNvPicPr>
                            <a:picLocks noChangeAspect="1" noChangeArrowheads="1"/>
                          </pic:cNvPicPr>
                        </pic:nvPicPr>
                        <pic:blipFill>
                          <a:blip r:embed="rId67"/>
                          <a:srcRect/>
                          <a:stretch>
                            <a:fillRect/>
                          </a:stretch>
                        </pic:blipFill>
                        <pic:spPr>
                          <a:xfrm>
                            <a:off x="0" y="0"/>
                            <a:ext cx="2176780" cy="217678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189"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挂钩梯（铝制）</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把</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12</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1.提供国家消防装备质量检验检测中心出具的检测报告；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2.主要用于消防队员登高、跨越高墙；</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3.优质高强度金属材料制成,经过防腐处理；</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4.工作高度：4000±100mm；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5.最小梯宽：250±2mm；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6.梯蹬间距：340±2mm；</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7.整梯质量：</w:t>
            </w:r>
            <w:r>
              <w:rPr>
                <w:rFonts w:hint="eastAsia" w:ascii="宋体" w:hAnsi="宋体" w:eastAsia="宋体" w:cs="宋体"/>
                <w:color w:val="auto"/>
                <w:kern w:val="0"/>
                <w:sz w:val="24"/>
                <w:szCs w:val="24"/>
                <w:highlight w:val="none"/>
                <w:lang w:eastAsia="zh-CN"/>
              </w:rPr>
              <w:t>大于</w:t>
            </w:r>
            <w:r>
              <w:rPr>
                <w:rFonts w:hint="eastAsia" w:ascii="宋体" w:hAnsi="宋体" w:eastAsia="宋体" w:cs="宋体"/>
                <w:color w:val="auto"/>
                <w:kern w:val="0"/>
                <w:sz w:val="24"/>
                <w:szCs w:val="24"/>
                <w:highlight w:val="none"/>
                <w:lang w:val="en-US" w:eastAsia="zh-CN"/>
              </w:rPr>
              <w:t>8.5</w:t>
            </w:r>
            <w:r>
              <w:rPr>
                <w:rFonts w:hint="eastAsia" w:ascii="宋体" w:hAnsi="宋体" w:eastAsia="宋体" w:cs="宋体"/>
                <w:color w:val="auto"/>
                <w:kern w:val="0"/>
                <w:sz w:val="24"/>
                <w:szCs w:val="24"/>
                <w:highlight w:val="none"/>
              </w:rPr>
              <w:t>kg；</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639695" cy="1779905"/>
                  <wp:effectExtent l="0" t="0" r="8255" b="1270"/>
                  <wp:docPr id="227" name="图片 227" descr="https://wps-static-pro.ding.zj.gov.cn/shapes%2FV253582837ff0f4e23a9ceccb98407e20a%2F30b4065b509149eb8849f383b94e66c290464bcf?Expires=1721960512&amp;OSSAccessKeyId=l6waoSYxdAHjrE3N&amp;Signature=3Nf%2Byv3DBIG3yUKLIe4P%2BkpYKk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https://wps-static-pro.ding.zj.gov.cn/shapes%2FV253582837ff0f4e23a9ceccb98407e20a%2F30b4065b509149eb8849f383b94e66c290464bcf?Expires=1721960512&amp;OSSAccessKeyId=l6waoSYxdAHjrE3N&amp;Signature=3Nf%2Byv3DBIG3yUKLIe4P%2BkpYKkg%3D"/>
                          <pic:cNvPicPr>
                            <a:picLocks noChangeAspect="1" noChangeArrowheads="1"/>
                          </pic:cNvPicPr>
                        </pic:nvPicPr>
                        <pic:blipFill>
                          <a:blip r:embed="rId68"/>
                          <a:srcRect/>
                          <a:stretch>
                            <a:fillRect/>
                          </a:stretch>
                        </pic:blipFill>
                        <pic:spPr>
                          <a:xfrm>
                            <a:off x="0" y="0"/>
                            <a:ext cx="2639695" cy="1779905"/>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11" w:hRule="atLeast"/>
        </w:trPr>
        <w:tc>
          <w:tcPr>
            <w:tcW w:w="491" w:type="dxa"/>
            <w:vMerge w:val="continue"/>
            <w:tcBorders>
              <w:top w:val="nil"/>
              <w:left w:val="single" w:color="auto"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空气充填泵</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台</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1.提供国家消防装备质量检验检测中心或其他国家级检测机构出具的检测报告；</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2.用于为空气呼吸器气瓶提供符合标准的压缩空气，食品级机油及滤芯，静音设计；</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3.充气量≥300L/min；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4.采用380V电压；</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5.充气压力≥33Mpa；</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6.功率≥5kw；</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7.配置滤芯更换提示装置、防爆箱、充气接头、气路、电线、防震压力表、计时器等全套附件及包安装。</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left"/>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082800" cy="2401570"/>
                  <wp:effectExtent l="0" t="0" r="3175" b="8255"/>
                  <wp:docPr id="203" name="图片 203" descr="https://wps-static-pro.ding.zj.gov.cn/shapes%2FV253582837ff0f4e23a9ceccb98407e20a%2F7df85d9319fd4b149be06e5cf645fa99bf4ee1f0?Expires=1721960013&amp;OSSAccessKeyId=l6waoSYxdAHjrE3N&amp;Signature=U7GqID0Br93FeQQnaRbEKYIB%2Fe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https://wps-static-pro.ding.zj.gov.cn/shapes%2FV253582837ff0f4e23a9ceccb98407e20a%2F7df85d9319fd4b149be06e5cf645fa99bf4ee1f0?Expires=1721960013&amp;OSSAccessKeyId=l6waoSYxdAHjrE3N&amp;Signature=U7GqID0Br93FeQQnaRbEKYIB%2FeI%3D"/>
                          <pic:cNvPicPr>
                            <a:picLocks noChangeAspect="1" noChangeArrowheads="1"/>
                          </pic:cNvPicPr>
                        </pic:nvPicPr>
                        <pic:blipFill>
                          <a:blip r:embed="rId69"/>
                          <a:srcRect/>
                          <a:stretch>
                            <a:fillRect/>
                          </a:stretch>
                        </pic:blipFill>
                        <pic:spPr>
                          <a:xfrm>
                            <a:off x="0" y="0"/>
                            <a:ext cx="2082800" cy="240157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150" w:type="dxa"/>
          <w:trHeight w:val="240" w:hRule="atLeast"/>
        </w:trPr>
        <w:tc>
          <w:tcPr>
            <w:tcW w:w="491" w:type="dxa"/>
            <w:vMerge w:val="restart"/>
            <w:tcBorders>
              <w:top w:val="nil"/>
              <w:left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restart"/>
            <w:tcBorders>
              <w:top w:val="nil"/>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A类泡沫液</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T</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1、总体性能符合GB27897-2011《A类泡沫灭火剂》标准； 提供国家消防装备质量检验检测中心或其他国家级检测机构出具的检测报告。出具报告的检验检测机构应取得市场监督管理部门的资质认定，一并提供资质认定证明文件。</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2、适用于扑灭 A 类和非水溶性液体燃料 B 类火灾以及具有一定的隔热防护性能，适用于压缩空气泡沫车和多功能城市主战车；规格：MJABP，产品使用混合比 0.1%-1%，可产生干湿泡沫，凝固点≤-10℃；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3、灭A类火灭火性能：灭火时间≤50S，停止施加泡沫10min 内无可见火焰；25%析液（混合比为 HA 时）温度处理前≥10.0min、温度处理后≥10.0min；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4、表面张力≤20；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5、附加性能要求：灭非水溶性液体火性能 IA 级别；强施放灭火时间≤3min， 强施放 25%抗烧时间≥12min，25%析液时间（混合比为 HB 时）温度处理前≥9min,温度处理后≥9min；</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6、隔热防护性能：混合比 HG 条件下发泡倍数≥50倍，25% 析液时间≥20min；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7、抗冻结、融化性：无可见分层和非均相；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8、PH 值：温度处理前7.0-9.5，温度处理后7.0-9.5；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9、腐蚀率 Q235A 钢片≤7.0，LF21铝 片≤2.0；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10、润湿性：混合比为 0.3%时≤130s，混合比为 0.6%时≤60s，混合比为 1.0%时≤20s；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11、产品有效期≥3年；</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12、环保要求：产品提供环境标志产品认证证书；提供符合消防局关于灭火药剂不含持久性有机污染物PFOS 的产品权威检测报告；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13、包装要求：200kg/1000kg包装，符合泡沫灭火剂国家消防局统型标准要求，按吨报价。</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drawing>
                <wp:inline distT="0" distB="0" distL="0" distR="0">
                  <wp:extent cx="2047875" cy="2228850"/>
                  <wp:effectExtent l="0" t="0" r="0" b="0"/>
                  <wp:docPr id="229" name="图片 229" descr="https://wps-static-pro.ding.zj.gov.cn/shapes%2FV253582837ff0f4e23a9ceccb98407e20a%2F34604ee84c1ec5a2d3160611506f74b59f9e4d5f?Expires=1721960527&amp;OSSAccessKeyId=l6waoSYxdAHjrE3N&amp;Signature=T9zeZKpTB%2Bsam6aYbUQhI5UKyH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https://wps-static-pro.ding.zj.gov.cn/shapes%2FV253582837ff0f4e23a9ceccb98407e20a%2F34604ee84c1ec5a2d3160611506f74b59f9e4d5f?Expires=1721960527&amp;OSSAccessKeyId=l6waoSYxdAHjrE3N&amp;Signature=T9zeZKpTB%2Bsam6aYbUQhI5UKyHM%3D"/>
                          <pic:cNvPicPr>
                            <a:picLocks noChangeAspect="1" noChangeArrowheads="1"/>
                          </pic:cNvPicPr>
                        </pic:nvPicPr>
                        <pic:blipFill>
                          <a:blip r:embed="rId70"/>
                          <a:srcRect/>
                          <a:stretch>
                            <a:fillRect/>
                          </a:stretch>
                        </pic:blipFill>
                        <pic:spPr>
                          <a:xfrm>
                            <a:off x="0" y="0"/>
                            <a:ext cx="2047875" cy="222885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1150" w:type="dxa"/>
          <w:trHeight w:val="240" w:hRule="atLeast"/>
        </w:trPr>
        <w:tc>
          <w:tcPr>
            <w:tcW w:w="491" w:type="dxa"/>
            <w:vMerge w:val="continue"/>
            <w:tcBorders>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i w:val="0"/>
                <w:color w:val="000000"/>
                <w:kern w:val="0"/>
                <w:sz w:val="24"/>
                <w:szCs w:val="24"/>
                <w:u w:val="none"/>
                <w:lang w:val="en-US" w:eastAsia="zh-CN" w:bidi="ar"/>
              </w:rPr>
            </w:pPr>
          </w:p>
        </w:tc>
        <w:tc>
          <w:tcPr>
            <w:tcW w:w="1356"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p>
        </w:tc>
        <w:tc>
          <w:tcPr>
            <w:tcW w:w="1285"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themeColor="text1"/>
                <w:sz w:val="24"/>
                <w:szCs w:val="24"/>
                <w:highlight w:val="none"/>
                <w:shd w:val="clear" w:fill="FFFFFF" w:themeFill="background1"/>
                <w14:textFill>
                  <w14:solidFill>
                    <w14:schemeClr w14:val="tx1"/>
                  </w14:solidFill>
                </w14:textFill>
              </w:rPr>
              <w:t>●</w:t>
            </w:r>
            <w:r>
              <w:rPr>
                <w:rFonts w:hint="eastAsia" w:ascii="宋体" w:hAnsi="宋体" w:eastAsia="宋体" w:cs="宋体"/>
                <w:i w:val="0"/>
                <w:color w:val="000000"/>
                <w:kern w:val="0"/>
                <w:sz w:val="24"/>
                <w:szCs w:val="24"/>
                <w:u w:val="none"/>
                <w:lang w:val="en-US" w:eastAsia="zh-CN" w:bidi="ar"/>
              </w:rPr>
              <w:t>水成膜泡沫液</w:t>
            </w:r>
          </w:p>
        </w:tc>
        <w:tc>
          <w:tcPr>
            <w:tcW w:w="650"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val="0"/>
                <w:bCs/>
                <w:i w:val="0"/>
                <w:color w:val="000000"/>
                <w:kern w:val="0"/>
                <w:sz w:val="24"/>
                <w:szCs w:val="24"/>
                <w:u w:val="none"/>
                <w:lang w:val="en-US" w:eastAsia="zh-CN" w:bidi="ar"/>
              </w:rPr>
            </w:pPr>
            <w:r>
              <w:rPr>
                <w:rFonts w:hint="eastAsia" w:ascii="宋体" w:hAnsi="宋体" w:eastAsia="宋体" w:cs="宋体"/>
                <w:b w:val="0"/>
                <w:bCs/>
                <w:i w:val="0"/>
                <w:color w:val="000000"/>
                <w:kern w:val="0"/>
                <w:sz w:val="24"/>
                <w:szCs w:val="24"/>
                <w:u w:val="none"/>
                <w:lang w:val="en-US" w:eastAsia="zh-CN" w:bidi="ar"/>
              </w:rPr>
              <w:t xml:space="preserve">T </w:t>
            </w:r>
          </w:p>
        </w:tc>
        <w:tc>
          <w:tcPr>
            <w:tcW w:w="497"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42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性能参数：</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适用于扑灭 B 类火灾、非水溶性液体燃料火灾，耐寒耐海水， 要求产品混合比为 6：94；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功能要求：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1、 </w:t>
            </w:r>
            <w:r>
              <w:rPr>
                <w:rFonts w:hint="eastAsia" w:ascii="宋体" w:hAnsi="宋体" w:eastAsia="宋体" w:cs="宋体"/>
                <w:color w:val="auto"/>
                <w:kern w:val="0"/>
                <w:sz w:val="24"/>
                <w:szCs w:val="24"/>
                <w:highlight w:val="none"/>
                <w:lang w:val="en-US" w:eastAsia="zh-CN"/>
              </w:rPr>
              <w:t>产品规格型号：6%AFFF，产品</w:t>
            </w:r>
            <w:r>
              <w:rPr>
                <w:rFonts w:hint="eastAsia" w:ascii="宋体" w:hAnsi="宋体" w:eastAsia="宋体" w:cs="宋体"/>
                <w:color w:val="auto"/>
                <w:kern w:val="0"/>
                <w:sz w:val="24"/>
                <w:szCs w:val="24"/>
                <w:highlight w:val="none"/>
              </w:rPr>
              <w:t>符合GB1</w:t>
            </w:r>
            <w:r>
              <w:rPr>
                <w:rFonts w:hint="eastAsia" w:ascii="宋体" w:hAnsi="宋体" w:eastAsia="宋体" w:cs="宋体"/>
                <w:color w:val="auto"/>
                <w:kern w:val="0"/>
                <w:sz w:val="24"/>
                <w:szCs w:val="24"/>
                <w:highlight w:val="none"/>
                <w:lang w:val="en-US" w:eastAsia="zh-CN"/>
              </w:rPr>
              <w:t>5308</w:t>
            </w:r>
            <w:r>
              <w:rPr>
                <w:rFonts w:hint="eastAsia" w:ascii="宋体" w:hAnsi="宋体" w:eastAsia="宋体" w:cs="宋体"/>
                <w:color w:val="auto"/>
                <w:kern w:val="0"/>
                <w:sz w:val="24"/>
                <w:szCs w:val="24"/>
                <w:highlight w:val="none"/>
              </w:rPr>
              <w:t>-200</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eastAsia="zh-CN"/>
              </w:rPr>
              <w:t>泡沫</w:t>
            </w:r>
            <w:r>
              <w:rPr>
                <w:rFonts w:hint="eastAsia" w:ascii="宋体" w:hAnsi="宋体" w:eastAsia="宋体" w:cs="宋体"/>
                <w:color w:val="auto"/>
                <w:kern w:val="0"/>
                <w:sz w:val="24"/>
                <w:szCs w:val="24"/>
                <w:highlight w:val="none"/>
              </w:rPr>
              <w:t>灭火剂国标标准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2、 凝固点：≤-10℃；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 xml:space="preserve">3、 抗冻结、融化性, 无可见分层和非均相； </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PH值：温度处理前：7.5-8.0, 温度处理后：7.5-8.0</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表面张力：18±10%mN/m；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界面张力：1.5±10%mN/m；</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腐蚀率：Q235A钢片:≤</w:t>
            </w:r>
            <w:r>
              <w:rPr>
                <w:rFonts w:hint="eastAsia" w:ascii="宋体" w:hAnsi="宋体" w:eastAsia="宋体" w:cs="宋体"/>
                <w:color w:val="auto"/>
                <w:kern w:val="0"/>
                <w:sz w:val="24"/>
                <w:szCs w:val="24"/>
                <w:highlight w:val="none"/>
                <w:lang w:val="en-US" w:eastAsia="zh-CN"/>
              </w:rPr>
              <w:t>7.5</w:t>
            </w:r>
            <w:r>
              <w:rPr>
                <w:rFonts w:hint="eastAsia" w:ascii="宋体" w:hAnsi="宋体" w:eastAsia="宋体" w:cs="宋体"/>
                <w:color w:val="auto"/>
                <w:kern w:val="0"/>
                <w:sz w:val="24"/>
                <w:szCs w:val="24"/>
                <w:highlight w:val="none"/>
              </w:rPr>
              <w:t>,3A21铝片:≤</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发泡倍数：温度处理前≥7；</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25%析液时间：温度处理前≥3min；</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灭火</w:t>
            </w:r>
            <w:r>
              <w:rPr>
                <w:rFonts w:hint="eastAsia" w:ascii="宋体" w:hAnsi="宋体" w:eastAsia="宋体" w:cs="宋体"/>
                <w:color w:val="auto"/>
                <w:kern w:val="0"/>
                <w:sz w:val="24"/>
                <w:szCs w:val="24"/>
                <w:highlight w:val="none"/>
                <w:lang w:val="en-US" w:eastAsia="zh-CN"/>
              </w:rPr>
              <w:t>性能</w:t>
            </w:r>
            <w:r>
              <w:rPr>
                <w:rFonts w:hint="eastAsia" w:ascii="宋体" w:hAnsi="宋体" w:eastAsia="宋体" w:cs="宋体"/>
                <w:color w:val="auto"/>
                <w:kern w:val="0"/>
                <w:sz w:val="24"/>
                <w:szCs w:val="24"/>
                <w:highlight w:val="none"/>
              </w:rPr>
              <w:t>： IA级别, 强施放：淡水≤3Min； 海水≤3Min；</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抗烧时间： IA级别, 强施放：淡水≥10Min,海水≥10Min；</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产品提供国家消防产品检测中心的检测报告和消防产品认证证书；</w:t>
            </w:r>
            <w:r>
              <w:rPr>
                <w:rFonts w:hint="eastAsia" w:ascii="宋体" w:hAnsi="宋体" w:eastAsia="宋体" w:cs="宋体"/>
                <w:color w:val="auto"/>
                <w:kern w:val="0"/>
                <w:sz w:val="24"/>
                <w:szCs w:val="24"/>
                <w:highlight w:val="none"/>
              </w:rPr>
              <w:cr/>
            </w:r>
            <w:r>
              <w:rPr>
                <w:rFonts w:hint="eastAsia" w:ascii="宋体" w:hAnsi="宋体" w:eastAsia="宋体" w:cs="宋体"/>
                <w:color w:val="auto"/>
                <w:kern w:val="0"/>
                <w:sz w:val="24"/>
                <w:szCs w:val="24"/>
                <w:highlight w:val="none"/>
              </w:rPr>
              <w:t>图片：</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vertAlign w:val="baseline"/>
                <w:lang w:val="en-US" w:eastAsia="zh-CN"/>
              </w:rPr>
              <w:drawing>
                <wp:inline distT="0" distB="0" distL="114300" distR="114300">
                  <wp:extent cx="1514475" cy="1770380"/>
                  <wp:effectExtent l="0" t="0" r="0" b="0"/>
                  <wp:docPr id="11" name="图片 11" descr="6泡-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泡-绿"/>
                          <pic:cNvPicPr>
                            <a:picLocks noChangeAspect="1"/>
                          </pic:cNvPicPr>
                        </pic:nvPicPr>
                        <pic:blipFill>
                          <a:blip r:embed="rId71"/>
                          <a:stretch>
                            <a:fillRect/>
                          </a:stretch>
                        </pic:blipFill>
                        <pic:spPr>
                          <a:xfrm>
                            <a:off x="0" y="0"/>
                            <a:ext cx="1514475" cy="177038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kern w:val="0"/>
                <w:sz w:val="24"/>
                <w:szCs w:val="24"/>
                <w:highlight w:val="none"/>
              </w:rPr>
              <w:br w:type="page"/>
            </w:r>
          </w:p>
        </w:tc>
      </w:tr>
    </w:tbl>
    <w:p>
      <w:pPr>
        <w:numPr>
          <w:ilvl w:val="-1"/>
          <w:numId w:val="0"/>
        </w:numPr>
        <w:spacing w:line="240" w:lineRule="auto"/>
        <w:jc w:val="left"/>
        <w:outlineLvl w:val="9"/>
        <w:rPr>
          <w:rFonts w:hint="eastAsia" w:ascii="宋体" w:hAnsi="宋体" w:cs="宋体"/>
          <w:b/>
          <w:color w:val="000000" w:themeColor="text1"/>
          <w:spacing w:val="-6"/>
          <w:sz w:val="24"/>
          <w:szCs w:val="24"/>
          <w:highlight w:val="none"/>
          <w:lang w:val="en-US" w:eastAsia="zh-CN"/>
          <w14:textFill>
            <w14:solidFill>
              <w14:schemeClr w14:val="tx1"/>
            </w14:solidFill>
          </w14:textFill>
        </w:rPr>
      </w:pPr>
    </w:p>
    <w:p>
      <w:pPr>
        <w:numPr>
          <w:ilvl w:val="-1"/>
          <w:numId w:val="0"/>
        </w:numPr>
        <w:spacing w:line="240" w:lineRule="auto"/>
        <w:jc w:val="left"/>
        <w:outlineLvl w:val="9"/>
        <w:rPr>
          <w:rFonts w:hint="eastAsia" w:ascii="宋体" w:hAnsi="宋体" w:cs="宋体"/>
          <w:b/>
          <w:color w:val="000000" w:themeColor="text1"/>
          <w:spacing w:val="-6"/>
          <w:sz w:val="24"/>
          <w:szCs w:val="24"/>
          <w:highlight w:val="none"/>
          <w:lang w:val="en-US" w:eastAsia="zh-CN"/>
          <w14:textFill>
            <w14:solidFill>
              <w14:schemeClr w14:val="tx1"/>
            </w14:solidFill>
          </w14:textFill>
        </w:rPr>
      </w:pPr>
    </w:p>
    <w:p>
      <w:pPr>
        <w:numPr>
          <w:ilvl w:val="-1"/>
          <w:numId w:val="0"/>
        </w:numPr>
        <w:spacing w:line="240" w:lineRule="auto"/>
        <w:jc w:val="left"/>
        <w:outlineLvl w:val="9"/>
        <w:rPr>
          <w:rFonts w:hint="eastAsia" w:ascii="宋体" w:hAnsi="宋体" w:cs="宋体"/>
          <w:b/>
          <w:color w:val="000000" w:themeColor="text1"/>
          <w:spacing w:val="-6"/>
          <w:sz w:val="24"/>
          <w:szCs w:val="24"/>
          <w:highlight w:val="none"/>
          <w:lang w:val="en-US" w:eastAsia="zh-CN"/>
          <w14:textFill>
            <w14:solidFill>
              <w14:schemeClr w14:val="tx1"/>
            </w14:solidFill>
          </w14:textFill>
        </w:rPr>
      </w:pPr>
      <w:r>
        <w:rPr>
          <w:rFonts w:hint="eastAsia" w:ascii="宋体" w:hAnsi="宋体" w:cs="宋体"/>
          <w:b/>
          <w:color w:val="000000" w:themeColor="text1"/>
          <w:spacing w:val="-6"/>
          <w:sz w:val="24"/>
          <w:szCs w:val="24"/>
          <w:highlight w:val="none"/>
          <w:lang w:val="en-US" w:eastAsia="zh-CN"/>
          <w14:textFill>
            <w14:solidFill>
              <w14:schemeClr w14:val="tx1"/>
            </w14:solidFill>
          </w14:textFill>
        </w:rPr>
        <w:t>二、商务要求</w:t>
      </w:r>
    </w:p>
    <w:tbl>
      <w:tblPr>
        <w:tblStyle w:val="40"/>
        <w:tblW w:w="9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商务内容</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具体商务要求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▲质保期</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验收合格后不少于24个月。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质量保证及售后服务要求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z w:val="24"/>
                <w:szCs w:val="24"/>
                <w:highlight w:val="none"/>
              </w:rPr>
            </w:pP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1.质量要求：所供产品是符合国家技术规范和质量标准的合格产品，且未曾使用，制造标准、安装标准及技术规范要求必须符合我国相关标准和使用方认可的有关国际标准，并符合采购人的采购要求。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2.包装要求：所有产品货物外包装按相关规定执行，不得有破损和霉烂。运输、安装过程中发生的货物损毁、人身伤害的，一切法律责任由乙方承担。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3.费用：中标人负责产品的包装、运输、装卸、安装、调试、验收等工作，产品正式交付采购人使用前进行安装、调试和质保期内设备正常运行所需一切必要耗材及其费用均由中标人负责。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4.保修要求：产品从采购人验收后合格之日起，保修按厂家规定标准执行。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pacing w:val="-6"/>
                <w:sz w:val="24"/>
                <w:szCs w:val="24"/>
                <w:highlight w:val="none"/>
              </w:rPr>
              <w:t>5.质保期：本项目质保期按“</w:t>
            </w:r>
            <w:r>
              <w:rPr>
                <w:rFonts w:hint="eastAsia" w:ascii="宋体" w:hAnsi="宋体" w:eastAsia="宋体" w:cs="宋体"/>
                <w:bCs/>
                <w:color w:val="auto"/>
                <w:sz w:val="24"/>
                <w:szCs w:val="24"/>
                <w:highlight w:val="none"/>
              </w:rPr>
              <w:t>◆</w:t>
            </w:r>
            <w:r>
              <w:rPr>
                <w:rFonts w:hint="eastAsia" w:ascii="宋体" w:hAnsi="宋体" w:eastAsia="宋体" w:cs="宋体"/>
                <w:b/>
                <w:color w:val="auto"/>
                <w:sz w:val="24"/>
                <w:szCs w:val="24"/>
                <w:highlight w:val="none"/>
              </w:rPr>
              <w:t>商务要求</w:t>
            </w:r>
            <w:r>
              <w:rPr>
                <w:rFonts w:hint="eastAsia" w:ascii="宋体" w:hAnsi="宋体" w:eastAsia="宋体" w:cs="宋体"/>
                <w:color w:val="auto"/>
                <w:spacing w:val="-6"/>
                <w:sz w:val="24"/>
                <w:szCs w:val="24"/>
                <w:highlight w:val="none"/>
              </w:rPr>
              <w:t>”中规定的质保期要求执行，时间自货物测试完毕及采购人验收合格之日起。（</w:t>
            </w:r>
            <w:r>
              <w:rPr>
                <w:rFonts w:hint="eastAsia" w:ascii="宋体" w:hAnsi="宋体" w:eastAsia="宋体" w:cs="宋体"/>
                <w:b/>
                <w:color w:val="auto"/>
                <w:spacing w:val="-6"/>
                <w:sz w:val="24"/>
                <w:szCs w:val="24"/>
                <w:highlight w:val="none"/>
              </w:rPr>
              <w:t>若参数中质保期大于“</w:t>
            </w: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商务要求</w:t>
            </w:r>
            <w:r>
              <w:rPr>
                <w:rFonts w:hint="eastAsia" w:ascii="宋体" w:hAnsi="宋体" w:eastAsia="宋体" w:cs="宋体"/>
                <w:b/>
                <w:color w:val="auto"/>
                <w:spacing w:val="-6"/>
                <w:sz w:val="24"/>
                <w:szCs w:val="24"/>
                <w:highlight w:val="none"/>
              </w:rPr>
              <w:t>”中规定的质保期要求的，以参数中明确的为准</w:t>
            </w:r>
            <w:r>
              <w:rPr>
                <w:rFonts w:hint="eastAsia" w:ascii="宋体" w:hAnsi="宋体" w:eastAsia="宋体" w:cs="宋体"/>
                <w:color w:val="auto"/>
                <w:spacing w:val="-6"/>
                <w:sz w:val="24"/>
                <w:szCs w:val="24"/>
                <w:highlight w:val="none"/>
              </w:rPr>
              <w:t>）在质保期内如发现质量问题，实行包修、包换、包退，直至产品符合质量要求。投标人应保证货物为全新、未使用过的原装正品，保证所提供的货物的外观和内在质量都无任何问题。如质量出现问题，中标人负责“三包”，费用由中标人负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中标人在产品保质期内，每年不少于2次定期上门对设备进行全面维护保养，保障设备正常运行。质保期满后，售后服务商应每半年不少于1次的主动回访，以便及时了解采购人的意见，迅速改变服务的不足之处。每年不少于1次实地巡检，及时掌握货物使用情况，以及货物的故障、缺陷情况，及时给予维修保养，并建立预警系统，保证售后服务及时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维修响应：中标人保证所供产品在质保期内因设备本身缺陷造成各种故障应由中标人免费提供技术服务和维修，若出现产品质量问题应能够在1小时内响应，2小时内提出解决方案，6小时内派维修人员到达现场维修，如需更换配件的，应在48小时内完成更换，对于维修期间超过10天的产品应提供备用产品供采购人使用。若中标人未能按时响应并完成维修的，采购人有权自行委托第三方维修或更换，采购人由此产生的费用由中标人全额承担，采购人并有权直接在未付中标人的款项中予以扣除。质保期满后，在接到用户需求后立即响应，对电话里不能解决的问题应在24 小时内到达现场；一般问题应在4小时内、重大问题应在24小时内解决或提出明确解决方案；如需更换配件的，应在48小时内完成更换。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8.投标人须在投标文件中对报修、维修响应和项目组成员做出承诺，保修、维修响应和项目组成员未按投标承诺履约的，每次按5000元或合同总价的2%向采购人支付违约金，两者金额相冲突的，以金额高的为准。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9.所提供的器材装备（包括核心部件）生产日期不得早于合同签订日期6个月以上。</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10.在质保期内，供应商负责为设备提供免费维修、保养。（此处所称维修保养，仅指供应商所供货物正常使用的保养或因本身质量缺陷造成维修，如因车辆交通事故或不可抗力造成的维修不在本条所列）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质保期外定期进行免费维护保养，服务商应提供制造商的服务技术规范，采购人可获得有关维修等级、所需时间、工时计算项目、配件价格的信息。如设备损坏需要更换配件，只收取配件成本费用，免工程师维修费和差旅等人工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供应商应提供24小时的电话服务，支持工程师提供专业技术服务。公开售后服务商的联系方式、公司名称、公司地址、邮政编码、公司主页、电子邮件、联系电话及传真，不断完善服务管理和拓展新的服务模式，接受采购人的监督和批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13.售后服务商应认真、完整、真实地填写保养、保修、维修记录，并经采购人盖章确认。采购人有权查阅保养、保修、维修记录。</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6"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14.</w:t>
            </w:r>
            <w:r>
              <w:rPr>
                <w:rFonts w:hint="eastAsia" w:ascii="宋体" w:hAnsi="宋体" w:eastAsia="宋体" w:cs="宋体"/>
                <w:color w:val="auto"/>
                <w:sz w:val="24"/>
                <w:szCs w:val="24"/>
                <w:highlight w:val="none"/>
              </w:rPr>
              <w:t>投标人应在投标文件中提供针对本项目的售后服务方案，服务方案内容至少包括服务承诺、服务体系、售后机构、响应时间等。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培训要求</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1.验收之前，如有必要，供应商应在供货后一个月内安排不少于两天时间为采购人提供使用培训和日常维管培训。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2.设备软件如有升级，供应商应安排免费专项培训保证采购人能继续正常使用。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3．供应商每年开展的例行性免费培训不得少于1次，培训地点、形式由采购人确定，并做到在整个货物使用寿命期间的技术咨询。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须对培训或售后服务做出承诺，承诺内容包括但不仅限于以下方面：负责提供采购人操作人员的使用培训，提供技术咨询，并在供货后一个月内组织人员对产品的使用、维护等方面进行现场指导，所产生的一切费用由投标人支付。若中标人违约，每次按5000元或合同总价的2%向采购人支付违约金，两者金额相冲突的，以金额高的为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5.投标人应在投标文件中提供针对本项目的培训方案。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交货时间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及地点</w:t>
            </w:r>
          </w:p>
        </w:tc>
        <w:tc>
          <w:tcPr>
            <w:tcW w:w="806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交货时间：合同签订</w:t>
            </w:r>
            <w:r>
              <w:rPr>
                <w:rFonts w:hint="eastAsia" w:ascii="宋体" w:hAnsi="宋体" w:eastAsia="宋体" w:cs="宋体"/>
                <w:b/>
                <w:color w:val="auto"/>
                <w:sz w:val="24"/>
                <w:szCs w:val="24"/>
                <w:highlight w:val="none"/>
                <w:lang w:val="en-US" w:eastAsia="zh-CN"/>
              </w:rPr>
              <w:t>之日起60</w:t>
            </w:r>
            <w:r>
              <w:rPr>
                <w:rFonts w:hint="eastAsia" w:ascii="宋体" w:hAnsi="宋体" w:eastAsia="宋体" w:cs="宋体"/>
                <w:b/>
                <w:color w:val="auto"/>
                <w:sz w:val="24"/>
                <w:szCs w:val="24"/>
                <w:highlight w:val="none"/>
              </w:rPr>
              <w:t>天</w:t>
            </w:r>
            <w:r>
              <w:rPr>
                <w:rFonts w:hint="eastAsia" w:ascii="宋体" w:hAnsi="宋体" w:eastAsia="宋体" w:cs="宋体"/>
                <w:b/>
                <w:color w:val="auto"/>
                <w:sz w:val="24"/>
                <w:szCs w:val="24"/>
                <w:highlight w:val="none"/>
                <w:lang w:val="en-US" w:eastAsia="zh-CN"/>
              </w:rPr>
              <w:t>完成</w:t>
            </w:r>
            <w:r>
              <w:rPr>
                <w:rFonts w:hint="eastAsia" w:ascii="宋体" w:hAnsi="宋体" w:eastAsia="宋体" w:cs="宋体"/>
                <w:b/>
                <w:color w:val="auto"/>
                <w:sz w:val="24"/>
                <w:szCs w:val="24"/>
                <w:highlight w:val="none"/>
              </w:rPr>
              <w:t>交货</w:t>
            </w:r>
            <w:r>
              <w:rPr>
                <w:rFonts w:hint="eastAsia" w:ascii="宋体" w:hAnsi="宋体" w:eastAsia="宋体" w:cs="宋体"/>
                <w:b/>
                <w:color w:val="auto"/>
                <w:spacing w:val="-6"/>
                <w:sz w:val="24"/>
                <w:szCs w:val="24"/>
                <w:highlight w:val="none"/>
              </w:rPr>
              <w:t>，交采购人验收。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地点：采购人指定地点（以合同为准）。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履约保证金</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8" w:firstLineChars="200"/>
              <w:textAlignment w:val="auto"/>
              <w:outlineLvl w:val="9"/>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1.</w:t>
            </w:r>
            <w:r>
              <w:rPr>
                <w:rFonts w:hint="eastAsia" w:ascii="宋体" w:hAnsi="宋体" w:eastAsia="宋体" w:cs="宋体"/>
                <w:b/>
                <w:color w:val="auto"/>
                <w:spacing w:val="-6"/>
                <w:sz w:val="24"/>
                <w:szCs w:val="24"/>
                <w:highlight w:val="none"/>
                <w:lang w:val="en-US" w:eastAsia="zh-CN"/>
              </w:rPr>
              <w:t>合同签订</w:t>
            </w:r>
            <w:r>
              <w:rPr>
                <w:rFonts w:hint="eastAsia" w:ascii="宋体" w:hAnsi="宋体" w:eastAsia="宋体" w:cs="宋体"/>
                <w:b/>
                <w:color w:val="auto"/>
                <w:spacing w:val="-6"/>
                <w:sz w:val="24"/>
                <w:szCs w:val="24"/>
                <w:highlight w:val="none"/>
              </w:rPr>
              <w:t>后7个工作日内,中标人向采购人支付中标价</w:t>
            </w:r>
            <w:r>
              <w:rPr>
                <w:rFonts w:hint="eastAsia" w:ascii="宋体" w:hAnsi="宋体" w:eastAsia="宋体" w:cs="宋体"/>
                <w:b/>
                <w:color w:val="auto"/>
                <w:spacing w:val="-6"/>
                <w:sz w:val="24"/>
                <w:szCs w:val="24"/>
                <w:highlight w:val="none"/>
                <w:lang w:val="en-US" w:eastAsia="zh-CN"/>
              </w:rPr>
              <w:t>2.5</w:t>
            </w:r>
            <w:r>
              <w:rPr>
                <w:rFonts w:hint="eastAsia" w:ascii="宋体" w:hAnsi="宋体" w:eastAsia="宋体" w:cs="宋体"/>
                <w:b/>
                <w:color w:val="auto"/>
                <w:spacing w:val="-6"/>
                <w:sz w:val="24"/>
                <w:szCs w:val="24"/>
                <w:highlight w:val="none"/>
              </w:rPr>
              <w:t>%的履约保证金（履约保证金以支票、汇票、本票、银行保函、转账等非现金形式提交）。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8" w:firstLineChars="200"/>
              <w:textAlignment w:val="auto"/>
              <w:outlineLvl w:val="9"/>
              <w:rPr>
                <w:rFonts w:hint="eastAsia" w:ascii="宋体" w:hAnsi="宋体" w:eastAsia="宋体" w:cs="宋体"/>
                <w:b/>
                <w:snapToGrid w:val="0"/>
                <w:color w:val="auto"/>
                <w:kern w:val="0"/>
                <w:sz w:val="24"/>
                <w:szCs w:val="24"/>
                <w:highlight w:val="none"/>
              </w:rPr>
            </w:pPr>
            <w:r>
              <w:rPr>
                <w:rFonts w:hint="eastAsia" w:ascii="宋体" w:hAnsi="宋体" w:eastAsia="宋体" w:cs="宋体"/>
                <w:b/>
                <w:color w:val="auto"/>
                <w:spacing w:val="-6"/>
                <w:sz w:val="24"/>
                <w:szCs w:val="24"/>
                <w:highlight w:val="none"/>
              </w:rPr>
              <w:t>2.履约保证金在</w:t>
            </w:r>
            <w:r>
              <w:rPr>
                <w:rFonts w:hint="eastAsia" w:ascii="宋体" w:hAnsi="宋体" w:eastAsia="宋体" w:cs="宋体"/>
                <w:b/>
                <w:color w:val="auto"/>
                <w:spacing w:val="-6"/>
                <w:sz w:val="24"/>
                <w:szCs w:val="24"/>
                <w:highlight w:val="none"/>
                <w:lang w:val="en-US" w:eastAsia="zh-CN"/>
              </w:rPr>
              <w:t>验收合格1年后</w:t>
            </w:r>
            <w:r>
              <w:rPr>
                <w:rFonts w:hint="eastAsia" w:ascii="宋体" w:hAnsi="宋体" w:eastAsia="宋体" w:cs="宋体"/>
                <w:b/>
                <w:color w:val="auto"/>
                <w:spacing w:val="-6"/>
                <w:sz w:val="24"/>
                <w:szCs w:val="24"/>
                <w:highlight w:val="none"/>
              </w:rPr>
              <w:t>后</w:t>
            </w:r>
            <w:r>
              <w:rPr>
                <w:rFonts w:hint="eastAsia" w:ascii="宋体" w:hAnsi="宋体" w:eastAsia="宋体" w:cs="宋体"/>
                <w:b/>
                <w:color w:val="auto"/>
                <w:spacing w:val="-6"/>
                <w:sz w:val="24"/>
                <w:szCs w:val="24"/>
                <w:highlight w:val="none"/>
                <w:lang w:val="en-US" w:eastAsia="zh-CN"/>
              </w:rPr>
              <w:t>凭《无质量疑义证明文件》</w:t>
            </w:r>
            <w:r>
              <w:rPr>
                <w:rFonts w:hint="eastAsia" w:ascii="宋体" w:hAnsi="宋体" w:eastAsia="宋体" w:cs="宋体"/>
                <w:b/>
                <w:color w:val="auto"/>
                <w:spacing w:val="-6"/>
                <w:sz w:val="24"/>
                <w:szCs w:val="24"/>
                <w:highlight w:val="none"/>
              </w:rPr>
              <w:t>，30天内全额无息退还。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付款条件</w:t>
            </w:r>
          </w:p>
        </w:tc>
        <w:tc>
          <w:tcPr>
            <w:tcW w:w="806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58"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pacing w:val="-6"/>
                <w:sz w:val="24"/>
                <w:szCs w:val="24"/>
                <w:highlight w:val="none"/>
              </w:rPr>
              <w:t>本合同签订之日起25个工作日内，在收到乙方根据甲方要求为甲方或甲方相关预算单位开具的等额有效发票后，甲方或甲方相关预算单位向乙方预付合同总金额的40%作为预付款；全部货物交货、经采购人验收合格并经采购人委托的第三方审价机构审计完成,凭《装备验收单》</w:t>
            </w:r>
            <w:r>
              <w:rPr>
                <w:rFonts w:hint="eastAsia" w:ascii="宋体" w:hAnsi="宋体" w:eastAsia="宋体" w:cs="宋体"/>
                <w:b/>
                <w:color w:val="auto"/>
                <w:spacing w:val="-6"/>
                <w:sz w:val="24"/>
                <w:szCs w:val="24"/>
                <w:highlight w:val="none"/>
                <w:lang w:val="en-US" w:eastAsia="zh-CN"/>
              </w:rPr>
              <w:t>和审计意见</w:t>
            </w:r>
            <w:r>
              <w:rPr>
                <w:rFonts w:hint="eastAsia" w:ascii="宋体" w:hAnsi="宋体" w:eastAsia="宋体" w:cs="宋体"/>
                <w:b/>
                <w:color w:val="auto"/>
                <w:spacing w:val="-6"/>
                <w:sz w:val="24"/>
                <w:szCs w:val="24"/>
                <w:highlight w:val="none"/>
              </w:rPr>
              <w:t>支付剩余合同金额。采购人凭中标人提供的等额有效发票进行付款。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及要求</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将严格按照政府采购相关法律法规、行业管理规定的要求进行验收，投标人应在投标文件中提供针对本项目的验收方案。对产品技术性能指标验收不合格的（包含所供货物与合同约定不一致的），采购人应督促中标人限期整改，整改期限原则上不超过30天，整改完成后进行复验，复验不合格的，采购人有权终止合同并没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制作RFID数字管理标签</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交货前，所有器材供货厂家须在应急管理部消防救援局消防装备物资信息采集系统（http://xfzb.119.gov.cn）录入符合本次招标采购要求的装备信息（包括车辆以及随车器材），根据本次招标要求的装备信息申请编码，并按照国家消防救援局和浙江省消防救援总队要求，制作RFID数字管理标签。中标人提供产品（包括车辆以及随车器材）要正确安装RFID标签并预先填写系统分配的RFID编码。供应商必须对上述要求在投标文件中做出承诺(格式自拟)，并且由此所产生的费用必须包含在投标报价内，供应商不提供相关承诺的，视为未实质性响应招标文件要求，投标无效。RFID标签的安装方案请联系浙江省消防救援装备物资综合保障平台客服人员，无法申请部局编码的产品也需要申请浙江消防救援装备物资综合保障平台编码。客服电话：13361648122，13022636979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其他要求</w:t>
            </w:r>
          </w:p>
        </w:tc>
        <w:tc>
          <w:tcPr>
            <w:tcW w:w="8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项目实施过程中，严格遵守国家相关保密与安全法律法规，遵循采购人各项安全保密制度和规章；工作人员对工作中涉及到的用户的数据、文件等任何资料进行保密。因工作人员的行为造成泄密等问题由中标人承担相应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2.所投产品须承诺不侵犯他人知识产权或专利，若侵犯他人知识产权或专利等所有法律问题，均由中标人负责。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3.▲对列入强制性认证产品目录中的产品须提供强制性认证证书（CCC证书）。</w:t>
            </w:r>
          </w:p>
        </w:tc>
      </w:tr>
    </w:tbl>
    <w:p>
      <w:pPr>
        <w:pStyle w:val="25"/>
        <w:rPr>
          <w:rFonts w:hint="eastAsia"/>
          <w:lang w:val="en-US" w:eastAsia="zh-CN"/>
        </w:rPr>
      </w:pPr>
    </w:p>
    <w:p>
      <w:pPr>
        <w:pStyle w:val="25"/>
        <w:rPr>
          <w:rFonts w:hint="eastAsia" w:ascii="宋体" w:hAnsi="宋体" w:cs="宋体"/>
          <w:b/>
          <w:color w:val="000000" w:themeColor="text1"/>
          <w:spacing w:val="-6"/>
          <w:sz w:val="24"/>
          <w:szCs w:val="24"/>
          <w:highlight w:val="none"/>
          <w:lang w:val="en-US" w:eastAsia="zh-CN"/>
          <w14:textFill>
            <w14:solidFill>
              <w14:schemeClr w14:val="tx1"/>
            </w14:solidFill>
          </w14:textFill>
        </w:rPr>
      </w:pPr>
    </w:p>
    <w:p>
      <w:pPr>
        <w:pStyle w:val="25"/>
        <w:rPr>
          <w:rFonts w:hint="eastAsia" w:ascii="宋体" w:hAnsi="宋体" w:cs="宋体"/>
          <w:b/>
          <w:color w:val="000000" w:themeColor="text1"/>
          <w:spacing w:val="-6"/>
          <w:sz w:val="24"/>
          <w:szCs w:val="24"/>
          <w:highlight w:val="none"/>
          <w:lang w:val="en-US" w:eastAsia="zh-CN"/>
          <w14:textFill>
            <w14:solidFill>
              <w14:schemeClr w14:val="tx1"/>
            </w14:solidFill>
          </w14:textFill>
        </w:rPr>
      </w:pPr>
    </w:p>
    <w:p>
      <w:pPr>
        <w:numPr>
          <w:ilvl w:val="0"/>
          <w:numId w:val="14"/>
        </w:numPr>
        <w:spacing w:line="240" w:lineRule="auto"/>
        <w:jc w:val="left"/>
        <w:outlineLvl w:val="9"/>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br w:type="page"/>
      </w:r>
    </w:p>
    <w:p>
      <w:pPr>
        <w:spacing w:line="288" w:lineRule="auto"/>
        <w:jc w:val="center"/>
        <w:outlineLvl w:val="0"/>
        <w:rPr>
          <w:rFonts w:hint="eastAsia" w:ascii="宋体" w:hAnsi="宋体" w:eastAsia="宋体" w:cs="宋体"/>
          <w:b/>
          <w:color w:val="000000" w:themeColor="text1"/>
          <w:spacing w:val="-6"/>
          <w:sz w:val="32"/>
          <w:szCs w:val="32"/>
          <w:highlight w:val="none"/>
          <w14:textFill>
            <w14:solidFill>
              <w14:schemeClr w14:val="tx1"/>
            </w14:solidFill>
          </w14:textFill>
        </w:rPr>
      </w:pPr>
      <w:r>
        <w:rPr>
          <w:rFonts w:hint="eastAsia" w:ascii="宋体" w:hAnsi="宋体" w:eastAsia="宋体" w:cs="宋体"/>
          <w:b/>
          <w:color w:val="000000" w:themeColor="text1"/>
          <w:spacing w:val="-6"/>
          <w:sz w:val="32"/>
          <w:szCs w:val="32"/>
          <w:highlight w:val="none"/>
          <w14:textFill>
            <w14:solidFill>
              <w14:schemeClr w14:val="tx1"/>
            </w14:solidFill>
          </w14:textFill>
        </w:rPr>
        <w:t>第四部分  评分办法及评分标准</w:t>
      </w:r>
      <w:bookmarkEnd w:id="10"/>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2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为公正、公平、科学地选择</w:t>
      </w:r>
      <w:r>
        <w:rPr>
          <w:rFonts w:hint="eastAsia" w:ascii="宋体" w:hAnsi="宋体" w:eastAsia="宋体" w:cs="宋体"/>
          <w:bCs/>
          <w:color w:val="000000" w:themeColor="text1"/>
          <w:spacing w:val="-6"/>
          <w:sz w:val="24"/>
          <w:szCs w:val="24"/>
          <w:highlight w:val="none"/>
          <w:lang w:eastAsia="zh-CN"/>
          <w14:textFill>
            <w14:solidFill>
              <w14:schemeClr w14:val="tx1"/>
            </w14:solidFill>
          </w14:textFill>
        </w:rPr>
        <w:t>中标人</w:t>
      </w:r>
      <w:r>
        <w:rPr>
          <w:rFonts w:hint="eastAsia" w:ascii="宋体" w:hAnsi="宋体" w:eastAsia="宋体" w:cs="宋体"/>
          <w:bCs/>
          <w:color w:val="000000" w:themeColor="text1"/>
          <w:spacing w:val="-6"/>
          <w:sz w:val="24"/>
          <w:szCs w:val="24"/>
          <w:highlight w:val="none"/>
          <w14:textFill>
            <w14:solidFill>
              <w14:schemeClr w14:val="tx1"/>
            </w14:solidFill>
          </w14:textFill>
        </w:rPr>
        <w:t>，根据有关法律法规的规定，并结合本项目的实际，制定本办法。</w:t>
      </w:r>
    </w:p>
    <w:p>
      <w:pPr>
        <w:keepNext w:val="0"/>
        <w:keepLines w:val="0"/>
        <w:pageBreakBefore w:val="0"/>
        <w:kinsoku/>
        <w:wordWrap/>
        <w:overflowPunct/>
        <w:topLinePunct w:val="0"/>
        <w:autoSpaceDE/>
        <w:autoSpaceDN/>
        <w:bidi w:val="0"/>
        <w:spacing w:line="360" w:lineRule="exact"/>
        <w:ind w:left="0" w:leftChars="0" w:right="0" w:rightChars="0"/>
        <w:outlineLvl w:val="1"/>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14:textFill>
            <w14:solidFill>
              <w14:schemeClr w14:val="tx1"/>
            </w14:solidFill>
          </w14:textFill>
        </w:rPr>
        <w:t>一、总则</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56" w:firstLineChars="20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本次评标采用</w:t>
      </w:r>
      <w:r>
        <w:rPr>
          <w:rFonts w:hint="eastAsia" w:ascii="宋体" w:hAnsi="宋体" w:eastAsia="宋体" w:cs="宋体"/>
          <w:b/>
          <w:color w:val="000000" w:themeColor="text1"/>
          <w:spacing w:val="-6"/>
          <w:sz w:val="24"/>
          <w:szCs w:val="24"/>
          <w:highlight w:val="none"/>
          <w14:textFill>
            <w14:solidFill>
              <w14:schemeClr w14:val="tx1"/>
            </w14:solidFill>
          </w14:textFill>
        </w:rPr>
        <w:t>综合评分法</w:t>
      </w:r>
      <w:r>
        <w:rPr>
          <w:rFonts w:hint="eastAsia" w:ascii="宋体" w:hAnsi="宋体" w:eastAsia="宋体" w:cs="宋体"/>
          <w:bCs/>
          <w:color w:val="000000" w:themeColor="text1"/>
          <w:spacing w:val="-6"/>
          <w:sz w:val="24"/>
          <w:szCs w:val="24"/>
          <w:highlight w:val="none"/>
          <w14:textFill>
            <w14:solidFill>
              <w14:schemeClr w14:val="tx1"/>
            </w14:solidFill>
          </w14:textFill>
        </w:rPr>
        <w:t>，总分为100分。合格投标人的评标得分为各项目汇总得分，中标候选资格按评标得分由高到低顺序排列，得分相同的，按投标报价得分由高到低顺序排列；得分且投标报价相同的，按技术得分由高到低顺序排列。排名第一的投标人为</w:t>
      </w:r>
      <w:r>
        <w:rPr>
          <w:rFonts w:hint="eastAsia" w:ascii="宋体" w:hAnsi="宋体" w:cs="宋体"/>
          <w:bCs/>
          <w:color w:val="000000" w:themeColor="text1"/>
          <w:spacing w:val="-6"/>
          <w:sz w:val="24"/>
          <w:szCs w:val="24"/>
          <w:highlight w:val="none"/>
          <w:lang w:eastAsia="zh-CN"/>
          <w14:textFill>
            <w14:solidFill>
              <w14:schemeClr w14:val="tx1"/>
            </w14:solidFill>
          </w14:textFill>
        </w:rPr>
        <w:t>中标候选人</w:t>
      </w:r>
      <w:r>
        <w:rPr>
          <w:rFonts w:hint="eastAsia" w:ascii="宋体" w:hAnsi="宋体" w:eastAsia="宋体" w:cs="宋体"/>
          <w:bCs/>
          <w:color w:val="000000" w:themeColor="text1"/>
          <w:spacing w:val="-6"/>
          <w:sz w:val="24"/>
          <w:szCs w:val="24"/>
          <w:highlight w:val="none"/>
          <w:lang w:eastAsia="zh-CN"/>
          <w14:textFill>
            <w14:solidFill>
              <w14:schemeClr w14:val="tx1"/>
            </w14:solidFill>
          </w14:textFill>
        </w:rPr>
        <w:t>。</w:t>
      </w:r>
      <w:r>
        <w:rPr>
          <w:rFonts w:hint="eastAsia" w:ascii="宋体" w:hAnsi="宋体" w:eastAsia="宋体" w:cs="宋体"/>
          <w:bCs/>
          <w:color w:val="000000" w:themeColor="text1"/>
          <w:spacing w:val="-6"/>
          <w:sz w:val="24"/>
          <w:szCs w:val="24"/>
          <w:highlight w:val="none"/>
          <w14:textFill>
            <w14:solidFill>
              <w14:schemeClr w14:val="tx1"/>
            </w14:solidFill>
          </w14:textFill>
        </w:rPr>
        <w:t>评分过程中采用四舍五入法，并保留小数2位。</w:t>
      </w:r>
    </w:p>
    <w:p>
      <w:pPr>
        <w:keepNext w:val="0"/>
        <w:keepLines w:val="0"/>
        <w:pageBreakBefore w:val="0"/>
        <w:kinsoku/>
        <w:wordWrap/>
        <w:overflowPunct/>
        <w:topLinePunct w:val="0"/>
        <w:autoSpaceDE/>
        <w:autoSpaceDN/>
        <w:bidi w:val="0"/>
        <w:spacing w:line="360" w:lineRule="exact"/>
        <w:ind w:left="0" w:leftChars="0" w:right="0" w:rightChars="0" w:firstLine="458" w:firstLineChars="200"/>
        <w:outlineLvl w:val="1"/>
        <w:rPr>
          <w:rFonts w:hint="eastAsia" w:ascii="宋体" w:hAnsi="宋体" w:cs="宋体"/>
          <w:b/>
          <w:color w:val="000000" w:themeColor="text1"/>
          <w:spacing w:val="-6"/>
          <w:sz w:val="24"/>
          <w:szCs w:val="24"/>
          <w:highlight w:val="none"/>
          <w:lang w:val="en-US" w:eastAsia="zh-CN"/>
          <w14:textFill>
            <w14:solidFill>
              <w14:schemeClr w14:val="tx1"/>
            </w14:solidFill>
          </w14:textFill>
        </w:rPr>
      </w:pPr>
      <w:r>
        <w:rPr>
          <w:rFonts w:hint="eastAsia" w:ascii="宋体" w:hAnsi="宋体" w:cs="宋体"/>
          <w:b/>
          <w:color w:val="000000" w:themeColor="text1"/>
          <w:spacing w:val="-6"/>
          <w:sz w:val="24"/>
          <w:szCs w:val="24"/>
          <w:highlight w:val="none"/>
          <w:lang w:val="en-US" w:eastAsia="zh-CN"/>
          <w14:textFill>
            <w14:solidFill>
              <w14:schemeClr w14:val="tx1"/>
            </w14:solidFill>
          </w14:textFill>
        </w:rPr>
        <w:t>总得分=商务技术分+价格分</w:t>
      </w:r>
    </w:p>
    <w:p>
      <w:pPr>
        <w:keepNext w:val="0"/>
        <w:keepLines w:val="0"/>
        <w:pageBreakBefore w:val="0"/>
        <w:kinsoku/>
        <w:wordWrap/>
        <w:overflowPunct/>
        <w:topLinePunct w:val="0"/>
        <w:autoSpaceDE/>
        <w:autoSpaceDN/>
        <w:bidi w:val="0"/>
        <w:spacing w:line="360" w:lineRule="exact"/>
        <w:ind w:left="0" w:leftChars="0" w:right="0" w:rightChars="0" w:firstLine="458" w:firstLineChars="200"/>
        <w:outlineLvl w:val="1"/>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14:textFill>
            <w14:solidFill>
              <w14:schemeClr w14:val="tx1"/>
            </w14:solidFill>
          </w14:textFill>
        </w:rPr>
        <w:t>二、评标内容及标准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58" w:firstLineChars="200"/>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14:textFill>
            <w14:solidFill>
              <w14:schemeClr w14:val="tx1"/>
            </w14:solidFill>
          </w14:textFill>
        </w:rPr>
        <w:t>1</w:t>
      </w:r>
      <w:r>
        <w:rPr>
          <w:rFonts w:hint="eastAsia" w:ascii="宋体" w:hAnsi="宋体" w:cs="宋体"/>
          <w:b/>
          <w:color w:val="000000" w:themeColor="text1"/>
          <w:spacing w:val="-6"/>
          <w:sz w:val="24"/>
          <w:szCs w:val="24"/>
          <w:highlight w:val="none"/>
          <w:lang w:eastAsia="zh-CN"/>
          <w14:textFill>
            <w14:solidFill>
              <w14:schemeClr w14:val="tx1"/>
            </w14:solidFill>
          </w14:textFill>
        </w:rPr>
        <w:t>.</w:t>
      </w:r>
      <w:r>
        <w:rPr>
          <w:rFonts w:hint="eastAsia" w:ascii="宋体" w:hAnsi="宋体" w:eastAsia="宋体" w:cs="宋体"/>
          <w:b/>
          <w:color w:val="000000" w:themeColor="text1"/>
          <w:spacing w:val="-6"/>
          <w:sz w:val="24"/>
          <w:szCs w:val="24"/>
          <w:highlight w:val="none"/>
          <w14:textFill>
            <w14:solidFill>
              <w14:schemeClr w14:val="tx1"/>
            </w14:solidFill>
          </w14:textFill>
        </w:rPr>
        <w:t>价格</w:t>
      </w:r>
      <w:r>
        <w:rPr>
          <w:rFonts w:hint="eastAsia" w:ascii="宋体" w:hAnsi="宋体" w:cs="宋体"/>
          <w:b/>
          <w:color w:val="000000" w:themeColor="text1"/>
          <w:spacing w:val="-6"/>
          <w:sz w:val="24"/>
          <w:szCs w:val="24"/>
          <w:highlight w:val="none"/>
          <w:lang w:val="en-US" w:eastAsia="zh-CN"/>
          <w14:textFill>
            <w14:solidFill>
              <w14:schemeClr w14:val="tx1"/>
            </w14:solidFill>
          </w14:textFill>
        </w:rPr>
        <w:t>分</w:t>
      </w:r>
      <w:r>
        <w:rPr>
          <w:rFonts w:hint="eastAsia" w:ascii="宋体" w:hAnsi="宋体" w:eastAsia="宋体" w:cs="宋体"/>
          <w:b/>
          <w:color w:val="000000" w:themeColor="text1"/>
          <w:spacing w:val="-6"/>
          <w:sz w:val="24"/>
          <w:szCs w:val="24"/>
          <w:highlight w:val="none"/>
          <w14:textFill>
            <w14:solidFill>
              <w14:schemeClr w14:val="tx1"/>
            </w14:solidFill>
          </w14:textFill>
        </w:rPr>
        <w:t>（30分）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56" w:firstLineChars="200"/>
        <w:rPr>
          <w:rFonts w:hint="eastAsia" w:ascii="宋体" w:hAnsi="宋体" w:eastAsia="宋体" w:cs="宋体"/>
          <w:bCs/>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报价的合理性：分析总报价及各个分项报价是否合理，报价范围是否完整，有否重大错漏项，评标委员会认为投标报价出现异常时，有权要求投标人在评标期间对投标报价的详细组成和投标产品的供应渠道等事项作出解释和澄清，并确认其投标报价是否有效</w:t>
      </w:r>
      <w:bookmarkStart w:id="11" w:name="_Toc345320402"/>
      <w:r>
        <w:rPr>
          <w:rFonts w:hint="eastAsia" w:ascii="宋体" w:hAnsi="宋体" w:eastAsia="宋体" w:cs="宋体"/>
          <w:bCs/>
          <w:color w:val="000000" w:themeColor="text1"/>
          <w:spacing w:val="-6"/>
          <w:sz w:val="24"/>
          <w:szCs w:val="24"/>
          <w:highlight w:val="none"/>
          <w:lang w:eastAsia="zh-CN"/>
          <w14:textFill>
            <w14:solidFill>
              <w14:schemeClr w14:val="tx1"/>
            </w14:solidFill>
          </w14:textFill>
        </w:rPr>
        <w:t>；</w:t>
      </w:r>
      <w:r>
        <w:rPr>
          <w:rFonts w:hint="eastAsia" w:ascii="宋体" w:hAnsi="宋体" w:eastAsia="宋体" w:cs="宋体"/>
          <w:bCs/>
          <w:color w:val="000000" w:themeColor="text1"/>
          <w:spacing w:val="-6"/>
          <w:sz w:val="24"/>
          <w:szCs w:val="24"/>
          <w:highlight w:val="none"/>
          <w:lang w:val="en-US" w:eastAsia="zh-CN"/>
          <w14:textFill>
            <w14:solidFill>
              <w14:schemeClr w14:val="tx1"/>
            </w14:solidFill>
          </w14:textFill>
        </w:rPr>
        <w:t>投标人不能证明其报价合理性的，评标委员会应当将其作为无效投标处理。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58" w:firstLineChars="200"/>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bCs w:val="0"/>
          <w:color w:val="000000" w:themeColor="text1"/>
          <w:spacing w:val="-6"/>
          <w:sz w:val="24"/>
          <w:szCs w:val="24"/>
          <w:highlight w:val="none"/>
          <w:lang w:val="en-US" w:eastAsia="zh-CN"/>
          <w14:textFill>
            <w14:solidFill>
              <w14:schemeClr w14:val="tx1"/>
            </w14:solidFill>
          </w14:textFill>
        </w:rPr>
        <w:t>2</w:t>
      </w:r>
      <w:r>
        <w:rPr>
          <w:rFonts w:hint="eastAsia" w:ascii="宋体" w:hAnsi="宋体" w:cs="宋体"/>
          <w:b/>
          <w:bCs w:val="0"/>
          <w:color w:val="000000" w:themeColor="text1"/>
          <w:spacing w:val="-6"/>
          <w:sz w:val="24"/>
          <w:szCs w:val="24"/>
          <w:highlight w:val="none"/>
          <w:lang w:val="en-US" w:eastAsia="zh-CN"/>
          <w14:textFill>
            <w14:solidFill>
              <w14:schemeClr w14:val="tx1"/>
            </w14:solidFill>
          </w14:textFill>
        </w:rPr>
        <w:t>.</w:t>
      </w:r>
      <w:r>
        <w:rPr>
          <w:rFonts w:hint="eastAsia" w:ascii="宋体" w:hAnsi="宋体" w:eastAsia="宋体" w:cs="宋体"/>
          <w:b/>
          <w:bCs w:val="0"/>
          <w:color w:val="000000" w:themeColor="text1"/>
          <w:spacing w:val="-6"/>
          <w:sz w:val="24"/>
          <w:szCs w:val="24"/>
          <w:highlight w:val="none"/>
          <w14:textFill>
            <w14:solidFill>
              <w14:schemeClr w14:val="tx1"/>
            </w14:solidFill>
          </w14:textFill>
        </w:rPr>
        <w:t>商务</w:t>
      </w:r>
      <w:r>
        <w:rPr>
          <w:rFonts w:hint="eastAsia" w:ascii="宋体" w:hAnsi="宋体" w:eastAsia="宋体" w:cs="宋体"/>
          <w:b/>
          <w:color w:val="000000" w:themeColor="text1"/>
          <w:spacing w:val="-6"/>
          <w:sz w:val="24"/>
          <w:szCs w:val="24"/>
          <w:highlight w:val="none"/>
          <w14:textFill>
            <w14:solidFill>
              <w14:schemeClr w14:val="tx1"/>
            </w14:solidFill>
          </w14:textFill>
        </w:rPr>
        <w:t>技术</w:t>
      </w:r>
      <w:bookmarkEnd w:id="11"/>
      <w:r>
        <w:rPr>
          <w:rFonts w:hint="eastAsia" w:ascii="宋体" w:hAnsi="宋体" w:cs="宋体"/>
          <w:b/>
          <w:color w:val="000000" w:themeColor="text1"/>
          <w:spacing w:val="-6"/>
          <w:sz w:val="24"/>
          <w:szCs w:val="24"/>
          <w:highlight w:val="none"/>
          <w:lang w:val="en-US" w:eastAsia="zh-CN"/>
          <w14:textFill>
            <w14:solidFill>
              <w14:schemeClr w14:val="tx1"/>
            </w14:solidFill>
          </w14:textFill>
        </w:rPr>
        <w:t>分</w:t>
      </w:r>
      <w:r>
        <w:rPr>
          <w:rFonts w:hint="eastAsia" w:ascii="宋体" w:hAnsi="宋体" w:eastAsia="宋体" w:cs="宋体"/>
          <w:b/>
          <w:color w:val="000000" w:themeColor="text1"/>
          <w:spacing w:val="-6"/>
          <w:sz w:val="24"/>
          <w:szCs w:val="24"/>
          <w:highlight w:val="none"/>
          <w14:textFill>
            <w14:solidFill>
              <w14:schemeClr w14:val="tx1"/>
            </w14:solidFill>
          </w14:textFill>
        </w:rPr>
        <w:t>（70分）</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56"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该评分分值由评标委员会根据评审情况在分值范围内独立打分（具体分值设定详见表格），小数点后保留一位小数。每个投标人的最终得分为评标委员会打分汇总后的算术平均值（小数点后保留二位小数，第三位四舍五入）</w:t>
      </w:r>
      <w:r>
        <w:rPr>
          <w:rFonts w:hint="eastAsia" w:ascii="宋体" w:hAnsi="宋体" w:eastAsia="宋体" w:cs="宋体"/>
          <w:bCs/>
          <w:color w:val="000000" w:themeColor="text1"/>
          <w:spacing w:val="-6"/>
          <w:sz w:val="24"/>
          <w:szCs w:val="24"/>
          <w:highlight w:val="none"/>
          <w:lang w:eastAsia="zh-CN"/>
          <w14:textFill>
            <w14:solidFill>
              <w14:schemeClr w14:val="tx1"/>
            </w14:solidFill>
          </w14:textFill>
        </w:rPr>
        <w:t>。</w:t>
      </w:r>
    </w:p>
    <w:tbl>
      <w:tblPr>
        <w:tblStyle w:val="40"/>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710"/>
        <w:gridCol w:w="7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评审因素</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分值</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9645" w:type="dxa"/>
            <w:gridSpan w:val="3"/>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2" w:hRule="atLeast"/>
        </w:trPr>
        <w:tc>
          <w:tcPr>
            <w:tcW w:w="14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投标报价</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0-30</w:t>
            </w:r>
          </w:p>
        </w:tc>
        <w:tc>
          <w:tcPr>
            <w:tcW w:w="74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报价分计算方法：根据各投标人的有效投标报价，以满足招标文件要求且有效投标价格的最低的投标报价为评标基准价，其价格分为30分。其他投标人的价格分统一按照下列公式计算：投标报价得分＝(评标基准价/有效投标报价)×价格权值×100(精确到小数点后二位，由采购机构当场统一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9645" w:type="dxa"/>
            <w:gridSpan w:val="3"/>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商务分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质保期</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0-2</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质保期</w:t>
            </w:r>
            <w:r>
              <w:rPr>
                <w:rFonts w:hint="eastAsia" w:ascii="宋体" w:hAnsi="宋体" w:eastAsia="宋体" w:cs="宋体"/>
                <w:color w:val="000000" w:themeColor="text1"/>
                <w:sz w:val="24"/>
                <w:szCs w:val="24"/>
                <w:highlight w:val="none"/>
                <w:lang w:val="en-US" w:eastAsia="zh-CN"/>
                <w14:textFill>
                  <w14:solidFill>
                    <w14:schemeClr w14:val="tx1"/>
                  </w14:solidFill>
                </w14:textFill>
              </w:rPr>
              <w:t>在招标文件要求的基础上，</w:t>
            </w:r>
            <w:r>
              <w:rPr>
                <w:rFonts w:hint="eastAsia" w:ascii="宋体" w:hAnsi="宋体" w:eastAsia="宋体" w:cs="宋体"/>
                <w:color w:val="000000" w:themeColor="text1"/>
                <w:kern w:val="2"/>
                <w:sz w:val="24"/>
                <w:szCs w:val="24"/>
                <w:highlight w:val="none"/>
                <w14:textFill>
                  <w14:solidFill>
                    <w14:schemeClr w14:val="tx1"/>
                  </w14:solidFill>
                </w14:textFill>
              </w:rPr>
              <w:t>每增加半年得0.5分，最高得2分。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业绩</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0-3</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lang w:val="en-US" w:eastAsia="zh-CN"/>
                <w14:textFill>
                  <w14:solidFill>
                    <w14:schemeClr w14:val="tx1"/>
                  </w14:solidFill>
                </w14:textFill>
              </w:rPr>
              <w:t>自202</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年01月01以来</w:t>
            </w:r>
            <w:r>
              <w:rPr>
                <w:rFonts w:hint="eastAsia" w:ascii="宋体" w:hAnsi="宋体" w:eastAsia="宋体" w:cs="宋体"/>
                <w:color w:val="000000" w:themeColor="text1"/>
                <w:sz w:val="24"/>
                <w:highlight w:val="none"/>
                <w14:textFill>
                  <w14:solidFill>
                    <w14:schemeClr w14:val="tx1"/>
                  </w14:solidFill>
                </w14:textFill>
              </w:rPr>
              <w:t>承接过标项对应产品（多产品的标项指核心产品）相关业绩，每提供1个得0.5分，最高得3分。</w:t>
            </w:r>
          </w:p>
          <w:p>
            <w:pPr>
              <w:keepNext w:val="0"/>
              <w:keepLines w:val="0"/>
              <w:widowControl w:val="0"/>
              <w:suppressLineNumbers w:val="0"/>
              <w:adjustRightInd/>
              <w:snapToGrid/>
              <w:spacing w:before="0" w:beforeLines="0" w:beforeAutospacing="0" w:after="0" w:afterLines="0" w:afterAutospacing="0" w:line="360" w:lineRule="exact"/>
              <w:ind w:left="0" w:right="0"/>
              <w:jc w:val="both"/>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注</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 1..须同时提供每个业绩的合同复印件以及投标人与合同需求方转账凭证复印件及发票复印件（转账凭证及发票金额应超过合同金额的9</w:t>
            </w:r>
            <w:r>
              <w:rPr>
                <w:rFonts w:hint="eastAsia" w:ascii="宋体" w:hAnsi="宋体" w:cs="宋体"/>
                <w:color w:val="000000" w:themeColor="text1"/>
                <w:kern w:val="2"/>
                <w:sz w:val="24"/>
                <w:szCs w:val="24"/>
                <w:highlight w:val="none"/>
                <w:lang w:val="en-US" w:eastAsia="zh-CN"/>
                <w14:textFill>
                  <w14:solidFill>
                    <w14:schemeClr w14:val="tx1"/>
                  </w14:solidFill>
                </w14:textFill>
              </w:rPr>
              <w:t>0</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%），否则不予认可</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2.统招分签的合同按</w:t>
            </w:r>
            <w:r>
              <w:rPr>
                <w:rFonts w:hint="eastAsia" w:ascii="宋体" w:hAnsi="宋体" w:eastAsia="宋体" w:cs="宋体"/>
                <w:color w:val="000000" w:themeColor="text1"/>
                <w:sz w:val="24"/>
                <w:highlight w:val="none"/>
                <w14:textFill>
                  <w14:solidFill>
                    <w14:schemeClr w14:val="tx1"/>
                  </w14:solidFill>
                </w14:textFill>
              </w:rPr>
              <w:t>一个合同业绩计。</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2"/>
                <w:sz w:val="24"/>
                <w:szCs w:val="24"/>
                <w:highlight w:val="none"/>
                <w14:textFill>
                  <w14:solidFill>
                    <w14:schemeClr w14:val="tx1"/>
                  </w14:solidFill>
                </w14:textFill>
              </w:rPr>
              <w:t>如一个标项中包含多个产品的，以提供核心产品的业绩为准</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商务要求响应（满足）程度</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0-4</w:t>
            </w:r>
          </w:p>
        </w:tc>
        <w:tc>
          <w:tcPr>
            <w:tcW w:w="7493" w:type="dxa"/>
            <w:vAlign w:val="center"/>
          </w:tcPr>
          <w:p>
            <w:pPr>
              <w:pStyle w:val="122"/>
              <w:keepNext w:val="0"/>
              <w:keepLines w:val="0"/>
              <w:suppressLineNumbers w:val="0"/>
              <w:tabs>
                <w:tab w:val="left" w:pos="2750"/>
              </w:tabs>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满足招标文件《第</w:t>
            </w:r>
            <w:r>
              <w:rPr>
                <w:rFonts w:hint="eastAsia" w:ascii="宋体" w:hAnsi="宋体" w:eastAsia="宋体" w:cs="宋体"/>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章</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内容及需求》“</w:t>
            </w:r>
            <w:r>
              <w:rPr>
                <w:rFonts w:hint="eastAsia" w:ascii="宋体" w:hAnsi="宋体" w:eastAsia="宋体" w:cs="宋体"/>
                <w:b/>
                <w:color w:val="000000" w:themeColor="text1"/>
                <w:sz w:val="24"/>
                <w:szCs w:val="24"/>
                <w:highlight w:val="none"/>
                <w14:textFill>
                  <w14:solidFill>
                    <w14:schemeClr w14:val="tx1"/>
                  </w14:solidFill>
                </w14:textFill>
              </w:rPr>
              <w:t>商务要求</w:t>
            </w:r>
            <w:r>
              <w:rPr>
                <w:rFonts w:hint="eastAsia" w:ascii="宋体" w:hAnsi="宋体" w:eastAsia="宋体" w:cs="宋体"/>
                <w:color w:val="000000" w:themeColor="text1"/>
                <w:sz w:val="24"/>
                <w:szCs w:val="24"/>
                <w:highlight w:val="none"/>
                <w14:textFill>
                  <w14:solidFill>
                    <w14:schemeClr w14:val="tx1"/>
                  </w14:solidFill>
                </w14:textFill>
              </w:rPr>
              <w:t>”和《</w:t>
            </w:r>
            <w:r>
              <w:rPr>
                <w:rFonts w:hint="eastAsia" w:ascii="宋体" w:hAnsi="宋体" w:eastAsia="宋体" w:cs="宋体"/>
                <w:b/>
                <w:bCs/>
                <w:color w:val="000000" w:themeColor="text1"/>
                <w:sz w:val="24"/>
                <w:szCs w:val="24"/>
                <w:highlight w:val="none"/>
                <w14:textFill>
                  <w14:solidFill>
                    <w14:schemeClr w14:val="tx1"/>
                  </w14:solidFill>
                </w14:textFill>
              </w:rPr>
              <w:t>第</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14:textFill>
                  <w14:solidFill>
                    <w14:schemeClr w14:val="tx1"/>
                  </w14:solidFill>
                </w14:textFill>
              </w:rPr>
              <w:t>章</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合同条款</w:t>
            </w:r>
            <w:r>
              <w:rPr>
                <w:rFonts w:hint="eastAsia" w:ascii="宋体" w:hAnsi="宋体" w:eastAsia="宋体" w:cs="宋体"/>
                <w:color w:val="000000" w:themeColor="text1"/>
                <w:sz w:val="24"/>
                <w:szCs w:val="24"/>
                <w:highlight w:val="none"/>
                <w14:textFill>
                  <w14:solidFill>
                    <w14:schemeClr w14:val="tx1"/>
                  </w14:solidFill>
                </w14:textFill>
              </w:rPr>
              <w:t>》中所有要求的得</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分，每负偏离一项扣 2分，扣至 0 分为止。</w:t>
            </w:r>
          </w:p>
          <w:p>
            <w:pPr>
              <w:keepNext w:val="0"/>
              <w:keepLines w:val="0"/>
              <w:widowControl w:val="0"/>
              <w:suppressLineNumbers w:val="0"/>
              <w:adjustRightInd/>
              <w:snapToGrid/>
              <w:spacing w:before="0" w:beforeLines="0" w:beforeAutospacing="0" w:after="0" w:afterLines="0" w:afterAutospacing="0" w:line="360" w:lineRule="exact"/>
              <w:ind w:left="0" w:right="0" w:firstLine="482" w:firstLineChars="200"/>
              <w:jc w:val="both"/>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w:t>
            </w:r>
            <w:r>
              <w:rPr>
                <w:rFonts w:hint="eastAsia" w:ascii="宋体" w:hAnsi="宋体" w:eastAsia="宋体" w:cs="宋体"/>
                <w:b w:val="0"/>
                <w:color w:val="000000" w:themeColor="text1"/>
                <w:kern w:val="2"/>
                <w:sz w:val="24"/>
                <w:szCs w:val="24"/>
                <w:highlight w:val="none"/>
                <w:lang w:val="en-US" w:eastAsia="zh-CN" w:bidi="ar-SA"/>
                <w14:textFill>
                  <w14:solidFill>
                    <w14:schemeClr w14:val="tx1"/>
                  </w14:solidFill>
                </w14:textFill>
              </w:rPr>
              <w:t>商务要求响应程度中未满足招标文件标注“▲”的实质性要求（条款）的，该供应商的投标文件将被视为无效；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9645" w:type="dxa"/>
            <w:gridSpan w:val="3"/>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技术分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技术方案</w:t>
            </w:r>
            <w:r>
              <w:rPr>
                <w:rFonts w:hint="eastAsia" w:ascii="宋体" w:hAnsi="宋体" w:eastAsia="宋体" w:cs="宋体"/>
                <w:b/>
                <w:bCs/>
                <w:color w:val="000000" w:themeColor="text1"/>
                <w:kern w:val="2"/>
                <w:sz w:val="24"/>
                <w:szCs w:val="24"/>
                <w:highlight w:val="none"/>
                <w14:textFill>
                  <w14:solidFill>
                    <w14:schemeClr w14:val="tx1"/>
                  </w14:solidFill>
                </w14:textFill>
              </w:rPr>
              <w:t>实施计划</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35</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经评标委员会认定</w:t>
            </w:r>
            <w:r>
              <w:rPr>
                <w:rFonts w:hint="eastAsia" w:ascii="宋体" w:hAnsi="宋体" w:eastAsia="宋体" w:cs="宋体"/>
                <w:color w:val="000000" w:themeColor="text1"/>
                <w:kern w:val="2"/>
                <w:sz w:val="24"/>
                <w:szCs w:val="24"/>
                <w:highlight w:val="none"/>
                <w14:textFill>
                  <w14:solidFill>
                    <w14:schemeClr w14:val="tx1"/>
                  </w14:solidFill>
                </w14:textFill>
              </w:rPr>
              <w:t>满足或明显优于招标文件明确的全部技术条款要求的得</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35</w:t>
            </w:r>
            <w:r>
              <w:rPr>
                <w:rFonts w:hint="eastAsia" w:ascii="宋体" w:hAnsi="宋体" w:eastAsia="宋体" w:cs="宋体"/>
                <w:color w:val="000000" w:themeColor="text1"/>
                <w:kern w:val="2"/>
                <w:sz w:val="24"/>
                <w:szCs w:val="24"/>
                <w:highlight w:val="none"/>
                <w14:textFill>
                  <w14:solidFill>
                    <w14:schemeClr w14:val="tx1"/>
                  </w14:solidFill>
                </w14:textFill>
              </w:rPr>
              <w:t>分，允许偏离的技术条款低于技术要求（负偏离）的</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一</w:t>
            </w:r>
            <w:r>
              <w:rPr>
                <w:rFonts w:hint="eastAsia" w:ascii="宋体" w:hAnsi="宋体" w:eastAsia="宋体" w:cs="宋体"/>
                <w:color w:val="000000" w:themeColor="text1"/>
                <w:kern w:val="2"/>
                <w:sz w:val="24"/>
                <w:szCs w:val="24"/>
                <w:highlight w:val="none"/>
                <w14:textFill>
                  <w14:solidFill>
                    <w14:schemeClr w14:val="tx1"/>
                  </w14:solidFill>
                </w14:textFill>
              </w:rPr>
              <w:t>项扣</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2"/>
                <w:sz w:val="24"/>
                <w:szCs w:val="24"/>
                <w:highlight w:val="none"/>
                <w14:textFill>
                  <w14:solidFill>
                    <w14:schemeClr w14:val="tx1"/>
                  </w14:solidFill>
                </w14:textFill>
              </w:rPr>
              <w:t>分，扣完为止。</w:t>
            </w:r>
            <w:r>
              <w:rPr>
                <w:rFonts w:hint="eastAsia" w:ascii="宋体" w:hAnsi="宋体" w:eastAsia="宋体" w:cs="宋体"/>
                <w:color w:val="000000" w:themeColor="text1"/>
                <w:kern w:val="2"/>
                <w:sz w:val="24"/>
                <w:szCs w:val="24"/>
                <w:highlight w:val="none"/>
                <w:lang w:eastAsia="zh-CN"/>
                <w14:textFill>
                  <w14:solidFill>
                    <w14:schemeClr w14:val="tx1"/>
                  </w14:solidFill>
                </w14:textFill>
              </w:rPr>
              <w:t>（未提供或经评标委员会评定不符合本项目要求的不得分。如一个标项中包含多个产品的，以提供核心产品的检测报告为准</w:t>
            </w: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）。每条技术参数响应不得照抄采购需求，应明确本投标产品具体参数且提供对应的佐证材料，佐证材料包括但不限于检测报告、产品彩页等</w:t>
            </w:r>
            <w:r>
              <w:rPr>
                <w:rFonts w:hint="eastAsia" w:ascii="宋体" w:hAnsi="宋体" w:eastAsia="宋体" w:cs="宋体"/>
                <w:color w:val="000000" w:themeColor="text1"/>
                <w:kern w:val="2"/>
                <w:sz w:val="24"/>
                <w:szCs w:val="24"/>
                <w:highlight w:val="none"/>
                <w:lang w:eastAsia="zh-CN"/>
                <w14:textFill>
                  <w14:solidFill>
                    <w14:schemeClr w14:val="tx1"/>
                  </w14:solidFill>
                </w14:textFill>
              </w:rPr>
              <w:t>）</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备注：</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凡标有最低一级序号的指标项即为一项技术条款，无论是否隶属于上一级编号。（例如1.1 1.2视为两项技术条款）</w:t>
            </w:r>
            <w:r>
              <w:rPr>
                <w:rFonts w:hint="eastAsia" w:ascii="宋体" w:hAnsi="宋体" w:eastAsia="宋体" w:cs="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项目理解</w:t>
            </w: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和</w:t>
            </w:r>
            <w:r>
              <w:rPr>
                <w:rFonts w:hint="eastAsia" w:ascii="宋体" w:hAnsi="宋体" w:eastAsia="宋体" w:cs="宋体"/>
                <w:b/>
                <w:bCs/>
                <w:color w:val="000000" w:themeColor="text1"/>
                <w:kern w:val="2"/>
                <w:sz w:val="24"/>
                <w:szCs w:val="24"/>
                <w:highlight w:val="none"/>
                <w14:textFill>
                  <w14:solidFill>
                    <w14:schemeClr w14:val="tx1"/>
                  </w14:solidFill>
                </w14:textFill>
              </w:rPr>
              <w:t>分析</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w:t>
            </w: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4</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b w:val="0"/>
                <w:bCs w:val="0"/>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2"/>
                <w:sz w:val="24"/>
                <w:szCs w:val="24"/>
                <w:highlight w:val="none"/>
                <w14:textFill>
                  <w14:solidFill>
                    <w14:schemeClr w14:val="tx1"/>
                  </w14:solidFill>
                </w14:textFill>
              </w:rPr>
              <w:t>项目理解</w:t>
            </w:r>
            <w:r>
              <w:rPr>
                <w:rFonts w:hint="eastAsia" w:ascii="宋体" w:hAnsi="宋体" w:eastAsia="宋体" w:cs="宋体"/>
                <w:b w:val="0"/>
                <w:bCs w:val="0"/>
                <w:color w:val="000000" w:themeColor="text1"/>
                <w:kern w:val="2"/>
                <w:sz w:val="24"/>
                <w:szCs w:val="24"/>
                <w:highlight w:val="none"/>
                <w:lang w:val="en-US" w:eastAsia="zh-CN"/>
                <w14:textFill>
                  <w14:solidFill>
                    <w14:schemeClr w14:val="tx1"/>
                  </w14:solidFill>
                </w14:textFill>
              </w:rPr>
              <w:t>和</w:t>
            </w:r>
            <w:r>
              <w:rPr>
                <w:rFonts w:hint="eastAsia" w:ascii="宋体" w:hAnsi="宋体" w:eastAsia="宋体" w:cs="宋体"/>
                <w:b w:val="0"/>
                <w:bCs w:val="0"/>
                <w:color w:val="000000" w:themeColor="text1"/>
                <w:kern w:val="2"/>
                <w:sz w:val="24"/>
                <w:szCs w:val="24"/>
                <w:highlight w:val="none"/>
                <w14:textFill>
                  <w14:solidFill>
                    <w14:schemeClr w14:val="tx1"/>
                  </w14:solidFill>
                </w14:textFill>
              </w:rPr>
              <w:t>分析</w:t>
            </w:r>
            <w:r>
              <w:rPr>
                <w:rFonts w:hint="eastAsia" w:ascii="宋体" w:hAnsi="宋体" w:cs="宋体"/>
                <w:color w:val="000000" w:themeColor="text1"/>
                <w:kern w:val="2"/>
                <w:sz w:val="24"/>
                <w:szCs w:val="24"/>
                <w:highlight w:val="none"/>
                <w:lang w:val="en-US" w:eastAsia="zh-CN"/>
                <w14:textFill>
                  <w14:solidFill>
                    <w14:schemeClr w14:val="tx1"/>
                  </w14:solidFill>
                </w14:textFill>
              </w:rPr>
              <w:t>：</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auto"/>
                <w:kern w:val="2"/>
                <w:sz w:val="24"/>
                <w:szCs w:val="24"/>
                <w:highlight w:val="none"/>
                <w:lang w:val="en-US" w:eastAsia="zh-CN"/>
              </w:rPr>
              <w:t>针对本项目的特点，进行重点难点的理解和分析；并提供项目技术解决方案和措施。内容理解和分析深入全面</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解决方案可行</w:t>
            </w:r>
            <w:r>
              <w:rPr>
                <w:rFonts w:hint="eastAsia" w:ascii="宋体" w:hAnsi="宋体" w:eastAsia="宋体" w:cs="宋体"/>
                <w:color w:val="auto"/>
                <w:kern w:val="2"/>
                <w:sz w:val="24"/>
                <w:szCs w:val="24"/>
                <w:highlight w:val="none"/>
              </w:rPr>
              <w:t>、操作性强、贴近采购人需求的得</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分，</w:t>
            </w:r>
            <w:r>
              <w:rPr>
                <w:rFonts w:hint="eastAsia" w:ascii="宋体" w:hAnsi="宋体" w:eastAsia="宋体" w:cs="宋体"/>
                <w:color w:val="auto"/>
                <w:kern w:val="2"/>
                <w:sz w:val="24"/>
                <w:szCs w:val="24"/>
                <w:highlight w:val="none"/>
                <w:lang w:val="en-US" w:eastAsia="zh-CN"/>
              </w:rPr>
              <w:t>分析</w:t>
            </w:r>
            <w:r>
              <w:rPr>
                <w:rFonts w:hint="eastAsia" w:ascii="宋体" w:hAnsi="宋体" w:eastAsia="宋体" w:cs="宋体"/>
                <w:color w:val="auto"/>
                <w:kern w:val="2"/>
                <w:sz w:val="24"/>
                <w:szCs w:val="24"/>
                <w:highlight w:val="none"/>
              </w:rPr>
              <w:t>内容缺少或</w:t>
            </w:r>
            <w:r>
              <w:rPr>
                <w:rFonts w:hint="eastAsia" w:ascii="宋体" w:hAnsi="宋体" w:eastAsia="宋体" w:cs="宋体"/>
                <w:color w:val="auto"/>
                <w:kern w:val="2"/>
                <w:sz w:val="24"/>
                <w:szCs w:val="24"/>
                <w:highlight w:val="none"/>
                <w:lang w:val="en-US" w:eastAsia="zh-CN"/>
              </w:rPr>
              <w:t>解决方案</w:t>
            </w:r>
            <w:r>
              <w:rPr>
                <w:rFonts w:hint="eastAsia" w:ascii="宋体" w:hAnsi="宋体" w:eastAsia="宋体" w:cs="宋体"/>
                <w:color w:val="auto"/>
                <w:kern w:val="2"/>
                <w:sz w:val="24"/>
                <w:szCs w:val="24"/>
                <w:highlight w:val="none"/>
              </w:rPr>
              <w:t>不具备可行性或内容非专门针对本项目或内容不能满足本项目实际需要的每有1项扣1分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扣完为止</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得分范围4,3,2,1,0</w:t>
            </w:r>
            <w:r>
              <w:rPr>
                <w:rFonts w:hint="eastAsia" w:ascii="宋体" w:hAnsi="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项目组织</w:t>
            </w:r>
          </w:p>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实施方案</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lang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w:t>
            </w:r>
            <w:r>
              <w:rPr>
                <w:rFonts w:hint="eastAsia" w:ascii="宋体" w:hAnsi="宋体" w:eastAsia="宋体" w:cs="宋体"/>
                <w:b/>
                <w:bCs/>
                <w:color w:val="000000" w:themeColor="text1"/>
                <w:kern w:val="2"/>
                <w:sz w:val="24"/>
                <w:szCs w:val="24"/>
                <w:highlight w:val="none"/>
                <w:lang w:val="en-US" w:eastAsia="zh-CN"/>
                <w14:textFill>
                  <w14:solidFill>
                    <w14:schemeClr w14:val="tx1"/>
                  </w14:solidFill>
                </w14:textFill>
              </w:rPr>
              <w:t>4</w:t>
            </w:r>
          </w:p>
        </w:tc>
        <w:tc>
          <w:tcPr>
            <w:tcW w:w="7493" w:type="dxa"/>
            <w:vAlign w:val="center"/>
          </w:tcPr>
          <w:p>
            <w:pPr>
              <w:keepNext w:val="0"/>
              <w:keepLines w:val="0"/>
              <w:suppressLineNumbers w:val="0"/>
              <w:spacing w:before="0" w:beforeLines="0" w:beforeAutospacing="0" w:after="0" w:afterLines="0" w:afterAutospacing="0" w:line="360" w:lineRule="exact"/>
              <w:ind w:left="0" w:right="0"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产品的供货、验收、安装调试方案及配送承诺等方案</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auto"/>
                <w:sz w:val="24"/>
                <w:szCs w:val="24"/>
                <w:highlight w:val="none"/>
              </w:rPr>
              <w:t>供货、安装（若需要）、验收等方案内容详实、计划明确、措施完善、方案科学合理的得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分，实施方案内容不详实、计划不明确、措施不完善、方案不科学合理等情况每有1项扣1分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扣完为止。</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得分范围4,3,2,1,0</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技术培训</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0-4</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技术培训方案内容详实、全面、专业针对性强、安排合理科学。</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auto"/>
                <w:kern w:val="2"/>
                <w:sz w:val="24"/>
                <w:szCs w:val="24"/>
                <w:highlight w:val="none"/>
              </w:rPr>
              <w:t>针对项目特点结合采购人需求制定包括但不限于培训内容、培训方式、培训计划、培训对象、培训团队配备等技术培训方案，方案内容关于上述要素阐述齐全、科学合理、操作性强、贴近采购人需求的得4分，内容缺少或内容简要不具备可行性或内容非专门针对本项目或内容不能满足本项目实际需要的每有1项扣1分，扣完为止。</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得分范围4,3,2,1,0</w:t>
            </w:r>
            <w:r>
              <w:rPr>
                <w:rFonts w:hint="eastAsia" w:ascii="宋体" w:hAnsi="宋体" w:eastAsia="宋体" w:cs="宋体"/>
                <w:color w:val="auto"/>
                <w:kern w:val="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售后服务</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0-5</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承诺提供的售后服务体系、售后服务点分布，售后服务响应时间</w:t>
            </w:r>
            <w:r>
              <w:rPr>
                <w:rFonts w:hint="eastAsia" w:ascii="宋体" w:hAnsi="宋体" w:cs="宋体"/>
                <w:color w:val="000000" w:themeColor="text1"/>
                <w:kern w:val="2"/>
                <w:sz w:val="24"/>
                <w:szCs w:val="24"/>
                <w:highlight w:val="none"/>
                <w:lang w:eastAsia="zh-CN"/>
                <w14:textFill>
                  <w14:solidFill>
                    <w14:schemeClr w14:val="tx1"/>
                  </w14:solidFill>
                </w14:textFill>
              </w:rPr>
              <w:t>：</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auto"/>
                <w:kern w:val="2"/>
                <w:sz w:val="24"/>
                <w:szCs w:val="24"/>
                <w:highlight w:val="none"/>
              </w:rPr>
              <w:t>针对项目特点结合采购人需求制定包括但不限于服务承诺、服务体系、售后机构、响应时间等售后服务方案，方案内容关于上述要素阐述齐全、科学合理、操作性强、贴近采购人需求的得5分，内容缺少或内容简要不具备可行性或内容非专门针对本项目或内容不能满足本项目实际需要的每有1项扣1分，扣完为止。</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得分范围5,4,3,2,1,0</w:t>
            </w:r>
            <w:r>
              <w:rPr>
                <w:rFonts w:hint="eastAsia" w:ascii="宋体" w:hAnsi="宋体" w:eastAsia="宋体" w:cs="宋体"/>
                <w:color w:val="auto"/>
                <w:kern w:val="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人力资源</w:t>
            </w:r>
          </w:p>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安排</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0-4</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14:textFill>
                  <w14:solidFill>
                    <w14:schemeClr w14:val="tx1"/>
                  </w14:solidFill>
                </w14:textFill>
              </w:rPr>
              <w:t>项目实施人员安排的合理性综合打分</w:t>
            </w:r>
            <w:r>
              <w:rPr>
                <w:rFonts w:hint="eastAsia" w:ascii="宋体" w:hAnsi="宋体" w:cs="宋体"/>
                <w:color w:val="000000" w:themeColor="text1"/>
                <w:kern w:val="2"/>
                <w:sz w:val="24"/>
                <w:szCs w:val="24"/>
                <w:highlight w:val="none"/>
                <w:lang w:eastAsia="zh-CN"/>
                <w14:textFill>
                  <w14:solidFill>
                    <w14:schemeClr w14:val="tx1"/>
                  </w14:solidFill>
                </w14:textFill>
              </w:rPr>
              <w:t>：</w:t>
            </w:r>
          </w:p>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auto"/>
                <w:kern w:val="2"/>
                <w:sz w:val="24"/>
                <w:szCs w:val="24"/>
                <w:highlight w:val="none"/>
              </w:rPr>
              <w:t>针对项目特点结合采购人需求制定包括但不限于项目实施人员安排合理，方案内容关于上述要素阐述齐全、科学合理、操作性强、贴近采购人需求的得4分，内容缺少或内容简要不具备可行性或内容非专门针对本项目或内容不能满足本项目实际需要的每有1项扣1分，扣完为止。</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得分范围4,3,2,1,0</w:t>
            </w:r>
            <w:r>
              <w:rPr>
                <w:rFonts w:hint="eastAsia" w:ascii="宋体" w:hAnsi="宋体" w:eastAsia="宋体" w:cs="宋体"/>
                <w:color w:val="auto"/>
                <w:kern w:val="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2"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应急预案</w:t>
            </w:r>
          </w:p>
        </w:tc>
        <w:tc>
          <w:tcPr>
            <w:tcW w:w="710"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14:textFill>
                  <w14:solidFill>
                    <w14:schemeClr w14:val="tx1"/>
                  </w14:solidFill>
                </w14:textFill>
              </w:rPr>
              <w:t>0-</w:t>
            </w:r>
            <w:r>
              <w:rPr>
                <w:rFonts w:hint="eastAsia" w:ascii="宋体" w:hAnsi="宋体" w:cs="宋体"/>
                <w:b/>
                <w:bCs/>
                <w:color w:val="000000" w:themeColor="text1"/>
                <w:kern w:val="2"/>
                <w:sz w:val="24"/>
                <w:szCs w:val="24"/>
                <w:highlight w:val="none"/>
                <w:lang w:val="en-US" w:eastAsia="zh-CN"/>
                <w14:textFill>
                  <w14:solidFill>
                    <w14:schemeClr w14:val="tx1"/>
                  </w14:solidFill>
                </w14:textFill>
              </w:rPr>
              <w:t>5</w:t>
            </w:r>
          </w:p>
        </w:tc>
        <w:tc>
          <w:tcPr>
            <w:tcW w:w="7493" w:type="dxa"/>
            <w:vAlign w:val="center"/>
          </w:tcPr>
          <w:p>
            <w:pPr>
              <w:keepNext w:val="0"/>
              <w:keepLines w:val="0"/>
              <w:widowControl w:val="0"/>
              <w:suppressLineNumbers w:val="0"/>
              <w:adjustRightInd/>
              <w:snapToGrid/>
              <w:spacing w:before="0" w:beforeLines="0" w:beforeAutospacing="0" w:after="0" w:afterLines="0" w:afterAutospacing="0" w:line="360" w:lineRule="exact"/>
              <w:ind w:left="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应提供项目保障应急预案，其中应包括现场应急处理、技术支撑保障、易损件备品备件、专用工具清单等。方案内容关于上述要素阐述齐全、科学合理、操作性强、贴近采购人需求的得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分，内容缺少或内容简要不具备可行性或内容非专门针对本项目或内容不能满足本项目实际需要的每有1项扣1分，扣完为止。</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得分范围</w:t>
            </w:r>
            <w:r>
              <w:rPr>
                <w:rFonts w:hint="eastAsia" w:ascii="宋体" w:hAnsi="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lang w:val="en-US" w:eastAsia="zh-CN"/>
              </w:rPr>
              <w:t>,</w:t>
            </w: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val="en-US" w:eastAsia="zh-CN"/>
              </w:rPr>
              <w:t>,1,0</w:t>
            </w:r>
            <w:r>
              <w:rPr>
                <w:rFonts w:hint="eastAsia" w:ascii="宋体" w:hAnsi="宋体" w:eastAsia="宋体" w:cs="宋体"/>
                <w:color w:val="auto"/>
                <w:kern w:val="2"/>
                <w:sz w:val="24"/>
                <w:szCs w:val="24"/>
                <w:highlight w:val="none"/>
                <w:lang w:eastAsia="zh-CN"/>
              </w:rPr>
              <w:t>）</w:t>
            </w:r>
          </w:p>
        </w:tc>
      </w:tr>
    </w:tbl>
    <w:p>
      <w:pPr>
        <w:keepNext w:val="0"/>
        <w:keepLines w:val="0"/>
        <w:pageBreakBefore w:val="0"/>
        <w:kinsoku/>
        <w:wordWrap/>
        <w:overflowPunct/>
        <w:topLinePunct w:val="0"/>
        <w:autoSpaceDE/>
        <w:autoSpaceDN/>
        <w:bidi w:val="0"/>
        <w:spacing w:line="360" w:lineRule="exact"/>
        <w:ind w:left="0" w:leftChars="0" w:right="0" w:rightChars="0"/>
        <w:outlineLvl w:val="1"/>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14:textFill>
            <w14:solidFill>
              <w14:schemeClr w14:val="tx1"/>
            </w14:solidFill>
          </w14:textFill>
        </w:rPr>
        <w:t>三、评标报告</w:t>
      </w:r>
      <w:r>
        <w:rPr>
          <w:rFonts w:hint="eastAsia" w:ascii="宋体" w:hAnsi="宋体" w:eastAsia="宋体" w:cs="宋体"/>
          <w:b/>
          <w:color w:val="000000" w:themeColor="text1"/>
          <w:spacing w:val="-6"/>
          <w:sz w:val="24"/>
          <w:szCs w:val="24"/>
          <w:highlight w:val="none"/>
          <w14:textFill>
            <w14:solidFill>
              <w14:schemeClr w14:val="tx1"/>
            </w14:solidFill>
          </w14:textFill>
        </w:rPr>
        <w:tab/>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33" w:firstLineChars="19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1</w:t>
      </w:r>
      <w:r>
        <w:rPr>
          <w:rFonts w:hint="eastAsia" w:ascii="宋体" w:hAnsi="宋体" w:cs="宋体"/>
          <w:bCs/>
          <w:color w:val="000000" w:themeColor="text1"/>
          <w:spacing w:val="-6"/>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pacing w:val="-6"/>
          <w:sz w:val="24"/>
          <w:szCs w:val="24"/>
          <w:highlight w:val="none"/>
          <w14:textFill>
            <w14:solidFill>
              <w14:schemeClr w14:val="tx1"/>
            </w14:solidFill>
          </w14:textFill>
        </w:rPr>
        <w:t>评标委员会根据最终得分从高到低，推荐1名</w:t>
      </w:r>
      <w:r>
        <w:rPr>
          <w:rFonts w:hint="eastAsia" w:ascii="宋体" w:hAnsi="宋体" w:cs="宋体"/>
          <w:bCs/>
          <w:color w:val="000000" w:themeColor="text1"/>
          <w:spacing w:val="-6"/>
          <w:sz w:val="24"/>
          <w:szCs w:val="24"/>
          <w:highlight w:val="none"/>
          <w:lang w:eastAsia="zh-CN"/>
          <w14:textFill>
            <w14:solidFill>
              <w14:schemeClr w14:val="tx1"/>
            </w14:solidFill>
          </w14:textFill>
        </w:rPr>
        <w:t>中标候选人</w:t>
      </w:r>
      <w:r>
        <w:rPr>
          <w:rFonts w:hint="eastAsia" w:ascii="宋体" w:hAnsi="宋体" w:eastAsia="宋体" w:cs="宋体"/>
          <w:bCs/>
          <w:color w:val="000000" w:themeColor="text1"/>
          <w:spacing w:val="-6"/>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33" w:firstLineChars="19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2</w:t>
      </w:r>
      <w:r>
        <w:rPr>
          <w:rFonts w:hint="eastAsia" w:ascii="宋体" w:hAnsi="宋体" w:cs="宋体"/>
          <w:bCs/>
          <w:color w:val="000000" w:themeColor="text1"/>
          <w:spacing w:val="-6"/>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spacing w:val="-6"/>
          <w:sz w:val="24"/>
          <w:szCs w:val="24"/>
          <w:highlight w:val="none"/>
          <w14:textFill>
            <w14:solidFill>
              <w14:schemeClr w14:val="tx1"/>
            </w14:solidFill>
          </w14:textFill>
        </w:rPr>
        <w:t>评标委员会应根据评标情况和结果，向采购人提交评标报告。评标报告由评标委员会起草，按少数服从多数的原则通过。评标委员会全体成员应在评标报告上签字认可，评标专家如有保留意见可以在评标报告中阐明。</w:t>
      </w:r>
    </w:p>
    <w:p>
      <w:pPr>
        <w:keepNext w:val="0"/>
        <w:keepLines w:val="0"/>
        <w:pageBreakBefore w:val="0"/>
        <w:kinsoku/>
        <w:wordWrap/>
        <w:overflowPunct/>
        <w:topLinePunct w:val="0"/>
        <w:autoSpaceDE/>
        <w:autoSpaceDN/>
        <w:bidi w:val="0"/>
        <w:spacing w:line="360" w:lineRule="exact"/>
        <w:ind w:left="0" w:leftChars="0" w:right="0" w:rightChars="0"/>
        <w:outlineLvl w:val="1"/>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14:textFill>
            <w14:solidFill>
              <w14:schemeClr w14:val="tx1"/>
            </w14:solidFill>
          </w14:textFill>
        </w:rPr>
        <w:t>四、定标</w:t>
      </w:r>
    </w:p>
    <w:p>
      <w:pPr>
        <w:keepNext w:val="0"/>
        <w:keepLines w:val="0"/>
        <w:pageBreakBefore w:val="0"/>
        <w:kinsoku/>
        <w:wordWrap/>
        <w:overflowPunct/>
        <w:topLinePunct w:val="0"/>
        <w:autoSpaceDE/>
        <w:autoSpaceDN/>
        <w:bidi w:val="0"/>
        <w:adjustRightInd w:val="0"/>
        <w:snapToGrid w:val="0"/>
        <w:spacing w:line="360" w:lineRule="exact"/>
        <w:ind w:left="0" w:leftChars="0" w:right="0" w:rightChars="0" w:firstLine="433" w:firstLineChars="19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采购人根据评标委员会的评标结果和推荐的</w:t>
      </w:r>
      <w:r>
        <w:rPr>
          <w:rFonts w:hint="eastAsia" w:ascii="宋体" w:hAnsi="宋体" w:cs="宋体"/>
          <w:bCs/>
          <w:color w:val="000000" w:themeColor="text1"/>
          <w:spacing w:val="-6"/>
          <w:sz w:val="24"/>
          <w:szCs w:val="24"/>
          <w:highlight w:val="none"/>
          <w:lang w:eastAsia="zh-CN"/>
          <w14:textFill>
            <w14:solidFill>
              <w14:schemeClr w14:val="tx1"/>
            </w14:solidFill>
          </w14:textFill>
        </w:rPr>
        <w:t>中标候选人</w:t>
      </w:r>
      <w:r>
        <w:rPr>
          <w:rFonts w:hint="eastAsia" w:ascii="宋体" w:hAnsi="宋体" w:eastAsia="宋体" w:cs="宋体"/>
          <w:bCs/>
          <w:color w:val="000000" w:themeColor="text1"/>
          <w:spacing w:val="-6"/>
          <w:sz w:val="24"/>
          <w:szCs w:val="24"/>
          <w:highlight w:val="none"/>
          <w14:textFill>
            <w14:solidFill>
              <w14:schemeClr w14:val="tx1"/>
            </w14:solidFill>
          </w14:textFill>
        </w:rPr>
        <w:t>，最终确定1名</w:t>
      </w:r>
      <w:r>
        <w:rPr>
          <w:rFonts w:hint="eastAsia" w:ascii="宋体" w:hAnsi="宋体" w:cs="宋体"/>
          <w:bCs/>
          <w:color w:val="000000" w:themeColor="text1"/>
          <w:spacing w:val="-6"/>
          <w:sz w:val="24"/>
          <w:szCs w:val="24"/>
          <w:highlight w:val="none"/>
          <w:lang w:eastAsia="zh-CN"/>
          <w14:textFill>
            <w14:solidFill>
              <w14:schemeClr w14:val="tx1"/>
            </w14:solidFill>
          </w14:textFill>
        </w:rPr>
        <w:t>中标人</w:t>
      </w:r>
      <w:r>
        <w:rPr>
          <w:rFonts w:hint="eastAsia" w:ascii="宋体" w:hAnsi="宋体" w:eastAsia="宋体" w:cs="宋体"/>
          <w:bCs/>
          <w:color w:val="000000" w:themeColor="text1"/>
          <w:spacing w:val="-6"/>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360" w:lineRule="exact"/>
        <w:ind w:left="0" w:leftChars="0" w:right="0" w:rightChars="0"/>
        <w:outlineLvl w:val="1"/>
        <w:rPr>
          <w:rFonts w:hint="eastAsia" w:ascii="宋体" w:hAnsi="宋体" w:eastAsia="宋体" w:cs="宋体"/>
          <w:b/>
          <w:color w:val="000000" w:themeColor="text1"/>
          <w:spacing w:val="-6"/>
          <w:sz w:val="24"/>
          <w:szCs w:val="24"/>
          <w:highlight w:val="none"/>
          <w14:textFill>
            <w14:solidFill>
              <w14:schemeClr w14:val="tx1"/>
            </w14:solidFill>
          </w14:textFill>
        </w:rPr>
      </w:pPr>
      <w:r>
        <w:rPr>
          <w:rFonts w:hint="eastAsia" w:ascii="宋体" w:hAnsi="宋体" w:eastAsia="宋体" w:cs="宋体"/>
          <w:b/>
          <w:color w:val="000000" w:themeColor="text1"/>
          <w:spacing w:val="-6"/>
          <w:sz w:val="24"/>
          <w:szCs w:val="24"/>
          <w:highlight w:val="none"/>
          <w14:textFill>
            <w14:solidFill>
              <w14:schemeClr w14:val="tx1"/>
            </w14:solidFill>
          </w14:textFill>
        </w:rPr>
        <w:t>五、其他</w:t>
      </w:r>
    </w:p>
    <w:p>
      <w:pPr>
        <w:keepNext w:val="0"/>
        <w:keepLines w:val="0"/>
        <w:pageBreakBefore w:val="0"/>
        <w:tabs>
          <w:tab w:val="left" w:pos="8820"/>
        </w:tabs>
        <w:kinsoku/>
        <w:wordWrap/>
        <w:overflowPunct/>
        <w:topLinePunct w:val="0"/>
        <w:autoSpaceDE/>
        <w:autoSpaceDN/>
        <w:bidi w:val="0"/>
        <w:adjustRightInd w:val="0"/>
        <w:snapToGrid w:val="0"/>
        <w:spacing w:line="360" w:lineRule="exact"/>
        <w:ind w:left="0" w:leftChars="0" w:right="0" w:rightChars="0" w:firstLine="433" w:firstLineChars="19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各位评标人员应认真﹑客观﹑公正对待每个投标人，遵守评标纪律，不得泄漏任何评标信息，如违规违纪者，将严肃查处。</w:t>
      </w:r>
    </w:p>
    <w:p>
      <w:pPr>
        <w:keepNext w:val="0"/>
        <w:keepLines w:val="0"/>
        <w:pageBreakBefore w:val="0"/>
        <w:tabs>
          <w:tab w:val="left" w:pos="8820"/>
        </w:tabs>
        <w:kinsoku/>
        <w:wordWrap/>
        <w:overflowPunct/>
        <w:topLinePunct w:val="0"/>
        <w:autoSpaceDE/>
        <w:autoSpaceDN/>
        <w:bidi w:val="0"/>
        <w:adjustRightInd w:val="0"/>
        <w:snapToGrid w:val="0"/>
        <w:spacing w:line="360" w:lineRule="exact"/>
        <w:ind w:left="0" w:leftChars="0" w:right="0" w:rightChars="0" w:firstLine="456" w:firstLineChars="200"/>
        <w:rPr>
          <w:rFonts w:hint="eastAsia" w:ascii="宋体" w:hAnsi="宋体" w:eastAsia="宋体" w:cs="宋体"/>
          <w:bCs/>
          <w:color w:val="000000" w:themeColor="text1"/>
          <w:spacing w:val="-6"/>
          <w:sz w:val="24"/>
          <w:szCs w:val="24"/>
          <w:highlight w:val="none"/>
          <w14:textFill>
            <w14:solidFill>
              <w14:schemeClr w14:val="tx1"/>
            </w14:solidFill>
          </w14:textFill>
        </w:rPr>
      </w:pPr>
      <w:r>
        <w:rPr>
          <w:rFonts w:hint="eastAsia" w:ascii="宋体" w:hAnsi="宋体" w:eastAsia="宋体" w:cs="宋体"/>
          <w:bCs/>
          <w:color w:val="000000" w:themeColor="text1"/>
          <w:spacing w:val="-6"/>
          <w:sz w:val="24"/>
          <w:szCs w:val="24"/>
          <w:highlight w:val="none"/>
          <w14:textFill>
            <w14:solidFill>
              <w14:schemeClr w14:val="tx1"/>
            </w14:solidFill>
          </w14:textFill>
        </w:rPr>
        <w:t>评标中，如发现有二份及以上投标文件的相互之间有相同或高度相似之处，且经询标澄清投标人无令人信服的理由和可靠证据证明其合理性的，经评标委员会半数以上成员认定有串通投标嫌疑的，其投标文件按无效标处理，予以废除，不再对其进行评审，也不影响招标继续评标。评标结束后，评标专家应将有串通投标嫌疑的投标文件以及相关评标分析材料及时移交采购人作进一步的调查处理，即使最终无法认定串通投标行为成立，也不影响对其按无效标处理的结果。</w:t>
      </w:r>
      <w:bookmarkStart w:id="12" w:name="_第八部分___评标办法"/>
      <w:bookmarkEnd w:id="12"/>
      <w:bookmarkStart w:id="13" w:name="_Toc171585792"/>
      <w:bookmarkEnd w:id="13"/>
      <w:bookmarkStart w:id="14" w:name="_Toc172031721"/>
      <w:bookmarkEnd w:id="14"/>
      <w:bookmarkStart w:id="15" w:name="_Toc171585789"/>
      <w:bookmarkEnd w:id="15"/>
      <w:bookmarkStart w:id="16" w:name="_Toc171585531"/>
      <w:bookmarkEnd w:id="16"/>
      <w:bookmarkStart w:id="17" w:name="_Toc172031723"/>
      <w:bookmarkEnd w:id="17"/>
      <w:bookmarkStart w:id="18" w:name="_Toc172031722"/>
      <w:bookmarkEnd w:id="18"/>
      <w:bookmarkStart w:id="19" w:name="_Toc172031724"/>
      <w:bookmarkEnd w:id="19"/>
      <w:bookmarkStart w:id="20" w:name="_Toc171585530"/>
      <w:bookmarkEnd w:id="20"/>
      <w:bookmarkStart w:id="21" w:name="_Toc171585532"/>
      <w:bookmarkEnd w:id="21"/>
      <w:bookmarkStart w:id="22" w:name="_Toc171585790"/>
      <w:bookmarkEnd w:id="22"/>
      <w:bookmarkStart w:id="23" w:name="_Toc171585533"/>
      <w:bookmarkEnd w:id="23"/>
      <w:bookmarkStart w:id="24" w:name="_Toc171585791"/>
      <w:bookmarkEnd w:id="24"/>
    </w:p>
    <w:p>
      <w:pPr>
        <w:keepNext w:val="0"/>
        <w:keepLines w:val="0"/>
        <w:pageBreakBefore w:val="0"/>
        <w:tabs>
          <w:tab w:val="left" w:pos="8820"/>
        </w:tabs>
        <w:kinsoku/>
        <w:wordWrap/>
        <w:overflowPunct/>
        <w:topLinePunct w:val="0"/>
        <w:autoSpaceDE/>
        <w:autoSpaceDN/>
        <w:bidi w:val="0"/>
        <w:adjustRightInd w:val="0"/>
        <w:snapToGrid w:val="0"/>
        <w:spacing w:line="360" w:lineRule="exact"/>
        <w:ind w:left="0" w:leftChars="0" w:right="0" w:rightChars="0" w:firstLine="456"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pacing w:val="-6"/>
          <w:sz w:val="24"/>
          <w:szCs w:val="24"/>
          <w:highlight w:val="none"/>
          <w:lang w:val="en-US" w:eastAsia="zh-CN"/>
          <w14:textFill>
            <w14:solidFill>
              <w14:schemeClr w14:val="tx1"/>
            </w14:solidFill>
          </w14:textFill>
        </w:rPr>
        <w:t>中标</w:t>
      </w:r>
      <w:r>
        <w:rPr>
          <w:rFonts w:hint="eastAsia" w:ascii="宋体" w:hAnsi="宋体" w:eastAsia="宋体" w:cs="宋体"/>
          <w:bCs/>
          <w:color w:val="000000" w:themeColor="text1"/>
          <w:spacing w:val="-6"/>
          <w:sz w:val="24"/>
          <w:szCs w:val="24"/>
          <w:highlight w:val="none"/>
          <w14:textFill>
            <w14:solidFill>
              <w14:schemeClr w14:val="tx1"/>
            </w14:solidFill>
          </w14:textFill>
        </w:rPr>
        <w:t>结果在发布招标公告的同一网站公</w:t>
      </w:r>
      <w:r>
        <w:rPr>
          <w:rFonts w:hint="eastAsia" w:ascii="宋体" w:hAnsi="宋体" w:cs="宋体"/>
          <w:bCs/>
          <w:color w:val="000000" w:themeColor="text1"/>
          <w:spacing w:val="-6"/>
          <w:sz w:val="24"/>
          <w:szCs w:val="24"/>
          <w:highlight w:val="none"/>
          <w:lang w:val="en-US" w:eastAsia="zh-CN"/>
          <w14:textFill>
            <w14:solidFill>
              <w14:schemeClr w14:val="tx1"/>
            </w14:solidFill>
          </w14:textFill>
        </w:rPr>
        <w:t>告</w:t>
      </w:r>
      <w:r>
        <w:rPr>
          <w:rFonts w:hint="eastAsia" w:ascii="宋体" w:hAnsi="宋体" w:eastAsia="宋体" w:cs="宋体"/>
          <w:bCs/>
          <w:color w:val="000000" w:themeColor="text1"/>
          <w:spacing w:val="-6"/>
          <w:sz w:val="24"/>
          <w:szCs w:val="24"/>
          <w:highlight w:val="none"/>
          <w14:textFill>
            <w14:solidFill>
              <w14:schemeClr w14:val="tx1"/>
            </w14:solidFill>
          </w14:textFill>
        </w:rPr>
        <w:t>1个工作日。投标人和其他利害关系人认为招标投标活动不符合法律、法规和规章规定的，可按有关规定办理。</w:t>
      </w:r>
    </w:p>
    <w:p>
      <w:pPr>
        <w:keepNext w:val="0"/>
        <w:keepLines w:val="0"/>
        <w:pageBreakBefore w:val="0"/>
        <w:tabs>
          <w:tab w:val="left" w:pos="8820"/>
        </w:tabs>
        <w:kinsoku/>
        <w:wordWrap/>
        <w:overflowPunct/>
        <w:topLinePunct w:val="0"/>
        <w:autoSpaceDE/>
        <w:autoSpaceDN/>
        <w:bidi w:val="0"/>
        <w:adjustRightInd w:val="0"/>
        <w:snapToGrid w:val="0"/>
        <w:spacing w:line="400" w:lineRule="exact"/>
        <w:ind w:left="0" w:leftChars="0" w:right="0" w:rightChars="0"/>
        <w:jc w:val="center"/>
        <w:rPr>
          <w:rFonts w:hint="eastAsia" w:ascii="宋体" w:hAnsi="宋体" w:eastAsia="宋体" w:cs="宋体"/>
          <w:b/>
          <w:color w:val="000000" w:themeColor="text1"/>
          <w:sz w:val="24"/>
          <w:szCs w:val="24"/>
          <w:highlight w:val="none"/>
          <w14:textFill>
            <w14:solidFill>
              <w14:schemeClr w14:val="tx1"/>
            </w14:solidFill>
          </w14:textFill>
        </w:rPr>
        <w:sectPr>
          <w:footerReference r:id="rId8" w:type="first"/>
          <w:footerReference r:id="rId7" w:type="default"/>
          <w:pgSz w:w="11906" w:h="16838"/>
          <w:pgMar w:top="1440" w:right="1486"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bookmarkStart w:id="25" w:name="_Toc31754"/>
      <w:r>
        <w:rPr>
          <w:rFonts w:hint="eastAsia" w:ascii="宋体" w:hAnsi="宋体" w:eastAsia="宋体" w:cs="宋体"/>
          <w:b/>
          <w:color w:val="000000" w:themeColor="text1"/>
          <w:sz w:val="32"/>
          <w:szCs w:val="32"/>
          <w:highlight w:val="none"/>
          <w14:textFill>
            <w14:solidFill>
              <w14:schemeClr w14:val="tx1"/>
            </w14:solidFill>
          </w14:textFill>
        </w:rPr>
        <w:t>第</w:t>
      </w:r>
      <w:r>
        <w:rPr>
          <w:rFonts w:hint="eastAsia" w:ascii="宋体" w:hAnsi="宋体" w:eastAsia="宋体" w:cs="宋体"/>
          <w:b/>
          <w:color w:val="000000" w:themeColor="text1"/>
          <w:sz w:val="32"/>
          <w:szCs w:val="32"/>
          <w:highlight w:val="none"/>
          <w:lang w:val="en-US" w:eastAsia="zh-CN"/>
          <w14:textFill>
            <w14:solidFill>
              <w14:schemeClr w14:val="tx1"/>
            </w14:solidFill>
          </w14:textFill>
        </w:rPr>
        <w:t>五</w:t>
      </w:r>
      <w:r>
        <w:rPr>
          <w:rFonts w:hint="eastAsia" w:ascii="宋体" w:hAnsi="宋体" w:eastAsia="宋体" w:cs="宋体"/>
          <w:b/>
          <w:color w:val="000000" w:themeColor="text1"/>
          <w:sz w:val="32"/>
          <w:szCs w:val="32"/>
          <w:highlight w:val="none"/>
          <w14:textFill>
            <w14:solidFill>
              <w14:schemeClr w14:val="tx1"/>
            </w14:solidFill>
          </w14:textFill>
        </w:rPr>
        <w:t>部分  合同主要条款</w:t>
      </w:r>
      <w:bookmarkEnd w:id="25"/>
    </w:p>
    <w:p>
      <w:pPr>
        <w:keepNext w:val="0"/>
        <w:keepLines w:val="0"/>
        <w:pageBreakBefore w:val="0"/>
        <w:widowControl w:val="0"/>
        <w:shd w:val="clear"/>
        <w:kinsoku/>
        <w:overflowPunct/>
        <w:topLinePunct w:val="0"/>
        <w:autoSpaceDE/>
        <w:autoSpaceDN/>
        <w:bidi w:val="0"/>
        <w:spacing w:line="360" w:lineRule="exact"/>
        <w:ind w:left="0" w:leftChars="0" w:right="0" w:rightChars="0" w:firstLine="480"/>
        <w:jc w:val="center"/>
        <w:textAlignment w:val="auto"/>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fldChar w:fldCharType="begin"/>
      </w:r>
      <w:r>
        <w:rPr>
          <w:rFonts w:hint="eastAsia" w:ascii="宋体" w:hAnsi="宋体" w:eastAsia="宋体" w:cs="宋体"/>
          <w:b/>
          <w:color w:val="000000" w:themeColor="text1"/>
          <w:sz w:val="24"/>
          <w:szCs w:val="24"/>
          <w:highlight w:val="none"/>
          <w14:textFill>
            <w14:solidFill>
              <w14:schemeClr w14:val="tx1"/>
            </w14:solidFill>
          </w14:textFill>
        </w:rPr>
        <w:instrText xml:space="preserve"> HYPERLINK "mailto:（中标人3天内按照合同模板拟好合同初稿发至邮箱597046683@qq.com。最终稿由甲乙双方协商后确定，合同中实质性条款不能低于招标文件要求。" </w:instrText>
      </w:r>
      <w:r>
        <w:rPr>
          <w:rFonts w:hint="eastAsia" w:ascii="宋体" w:hAnsi="宋体" w:eastAsia="宋体" w:cs="宋体"/>
          <w:b/>
          <w:color w:val="000000" w:themeColor="text1"/>
          <w:sz w:val="24"/>
          <w:szCs w:val="24"/>
          <w:highlight w:val="none"/>
          <w14:textFill>
            <w14:solidFill>
              <w14:schemeClr w14:val="tx1"/>
            </w14:solidFill>
          </w14:textFill>
        </w:rPr>
        <w:fldChar w:fldCharType="separate"/>
      </w:r>
      <w:r>
        <w:rPr>
          <w:rStyle w:val="38"/>
          <w:rFonts w:hint="eastAsia" w:ascii="宋体" w:hAnsi="宋体" w:eastAsia="宋体" w:cs="宋体"/>
          <w:b/>
          <w:color w:val="000000" w:themeColor="text1"/>
          <w:sz w:val="24"/>
          <w:szCs w:val="24"/>
          <w:highlight w:val="none"/>
          <w14:textFill>
            <w14:solidFill>
              <w14:schemeClr w14:val="tx1"/>
            </w14:solidFill>
          </w14:textFill>
        </w:rPr>
        <w:t>（中标人</w:t>
      </w:r>
      <w:r>
        <w:rPr>
          <w:rStyle w:val="38"/>
          <w:rFonts w:hint="eastAsia" w:ascii="宋体" w:hAnsi="宋体" w:eastAsia="宋体" w:cs="宋体"/>
          <w:b/>
          <w:color w:val="000000" w:themeColor="text1"/>
          <w:sz w:val="24"/>
          <w:szCs w:val="24"/>
          <w:highlight w:val="none"/>
          <w:lang w:val="en-US" w:eastAsia="zh-CN"/>
          <w14:textFill>
            <w14:solidFill>
              <w14:schemeClr w14:val="tx1"/>
            </w14:solidFill>
          </w14:textFill>
        </w:rPr>
        <w:t>3</w:t>
      </w:r>
      <w:r>
        <w:rPr>
          <w:rStyle w:val="38"/>
          <w:rFonts w:hint="eastAsia" w:ascii="宋体" w:hAnsi="宋体" w:eastAsia="宋体" w:cs="宋体"/>
          <w:b/>
          <w:color w:val="000000" w:themeColor="text1"/>
          <w:sz w:val="24"/>
          <w:szCs w:val="24"/>
          <w:highlight w:val="none"/>
          <w14:textFill>
            <w14:solidFill>
              <w14:schemeClr w14:val="tx1"/>
            </w14:solidFill>
          </w14:textFill>
        </w:rPr>
        <w:t>天内按照合同模板拟好合同初稿发至邮箱</w:t>
      </w:r>
      <w:r>
        <w:rPr>
          <w:rStyle w:val="38"/>
          <w:rFonts w:hint="eastAsia" w:ascii="宋体" w:hAnsi="宋体" w:eastAsia="宋体" w:cs="宋体"/>
          <w:b/>
          <w:color w:val="000000" w:themeColor="text1"/>
          <w:sz w:val="24"/>
          <w:szCs w:val="24"/>
          <w:highlight w:val="none"/>
          <w:lang w:val="en-US" w:eastAsia="zh-CN"/>
          <w14:textFill>
            <w14:solidFill>
              <w14:schemeClr w14:val="tx1"/>
            </w14:solidFill>
          </w14:textFill>
        </w:rPr>
        <w:t>597046683</w:t>
      </w:r>
      <w:r>
        <w:rPr>
          <w:rStyle w:val="38"/>
          <w:rFonts w:hint="eastAsia" w:ascii="宋体" w:hAnsi="宋体" w:eastAsia="宋体" w:cs="宋体"/>
          <w:b/>
          <w:color w:val="000000" w:themeColor="text1"/>
          <w:sz w:val="24"/>
          <w:szCs w:val="24"/>
          <w:highlight w:val="none"/>
          <w14:textFill>
            <w14:solidFill>
              <w14:schemeClr w14:val="tx1"/>
            </w14:solidFill>
          </w14:textFill>
        </w:rPr>
        <w:t>@qq.com。最终稿由甲乙双方协商后确定，合同中实质性条款不能低于</w:t>
      </w:r>
      <w:r>
        <w:rPr>
          <w:rStyle w:val="38"/>
          <w:rFonts w:hint="eastAsia" w:ascii="宋体" w:hAnsi="宋体" w:eastAsia="宋体" w:cs="宋体"/>
          <w:b/>
          <w:color w:val="000000" w:themeColor="text1"/>
          <w:sz w:val="24"/>
          <w:szCs w:val="24"/>
          <w:highlight w:val="none"/>
          <w:lang w:eastAsia="zh-CN"/>
          <w14:textFill>
            <w14:solidFill>
              <w14:schemeClr w14:val="tx1"/>
            </w14:solidFill>
          </w14:textFill>
        </w:rPr>
        <w:t>招标文件</w:t>
      </w:r>
      <w:r>
        <w:rPr>
          <w:rStyle w:val="38"/>
          <w:rFonts w:hint="eastAsia" w:ascii="宋体" w:hAnsi="宋体" w:eastAsia="宋体" w:cs="宋体"/>
          <w:b/>
          <w:color w:val="000000" w:themeColor="text1"/>
          <w:sz w:val="24"/>
          <w:szCs w:val="24"/>
          <w:highlight w:val="none"/>
          <w14:textFill>
            <w14:solidFill>
              <w14:schemeClr w14:val="tx1"/>
            </w14:solidFill>
          </w14:textFill>
        </w:rPr>
        <w:t>要求</w:t>
      </w:r>
      <w:r>
        <w:rPr>
          <w:rStyle w:val="38"/>
          <w:rFonts w:hint="eastAsia" w:ascii="宋体" w:hAnsi="宋体" w:eastAsia="宋体" w:cs="宋体"/>
          <w:b/>
          <w:color w:val="000000" w:themeColor="text1"/>
          <w:sz w:val="24"/>
          <w:szCs w:val="24"/>
          <w:highlight w:val="none"/>
          <w:lang w:eastAsia="zh-CN"/>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fldChar w:fldCharType="end"/>
      </w:r>
    </w:p>
    <w:p>
      <w:pPr>
        <w:keepNext w:val="0"/>
        <w:keepLines w:val="0"/>
        <w:pageBreakBefore w:val="0"/>
        <w:widowControl w:val="0"/>
        <w:shd w:val="clear"/>
        <w:kinsoku/>
        <w:overflowPunct/>
        <w:topLinePunct w:val="0"/>
        <w:autoSpaceDE/>
        <w:autoSpaceDN/>
        <w:bidi w:val="0"/>
        <w:spacing w:line="360" w:lineRule="exact"/>
        <w:ind w:left="0" w:leftChars="0" w:right="0" w:rightChars="0" w:firstLine="48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注：添加以下合同稿以外的内容用红色标记出来</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shd w:val="clear"/>
        <w:kinsoku/>
        <w:wordWrap w:val="0"/>
        <w:overflowPunct/>
        <w:topLinePunct w:val="0"/>
        <w:autoSpaceDE/>
        <w:autoSpaceDN/>
        <w:bidi w:val="0"/>
        <w:snapToGrid w:val="0"/>
        <w:spacing w:line="360" w:lineRule="exact"/>
        <w:ind w:left="0" w:leftChars="0" w:right="0" w:rightChars="0"/>
        <w:jc w:val="righ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合同编号：             </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标项：</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甲方（全称）： </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乙方（全称）： </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依照</w:t>
      </w:r>
      <w:r>
        <w:rPr>
          <w:rFonts w:hint="eastAsia" w:ascii="宋体" w:hAnsi="宋体" w:eastAsia="宋体" w:cs="宋体"/>
          <w:color w:val="000000" w:themeColor="text1"/>
          <w:sz w:val="24"/>
          <w:szCs w:val="24"/>
          <w:highlight w:val="none"/>
          <w:lang w:val="zh-CN"/>
          <w14:textFill>
            <w14:solidFill>
              <w14:schemeClr w14:val="tx1"/>
            </w14:solidFill>
          </w14:textFill>
        </w:rPr>
        <w:t>《中华人民共和国民法典》、《中华人民共和国政府采购法》</w:t>
      </w:r>
      <w:r>
        <w:rPr>
          <w:rFonts w:hint="eastAsia" w:ascii="宋体" w:hAnsi="宋体" w:eastAsia="宋体" w:cs="宋体"/>
          <w:color w:val="000000" w:themeColor="text1"/>
          <w:sz w:val="24"/>
          <w:szCs w:val="24"/>
          <w:highlight w:val="none"/>
          <w14:textFill>
            <w14:solidFill>
              <w14:schemeClr w14:val="tx1"/>
            </w14:solidFill>
          </w14:textFill>
        </w:rPr>
        <w:t>及其他相关法律、行政法规</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遵循平等、自愿、公平</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诚实信用和</w:t>
      </w:r>
      <w:r>
        <w:rPr>
          <w:rFonts w:hint="eastAsia" w:ascii="宋体" w:hAnsi="宋体" w:eastAsia="宋体" w:cs="宋体"/>
          <w:color w:val="000000" w:themeColor="text1"/>
          <w:sz w:val="24"/>
          <w:szCs w:val="24"/>
          <w:highlight w:val="none"/>
          <w:shd w:val="clear"/>
          <w14:textFill>
            <w14:solidFill>
              <w14:schemeClr w14:val="tx1"/>
            </w14:solidFill>
          </w14:textFill>
        </w:rPr>
        <w:t>绿色的原则，</w:t>
      </w:r>
      <w:r>
        <w:rPr>
          <w:rFonts w:hint="eastAsia" w:ascii="宋体" w:hAnsi="宋体" w:eastAsia="宋体" w:cs="宋体"/>
          <w:color w:val="000000" w:themeColor="text1"/>
          <w:sz w:val="24"/>
          <w:szCs w:val="24"/>
          <w:highlight w:val="none"/>
          <w14:textFill>
            <w14:solidFill>
              <w14:schemeClr w14:val="tx1"/>
            </w14:solidFill>
          </w14:textFill>
        </w:rPr>
        <w:t>经甲乙</w:t>
      </w:r>
      <w:r>
        <w:rPr>
          <w:rFonts w:hint="eastAsia" w:ascii="宋体" w:hAnsi="宋体" w:eastAsia="宋体" w:cs="宋体"/>
          <w:color w:val="000000" w:themeColor="text1"/>
          <w:sz w:val="24"/>
          <w:szCs w:val="24"/>
          <w:highlight w:val="none"/>
          <w:lang w:val="en-US" w:eastAsia="zh-CN"/>
          <w14:textFill>
            <w14:solidFill>
              <w14:schemeClr w14:val="tx1"/>
            </w14:solidFill>
          </w14:textFill>
        </w:rPr>
        <w:t>双</w:t>
      </w:r>
      <w:r>
        <w:rPr>
          <w:rFonts w:hint="eastAsia" w:ascii="宋体" w:hAnsi="宋体" w:eastAsia="宋体" w:cs="宋体"/>
          <w:color w:val="000000" w:themeColor="text1"/>
          <w:sz w:val="24"/>
          <w:szCs w:val="24"/>
          <w:highlight w:val="none"/>
          <w14:textFill>
            <w14:solidFill>
              <w14:schemeClr w14:val="tx1"/>
            </w14:solidFill>
          </w14:textFill>
        </w:rPr>
        <w:t>方协商一致，订立本合同。</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一、合同货物、数量</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本合同项下包含的货物及价格清单如下表：</w:t>
      </w:r>
    </w:p>
    <w:tbl>
      <w:tblPr>
        <w:tblStyle w:val="40"/>
        <w:tblW w:w="100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2251"/>
        <w:gridCol w:w="951"/>
        <w:gridCol w:w="750"/>
        <w:gridCol w:w="750"/>
        <w:gridCol w:w="795"/>
        <w:gridCol w:w="1304"/>
        <w:gridCol w:w="121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序号</w:t>
            </w:r>
          </w:p>
        </w:tc>
        <w:tc>
          <w:tcPr>
            <w:tcW w:w="22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产品名称</w:t>
            </w:r>
          </w:p>
        </w:tc>
        <w:tc>
          <w:tcPr>
            <w:tcW w:w="9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品牌</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规格型号</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单位</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数量</w:t>
            </w: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单价（元）</w:t>
            </w: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总价（元）</w:t>
            </w:r>
          </w:p>
        </w:tc>
        <w:tc>
          <w:tcPr>
            <w:tcW w:w="12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p>
        </w:tc>
        <w:tc>
          <w:tcPr>
            <w:tcW w:w="22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9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12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c>
          <w:tcPr>
            <w:tcW w:w="12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0" w:hRule="atLeast"/>
          <w:jc w:val="center"/>
        </w:trPr>
        <w:tc>
          <w:tcPr>
            <w:tcW w:w="5461" w:type="dxa"/>
            <w:gridSpan w:val="5"/>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合计金额</w:t>
            </w:r>
          </w:p>
        </w:tc>
        <w:tc>
          <w:tcPr>
            <w:tcW w:w="4561" w:type="dxa"/>
            <w:gridSpan w:val="4"/>
            <w:vAlign w:val="center"/>
          </w:tcPr>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小写：</w:t>
            </w:r>
          </w:p>
          <w:p>
            <w:pPr>
              <w:keepNext w:val="0"/>
              <w:keepLines w:val="0"/>
              <w:pageBreakBefore w:val="0"/>
              <w:widowControl w:val="0"/>
              <w:suppressLineNumbers w:val="0"/>
              <w:shd w:val="clear"/>
              <w:kinsoku/>
              <w:wordWrap/>
              <w:overflowPunct/>
              <w:topLinePunct w:val="0"/>
              <w:autoSpaceDE/>
              <w:autoSpaceDN/>
              <w:bidi w:val="0"/>
              <w:snapToGrid w:val="0"/>
              <w:spacing w:before="0" w:beforeAutospacing="0" w:after="0" w:afterAutospacing="0" w:line="360" w:lineRule="exact"/>
              <w:ind w:left="0" w:leftChars="0" w:right="0" w:rightChars="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大写：</w:t>
            </w:r>
            <w:r>
              <w:rPr>
                <w:rFonts w:hint="eastAsia" w:ascii="宋体" w:hAnsi="宋体" w:eastAsia="宋体" w:cs="宋体"/>
                <w:color w:val="000000" w:themeColor="text1"/>
                <w:sz w:val="24"/>
                <w:szCs w:val="24"/>
                <w:highlight w:val="none"/>
                <w14:textFill>
                  <w14:solidFill>
                    <w14:schemeClr w14:val="tx1"/>
                  </w14:solidFill>
                </w14:textFill>
              </w:rPr>
              <w:t xml:space="preserve">    </w:t>
            </w:r>
          </w:p>
        </w:tc>
      </w:tr>
    </w:tbl>
    <w:p>
      <w:pPr>
        <w:keepNext w:val="0"/>
        <w:keepLines w:val="0"/>
        <w:pageBreakBefore w:val="0"/>
        <w:widowControl w:val="0"/>
        <w:numPr>
          <w:ilvl w:val="0"/>
          <w:numId w:val="15"/>
        </w:numPr>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技术参数、配置清单及相关资料</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15"/>
        </w:numPr>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合同金额</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本合同总价为人民币（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元（¥</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）。本合同总价包括</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乙方提供</w:t>
      </w:r>
      <w:r>
        <w:rPr>
          <w:rFonts w:hint="eastAsia" w:ascii="宋体" w:hAnsi="宋体" w:eastAsia="宋体" w:cs="宋体"/>
          <w:color w:val="000000" w:themeColor="text1"/>
          <w:sz w:val="24"/>
          <w:szCs w:val="24"/>
          <w:highlight w:val="none"/>
          <w:lang w:val="zh-CN"/>
          <w14:textFill>
            <w14:solidFill>
              <w14:schemeClr w14:val="tx1"/>
            </w14:solidFill>
          </w14:textFill>
        </w:rPr>
        <w:t>项目全部货物、服务的</w:t>
      </w:r>
      <w:r>
        <w:rPr>
          <w:rFonts w:hint="eastAsia" w:ascii="宋体" w:hAnsi="宋体" w:eastAsia="宋体" w:cs="宋体"/>
          <w:color w:val="000000" w:themeColor="text1"/>
          <w:sz w:val="24"/>
          <w:szCs w:val="24"/>
          <w:highlight w:val="none"/>
          <w:lang w:val="en-US" w:eastAsia="zh-CN"/>
          <w14:textFill>
            <w14:solidFill>
              <w14:schemeClr w14:val="tx1"/>
            </w14:solidFill>
          </w14:textFill>
        </w:rPr>
        <w:t>一切费用</w:t>
      </w:r>
      <w:r>
        <w:rPr>
          <w:rFonts w:hint="eastAsia" w:ascii="宋体" w:hAnsi="宋体" w:eastAsia="宋体" w:cs="宋体"/>
          <w:color w:val="000000" w:themeColor="text1"/>
          <w:sz w:val="24"/>
          <w:szCs w:val="24"/>
          <w:highlight w:val="none"/>
          <w:lang w:val="zh-CN"/>
          <w14:textFill>
            <w14:solidFill>
              <w14:schemeClr w14:val="tx1"/>
            </w14:solidFill>
          </w14:textFill>
        </w:rPr>
        <w:t>（含货款、标准附件、备品备件、专用工具、包装、运输、装卸、保险、税金、货到就位以及安装、调试、培训、保修等一切税金和费用）。乙方负责提供本合同涉及的产品到甲方指定的实施地点。</w:t>
      </w:r>
    </w:p>
    <w:p>
      <w:pPr>
        <w:keepNext w:val="0"/>
        <w:keepLines w:val="0"/>
        <w:pageBreakBefore w:val="0"/>
        <w:widowControl w:val="0"/>
        <w:numPr>
          <w:ilvl w:val="0"/>
          <w:numId w:val="0"/>
        </w:numPr>
        <w:shd w:val="clear"/>
        <w:kinsoku/>
        <w:wordWrap/>
        <w:overflowPunct/>
        <w:topLinePunct w:val="0"/>
        <w:autoSpaceDE/>
        <w:autoSpaceDN/>
        <w:bidi w:val="0"/>
        <w:adjustRightIn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szCs w:val="24"/>
          <w:highlight w:val="none"/>
          <w:lang w:val="zh-CN"/>
          <w14:textFill>
            <w14:solidFill>
              <w14:schemeClr w14:val="tx1"/>
            </w14:solidFill>
          </w14:textFill>
        </w:rPr>
        <w:t>付款方式</w:t>
      </w:r>
    </w:p>
    <w:p>
      <w:pPr>
        <w:keepNext w:val="0"/>
        <w:keepLines w:val="0"/>
        <w:pageBreakBefore w:val="0"/>
        <w:widowControl w:val="0"/>
        <w:shd w:val="clear"/>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pacing w:val="-6"/>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1.乙方</w:t>
      </w:r>
      <w:r>
        <w:rPr>
          <w:rFonts w:hint="eastAsia" w:ascii="宋体" w:hAnsi="宋体" w:eastAsia="宋体" w:cs="宋体"/>
          <w:color w:val="000000" w:themeColor="text1"/>
          <w:spacing w:val="-6"/>
          <w:sz w:val="24"/>
          <w:szCs w:val="24"/>
          <w:highlight w:val="none"/>
          <w14:textFill>
            <w14:solidFill>
              <w14:schemeClr w14:val="tx1"/>
            </w14:solidFill>
          </w14:textFill>
        </w:rPr>
        <w:t>在须于合同签订后七个工作日内向甲方支付合同总价 2.5% 的履约保证金</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即</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pacing w:val="-6"/>
          <w:sz w:val="24"/>
          <w:szCs w:val="24"/>
          <w:highlight w:val="none"/>
          <w14:textFill>
            <w14:solidFill>
              <w14:schemeClr w14:val="tx1"/>
            </w14:solidFill>
          </w14:textFill>
        </w:rPr>
        <w:t>；履约保证金以支票、汇票、本票、</w:t>
      </w:r>
      <w:r>
        <w:rPr>
          <w:rFonts w:hint="eastAsia" w:ascii="宋体" w:hAnsi="宋体" w:cs="宋体"/>
          <w:color w:val="000000" w:themeColor="text1"/>
          <w:spacing w:val="-6"/>
          <w:sz w:val="24"/>
          <w:szCs w:val="24"/>
          <w:highlight w:val="none"/>
          <w:lang w:val="en-US" w:eastAsia="zh-CN"/>
          <w14:textFill>
            <w14:solidFill>
              <w14:schemeClr w14:val="tx1"/>
            </w14:solidFill>
          </w14:textFill>
        </w:rPr>
        <w:t>银行</w:t>
      </w:r>
      <w:r>
        <w:rPr>
          <w:rFonts w:hint="eastAsia" w:ascii="宋体" w:hAnsi="宋体" w:eastAsia="宋体" w:cs="宋体"/>
          <w:color w:val="000000" w:themeColor="text1"/>
          <w:spacing w:val="-6"/>
          <w:sz w:val="24"/>
          <w:szCs w:val="24"/>
          <w:highlight w:val="none"/>
          <w14:textFill>
            <w14:solidFill>
              <w14:schemeClr w14:val="tx1"/>
            </w14:solidFill>
          </w14:textFill>
        </w:rPr>
        <w:t>保函</w:t>
      </w:r>
      <w:r>
        <w:rPr>
          <w:rFonts w:hint="eastAsia" w:ascii="宋体" w:hAnsi="宋体" w:cs="宋体"/>
          <w:color w:val="000000" w:themeColor="text1"/>
          <w:spacing w:val="-6"/>
          <w:sz w:val="24"/>
          <w:szCs w:val="24"/>
          <w:highlight w:val="none"/>
          <w:lang w:eastAsia="zh-CN"/>
          <w14:textFill>
            <w14:solidFill>
              <w14:schemeClr w14:val="tx1"/>
            </w14:solidFill>
          </w14:textFill>
        </w:rPr>
        <w:t>、</w:t>
      </w:r>
      <w:r>
        <w:rPr>
          <w:rFonts w:hint="eastAsia" w:ascii="宋体" w:hAnsi="宋体" w:cs="宋体"/>
          <w:color w:val="000000" w:themeColor="text1"/>
          <w:spacing w:val="-6"/>
          <w:sz w:val="24"/>
          <w:szCs w:val="24"/>
          <w:highlight w:val="none"/>
          <w:lang w:val="en-US" w:eastAsia="zh-CN"/>
          <w14:textFill>
            <w14:solidFill>
              <w14:schemeClr w14:val="tx1"/>
            </w14:solidFill>
          </w14:textFill>
        </w:rPr>
        <w:t>转账</w:t>
      </w:r>
      <w:r>
        <w:rPr>
          <w:rFonts w:hint="eastAsia" w:ascii="宋体" w:hAnsi="宋体" w:eastAsia="宋体" w:cs="宋体"/>
          <w:color w:val="000000" w:themeColor="text1"/>
          <w:spacing w:val="-6"/>
          <w:sz w:val="24"/>
          <w:szCs w:val="24"/>
          <w:highlight w:val="none"/>
          <w14:textFill>
            <w14:solidFill>
              <w14:schemeClr w14:val="tx1"/>
            </w14:solidFill>
          </w14:textFill>
        </w:rPr>
        <w:t>等非现金</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形式</w:t>
      </w:r>
      <w:r>
        <w:rPr>
          <w:rFonts w:hint="eastAsia" w:ascii="宋体" w:hAnsi="宋体" w:eastAsia="宋体" w:cs="宋体"/>
          <w:color w:val="000000" w:themeColor="text1"/>
          <w:spacing w:val="-6"/>
          <w:sz w:val="24"/>
          <w:szCs w:val="24"/>
          <w:highlight w:val="none"/>
          <w14:textFill>
            <w14:solidFill>
              <w14:schemeClr w14:val="tx1"/>
            </w14:solidFill>
          </w14:textFill>
        </w:rPr>
        <w:t>提交。</w:t>
      </w:r>
    </w:p>
    <w:p>
      <w:pPr>
        <w:keepNext w:val="0"/>
        <w:keepLines w:val="0"/>
        <w:pageBreakBefore w:val="0"/>
        <w:widowControl w:val="0"/>
        <w:numPr>
          <w:ilvl w:val="0"/>
          <w:numId w:val="0"/>
        </w:numPr>
        <w:shd w:val="clear"/>
        <w:kinsoku/>
        <w:overflowPunct/>
        <w:topLinePunct w:val="0"/>
        <w:autoSpaceDE/>
        <w:autoSpaceDN/>
        <w:bidi w:val="0"/>
        <w:adjustRightIn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2.本合同签订之日起 25个工作日内，在收到乙方根据甲方要求为甲方或甲方相关预算单位开具的等额有效发票后，甲方或甲方相关预算单位向乙方预付合同总金额的 40%作为预付款。</w:t>
      </w:r>
    </w:p>
    <w:p>
      <w:pPr>
        <w:keepNext w:val="0"/>
        <w:keepLines w:val="0"/>
        <w:pageBreakBefore w:val="0"/>
        <w:widowControl w:val="0"/>
        <w:numPr>
          <w:ilvl w:val="0"/>
          <w:numId w:val="0"/>
        </w:numPr>
        <w:shd w:val="clear"/>
        <w:kinsoku/>
        <w:overflowPunct/>
        <w:topLinePunct w:val="0"/>
        <w:autoSpaceDE/>
        <w:autoSpaceDN/>
        <w:bidi w:val="0"/>
        <w:adjustRightIn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所有货物供货完成</w:t>
      </w:r>
      <w:r>
        <w:rPr>
          <w:rFonts w:hint="eastAsia" w:ascii="宋体" w:hAnsi="宋体" w:eastAsia="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经甲方</w:t>
      </w:r>
      <w:r>
        <w:rPr>
          <w:rFonts w:hint="eastAsia" w:ascii="宋体" w:hAnsi="宋体" w:eastAsia="宋体" w:cs="宋体"/>
          <w:color w:val="000000" w:themeColor="text1"/>
          <w:sz w:val="24"/>
          <w:szCs w:val="24"/>
          <w:highlight w:val="none"/>
          <w:lang w:val="zh-CN"/>
          <w14:textFill>
            <w14:solidFill>
              <w14:schemeClr w14:val="tx1"/>
            </w14:solidFill>
          </w14:textFill>
        </w:rPr>
        <w:t>验收合格</w:t>
      </w:r>
      <w:r>
        <w:rPr>
          <w:rFonts w:hint="eastAsia" w:ascii="宋体" w:hAnsi="宋体" w:eastAsia="宋体" w:cs="宋体"/>
          <w:color w:val="000000" w:themeColor="text1"/>
          <w:sz w:val="24"/>
          <w:szCs w:val="24"/>
          <w:highlight w:val="none"/>
          <w:lang w:val="en-US" w:eastAsia="zh-CN"/>
          <w14:textFill>
            <w14:solidFill>
              <w14:schemeClr w14:val="tx1"/>
            </w14:solidFill>
          </w14:textFill>
        </w:rPr>
        <w:t>并</w:t>
      </w:r>
      <w:r>
        <w:rPr>
          <w:rFonts w:hint="eastAsia" w:ascii="宋体" w:hAnsi="宋体" w:eastAsia="宋体" w:cs="宋体"/>
          <w:color w:val="000000" w:themeColor="text1"/>
          <w:sz w:val="24"/>
          <w:szCs w:val="24"/>
          <w:highlight w:val="none"/>
          <w:lang w:val="zh-CN"/>
          <w14:textFill>
            <w14:solidFill>
              <w14:schemeClr w14:val="tx1"/>
            </w14:solidFill>
          </w14:textFill>
        </w:rPr>
        <w:t>经</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甲方委托的第三方审价机构</w:t>
      </w:r>
      <w:r>
        <w:rPr>
          <w:rFonts w:hint="eastAsia" w:ascii="宋体" w:hAnsi="宋体" w:eastAsia="宋体" w:cs="宋体"/>
          <w:color w:val="000000" w:themeColor="text1"/>
          <w:sz w:val="24"/>
          <w:szCs w:val="24"/>
          <w:highlight w:val="none"/>
          <w:lang w:val="zh-CN"/>
          <w14:textFill>
            <w14:solidFill>
              <w14:schemeClr w14:val="tx1"/>
            </w14:solidFill>
          </w14:textFill>
        </w:rPr>
        <w:t>审计完成</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zh-CN"/>
          <w14:textFill>
            <w14:solidFill>
              <w14:schemeClr w14:val="tx1"/>
            </w14:solidFill>
          </w14:textFill>
        </w:rPr>
        <w:t>凭《装备验收单》（附件1）</w:t>
      </w:r>
      <w:r>
        <w:rPr>
          <w:rFonts w:hint="eastAsia" w:ascii="宋体" w:hAnsi="宋体" w:cs="宋体"/>
          <w:color w:val="000000" w:themeColor="text1"/>
          <w:sz w:val="24"/>
          <w:szCs w:val="24"/>
          <w:highlight w:val="none"/>
          <w:lang w:val="en-US" w:eastAsia="zh-CN"/>
          <w14:textFill>
            <w14:solidFill>
              <w14:schemeClr w14:val="tx1"/>
            </w14:solidFill>
          </w14:textFill>
        </w:rPr>
        <w:t>支付</w:t>
      </w:r>
      <w:r>
        <w:rPr>
          <w:rFonts w:hint="eastAsia" w:ascii="宋体" w:hAnsi="宋体" w:eastAsia="宋体" w:cs="宋体"/>
          <w:color w:val="000000" w:themeColor="text1"/>
          <w:sz w:val="24"/>
          <w:szCs w:val="24"/>
          <w:highlight w:val="none"/>
          <w:lang w:val="zh-CN"/>
          <w14:textFill>
            <w14:solidFill>
              <w14:schemeClr w14:val="tx1"/>
            </w14:solidFill>
          </w14:textFill>
        </w:rPr>
        <w:t>合同</w:t>
      </w:r>
      <w:r>
        <w:rPr>
          <w:rFonts w:hint="eastAsia" w:ascii="宋体" w:hAnsi="宋体" w:cs="宋体"/>
          <w:color w:val="000000" w:themeColor="text1"/>
          <w:sz w:val="24"/>
          <w:szCs w:val="24"/>
          <w:highlight w:val="none"/>
          <w:lang w:val="en-US" w:eastAsia="zh-CN"/>
          <w14:textFill>
            <w14:solidFill>
              <w14:schemeClr w14:val="tx1"/>
            </w14:solidFill>
          </w14:textFill>
        </w:rPr>
        <w:t>款</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甲方凭乙方</w:t>
      </w:r>
      <w:r>
        <w:rPr>
          <w:rFonts w:hint="eastAsia" w:ascii="宋体" w:hAnsi="宋体" w:eastAsia="宋体" w:cs="宋体"/>
          <w:bCs/>
          <w:color w:val="000000" w:themeColor="text1"/>
          <w:kern w:val="2"/>
          <w:sz w:val="24"/>
          <w:szCs w:val="24"/>
          <w:highlight w:val="none"/>
          <w:lang w:val="zh-CN" w:eastAsia="zh-CN" w:bidi="ar-SA"/>
          <w14:textFill>
            <w14:solidFill>
              <w14:schemeClr w14:val="tx1"/>
            </w14:solidFill>
          </w14:textFill>
        </w:rPr>
        <w:t>提供</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的</w:t>
      </w:r>
      <w:r>
        <w:rPr>
          <w:rFonts w:hint="eastAsia" w:ascii="宋体" w:hAnsi="宋体" w:eastAsia="宋体" w:cs="宋体"/>
          <w:bCs/>
          <w:color w:val="000000" w:themeColor="text1"/>
          <w:kern w:val="2"/>
          <w:sz w:val="24"/>
          <w:szCs w:val="24"/>
          <w:highlight w:val="none"/>
          <w:lang w:val="zh-CN" w:eastAsia="zh-CN" w:bidi="ar-SA"/>
          <w14:textFill>
            <w14:solidFill>
              <w14:schemeClr w14:val="tx1"/>
            </w14:solidFill>
          </w14:textFill>
        </w:rPr>
        <w:t>等额有效发票</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进行付款</w:t>
      </w:r>
      <w:r>
        <w:rPr>
          <w:rFonts w:hint="eastAsia" w:ascii="宋体" w:hAnsi="宋体" w:eastAsia="宋体" w:cs="宋体"/>
          <w:bCs/>
          <w:color w:val="000000" w:themeColor="text1"/>
          <w:kern w:val="2"/>
          <w:sz w:val="24"/>
          <w:szCs w:val="24"/>
          <w:highlight w:val="none"/>
          <w:lang w:val="zh-CN" w:eastAsia="zh-CN" w:bidi="ar-SA"/>
          <w14:textFill>
            <w14:solidFill>
              <w14:schemeClr w14:val="tx1"/>
            </w14:solidFill>
          </w14:textFill>
        </w:rPr>
        <w:t>。</w:t>
      </w:r>
    </w:p>
    <w:p>
      <w:pPr>
        <w:keepNext w:val="0"/>
        <w:keepLines w:val="0"/>
        <w:pageBreakBefore w:val="0"/>
        <w:widowControl w:val="0"/>
        <w:numPr>
          <w:ilvl w:val="0"/>
          <w:numId w:val="0"/>
        </w:numPr>
        <w:shd w:val="clear"/>
        <w:kinsoku/>
        <w:overflowPunct/>
        <w:topLinePunct w:val="0"/>
        <w:autoSpaceDE/>
        <w:autoSpaceDN/>
        <w:bidi w:val="0"/>
        <w:adjustRightIn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3.</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全部</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货物验收合格1年后</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后</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凭《无质量疑义证明文件》</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，30天内</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甲方全额无息退还履约保证金</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pPr>
        <w:keepNext w:val="0"/>
        <w:keepLines w:val="0"/>
        <w:pageBreakBefore w:val="0"/>
        <w:widowControl w:val="0"/>
        <w:shd w:val="clear"/>
        <w:kinsoku/>
        <w:wordWrap/>
        <w:overflowPunct/>
        <w:topLinePunct w:val="0"/>
        <w:autoSpaceDE/>
        <w:autoSpaceDN/>
        <w:bidi w:val="0"/>
        <w:adjustRightInd w:val="0"/>
        <w:snapToGrid/>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w:t>
      </w:r>
      <w:r>
        <w:rPr>
          <w:rFonts w:hint="eastAsia" w:ascii="宋体" w:hAnsi="宋体" w:eastAsia="宋体" w:cs="宋体"/>
          <w:b/>
          <w:color w:val="000000" w:themeColor="text1"/>
          <w:sz w:val="24"/>
          <w:szCs w:val="24"/>
          <w:highlight w:val="none"/>
          <w14:textFill>
            <w14:solidFill>
              <w14:schemeClr w14:val="tx1"/>
            </w14:solidFill>
          </w14:textFill>
        </w:rPr>
        <w:t>质量保证及售后服务要求</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质量要求：所供产品是符合国家技术规范和质量标准的合格产品，且未曾使用，制造标准、安装标准及技术规范要求必须符合我国相关标准和使用方认可的有关国际标准，并符合</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Cs/>
          <w:color w:val="000000" w:themeColor="text1"/>
          <w:sz w:val="24"/>
          <w:szCs w:val="24"/>
          <w:highlight w:val="none"/>
          <w14:textFill>
            <w14:solidFill>
              <w14:schemeClr w14:val="tx1"/>
            </w14:solidFill>
          </w14:textFill>
        </w:rPr>
        <w:t>要求。</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质保期：质保期</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年，时间自货物</w:t>
      </w:r>
      <w:r>
        <w:rPr>
          <w:rFonts w:hint="eastAsia" w:ascii="宋体" w:hAnsi="宋体" w:eastAsia="宋体" w:cs="宋体"/>
          <w:bCs/>
          <w:color w:val="000000" w:themeColor="text1"/>
          <w:sz w:val="24"/>
          <w:szCs w:val="24"/>
          <w:highlight w:val="none"/>
          <w:lang w:eastAsia="zh-CN"/>
          <w14:textFill>
            <w14:solidFill>
              <w14:schemeClr w14:val="tx1"/>
            </w14:solidFill>
          </w14:textFill>
        </w:rPr>
        <w:t>检测</w:t>
      </w:r>
      <w:r>
        <w:rPr>
          <w:rFonts w:hint="eastAsia" w:ascii="宋体" w:hAnsi="宋体" w:eastAsia="宋体" w:cs="宋体"/>
          <w:bCs/>
          <w:color w:val="000000" w:themeColor="text1"/>
          <w:sz w:val="24"/>
          <w:szCs w:val="24"/>
          <w:highlight w:val="none"/>
          <w14:textFill>
            <w14:solidFill>
              <w14:schemeClr w14:val="tx1"/>
            </w14:solidFill>
          </w14:textFill>
        </w:rPr>
        <w:t>完毕及</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Cs/>
          <w:color w:val="000000" w:themeColor="text1"/>
          <w:sz w:val="24"/>
          <w:szCs w:val="24"/>
          <w:highlight w:val="none"/>
          <w14:textFill>
            <w14:solidFill>
              <w14:schemeClr w14:val="tx1"/>
            </w14:solidFill>
          </w14:textFill>
        </w:rPr>
        <w:t>验收合格之日起。</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按投标文件实际响应年限调整</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在质保期内如发现质量问题，实行包修、包换、包退，直至产品符合质量要求。</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应保证货物为全新、未使用过的原装正品，保证所提供的货物的外观和内在质量都无任何问题。如质量出现问题，</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负责“三包”，费用由</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负责。</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在产品保质期内，每年不少于2次定期上门对设备进行全面维护保养，保障设备正常运行。</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shd w:val="clear" w:fill="auto"/>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Cs/>
          <w:color w:val="000000" w:themeColor="text1"/>
          <w:sz w:val="24"/>
          <w:szCs w:val="24"/>
          <w:highlight w:val="none"/>
          <w:lang w:eastAsia="zh-CN"/>
          <w14:textFill>
            <w14:solidFill>
              <w14:schemeClr w14:val="tx1"/>
            </w14:solidFill>
          </w14:textFill>
        </w:rPr>
        <w:t>.包装要求：所有产品货物外包装按相关规定执行，不得有破损和霉烂。</w:t>
      </w:r>
      <w:r>
        <w:rPr>
          <w:rFonts w:hint="eastAsia" w:ascii="宋体" w:hAnsi="宋体" w:eastAsia="宋体" w:cs="宋体"/>
          <w:bCs/>
          <w:color w:val="000000" w:themeColor="text1"/>
          <w:sz w:val="24"/>
          <w:szCs w:val="24"/>
          <w:highlight w:val="none"/>
          <w:shd w:val="clear" w:fill="auto"/>
          <w:lang w:eastAsia="zh-CN"/>
          <w14:textFill>
            <w14:solidFill>
              <w14:schemeClr w14:val="tx1"/>
            </w14:solidFill>
          </w14:textFill>
        </w:rPr>
        <w:t>运输、安装过程中发生的货物损毁、人身伤害的，一切法律责任由乙方承担。</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4.费用：</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负责产品的</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包装、</w:t>
      </w:r>
      <w:r>
        <w:rPr>
          <w:rFonts w:hint="eastAsia" w:ascii="宋体" w:hAnsi="宋体" w:eastAsia="宋体" w:cs="宋体"/>
          <w:bCs/>
          <w:color w:val="000000" w:themeColor="text1"/>
          <w:sz w:val="24"/>
          <w:szCs w:val="24"/>
          <w:highlight w:val="none"/>
          <w:lang w:eastAsia="zh-CN"/>
          <w14:textFill>
            <w14:solidFill>
              <w14:schemeClr w14:val="tx1"/>
            </w14:solidFill>
          </w14:textFill>
        </w:rPr>
        <w:t>运输、</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bCs/>
          <w:color w:val="000000" w:themeColor="text1"/>
          <w:sz w:val="24"/>
          <w:szCs w:val="24"/>
          <w:highlight w:val="none"/>
          <w:lang w:eastAsia="zh-CN"/>
          <w14:textFill>
            <w14:solidFill>
              <w14:schemeClr w14:val="tx1"/>
            </w14:solidFill>
          </w14:textFill>
        </w:rPr>
        <w:t>安装、调试、验收等工作，产品正式交付</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Cs/>
          <w:color w:val="000000" w:themeColor="text1"/>
          <w:sz w:val="24"/>
          <w:szCs w:val="24"/>
          <w:highlight w:val="none"/>
          <w:lang w:eastAsia="zh-CN"/>
          <w14:textFill>
            <w14:solidFill>
              <w14:schemeClr w14:val="tx1"/>
            </w14:solidFill>
          </w14:textFill>
        </w:rPr>
        <w:t>使用前进行安装、调试和质保期内设备正常运行所需一切必要耗材及其费用均由</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负责。</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5.保修要求：产品从</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Cs/>
          <w:color w:val="000000" w:themeColor="text1"/>
          <w:sz w:val="24"/>
          <w:szCs w:val="24"/>
          <w:highlight w:val="none"/>
          <w:lang w:eastAsia="zh-CN"/>
          <w14:textFill>
            <w14:solidFill>
              <w14:schemeClr w14:val="tx1"/>
            </w14:solidFill>
          </w14:textFill>
        </w:rPr>
        <w:t>验收合格之日起，保修按厂家规定标准执行。</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6.维修响应：</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保证所供产品在质保期内因设备本身缺陷造成各种故障应由</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bCs/>
          <w:color w:val="000000" w:themeColor="text1"/>
          <w:sz w:val="24"/>
          <w:szCs w:val="24"/>
          <w:highlight w:val="none"/>
          <w:lang w:eastAsia="zh-CN"/>
          <w14:textFill>
            <w14:solidFill>
              <w14:schemeClr w14:val="tx1"/>
            </w14:solidFill>
          </w14:textFill>
        </w:rPr>
        <w:t>免费提供技术服务和维修，若出现产品质量问题应能够在1小时内响应，2小时内提出解决方案，6小时内派维修人员到达现场维修，对于维修期间超过10天的产品应提供</w:t>
      </w:r>
      <w:r>
        <w:rPr>
          <w:rFonts w:hint="eastAsia" w:ascii="宋体" w:hAnsi="宋体" w:cs="宋体"/>
          <w:bCs/>
          <w:color w:val="000000" w:themeColor="text1"/>
          <w:sz w:val="24"/>
          <w:szCs w:val="24"/>
          <w:highlight w:val="none"/>
          <w:lang w:eastAsia="zh-CN"/>
          <w14:textFill>
            <w14:solidFill>
              <w14:schemeClr w14:val="tx1"/>
            </w14:solidFill>
          </w14:textFill>
        </w:rPr>
        <w:t>备用产品</w:t>
      </w:r>
      <w:r>
        <w:rPr>
          <w:rFonts w:hint="eastAsia" w:ascii="宋体" w:hAnsi="宋体" w:eastAsia="宋体" w:cs="宋体"/>
          <w:bCs/>
          <w:color w:val="000000" w:themeColor="text1"/>
          <w:sz w:val="24"/>
          <w:szCs w:val="24"/>
          <w:highlight w:val="none"/>
          <w:lang w:eastAsia="zh-CN"/>
          <w14:textFill>
            <w14:solidFill>
              <w14:schemeClr w14:val="tx1"/>
            </w14:solidFill>
          </w14:textFill>
        </w:rPr>
        <w:t>供</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bCs/>
          <w:color w:val="000000" w:themeColor="text1"/>
          <w:sz w:val="24"/>
          <w:szCs w:val="24"/>
          <w:highlight w:val="none"/>
          <w:lang w:eastAsia="zh-CN"/>
          <w14:textFill>
            <w14:solidFill>
              <w14:schemeClr w14:val="tx1"/>
            </w14:solidFill>
          </w14:textFill>
        </w:rPr>
        <w:t>使用。</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若乙方未能按时响应并完成维修的，甲方有权自行委托第三方维修或更换，甲方由此产生的费用由乙方全额承担，甲方并有权直接在未付乙方的款项中予以扣除。</w:t>
      </w:r>
      <w:r>
        <w:rPr>
          <w:rFonts w:hint="eastAsia" w:ascii="宋体" w:hAnsi="宋体" w:cs="宋体"/>
          <w:bCs/>
          <w:color w:val="000000" w:themeColor="text1"/>
          <w:sz w:val="24"/>
          <w:szCs w:val="24"/>
          <w:highlight w:val="none"/>
          <w:lang w:val="en-US" w:eastAsia="zh-CN"/>
          <w14:textFill>
            <w14:solidFill>
              <w14:schemeClr w14:val="tx1"/>
            </w14:solidFill>
          </w14:textFill>
        </w:rPr>
        <w:t>（投标文件售后服务承诺等优于此条款的，按投标文件相关承诺执行)。</w:t>
      </w:r>
    </w:p>
    <w:p>
      <w:pPr>
        <w:keepNext w:val="0"/>
        <w:keepLines w:val="0"/>
        <w:pageBreakBefore w:val="0"/>
        <w:widowControl w:val="0"/>
        <w:shd w:val="clear"/>
        <w:kinsoku/>
        <w:overflowPunct/>
        <w:topLinePunct w:val="0"/>
        <w:autoSpaceDE/>
        <w:autoSpaceDN/>
        <w:bidi w:val="0"/>
        <w:spacing w:line="360" w:lineRule="exact"/>
        <w:ind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shd w:val="clear"/>
          <w:lang w:val="en-US" w:eastAsia="zh-CN"/>
          <w14:textFill>
            <w14:solidFill>
              <w14:schemeClr w14:val="tx1"/>
            </w14:solidFill>
          </w14:textFill>
        </w:rPr>
        <w:t>7.质保</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期外维修及零配件等费用按投标文件响应内容承诺执行。</w:t>
      </w:r>
    </w:p>
    <w:p>
      <w:pPr>
        <w:pStyle w:val="16"/>
        <w:keepNext w:val="0"/>
        <w:keepLines w:val="0"/>
        <w:pageBreakBefore w:val="0"/>
        <w:widowControl w:val="0"/>
        <w:numPr>
          <w:ilvl w:val="0"/>
          <w:numId w:val="0"/>
        </w:numPr>
        <w:shd w:val="clear"/>
        <w:kinsoku/>
        <w:wordWrap/>
        <w:overflowPunct/>
        <w:topLinePunct w:val="0"/>
        <w:autoSpaceDE/>
        <w:autoSpaceDN/>
        <w:bidi w:val="0"/>
        <w:spacing w:after="0" w:line="360" w:lineRule="exact"/>
        <w:ind w:left="0" w:leftChars="0" w:right="0" w:rightChars="0" w:firstLine="480" w:firstLineChars="200"/>
        <w:textAlignment w:val="auto"/>
        <w:outlineLvl w:val="9"/>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8.</w:t>
      </w:r>
      <w:r>
        <w:rPr>
          <w:rFonts w:hint="eastAsia" w:ascii="宋体" w:hAnsi="宋体" w:cs="宋体"/>
          <w:bCs/>
          <w:color w:val="000000" w:themeColor="text1"/>
          <w:kern w:val="2"/>
          <w:sz w:val="24"/>
          <w:szCs w:val="24"/>
          <w:highlight w:val="none"/>
          <w:lang w:val="en-US" w:eastAsia="zh-CN" w:bidi="ar-SA"/>
          <w14:textFill>
            <w14:solidFill>
              <w14:schemeClr w14:val="tx1"/>
            </w14:solidFill>
          </w14:textFill>
        </w:rPr>
        <w:t>所提供的器材装备（包括核心部件）生产日期不得早于合同签订日期6个月以上.</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六、供货</w:t>
      </w:r>
      <w:r>
        <w:rPr>
          <w:rFonts w:hint="eastAsia" w:ascii="宋体" w:hAnsi="宋体" w:cs="宋体"/>
          <w:b/>
          <w:bCs/>
          <w:color w:val="000000" w:themeColor="text1"/>
          <w:sz w:val="24"/>
          <w:szCs w:val="24"/>
          <w:highlight w:val="none"/>
          <w:lang w:val="en-US" w:eastAsia="zh-CN"/>
          <w14:textFill>
            <w14:solidFill>
              <w14:schemeClr w14:val="tx1"/>
            </w14:solidFill>
          </w14:textFill>
        </w:rPr>
        <w:t>及验收</w:t>
      </w:r>
      <w:r>
        <w:rPr>
          <w:rFonts w:hint="eastAsia" w:ascii="宋体" w:hAnsi="宋体" w:eastAsia="宋体" w:cs="宋体"/>
          <w:b/>
          <w:bCs/>
          <w:color w:val="000000" w:themeColor="text1"/>
          <w:sz w:val="24"/>
          <w:szCs w:val="24"/>
          <w:highlight w:val="none"/>
          <w14:textFill>
            <w14:solidFill>
              <w14:schemeClr w14:val="tx1"/>
            </w14:solidFill>
          </w14:textFill>
        </w:rPr>
        <w:t>要求</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供货时间：</w:t>
      </w:r>
      <w:r>
        <w:rPr>
          <w:rFonts w:hint="eastAsia" w:ascii="宋体" w:hAnsi="宋体" w:eastAsia="宋体" w:cs="宋体"/>
          <w:color w:val="000000" w:themeColor="text1"/>
          <w:spacing w:val="-6"/>
          <w:sz w:val="24"/>
          <w:szCs w:val="24"/>
          <w:highlight w:val="none"/>
          <w14:textFill>
            <w14:solidFill>
              <w14:schemeClr w14:val="tx1"/>
            </w14:solidFill>
          </w14:textFill>
        </w:rPr>
        <w:t>合同签</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订生效之</w:t>
      </w:r>
      <w:r>
        <w:rPr>
          <w:rFonts w:hint="eastAsia" w:ascii="宋体" w:hAnsi="宋体" w:eastAsia="宋体" w:cs="宋体"/>
          <w:color w:val="000000" w:themeColor="text1"/>
          <w:spacing w:val="-6"/>
          <w:sz w:val="24"/>
          <w:szCs w:val="24"/>
          <w:highlight w:val="none"/>
          <w14:textFill>
            <w14:solidFill>
              <w14:schemeClr w14:val="tx1"/>
            </w14:solidFill>
          </w14:textFill>
        </w:rPr>
        <w:t>日起2个月内完成供货，交</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pacing w:val="-6"/>
          <w:sz w:val="24"/>
          <w:szCs w:val="24"/>
          <w:highlight w:val="none"/>
          <w14:textFill>
            <w14:solidFill>
              <w14:schemeClr w14:val="tx1"/>
            </w14:solidFill>
          </w14:textFill>
        </w:rPr>
        <w:t>验收。</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供货地点：甲方指定地点。</w:t>
      </w:r>
    </w:p>
    <w:p>
      <w:pPr>
        <w:keepNext w:val="0"/>
        <w:keepLines w:val="0"/>
        <w:pageBreakBefore w:val="0"/>
        <w:widowControl w:val="0"/>
        <w:shd w:val="clear"/>
        <w:kinsoku/>
        <w:wordWrap/>
        <w:overflowPunct/>
        <w:topLinePunct w:val="0"/>
        <w:autoSpaceDE/>
        <w:autoSpaceDN/>
        <w:bidi w:val="0"/>
        <w:adjustRightInd w:val="0"/>
        <w:spacing w:line="360" w:lineRule="exact"/>
        <w:ind w:left="0" w:leftChars="0" w:right="0" w:rightChars="0" w:firstLine="480" w:firstLineChars="200"/>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3.甲方</w:t>
      </w:r>
      <w:r>
        <w:rPr>
          <w:rFonts w:hint="eastAsia" w:ascii="宋体" w:hAnsi="宋体" w:eastAsia="宋体" w:cs="宋体"/>
          <w:color w:val="000000" w:themeColor="text1"/>
          <w:sz w:val="24"/>
          <w:szCs w:val="24"/>
          <w:highlight w:val="none"/>
          <w14:textFill>
            <w14:solidFill>
              <w14:schemeClr w14:val="tx1"/>
            </w14:solidFill>
          </w14:textFill>
        </w:rPr>
        <w:t>按照政府采购相关法律法规</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行业管理规定</w:t>
      </w:r>
      <w:r>
        <w:rPr>
          <w:rFonts w:hint="eastAsia" w:ascii="宋体" w:hAnsi="宋体" w:cs="宋体"/>
          <w:color w:val="000000" w:themeColor="text1"/>
          <w:sz w:val="24"/>
          <w:szCs w:val="24"/>
          <w:highlight w:val="none"/>
          <w:lang w:val="en-US" w:eastAsia="zh-CN"/>
          <w14:textFill>
            <w14:solidFill>
              <w14:schemeClr w14:val="tx1"/>
            </w14:solidFill>
          </w14:textFill>
        </w:rPr>
        <w:t>以及</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浙江省消防救援总队</w:t>
      </w:r>
      <w:r>
        <w:rPr>
          <w:rFonts w:hint="eastAsia" w:ascii="宋体" w:hAnsi="宋体" w:eastAsia="宋体" w:cs="宋体"/>
          <w:color w:val="000000" w:themeColor="text1"/>
          <w:sz w:val="24"/>
          <w:szCs w:val="24"/>
          <w:highlight w:val="none"/>
          <w14:textFill>
            <w14:solidFill>
              <w14:schemeClr w14:val="tx1"/>
            </w14:solidFill>
          </w14:textFill>
        </w:rPr>
        <w:t>关于印发浙江省消防救援队伍灭火救援装备验收管理规定（试行）的通知》</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附件5）</w:t>
      </w:r>
      <w:r>
        <w:rPr>
          <w:rFonts w:hint="eastAsia" w:ascii="宋体" w:hAnsi="宋体" w:cs="宋体"/>
          <w:color w:val="000000" w:themeColor="text1"/>
          <w:sz w:val="24"/>
          <w:highlight w:val="none"/>
          <w:lang w:eastAsia="zh-CN"/>
          <w14:textFill>
            <w14:solidFill>
              <w14:schemeClr w14:val="tx1"/>
            </w14:solidFill>
          </w14:textFill>
        </w:rPr>
        <w:t>要求组织</w:t>
      </w:r>
      <w:r>
        <w:rPr>
          <w:rFonts w:hint="eastAsia" w:ascii="宋体" w:hAnsi="宋体" w:cs="宋体"/>
          <w:color w:val="000000" w:themeColor="text1"/>
          <w:sz w:val="24"/>
          <w:highlight w:val="none"/>
          <w:lang w:val="en-US" w:eastAsia="zh-CN"/>
          <w14:textFill>
            <w14:solidFill>
              <w14:schemeClr w14:val="tx1"/>
            </w14:solidFill>
          </w14:textFill>
        </w:rPr>
        <w:t>验收。</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七、知识产权</w:t>
      </w:r>
      <w:r>
        <w:rPr>
          <w:rFonts w:hint="eastAsia" w:ascii="宋体" w:hAnsi="宋体" w:eastAsia="宋体" w:cs="宋体"/>
          <w:color w:val="000000" w:themeColor="text1"/>
          <w:sz w:val="24"/>
          <w:szCs w:val="24"/>
          <w:highlight w:val="none"/>
          <w:lang w:val="zh-CN"/>
          <w14:textFill>
            <w14:solidFill>
              <w14:schemeClr w14:val="tx1"/>
            </w14:solidFill>
          </w14:textFill>
        </w:rPr>
        <w:t xml:space="preserve">  </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乙方应保证，所供货物无任何抵押、查封等权属瑕疵，且甲方在中华人民共和国使用该货物或货物的任何一部分时，免受第三方提出的侵犯其知识产权的索赔或诉讼。</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如果甲方在使用该货物或货物的任何一部分时被任何第三方诉称侵犯了该第三方知识产权或任何其它权利，甲方将立即通知乙方。乙方应负责处理</w:t>
      </w:r>
      <w:r>
        <w:rPr>
          <w:rFonts w:hint="eastAsia" w:ascii="宋体" w:hAnsi="宋体" w:eastAsia="宋体" w:cs="宋体"/>
          <w:color w:val="000000" w:themeColor="text1"/>
          <w:sz w:val="24"/>
          <w:szCs w:val="24"/>
          <w:highlight w:val="none"/>
          <w:lang w:val="en-US" w:eastAsia="zh-CN"/>
          <w14:textFill>
            <w14:solidFill>
              <w14:schemeClr w14:val="tx1"/>
            </w14:solidFill>
          </w14:textFill>
        </w:rPr>
        <w:t>相关纠纷</w:t>
      </w:r>
      <w:r>
        <w:rPr>
          <w:rFonts w:hint="eastAsia" w:ascii="宋体" w:hAnsi="宋体" w:eastAsia="宋体" w:cs="宋体"/>
          <w:color w:val="000000" w:themeColor="text1"/>
          <w:sz w:val="24"/>
          <w:szCs w:val="24"/>
          <w:highlight w:val="none"/>
          <w:lang w:val="zh-CN"/>
          <w14:textFill>
            <w14:solidFill>
              <w14:schemeClr w14:val="tx1"/>
            </w14:solidFill>
          </w14:textFill>
        </w:rPr>
        <w:t>并应以乙方的名义自负费用向起诉方提出抗辩</w:t>
      </w:r>
      <w:r>
        <w:rPr>
          <w:rFonts w:hint="eastAsia" w:ascii="宋体" w:hAnsi="宋体" w:eastAsia="宋体" w:cs="宋体"/>
          <w:color w:val="000000" w:themeColor="text1"/>
          <w:sz w:val="24"/>
          <w:szCs w:val="24"/>
          <w:highlight w:val="none"/>
          <w:lang w:val="en-US" w:eastAsia="zh-CN"/>
          <w14:textFill>
            <w14:solidFill>
              <w14:schemeClr w14:val="tx1"/>
            </w14:solidFill>
          </w14:textFill>
        </w:rPr>
        <w:t>并承担最终的赔偿责任</w:t>
      </w:r>
      <w:r>
        <w:rPr>
          <w:rFonts w:hint="eastAsia" w:ascii="宋体" w:hAnsi="宋体" w:eastAsia="宋体" w:cs="宋体"/>
          <w:color w:val="000000" w:themeColor="text1"/>
          <w:sz w:val="24"/>
          <w:szCs w:val="24"/>
          <w:highlight w:val="none"/>
          <w:lang w:val="zh-CN"/>
          <w14:textFill>
            <w14:solidFill>
              <w14:schemeClr w14:val="tx1"/>
            </w14:solidFill>
          </w14:textFill>
        </w:rPr>
        <w:t>。由此可能产生的一切法律责任和经济责任均由乙方承担；</w:t>
      </w:r>
      <w:r>
        <w:rPr>
          <w:rFonts w:hint="eastAsia" w:ascii="宋体" w:hAnsi="宋体" w:eastAsia="宋体" w:cs="宋体"/>
          <w:color w:val="000000" w:themeColor="text1"/>
          <w:sz w:val="24"/>
          <w:szCs w:val="24"/>
          <w:highlight w:val="none"/>
          <w:lang w:val="en-US" w:eastAsia="zh-CN"/>
          <w14:textFill>
            <w14:solidFill>
              <w14:schemeClr w14:val="tx1"/>
            </w14:solidFill>
          </w14:textFill>
        </w:rPr>
        <w:t>如造成甲方向第三方承担责任的，由乙方赔偿甲方全部损失</w:t>
      </w:r>
      <w:r>
        <w:rPr>
          <w:rFonts w:hint="eastAsia" w:ascii="宋体" w:hAnsi="宋体" w:eastAsia="宋体" w:cs="宋体"/>
          <w:color w:val="000000" w:themeColor="text1"/>
          <w:sz w:val="24"/>
          <w:szCs w:val="24"/>
          <w:highlight w:val="none"/>
          <w:lang w:val="zh-CN"/>
          <w14:textFill>
            <w14:solidFill>
              <w14:schemeClr w14:val="tx1"/>
            </w14:solidFill>
          </w14:textFill>
        </w:rPr>
        <w:t>。甲方将尽可能地对乙方抗辩给予协助，由此发生的费用由乙方承担。</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八、违约责任</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1.乙方如不能按照合同规定的时限内供货，需承担违约责任并按</w:t>
      </w:r>
      <w:r>
        <w:rPr>
          <w:rFonts w:hint="eastAsia" w:ascii="宋体" w:hAnsi="宋体" w:eastAsia="宋体" w:cs="宋体"/>
          <w:color w:val="000000" w:themeColor="text1"/>
          <w:sz w:val="24"/>
          <w:szCs w:val="24"/>
          <w:highlight w:val="none"/>
          <w:lang w:val="en-US" w:eastAsia="zh-CN"/>
          <w14:textFill>
            <w14:solidFill>
              <w14:schemeClr w14:val="tx1"/>
            </w14:solidFill>
          </w14:textFill>
        </w:rPr>
        <w:t>以下约定向甲方支付</w:t>
      </w:r>
      <w:r>
        <w:rPr>
          <w:rFonts w:hint="eastAsia" w:ascii="宋体" w:hAnsi="宋体" w:eastAsia="宋体" w:cs="宋体"/>
          <w:color w:val="000000" w:themeColor="text1"/>
          <w:sz w:val="24"/>
          <w:szCs w:val="24"/>
          <w:highlight w:val="none"/>
          <w:lang w:val="zh-CN"/>
          <w14:textFill>
            <w14:solidFill>
              <w14:schemeClr w14:val="tx1"/>
            </w14:solidFill>
          </w14:textFill>
        </w:rPr>
        <w:t>违约金：</w:t>
      </w:r>
      <w:r>
        <w:rPr>
          <w:rFonts w:hint="eastAsia" w:ascii="宋体" w:hAnsi="宋体" w:eastAsia="宋体" w:cs="宋体"/>
          <w:color w:val="000000" w:themeColor="text1"/>
          <w:sz w:val="24"/>
          <w:szCs w:val="24"/>
          <w:highlight w:val="none"/>
          <w:lang w:val="en-US" w:eastAsia="zh-CN"/>
          <w14:textFill>
            <w14:solidFill>
              <w14:schemeClr w14:val="tx1"/>
            </w14:solidFill>
          </w14:textFill>
        </w:rPr>
        <w:t>逾期30</w:t>
      </w:r>
      <w:r>
        <w:rPr>
          <w:rFonts w:hint="eastAsia" w:ascii="宋体" w:hAnsi="宋体" w:eastAsia="宋体" w:cs="宋体"/>
          <w:color w:val="000000" w:themeColor="text1"/>
          <w:sz w:val="24"/>
          <w:szCs w:val="24"/>
          <w:highlight w:val="none"/>
          <w:lang w:val="zh-CN"/>
          <w14:textFill>
            <w14:solidFill>
              <w14:schemeClr w14:val="tx1"/>
            </w14:solidFill>
          </w14:textFill>
        </w:rPr>
        <w:t>天以内，每天支付合同总金额千分之一的违约金，</w:t>
      </w:r>
      <w:r>
        <w:rPr>
          <w:rFonts w:hint="eastAsia" w:ascii="宋体" w:hAnsi="宋体" w:eastAsia="宋体" w:cs="宋体"/>
          <w:color w:val="000000" w:themeColor="text1"/>
          <w:sz w:val="24"/>
          <w:szCs w:val="24"/>
          <w:highlight w:val="none"/>
          <w:lang w:val="en-US" w:eastAsia="zh-CN"/>
          <w14:textFill>
            <w14:solidFill>
              <w14:schemeClr w14:val="tx1"/>
            </w14:solidFill>
          </w14:textFill>
        </w:rPr>
        <w:t>该</w:t>
      </w:r>
      <w:r>
        <w:rPr>
          <w:rFonts w:hint="eastAsia" w:ascii="宋体" w:hAnsi="宋体" w:eastAsia="宋体" w:cs="宋体"/>
          <w:color w:val="000000" w:themeColor="text1"/>
          <w:sz w:val="24"/>
          <w:szCs w:val="24"/>
          <w:highlight w:val="none"/>
          <w:lang w:val="zh-CN"/>
          <w14:textFill>
            <w14:solidFill>
              <w14:schemeClr w14:val="tx1"/>
            </w14:solidFill>
          </w14:textFill>
        </w:rPr>
        <w:t>违约金</w:t>
      </w:r>
      <w:r>
        <w:rPr>
          <w:rFonts w:hint="eastAsia" w:ascii="宋体" w:hAnsi="宋体" w:eastAsia="宋体" w:cs="宋体"/>
          <w:color w:val="000000" w:themeColor="text1"/>
          <w:sz w:val="24"/>
          <w:szCs w:val="24"/>
          <w:highlight w:val="none"/>
          <w:lang w:val="en-US" w:eastAsia="zh-CN"/>
          <w14:textFill>
            <w14:solidFill>
              <w14:schemeClr w14:val="tx1"/>
            </w14:solidFill>
          </w14:textFill>
        </w:rPr>
        <w:t>最高</w:t>
      </w:r>
      <w:r>
        <w:rPr>
          <w:rFonts w:hint="eastAsia" w:ascii="宋体" w:hAnsi="宋体" w:eastAsia="宋体" w:cs="宋体"/>
          <w:color w:val="000000" w:themeColor="text1"/>
          <w:sz w:val="24"/>
          <w:szCs w:val="24"/>
          <w:highlight w:val="none"/>
          <w:lang w:val="zh-CN"/>
          <w14:textFill>
            <w14:solidFill>
              <w14:schemeClr w14:val="tx1"/>
            </w14:solidFill>
          </w14:textFill>
        </w:rPr>
        <w:t>为合同总金额的百分之五；逾期超过一个月的，甲方有权</w:t>
      </w:r>
      <w:r>
        <w:rPr>
          <w:rFonts w:hint="eastAsia" w:ascii="宋体" w:hAnsi="宋体" w:eastAsia="宋体" w:cs="宋体"/>
          <w:color w:val="000000" w:themeColor="text1"/>
          <w:sz w:val="24"/>
          <w:szCs w:val="24"/>
          <w:highlight w:val="none"/>
          <w:lang w:val="en-US" w:eastAsia="zh-CN"/>
          <w14:textFill>
            <w14:solidFill>
              <w14:schemeClr w14:val="tx1"/>
            </w14:solidFill>
          </w14:textFill>
        </w:rPr>
        <w:t>立即单方面</w:t>
      </w:r>
      <w:r>
        <w:rPr>
          <w:rFonts w:hint="eastAsia" w:ascii="宋体" w:hAnsi="宋体" w:eastAsia="宋体" w:cs="宋体"/>
          <w:color w:val="000000" w:themeColor="text1"/>
          <w:sz w:val="24"/>
          <w:szCs w:val="24"/>
          <w:highlight w:val="none"/>
          <w:lang w:val="zh-CN"/>
          <w14:textFill>
            <w14:solidFill>
              <w14:schemeClr w14:val="tx1"/>
            </w14:solidFill>
          </w14:textFill>
        </w:rPr>
        <w:t>解除本合同</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,甲方未支付的款项无需支付，乙方应退还已收取甲方的全部款项，并由乙方承担甲方的一切损失</w:t>
      </w:r>
      <w:r>
        <w:rPr>
          <w:rFonts w:hint="eastAsia" w:ascii="宋体" w:hAnsi="宋体" w:eastAsia="宋体" w:cs="宋体"/>
          <w:color w:val="000000" w:themeColor="text1"/>
          <w:sz w:val="24"/>
          <w:szCs w:val="24"/>
          <w:highlight w:val="none"/>
          <w:lang w:val="zh-CN"/>
          <w14:textFill>
            <w14:solidFill>
              <w14:schemeClr w14:val="tx1"/>
            </w14:solidFill>
          </w14:textFill>
        </w:rPr>
        <w:t>。</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2.在履行合同过程中，如果乙方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非因自身原因</w:t>
      </w:r>
      <w:r>
        <w:rPr>
          <w:rFonts w:hint="eastAsia" w:ascii="宋体" w:hAnsi="宋体" w:eastAsia="宋体" w:cs="宋体"/>
          <w:color w:val="000000" w:themeColor="text1"/>
          <w:sz w:val="24"/>
          <w:szCs w:val="24"/>
          <w:highlight w:val="none"/>
          <w:lang w:val="zh-CN"/>
          <w14:textFill>
            <w14:solidFill>
              <w14:schemeClr w14:val="tx1"/>
            </w14:solidFill>
          </w14:textFill>
        </w:rPr>
        <w:t>遇到妨碍按时</w:t>
      </w:r>
      <w:r>
        <w:rPr>
          <w:rFonts w:hint="eastAsia" w:ascii="宋体" w:hAnsi="宋体" w:cs="宋体"/>
          <w:color w:val="000000" w:themeColor="text1"/>
          <w:sz w:val="24"/>
          <w:szCs w:val="24"/>
          <w:highlight w:val="none"/>
          <w:lang w:val="zh-CN"/>
          <w14:textFill>
            <w14:solidFill>
              <w14:schemeClr w14:val="tx1"/>
            </w14:solidFill>
          </w14:textFill>
        </w:rPr>
        <w:t>供货</w:t>
      </w:r>
      <w:r>
        <w:rPr>
          <w:rFonts w:hint="eastAsia" w:ascii="宋体" w:hAnsi="宋体" w:eastAsia="宋体" w:cs="宋体"/>
          <w:color w:val="000000" w:themeColor="text1"/>
          <w:sz w:val="24"/>
          <w:szCs w:val="24"/>
          <w:highlight w:val="none"/>
          <w:lang w:val="zh-CN"/>
          <w14:textFill>
            <w14:solidFill>
              <w14:schemeClr w14:val="tx1"/>
            </w14:solidFill>
          </w14:textFill>
        </w:rPr>
        <w:t>和提供服务的情况时，应及时以书面形式将拖延的事实、可能拖延的时间和原因通知甲方。甲方在收到乙方通知后，</w:t>
      </w:r>
      <w:r>
        <w:rPr>
          <w:rFonts w:hint="eastAsia" w:ascii="宋体" w:hAnsi="宋体" w:eastAsia="宋体" w:cs="宋体"/>
          <w:color w:val="000000" w:themeColor="text1"/>
          <w:sz w:val="24"/>
          <w:szCs w:val="24"/>
          <w:highlight w:val="none"/>
          <w:lang w:val="en-US" w:eastAsia="zh-CN"/>
          <w14:textFill>
            <w14:solidFill>
              <w14:schemeClr w14:val="tx1"/>
            </w14:solidFill>
          </w14:textFill>
        </w:rPr>
        <w:t>有权</w:t>
      </w:r>
      <w:r>
        <w:rPr>
          <w:rFonts w:hint="eastAsia" w:ascii="宋体" w:hAnsi="宋体" w:eastAsia="宋体" w:cs="宋体"/>
          <w:color w:val="000000" w:themeColor="text1"/>
          <w:sz w:val="24"/>
          <w:szCs w:val="24"/>
          <w:highlight w:val="none"/>
          <w:lang w:val="zh-CN"/>
          <w14:textFill>
            <w14:solidFill>
              <w14:schemeClr w14:val="tx1"/>
            </w14:solidFill>
          </w14:textFill>
        </w:rPr>
        <w:t>确定是否酌情延长</w:t>
      </w:r>
      <w:r>
        <w:rPr>
          <w:rFonts w:hint="eastAsia" w:ascii="宋体" w:hAnsi="宋体" w:cs="宋体"/>
          <w:color w:val="000000" w:themeColor="text1"/>
          <w:sz w:val="24"/>
          <w:szCs w:val="24"/>
          <w:highlight w:val="none"/>
          <w:lang w:val="zh-CN"/>
          <w14:textFill>
            <w14:solidFill>
              <w14:schemeClr w14:val="tx1"/>
            </w14:solidFill>
          </w14:textFill>
        </w:rPr>
        <w:t>供货</w:t>
      </w:r>
      <w:r>
        <w:rPr>
          <w:rFonts w:hint="eastAsia" w:ascii="宋体" w:hAnsi="宋体" w:eastAsia="宋体" w:cs="宋体"/>
          <w:color w:val="000000" w:themeColor="text1"/>
          <w:sz w:val="24"/>
          <w:szCs w:val="24"/>
          <w:highlight w:val="none"/>
          <w:lang w:val="zh-CN"/>
          <w14:textFill>
            <w14:solidFill>
              <w14:schemeClr w14:val="tx1"/>
            </w14:solidFill>
          </w14:textFill>
        </w:rPr>
        <w:t>时间和提供服务。</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乙方在</w:t>
      </w:r>
      <w:r>
        <w:rPr>
          <w:rFonts w:hint="eastAsia" w:ascii="宋体" w:hAnsi="宋体" w:eastAsia="宋体" w:cs="宋体"/>
          <w:color w:val="000000" w:themeColor="text1"/>
          <w:sz w:val="24"/>
          <w:szCs w:val="24"/>
          <w:highlight w:val="none"/>
          <w:lang w:val="zh-CN"/>
          <w14:textFill>
            <w14:solidFill>
              <w14:schemeClr w14:val="tx1"/>
            </w14:solidFill>
          </w14:textFill>
        </w:rPr>
        <w:t>经甲方</w:t>
      </w:r>
      <w:r>
        <w:rPr>
          <w:rFonts w:hint="eastAsia" w:ascii="宋体" w:hAnsi="宋体" w:eastAsia="宋体" w:cs="宋体"/>
          <w:color w:val="000000" w:themeColor="text1"/>
          <w:sz w:val="24"/>
          <w:szCs w:val="24"/>
          <w:highlight w:val="none"/>
          <w:lang w:val="en-US" w:eastAsia="zh-CN"/>
          <w14:textFill>
            <w14:solidFill>
              <w14:schemeClr w14:val="tx1"/>
            </w14:solidFill>
          </w14:textFill>
        </w:rPr>
        <w:t>书面</w:t>
      </w:r>
      <w:r>
        <w:rPr>
          <w:rFonts w:hint="eastAsia" w:ascii="宋体" w:hAnsi="宋体" w:eastAsia="宋体" w:cs="宋体"/>
          <w:color w:val="000000" w:themeColor="text1"/>
          <w:sz w:val="24"/>
          <w:szCs w:val="24"/>
          <w:highlight w:val="none"/>
          <w:lang w:val="zh-CN"/>
          <w14:textFill>
            <w14:solidFill>
              <w14:schemeClr w14:val="tx1"/>
            </w14:solidFill>
          </w14:textFill>
        </w:rPr>
        <w:t>确认的延</w:t>
      </w:r>
      <w:r>
        <w:rPr>
          <w:rFonts w:hint="eastAsia" w:ascii="宋体" w:hAnsi="宋体" w:eastAsia="宋体" w:cs="宋体"/>
          <w:color w:val="000000" w:themeColor="text1"/>
          <w:sz w:val="24"/>
          <w:szCs w:val="24"/>
          <w:highlight w:val="none"/>
          <w:lang w:val="en-US" w:eastAsia="zh-CN"/>
          <w14:textFill>
            <w14:solidFill>
              <w14:schemeClr w14:val="tx1"/>
            </w14:solidFill>
          </w14:textFill>
        </w:rPr>
        <w:t>长</w:t>
      </w:r>
      <w:r>
        <w:rPr>
          <w:rFonts w:hint="eastAsia" w:ascii="宋体" w:hAnsi="宋体" w:eastAsia="宋体" w:cs="宋体"/>
          <w:color w:val="000000" w:themeColor="text1"/>
          <w:sz w:val="24"/>
          <w:szCs w:val="24"/>
          <w:highlight w:val="none"/>
          <w:lang w:val="zh-CN"/>
          <w14:textFill>
            <w14:solidFill>
              <w14:schemeClr w14:val="tx1"/>
            </w14:solidFill>
          </w14:textFill>
        </w:rPr>
        <w:t>期</w:t>
      </w:r>
      <w:r>
        <w:rPr>
          <w:rFonts w:hint="eastAsia" w:ascii="宋体" w:hAnsi="宋体" w:eastAsia="宋体" w:cs="宋体"/>
          <w:color w:val="000000" w:themeColor="text1"/>
          <w:sz w:val="24"/>
          <w:szCs w:val="24"/>
          <w:highlight w:val="none"/>
          <w:lang w:val="en-US" w:eastAsia="zh-CN"/>
          <w14:textFill>
            <w14:solidFill>
              <w14:schemeClr w14:val="tx1"/>
            </w14:solidFill>
          </w14:textFill>
        </w:rPr>
        <w:t>内</w:t>
      </w:r>
      <w:r>
        <w:rPr>
          <w:rFonts w:hint="eastAsia" w:ascii="宋体" w:hAnsi="宋体" w:cs="宋体"/>
          <w:color w:val="000000" w:themeColor="text1"/>
          <w:sz w:val="24"/>
          <w:szCs w:val="24"/>
          <w:highlight w:val="none"/>
          <w:lang w:val="zh-CN"/>
          <w14:textFill>
            <w14:solidFill>
              <w14:schemeClr w14:val="tx1"/>
            </w14:solidFill>
          </w14:textFill>
        </w:rPr>
        <w:t>供货</w:t>
      </w:r>
      <w:r>
        <w:rPr>
          <w:rFonts w:hint="eastAsia" w:ascii="宋体" w:hAnsi="宋体" w:eastAsia="宋体" w:cs="宋体"/>
          <w:color w:val="000000" w:themeColor="text1"/>
          <w:sz w:val="24"/>
          <w:szCs w:val="24"/>
          <w:highlight w:val="none"/>
          <w:lang w:val="zh-CN"/>
          <w14:textFill>
            <w14:solidFill>
              <w14:schemeClr w14:val="tx1"/>
            </w14:solidFill>
          </w14:textFill>
        </w:rPr>
        <w:t>和提供服务的，可不作为乙方的履约延误，可免交违约金。</w:t>
      </w:r>
    </w:p>
    <w:p>
      <w:pPr>
        <w:keepNext w:val="0"/>
        <w:keepLines w:val="0"/>
        <w:pageBreakBefore w:val="0"/>
        <w:widowControl w:val="0"/>
        <w:shd w:val="clear"/>
        <w:tabs>
          <w:tab w:val="left" w:pos="1200"/>
        </w:tabs>
        <w:kinsoku/>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w:t>
      </w:r>
      <w:r>
        <w:rPr>
          <w:rFonts w:hint="eastAsia" w:ascii="宋体" w:hAnsi="宋体" w:eastAsia="宋体" w:cs="宋体"/>
          <w:color w:val="000000" w:themeColor="text1"/>
          <w:sz w:val="24"/>
          <w:szCs w:val="24"/>
          <w:highlight w:val="none"/>
          <w:lang w:val="zh-CN" w:eastAsia="zh-CN"/>
          <w14:textFill>
            <w14:solidFill>
              <w14:schemeClr w14:val="tx1"/>
            </w14:solidFill>
          </w14:textFill>
        </w:rPr>
        <w:t>乙方保修、维修响应和项目组成员未按投标承诺履约的，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每次按5000元或合同总价的2%向</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支付违约金，两者金额相冲突的，以金额高的为准。</w:t>
      </w:r>
    </w:p>
    <w:p>
      <w:pPr>
        <w:keepNext w:val="0"/>
        <w:keepLines w:val="0"/>
        <w:pageBreakBefore w:val="0"/>
        <w:widowControl w:val="0"/>
        <w:shd w:val="clear"/>
        <w:tabs>
          <w:tab w:val="left" w:pos="1200"/>
        </w:tabs>
        <w:kinsoku/>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培训或售后服务乙方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须</w:t>
      </w:r>
      <w:r>
        <w:rPr>
          <w:rFonts w:hint="eastAsia" w:ascii="宋体" w:hAnsi="宋体" w:eastAsia="宋体" w:cs="宋体"/>
          <w:color w:val="000000" w:themeColor="text1"/>
          <w:sz w:val="24"/>
          <w:szCs w:val="24"/>
          <w:highlight w:val="none"/>
          <w:lang w:val="zh-CN"/>
          <w14:textFill>
            <w14:solidFill>
              <w14:schemeClr w14:val="tx1"/>
            </w14:solidFill>
          </w14:textFill>
        </w:rPr>
        <w:t>按投标承诺执行，</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val="zh-CN"/>
          <w14:textFill>
            <w14:solidFill>
              <w14:schemeClr w14:val="tx1"/>
            </w14:solidFill>
          </w14:textFill>
        </w:rPr>
        <w:t>负责提供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val="zh-CN"/>
          <w14:textFill>
            <w14:solidFill>
              <w14:schemeClr w14:val="tx1"/>
            </w14:solidFill>
          </w14:textFill>
        </w:rPr>
        <w:t>操作人员的使用培训，提供技术咨询，并在供货后一个月内组织人员对产品的使用、维护等方面进行现场指导，所产生的一切费用由</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val="zh-CN"/>
          <w14:textFill>
            <w14:solidFill>
              <w14:schemeClr w14:val="tx1"/>
            </w14:solidFill>
          </w14:textFill>
        </w:rPr>
        <w:t>支付。</w:t>
      </w:r>
      <w:r>
        <w:rPr>
          <w:rFonts w:hint="eastAsia" w:ascii="宋体" w:hAnsi="宋体" w:eastAsia="宋体" w:cs="宋体"/>
          <w:color w:val="000000" w:themeColor="text1"/>
          <w:sz w:val="24"/>
          <w:szCs w:val="24"/>
          <w:highlight w:val="none"/>
          <w:lang w:val="en-US" w:eastAsia="zh-CN"/>
          <w14:textFill>
            <w14:solidFill>
              <w14:schemeClr w14:val="tx1"/>
            </w14:solidFill>
          </w14:textFill>
        </w:rPr>
        <w:t>若乙方违约，每次按5000元或合同总价的2%向</w:t>
      </w:r>
      <w:r>
        <w:rPr>
          <w:rFonts w:hint="eastAsia" w:ascii="宋体" w:hAnsi="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支付违约金，两者金额相冲突的，以金额高的为准。</w:t>
      </w:r>
    </w:p>
    <w:p>
      <w:pPr>
        <w:keepNext w:val="0"/>
        <w:keepLines w:val="0"/>
        <w:pageBreakBefore w:val="0"/>
        <w:widowControl w:val="0"/>
        <w:shd w:val="clear"/>
        <w:tabs>
          <w:tab w:val="left" w:pos="1200"/>
        </w:tabs>
        <w:kinsoku/>
        <w:wordWrap/>
        <w:overflowPunct/>
        <w:topLinePunct w:val="0"/>
        <w:autoSpaceDE/>
        <w:autoSpaceDN/>
        <w:bidi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14:textFill>
            <w14:solidFill>
              <w14:schemeClr w14:val="tx1"/>
            </w14:solidFill>
          </w14:textFill>
        </w:rPr>
        <w:t>乙方不得部分转让或全部转让其应履行的合同义务。否则，乙方应向甲方支付合同总金额30%的违约金，甲方并有权</w:t>
      </w:r>
      <w:r>
        <w:rPr>
          <w:rFonts w:hint="eastAsia" w:ascii="宋体" w:hAnsi="宋体" w:eastAsia="宋体" w:cs="宋体"/>
          <w:color w:val="000000" w:themeColor="text1"/>
          <w:sz w:val="24"/>
          <w:szCs w:val="24"/>
          <w:highlight w:val="none"/>
          <w:lang w:val="en-US" w:eastAsia="zh-CN"/>
          <w14:textFill>
            <w14:solidFill>
              <w14:schemeClr w14:val="tx1"/>
            </w14:solidFill>
          </w14:textFill>
        </w:rPr>
        <w:t>立即单方</w:t>
      </w:r>
      <w:r>
        <w:rPr>
          <w:rFonts w:hint="eastAsia" w:ascii="宋体" w:hAnsi="宋体" w:eastAsia="宋体" w:cs="宋体"/>
          <w:color w:val="000000" w:themeColor="text1"/>
          <w:sz w:val="24"/>
          <w:szCs w:val="24"/>
          <w:highlight w:val="none"/>
          <w:lang w:val="zh-CN"/>
          <w14:textFill>
            <w14:solidFill>
              <w14:schemeClr w14:val="tx1"/>
            </w14:solidFill>
          </w14:textFill>
        </w:rPr>
        <w:t>解除与乙方的合同。</w:t>
      </w:r>
    </w:p>
    <w:p>
      <w:pPr>
        <w:keepNext w:val="0"/>
        <w:keepLines w:val="0"/>
        <w:pageBreakBefore w:val="0"/>
        <w:widowControl w:val="0"/>
        <w:shd w:val="clear"/>
        <w:tabs>
          <w:tab w:val="left" w:pos="1200"/>
        </w:tabs>
        <w:kinsoku/>
        <w:wordWrap/>
        <w:overflowPunct/>
        <w:topLinePunct w:val="0"/>
        <w:autoSpaceDE/>
        <w:autoSpaceDN/>
        <w:bidi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shd w:val="clear" w:fill="F1F1F1" w:themeFill="background1" w:themeFillShade="F2"/>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14:textFill>
            <w14:solidFill>
              <w14:schemeClr w14:val="tx1"/>
            </w14:solidFill>
          </w14:textFill>
        </w:rPr>
        <w:t>.验收：</w:t>
      </w:r>
      <w:r>
        <w:rPr>
          <w:rFonts w:hint="eastAsia" w:ascii="宋体" w:hAnsi="宋体" w:eastAsia="宋体" w:cs="宋体"/>
          <w:color w:val="000000" w:themeColor="text1"/>
          <w:sz w:val="24"/>
          <w:szCs w:val="24"/>
          <w:highlight w:val="none"/>
          <w:shd w:val="clear" w:fill="auto"/>
          <w:lang w:val="en-US" w:eastAsia="zh-CN"/>
          <w14:textFill>
            <w14:solidFill>
              <w14:schemeClr w14:val="tx1"/>
            </w14:solidFill>
          </w14:textFill>
        </w:rPr>
        <w:t>由甲方组织验收，</w:t>
      </w:r>
      <w:r>
        <w:rPr>
          <w:rFonts w:hint="eastAsia" w:ascii="宋体" w:hAnsi="宋体" w:cs="宋体"/>
          <w:color w:val="000000" w:themeColor="text1"/>
          <w:sz w:val="24"/>
          <w:szCs w:val="24"/>
          <w:highlight w:val="none"/>
          <w:shd w:val="clear" w:fill="auto"/>
          <w:lang w:val="en-US" w:eastAsia="zh-CN"/>
          <w14:textFill>
            <w14:solidFill>
              <w14:schemeClr w14:val="tx1"/>
            </w14:solidFill>
          </w14:textFill>
        </w:rPr>
        <w:t>对产品技术性能指标验收不合格的（包含所供货物与合同约定不一致的）</w:t>
      </w:r>
      <w:r>
        <w:rPr>
          <w:rFonts w:hint="eastAsia" w:ascii="宋体" w:hAnsi="宋体" w:eastAsia="宋体" w:cs="宋体"/>
          <w:color w:val="000000" w:themeColor="text1"/>
          <w:sz w:val="24"/>
          <w:szCs w:val="24"/>
          <w:highlight w:val="none"/>
          <w:shd w:val="clear" w:fill="auto"/>
          <w:lang w:val="en-US" w:eastAsia="zh-CN"/>
          <w14:textFill>
            <w14:solidFill>
              <w14:schemeClr w14:val="tx1"/>
            </w14:solidFill>
          </w14:textFill>
        </w:rPr>
        <w:t>，甲方应督促乙方限期整改，整改期限原则上</w:t>
      </w:r>
      <w:r>
        <w:rPr>
          <w:rFonts w:hint="eastAsia" w:ascii="宋体" w:hAnsi="宋体" w:cs="宋体"/>
          <w:color w:val="000000" w:themeColor="text1"/>
          <w:sz w:val="24"/>
          <w:szCs w:val="24"/>
          <w:highlight w:val="none"/>
          <w:shd w:val="clear" w:fill="auto"/>
          <w:lang w:val="en-US" w:eastAsia="zh-CN"/>
          <w14:textFill>
            <w14:solidFill>
              <w14:schemeClr w14:val="tx1"/>
            </w14:solidFill>
          </w14:textFill>
        </w:rPr>
        <w:t>不超过30天</w:t>
      </w:r>
      <w:r>
        <w:rPr>
          <w:rFonts w:hint="eastAsia" w:ascii="宋体" w:hAnsi="宋体" w:eastAsia="宋体" w:cs="宋体"/>
          <w:color w:val="000000" w:themeColor="text1"/>
          <w:sz w:val="24"/>
          <w:szCs w:val="24"/>
          <w:highlight w:val="none"/>
          <w:shd w:val="clear" w:fill="auto"/>
          <w:lang w:val="en-US" w:eastAsia="zh-CN"/>
          <w14:textFill>
            <w14:solidFill>
              <w14:schemeClr w14:val="tx1"/>
            </w14:solidFill>
          </w14:textFill>
        </w:rPr>
        <w:t>，整改完成后进行复验，复验不合格的，甲方有权终止合同并没收履约保证金。</w:t>
      </w:r>
    </w:p>
    <w:p>
      <w:pPr>
        <w:keepNext w:val="0"/>
        <w:keepLines w:val="0"/>
        <w:pageBreakBefore w:val="0"/>
        <w:widowControl w:val="0"/>
        <w:shd w:val="clear"/>
        <w:tabs>
          <w:tab w:val="left" w:pos="1200"/>
        </w:tabs>
        <w:kinsoku/>
        <w:wordWrap/>
        <w:overflowPunct/>
        <w:topLinePunct w:val="0"/>
        <w:autoSpaceDE/>
        <w:autoSpaceDN/>
        <w:bidi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zh-CN"/>
          <w14:textFill>
            <w14:solidFill>
              <w14:schemeClr w14:val="tx1"/>
            </w14:solidFill>
          </w14:textFill>
        </w:rPr>
        <w:t>在项目实施过程中，严格遵守国家相关保密与安全法律法规，遵循采购人各项安全保密制度和规章；</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val="zh-CN"/>
          <w14:textFill>
            <w14:solidFill>
              <w14:schemeClr w14:val="tx1"/>
            </w14:solidFill>
          </w14:textFill>
        </w:rPr>
        <w:t>对工作中涉及到的</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val="zh-CN"/>
          <w14:textFill>
            <w14:solidFill>
              <w14:schemeClr w14:val="tx1"/>
            </w14:solidFill>
          </w14:textFill>
        </w:rPr>
        <w:t>的数据、文件等任何资料进行保密。因</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val="zh-CN"/>
          <w14:textFill>
            <w14:solidFill>
              <w14:schemeClr w14:val="tx1"/>
            </w14:solidFill>
          </w14:textFill>
        </w:rPr>
        <w:t>行为造成泄密等问题，</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乙方应</w:t>
      </w:r>
      <w:r>
        <w:rPr>
          <w:rFonts w:hint="eastAsia" w:ascii="宋体" w:hAnsi="宋体" w:eastAsia="宋体" w:cs="宋体"/>
          <w:color w:val="000000" w:themeColor="text1"/>
          <w:sz w:val="24"/>
          <w:szCs w:val="24"/>
          <w:highlight w:val="none"/>
          <w:lang w:val="zh-CN"/>
          <w14:textFill>
            <w14:solidFill>
              <w14:schemeClr w14:val="tx1"/>
            </w14:solidFill>
          </w14:textFill>
        </w:rPr>
        <w:t>承担相应的</w:t>
      </w:r>
      <w:r>
        <w:rPr>
          <w:rFonts w:hint="eastAsia" w:ascii="宋体" w:hAnsi="宋体" w:eastAsia="宋体" w:cs="宋体"/>
          <w:color w:val="000000" w:themeColor="text1"/>
          <w:sz w:val="24"/>
          <w:szCs w:val="24"/>
          <w:highlight w:val="none"/>
          <w:lang w:val="en-US" w:eastAsia="zh-CN"/>
          <w14:textFill>
            <w14:solidFill>
              <w14:schemeClr w14:val="tx1"/>
            </w14:solidFill>
          </w14:textFill>
        </w:rPr>
        <w:t>经济和法律</w:t>
      </w:r>
      <w:r>
        <w:rPr>
          <w:rFonts w:hint="eastAsia" w:ascii="宋体" w:hAnsi="宋体" w:eastAsia="宋体" w:cs="宋体"/>
          <w:color w:val="000000" w:themeColor="text1"/>
          <w:sz w:val="24"/>
          <w:szCs w:val="24"/>
          <w:highlight w:val="none"/>
          <w:lang w:val="zh-CN"/>
          <w14:textFill>
            <w14:solidFill>
              <w14:schemeClr w14:val="tx1"/>
            </w14:solidFill>
          </w14:textFill>
        </w:rPr>
        <w:t>责任。</w:t>
      </w:r>
    </w:p>
    <w:p>
      <w:pPr>
        <w:pStyle w:val="42"/>
        <w:keepNext w:val="0"/>
        <w:keepLines w:val="0"/>
        <w:pageBreakBefore w:val="0"/>
        <w:widowControl w:val="0"/>
        <w:numPr>
          <w:ilvl w:val="0"/>
          <w:numId w:val="0"/>
        </w:numPr>
        <w:shd w:val="clear"/>
        <w:kinsoku/>
        <w:wordWrap/>
        <w:overflowPunct/>
        <w:topLinePunct w:val="0"/>
        <w:autoSpaceDE/>
        <w:autoSpaceDN/>
        <w:bidi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val="0"/>
          <w:bCs w:val="0"/>
          <w:sz w:val="24"/>
          <w:szCs w:val="24"/>
          <w:highlight w:val="none"/>
          <w:lang w:val="en-US" w:eastAsia="zh-CN"/>
        </w:rPr>
        <w:t>经结算审计发现货物有质量问题或不符合合同约定情况的，甲方有权拒绝支付全部货款并取消合同。</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九、不可抗力</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双方任一方由于受不可抗力事件的影响而不能执行合同时，履行合同的期限应予以延长，其延长的期限应相当于事件所影响的时间。不可抗力事件系指甲乙双方在缔结合同时所不能预见的，并且它的发生及其后果是无法避免和无法克服的事件，诸如战争、严重火灾、洪水、台风、地震等，以及双方同意的其他不可抗力事件。</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受阻一方应在不可抗力事件发生后尽快用电报、传真或电话通知对方，并于事件发生后14天内将有关当局出具的证明文件用特快专递或挂号信寄给对方审阅确认。一旦不可抗力事件的影响持续120天以上，双方应通过友好协商在合理的时间内达成进一步履行合同的协议，甲方也可考虑解除合同。</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十、争端的解决</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合同实施或与合同有关的一切争端应通过双方友好协商解决。如果友好协商开始后60天还不能解决，可向</w:t>
      </w:r>
      <w:r>
        <w:rPr>
          <w:rFonts w:hint="eastAsia" w:ascii="宋体" w:hAnsi="宋体" w:cs="宋体"/>
          <w:color w:val="000000" w:themeColor="text1"/>
          <w:sz w:val="24"/>
          <w:szCs w:val="24"/>
          <w:highlight w:val="none"/>
          <w:lang w:val="en-US" w:eastAsia="zh-CN"/>
          <w14:textFill>
            <w14:solidFill>
              <w14:schemeClr w14:val="tx1"/>
            </w14:solidFill>
          </w14:textFill>
        </w:rPr>
        <w:t>甲方所在地</w:t>
      </w:r>
      <w:r>
        <w:rPr>
          <w:rFonts w:hint="eastAsia" w:ascii="宋体" w:hAnsi="宋体" w:eastAsia="宋体" w:cs="宋体"/>
          <w:color w:val="000000" w:themeColor="text1"/>
          <w:sz w:val="24"/>
          <w:szCs w:val="24"/>
          <w:highlight w:val="none"/>
          <w:lang w:val="zh-CN"/>
          <w14:textFill>
            <w14:solidFill>
              <w14:schemeClr w14:val="tx1"/>
            </w14:solidFill>
          </w14:textFill>
        </w:rPr>
        <w:t>仲裁委员会申请仲裁。</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仲裁裁决应为最终裁决，对双方均具有约束力。</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shd w:val="clear" w:fill="auto"/>
          <w:lang w:val="zh-CN" w:eastAsia="zh-CN"/>
          <w14:textFill>
            <w14:solidFill>
              <w14:schemeClr w14:val="tx1"/>
            </w14:solidFill>
          </w14:textFill>
        </w:rPr>
        <w:t>3.</w:t>
      </w:r>
      <w:r>
        <w:rPr>
          <w:rFonts w:hint="eastAsia" w:ascii="宋体" w:hAnsi="宋体" w:eastAsia="宋体" w:cs="宋体"/>
          <w:color w:val="000000" w:themeColor="text1"/>
          <w:sz w:val="24"/>
          <w:szCs w:val="24"/>
          <w:highlight w:val="none"/>
          <w:shd w:val="clear" w:fill="auto"/>
          <w:lang w:val="zh-CN"/>
          <w14:textFill>
            <w14:solidFill>
              <w14:schemeClr w14:val="tx1"/>
            </w14:solidFill>
          </w14:textFill>
        </w:rPr>
        <w:t>律师费、差旅费等诉讼费用</w:t>
      </w:r>
      <w:r>
        <w:rPr>
          <w:rFonts w:hint="eastAsia" w:ascii="宋体" w:hAnsi="宋体" w:eastAsia="宋体" w:cs="宋体"/>
          <w:color w:val="000000" w:themeColor="text1"/>
          <w:sz w:val="24"/>
          <w:szCs w:val="24"/>
          <w:highlight w:val="none"/>
          <w:lang w:val="zh-CN"/>
          <w14:textFill>
            <w14:solidFill>
              <w14:schemeClr w14:val="tx1"/>
            </w14:solidFill>
          </w14:textFill>
        </w:rPr>
        <w:t>均应由败诉方负担。</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val="zh-CN"/>
          <w14:textFill>
            <w14:solidFill>
              <w14:schemeClr w14:val="tx1"/>
            </w14:solidFill>
          </w14:textFill>
        </w:rPr>
        <w:t>在仲裁期间，除正在进行仲裁的部分外，本合同其它部分应继续执行。</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十一、合同生效</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本合同自双方授权代表签字并加盖公章后生效，合同有效期至甲乙双方权利义务履行完毕。</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对本合同条款的任何补充、增添或修改应以书面方式进行，由双方授权代表签字盖章，作为合同不可分割的组成部分。</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十二、其它约定事项</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zh-CN"/>
          <w14:textFill>
            <w14:solidFill>
              <w14:schemeClr w14:val="tx1"/>
            </w14:solidFill>
          </w14:textFill>
        </w:rPr>
        <w:t>在本合同执行过程中，乙方应及时答复和解决与合同设备有关的技术问题，并负责提供相应的技术文件。</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zh-CN"/>
          <w14:textFill>
            <w14:solidFill>
              <w14:schemeClr w14:val="tx1"/>
            </w14:solidFill>
          </w14:textFill>
        </w:rPr>
        <w:t>双方的单位地址、邮编、开户行及帐号、项目负责人、电话等若有变更，须及时书面通知对方。</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3.其他约定事项: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（添加乙方售后服务承诺函等其他事项）</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十三、附 则</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本合同执行期间，如遇不可抗力，致使合同无法履行时，双方应按有关法律规定及时协商处理。</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本合同未尽事宜，按法律和国家有关部门的规定执行，无规定的，双方协商解决。</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本合同在履行中如发生争议，双方友好协商解决，调解不成的，双方同意由</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甲方所在地</w:t>
      </w:r>
      <w:r>
        <w:rPr>
          <w:rFonts w:hint="eastAsia" w:ascii="宋体" w:hAnsi="宋体" w:eastAsia="宋体" w:cs="宋体"/>
          <w:color w:val="000000" w:themeColor="text1"/>
          <w:sz w:val="24"/>
          <w:szCs w:val="24"/>
          <w:highlight w:val="none"/>
          <w14:textFill>
            <w14:solidFill>
              <w14:schemeClr w14:val="tx1"/>
            </w14:solidFill>
          </w14:textFill>
        </w:rPr>
        <w:t>仲裁委员会仲裁。</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本合同正本</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页，一式</w:t>
      </w:r>
      <w:r>
        <w:rPr>
          <w:rFonts w:hint="eastAsia" w:ascii="宋体" w:hAnsi="宋体" w:cs="宋体"/>
          <w:color w:val="000000" w:themeColor="text1"/>
          <w:sz w:val="24"/>
          <w:szCs w:val="24"/>
          <w:highlight w:val="none"/>
          <w:lang w:val="en-US" w:eastAsia="zh-CN"/>
          <w14:textFill>
            <w14:solidFill>
              <w14:schemeClr w14:val="tx1"/>
            </w14:solidFill>
          </w14:textFill>
        </w:rPr>
        <w:t>陆</w:t>
      </w:r>
      <w:r>
        <w:rPr>
          <w:rFonts w:hint="eastAsia" w:ascii="宋体" w:hAnsi="宋体" w:eastAsia="宋体" w:cs="宋体"/>
          <w:color w:val="000000" w:themeColor="text1"/>
          <w:sz w:val="24"/>
          <w:szCs w:val="24"/>
          <w:highlight w:val="none"/>
          <w14:textFill>
            <w14:solidFill>
              <w14:schemeClr w14:val="tx1"/>
            </w14:solidFill>
          </w14:textFill>
        </w:rPr>
        <w:t>份，甲乙双方各执叁份</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本合同自甲乙双方签字盖章确认之日起生效。</w:t>
      </w:r>
    </w:p>
    <w:p>
      <w:pPr>
        <w:keepNext w:val="0"/>
        <w:keepLines w:val="0"/>
        <w:pageBreakBefore w:val="0"/>
        <w:widowControl w:val="0"/>
        <w:numPr>
          <w:ilvl w:val="-1"/>
          <w:numId w:val="0"/>
        </w:numPr>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6.下列文件</w:t>
      </w:r>
      <w:r>
        <w:rPr>
          <w:rFonts w:hint="eastAsia" w:ascii="宋体" w:hAnsi="宋体" w:eastAsia="宋体" w:cs="宋体"/>
          <w:color w:val="000000" w:themeColor="text1"/>
          <w:sz w:val="24"/>
          <w:szCs w:val="24"/>
          <w:highlight w:val="none"/>
          <w14:textFill>
            <w14:solidFill>
              <w14:schemeClr w14:val="tx1"/>
            </w14:solidFill>
          </w14:textFill>
        </w:rPr>
        <w:t>作为合同附件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与本合同具有同等法律效力：</w:t>
      </w:r>
    </w:p>
    <w:p>
      <w:pPr>
        <w:keepNext w:val="0"/>
        <w:keepLines w:val="0"/>
        <w:pageBreakBefore w:val="0"/>
        <w:widowControl w:val="0"/>
        <w:numPr>
          <w:ilvl w:val="-1"/>
          <w:numId w:val="0"/>
        </w:numPr>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1）甲方的招标文件与招标补充文件；</w:t>
      </w:r>
    </w:p>
    <w:p>
      <w:pPr>
        <w:keepNext w:val="0"/>
        <w:keepLines w:val="0"/>
        <w:pageBreakBefore w:val="0"/>
        <w:widowControl w:val="0"/>
        <w:numPr>
          <w:ilvl w:val="-1"/>
          <w:numId w:val="0"/>
        </w:numPr>
        <w:shd w:val="clear"/>
        <w:kinsoku/>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2）乙方投标文件；</w:t>
      </w:r>
    </w:p>
    <w:p>
      <w:pPr>
        <w:keepNext w:val="0"/>
        <w:keepLines w:val="0"/>
        <w:pageBreakBefore w:val="0"/>
        <w:widowControl w:val="0"/>
        <w:shd w:val="clear"/>
        <w:kinsoku/>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3）中标通知书。</w:t>
      </w:r>
    </w:p>
    <w:p>
      <w:pPr>
        <w:keepNext w:val="0"/>
        <w:keepLines w:val="0"/>
        <w:pageBreakBefore w:val="0"/>
        <w:widowControl w:val="0"/>
        <w:shd w:val="clear"/>
        <w:kinsoku/>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上述所指文件应认为是互相补充和解释的，但是有模棱两可或相互矛盾之处，按更优于甲方的标准执行。</w:t>
      </w:r>
    </w:p>
    <w:p>
      <w:pPr>
        <w:keepNext w:val="0"/>
        <w:keepLines w:val="0"/>
        <w:pageBreakBefore w:val="0"/>
        <w:widowControl w:val="0"/>
        <w:shd w:val="clear"/>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甲方（盖章）：                     乙方（盖章）：</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                            地址：</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          法定代表人或委托代理人：</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                            电话：</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                            传真：</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                        邮政编码：</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                        开户银行：</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                            账号：</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snapToGrid w:val="0"/>
        <w:spacing w:line="360" w:lineRule="exact"/>
        <w:ind w:left="0" w:leftChars="0" w:right="0" w:rightChars="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签订时间：</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jc w:val="center"/>
        <w:textAlignment w:val="auto"/>
        <w:outlineLvl w:val="9"/>
        <w:rPr>
          <w:rFonts w:hint="eastAsia" w:ascii="宋体" w:hAnsi="宋体" w:eastAsia="宋体" w:cs="宋体"/>
          <w:b/>
          <w:color w:val="000000" w:themeColor="text1"/>
          <w:sz w:val="24"/>
          <w:szCs w:val="24"/>
          <w:highlight w:val="none"/>
          <w14:textFill>
            <w14:solidFill>
              <w14:schemeClr w14:val="tx1"/>
            </w14:solidFill>
          </w14:textFill>
        </w:rPr>
        <w:sectPr>
          <w:footerReference r:id="rId9"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autoSpaceDE w:val="0"/>
        <w:autoSpaceDN w:val="0"/>
        <w:adjustRightInd w:val="0"/>
        <w:spacing w:line="360" w:lineRule="auto"/>
        <w:jc w:val="left"/>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附件1：</w:t>
      </w:r>
    </w:p>
    <w:p>
      <w:pPr>
        <w:keepNext w:val="0"/>
        <w:keepLines w:val="0"/>
        <w:pageBreakBefore w:val="0"/>
        <w:widowControl/>
        <w:kinsoku/>
        <w:wordWrap/>
        <w:overflowPunct/>
        <w:topLinePunct w:val="0"/>
        <w:autoSpaceDE/>
        <w:autoSpaceDN/>
        <w:bidi w:val="0"/>
        <w:adjustRightInd w:val="0"/>
        <w:snapToGrid w:val="0"/>
        <w:spacing w:line="1000" w:lineRule="exact"/>
        <w:jc w:val="center"/>
        <w:textAlignment w:val="auto"/>
        <w:rPr>
          <w:rFonts w:hint="eastAsia" w:ascii="宋体" w:hAnsi="宋体" w:eastAsia="宋体" w:cs="宋体"/>
          <w:b/>
          <w:bCs w:val="0"/>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b/>
          <w:bCs w:val="0"/>
          <w:color w:val="000000" w:themeColor="text1"/>
          <w:kern w:val="0"/>
          <w:sz w:val="28"/>
          <w:szCs w:val="28"/>
          <w:highlight w:val="none"/>
          <w14:textFill>
            <w14:solidFill>
              <w14:schemeClr w14:val="tx1"/>
            </w14:solidFill>
          </w14:textFill>
        </w:rPr>
        <w:t>装备验收</w:t>
      </w:r>
      <w:r>
        <w:rPr>
          <w:rFonts w:hint="eastAsia" w:ascii="宋体" w:hAnsi="宋体" w:eastAsia="宋体" w:cs="宋体"/>
          <w:b/>
          <w:bCs w:val="0"/>
          <w:color w:val="000000" w:themeColor="text1"/>
          <w:kern w:val="0"/>
          <w:sz w:val="28"/>
          <w:szCs w:val="28"/>
          <w:highlight w:val="none"/>
          <w:lang w:val="en-US" w:eastAsia="zh-CN"/>
          <w14:textFill>
            <w14:solidFill>
              <w14:schemeClr w14:val="tx1"/>
            </w14:solidFill>
          </w14:textFill>
        </w:rPr>
        <w:t>单</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宋体" w:hAnsi="宋体" w:eastAsia="宋体" w:cs="宋体"/>
          <w:bCs/>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4"/>
          <w:szCs w:val="24"/>
          <w:highlight w:val="none"/>
          <w:u w:val="none"/>
          <w:lang w:val="en-US" w:eastAsia="zh-CN"/>
          <w14:textFill>
            <w14:solidFill>
              <w14:schemeClr w14:val="tx1"/>
            </w14:solidFill>
          </w14:textFill>
        </w:rPr>
        <w:t xml:space="preserve"> ：</w:t>
      </w:r>
    </w:p>
    <w:p>
      <w:pPr>
        <w:pStyle w:val="42"/>
        <w:keepNext w:val="0"/>
        <w:keepLines w:val="0"/>
        <w:pageBreakBefore w:val="0"/>
        <w:widowControl w:val="0"/>
        <w:kinsoku/>
        <w:wordWrap/>
        <w:overflowPunct/>
        <w:topLinePunct w:val="0"/>
        <w:bidi w:val="0"/>
        <w:adjustRightInd w:val="0"/>
        <w:spacing w:line="50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u w:val="none"/>
          <w:lang w:val="en-US" w:eastAsia="zh-CN"/>
          <w14:textFill>
            <w14:solidFill>
              <w14:schemeClr w14:val="tx1"/>
            </w14:solidFill>
          </w14:textFill>
        </w:rPr>
        <w:t xml:space="preserve">    </w:t>
      </w:r>
      <w: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t>根据你公司装备到货验收申请，我单位装备验收小组按照验收相关规定组织开展实地验收，具体情况如下：</w:t>
      </w:r>
    </w:p>
    <w:tbl>
      <w:tblPr>
        <w:tblStyle w:val="40"/>
        <w:tblW w:w="9329" w:type="dxa"/>
        <w:jc w:val="center"/>
        <w:tblInd w:w="0" w:type="dxa"/>
        <w:tblLayout w:type="fixed"/>
        <w:tblCellMar>
          <w:top w:w="0" w:type="dxa"/>
          <w:left w:w="108" w:type="dxa"/>
          <w:bottom w:w="0" w:type="dxa"/>
          <w:right w:w="108" w:type="dxa"/>
        </w:tblCellMar>
      </w:tblPr>
      <w:tblGrid>
        <w:gridCol w:w="752"/>
        <w:gridCol w:w="2"/>
        <w:gridCol w:w="1299"/>
        <w:gridCol w:w="1283"/>
        <w:gridCol w:w="1351"/>
        <w:gridCol w:w="903"/>
        <w:gridCol w:w="202"/>
        <w:gridCol w:w="905"/>
        <w:gridCol w:w="430"/>
        <w:gridCol w:w="691"/>
        <w:gridCol w:w="1511"/>
      </w:tblGrid>
      <w:tr>
        <w:tblPrEx>
          <w:tblLayout w:type="fixed"/>
          <w:tblCellMar>
            <w:top w:w="0" w:type="dxa"/>
            <w:left w:w="108" w:type="dxa"/>
            <w:bottom w:w="0" w:type="dxa"/>
            <w:right w:w="108" w:type="dxa"/>
          </w:tblCellMar>
        </w:tblPrEx>
        <w:trPr>
          <w:trHeight w:val="590" w:hRule="atLeast"/>
          <w:jc w:val="center"/>
        </w:trPr>
        <w:tc>
          <w:tcPr>
            <w:tcW w:w="9329" w:type="dxa"/>
            <w:gridSpan w:val="11"/>
            <w:tcBorders>
              <w:top w:val="single" w:color="auto" w:sz="4" w:space="0"/>
              <w:left w:val="single" w:color="auto" w:sz="4" w:space="0"/>
              <w:bottom w:val="single" w:color="auto"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验收装备情况</w:t>
            </w:r>
          </w:p>
        </w:tc>
      </w:tr>
      <w:tr>
        <w:tblPrEx>
          <w:tblLayout w:type="fixed"/>
          <w:tblCellMar>
            <w:top w:w="0" w:type="dxa"/>
            <w:left w:w="108" w:type="dxa"/>
            <w:bottom w:w="0" w:type="dxa"/>
            <w:right w:w="108" w:type="dxa"/>
          </w:tblCellMar>
        </w:tblPrEx>
        <w:trPr>
          <w:trHeight w:val="590" w:hRule="atLeast"/>
          <w:jc w:val="center"/>
        </w:trPr>
        <w:tc>
          <w:tcPr>
            <w:tcW w:w="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序号</w:t>
            </w: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合同编号</w:t>
            </w:r>
          </w:p>
        </w:tc>
        <w:tc>
          <w:tcPr>
            <w:tcW w:w="128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装备名称</w:t>
            </w:r>
          </w:p>
        </w:tc>
        <w:tc>
          <w:tcPr>
            <w:tcW w:w="135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规格型号</w:t>
            </w:r>
          </w:p>
        </w:tc>
        <w:tc>
          <w:tcPr>
            <w:tcW w:w="90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数量</w:t>
            </w:r>
          </w:p>
        </w:tc>
        <w:tc>
          <w:tcPr>
            <w:tcW w:w="11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单价</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万</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总价</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(万)</w:t>
            </w:r>
          </w:p>
        </w:tc>
        <w:tc>
          <w:tcPr>
            <w:tcW w:w="1511" w:type="dxa"/>
            <w:tcBorders>
              <w:top w:val="single" w:color="auto" w:sz="4" w:space="0"/>
              <w:left w:val="single" w:color="auto" w:sz="4" w:space="0"/>
              <w:bottom w:val="single" w:color="auto"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备注</w:t>
            </w:r>
          </w:p>
        </w:tc>
      </w:tr>
      <w:tr>
        <w:tblPrEx>
          <w:tblLayout w:type="fixed"/>
          <w:tblCellMar>
            <w:top w:w="0" w:type="dxa"/>
            <w:left w:w="108" w:type="dxa"/>
            <w:bottom w:w="0" w:type="dxa"/>
            <w:right w:w="108" w:type="dxa"/>
          </w:tblCellMar>
        </w:tblPrEx>
        <w:trPr>
          <w:trHeight w:val="590" w:hRule="atLeast"/>
          <w:jc w:val="center"/>
        </w:trPr>
        <w:tc>
          <w:tcPr>
            <w:tcW w:w="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35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11" w:type="dxa"/>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71" w:hRule="atLeast"/>
          <w:jc w:val="center"/>
        </w:trPr>
        <w:tc>
          <w:tcPr>
            <w:tcW w:w="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35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11" w:type="dxa"/>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90" w:hRule="atLeast"/>
          <w:jc w:val="center"/>
        </w:trPr>
        <w:tc>
          <w:tcPr>
            <w:tcW w:w="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35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11" w:type="dxa"/>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90" w:hRule="atLeast"/>
          <w:jc w:val="center"/>
        </w:trPr>
        <w:tc>
          <w:tcPr>
            <w:tcW w:w="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35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11" w:type="dxa"/>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90" w:hRule="atLeast"/>
          <w:jc w:val="center"/>
        </w:trPr>
        <w:tc>
          <w:tcPr>
            <w:tcW w:w="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2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Cs/>
                <w:color w:val="000000" w:themeColor="text1"/>
                <w:kern w:val="0"/>
                <w:sz w:val="24"/>
                <w:szCs w:val="24"/>
                <w:highlight w:val="none"/>
                <w14:textFill>
                  <w14:solidFill>
                    <w14:schemeClr w14:val="tx1"/>
                  </w14:solidFill>
                </w14:textFill>
              </w:rPr>
            </w:pPr>
          </w:p>
        </w:tc>
        <w:tc>
          <w:tcPr>
            <w:tcW w:w="135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0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2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11" w:type="dxa"/>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590" w:hRule="atLeast"/>
          <w:jc w:val="center"/>
        </w:trPr>
        <w:tc>
          <w:tcPr>
            <w:tcW w:w="9329"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一致性</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检查</w:t>
            </w:r>
            <w:r>
              <w:rPr>
                <w:rFonts w:hint="eastAsia" w:ascii="宋体" w:hAnsi="宋体" w:eastAsia="宋体" w:cs="宋体"/>
                <w:b w:val="0"/>
                <w:bCs w:val="0"/>
                <w:color w:val="000000" w:themeColor="text1"/>
                <w:kern w:val="0"/>
                <w:sz w:val="24"/>
                <w:szCs w:val="24"/>
                <w:highlight w:val="none"/>
                <w14:textFill>
                  <w14:solidFill>
                    <w14:schemeClr w14:val="tx1"/>
                  </w14:solidFill>
                </w14:textFill>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shd w:val="clear" w:color="auto" w:fill="auto"/>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582" w:type="dxa"/>
            <w:gridSpan w:val="2"/>
            <w:shd w:val="clear" w:color="auto" w:fill="FFFFFF"/>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检查</w:t>
            </w:r>
            <w:r>
              <w:rPr>
                <w:rFonts w:hint="eastAsia" w:ascii="宋体" w:hAnsi="宋体" w:eastAsia="宋体" w:cs="宋体"/>
                <w:color w:val="000000" w:themeColor="text1"/>
                <w:sz w:val="24"/>
                <w:szCs w:val="24"/>
                <w:highlight w:val="none"/>
                <w:lang w:val="en-US" w:eastAsia="zh-CN"/>
                <w14:textFill>
                  <w14:solidFill>
                    <w14:schemeClr w14:val="tx1"/>
                  </w14:solidFill>
                </w14:textFill>
              </w:rPr>
              <w:t>内容</w:t>
            </w:r>
          </w:p>
        </w:tc>
        <w:tc>
          <w:tcPr>
            <w:tcW w:w="3791" w:type="dxa"/>
            <w:gridSpan w:val="5"/>
            <w:shd w:val="clear" w:color="auto" w:fill="FFFFFF"/>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检查情况</w:t>
            </w:r>
          </w:p>
        </w:tc>
        <w:tc>
          <w:tcPr>
            <w:tcW w:w="220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资料审查:...</w:t>
            </w: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数量</w:t>
            </w:r>
            <w:r>
              <w:rPr>
                <w:rFonts w:hint="eastAsia" w:ascii="宋体" w:hAnsi="宋体" w:eastAsia="宋体" w:cs="宋体"/>
                <w:color w:val="000000" w:themeColor="text1"/>
                <w:sz w:val="24"/>
                <w:szCs w:val="24"/>
                <w:highlight w:val="none"/>
                <w14:textFill>
                  <w14:solidFill>
                    <w14:schemeClr w14:val="tx1"/>
                  </w14:solidFill>
                </w14:textFill>
              </w:rPr>
              <w:t>外观检查:...</w:t>
            </w: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主要部件检查:...</w:t>
            </w: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履约时间核查</w:t>
            </w:r>
            <w:r>
              <w:rPr>
                <w:rFonts w:hint="eastAsia" w:ascii="宋体" w:hAnsi="宋体" w:eastAsia="宋体" w:cs="宋体"/>
                <w:color w:val="000000" w:themeColor="text1"/>
                <w:sz w:val="24"/>
                <w:szCs w:val="24"/>
                <w:highlight w:val="none"/>
                <w14:textFill>
                  <w14:solidFill>
                    <w14:schemeClr w14:val="tx1"/>
                  </w14:solidFill>
                </w14:textFill>
              </w:rPr>
              <w:t>...</w:t>
            </w: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其他</w:t>
            </w:r>
            <w:r>
              <w:rPr>
                <w:rFonts w:hint="eastAsia" w:ascii="宋体" w:hAnsi="宋体" w:eastAsia="宋体" w:cs="宋体"/>
                <w:color w:val="000000" w:themeColor="text1"/>
                <w:sz w:val="24"/>
                <w:szCs w:val="24"/>
                <w:highlight w:val="none"/>
                <w14:textFill>
                  <w14:solidFill>
                    <w14:schemeClr w14:val="tx1"/>
                  </w14:solidFill>
                </w14:textFill>
              </w:rPr>
              <w:t>...</w:t>
            </w: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9329" w:type="dxa"/>
            <w:gridSpan w:val="11"/>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val="0"/>
                <w:bCs w:val="0"/>
                <w:color w:val="000000" w:themeColor="text1"/>
                <w:kern w:val="0"/>
                <w:sz w:val="24"/>
                <w:szCs w:val="24"/>
                <w:highlight w:val="none"/>
                <w14:textFill>
                  <w14:solidFill>
                    <w14:schemeClr w14:val="tx1"/>
                  </w14:solidFill>
                </w14:textFill>
              </w:rPr>
              <w:t>质量性能测试验收情况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58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测试内容</w:t>
            </w:r>
          </w:p>
        </w:tc>
        <w:tc>
          <w:tcPr>
            <w:tcW w:w="3791" w:type="dxa"/>
            <w:gridSpan w:val="5"/>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测试情况</w:t>
            </w:r>
          </w:p>
        </w:tc>
        <w:tc>
          <w:tcPr>
            <w:tcW w:w="220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 </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lang w:val="en-US"/>
                <w14:textFill>
                  <w14:solidFill>
                    <w14:schemeClr w14:val="tx1"/>
                  </w14:solidFill>
                </w14:textFill>
              </w:rPr>
            </w:pP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9329" w:type="dxa"/>
            <w:gridSpan w:val="11"/>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其他验收情况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58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检查内容</w:t>
            </w:r>
          </w:p>
        </w:tc>
        <w:tc>
          <w:tcPr>
            <w:tcW w:w="3791" w:type="dxa"/>
            <w:gridSpan w:val="5"/>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检查情况</w:t>
            </w:r>
          </w:p>
        </w:tc>
        <w:tc>
          <w:tcPr>
            <w:tcW w:w="2202"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p>
        </w:tc>
        <w:tc>
          <w:tcPr>
            <w:tcW w:w="2582" w:type="dxa"/>
            <w:gridSpan w:val="2"/>
            <w:vAlign w:val="center"/>
          </w:tcPr>
          <w:p>
            <w:pPr>
              <w:keepNext w:val="0"/>
              <w:keepLines w:val="0"/>
              <w:suppressLineNumbers w:val="0"/>
              <w:spacing w:before="0" w:beforeAutospacing="0" w:after="0" w:afterAutospacing="0" w:line="360" w:lineRule="exact"/>
              <w:ind w:left="0" w:right="0" w:firstLine="720" w:firstLineChars="300"/>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54" w:type="dxa"/>
            <w:gridSpan w:val="2"/>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p>
        </w:tc>
        <w:tc>
          <w:tcPr>
            <w:tcW w:w="258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3791" w:type="dxa"/>
            <w:gridSpan w:val="5"/>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2202" w:type="dxa"/>
            <w:gridSpan w:val="2"/>
            <w:vAlign w:val="center"/>
          </w:tcPr>
          <w:p>
            <w:pPr>
              <w:keepNext w:val="0"/>
              <w:keepLines w:val="0"/>
              <w:suppressLineNumbers w:val="0"/>
              <w:spacing w:before="0" w:beforeAutospacing="0" w:after="0" w:afterAutospacing="0" w:line="360" w:lineRule="exact"/>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9329" w:type="dxa"/>
            <w:gridSpan w:val="11"/>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培训情况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1" w:hRule="atLeast"/>
          <w:jc w:val="center"/>
        </w:trPr>
        <w:tc>
          <w:tcPr>
            <w:tcW w:w="9329" w:type="dxa"/>
            <w:gridSpan w:val="11"/>
            <w:vAlign w:val="center"/>
          </w:tcPr>
          <w:p>
            <w:pPr>
              <w:keepNext w:val="0"/>
              <w:keepLines w:val="0"/>
              <w:suppressLineNumbers w:val="0"/>
              <w:spacing w:before="0" w:beforeAutospacing="0" w:after="0" w:afterAutospacing="0" w:line="360" w:lineRule="exact"/>
              <w:ind w:left="0" w:right="0"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装备厂家技术人员于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日至</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日到使用单位开展装备技术培训。装备售货服务联系人：         联系电话：</w:t>
            </w:r>
          </w:p>
          <w:p>
            <w:pPr>
              <w:pStyle w:val="42"/>
              <w:keepNext w:val="0"/>
              <w:keepLines w:val="0"/>
              <w:suppressLineNumbers w:val="0"/>
              <w:tabs>
                <w:tab w:val="left" w:pos="6234"/>
              </w:tabs>
              <w:spacing w:before="0" w:beforeAutospacing="0" w:after="0" w:afterAutospacing="0"/>
              <w:ind w:left="0" w:right="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ab/>
            </w:r>
          </w:p>
          <w:p>
            <w:pPr>
              <w:pStyle w:val="42"/>
              <w:keepNext w:val="0"/>
              <w:keepLines w:val="0"/>
              <w:suppressLineNumbers w:val="0"/>
              <w:tabs>
                <w:tab w:val="left" w:pos="6234"/>
              </w:tabs>
              <w:spacing w:before="0" w:beforeAutospacing="0" w:after="0" w:afterAutospacing="0"/>
              <w:ind w:left="0" w:right="0" w:firstLine="5280" w:firstLineChars="2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tabs>
                <w:tab w:val="left" w:pos="6234"/>
              </w:tabs>
              <w:spacing w:before="0" w:beforeAutospacing="0" w:after="0" w:afterAutospacing="0"/>
              <w:ind w:left="0" w:right="0" w:firstLine="5280" w:firstLineChars="2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使用单位：（签字盖章）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752" w:type="dxa"/>
            <w:vMerge w:val="restart"/>
            <w:vAlign w:val="center"/>
          </w:tcPr>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验</w:t>
            </w:r>
          </w:p>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p>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收</w:t>
            </w:r>
          </w:p>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p>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结</w:t>
            </w:r>
          </w:p>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pPr>
          </w:p>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SA"/>
                <w14:textFill>
                  <w14:solidFill>
                    <w14:schemeClr w14:val="tx1"/>
                  </w14:solidFill>
                </w14:textFill>
              </w:rPr>
              <w:t>论</w:t>
            </w:r>
          </w:p>
        </w:tc>
        <w:tc>
          <w:tcPr>
            <w:tcW w:w="8577" w:type="dxa"/>
            <w:gridSpan w:val="10"/>
            <w:vAlign w:val="center"/>
          </w:tcPr>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经综合判定，该批装备验收</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□合格□基本合格□整改□不合格</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4" w:hRule="atLeast"/>
          <w:jc w:val="center"/>
        </w:trPr>
        <w:tc>
          <w:tcPr>
            <w:tcW w:w="752" w:type="dxa"/>
            <w:vMerge w:val="continue"/>
            <w:tcBorders>
              <w:bottom w:val="single" w:color="auto" w:sz="4" w:space="0"/>
            </w:tcBorders>
            <w:vAlign w:val="center"/>
          </w:tcPr>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5040" w:type="dxa"/>
            <w:gridSpan w:val="6"/>
            <w:tcBorders>
              <w:bottom w:val="single" w:color="auto" w:sz="4" w:space="0"/>
            </w:tcBorders>
            <w:vAlign w:val="center"/>
          </w:tcPr>
          <w:p>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jc w:val="center"/>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验收分管领导：</w:t>
            </w: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验收小组组长：</w:t>
            </w: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w:t>
            </w: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成员：    </w:t>
            </w: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                          </w:t>
            </w:r>
          </w:p>
          <w:p>
            <w:pPr>
              <w:pStyle w:val="42"/>
              <w:keepNext w:val="0"/>
              <w:keepLines w:val="0"/>
              <w:suppressLineNumbers w:val="0"/>
              <w:spacing w:before="0" w:beforeAutospacing="0" w:after="0" w:afterAutospacing="0"/>
              <w:ind w:left="0" w:right="0" w:firstLine="5760" w:firstLineChars="24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年                    （签字盖章）</w:t>
            </w:r>
          </w:p>
          <w:p>
            <w:pPr>
              <w:pStyle w:val="42"/>
              <w:keepNext w:val="0"/>
              <w:keepLines w:val="0"/>
              <w:suppressLineNumbers w:val="0"/>
              <w:spacing w:before="0" w:beforeAutospacing="0" w:after="0" w:afterAutospacing="0"/>
              <w:ind w:left="0" w:right="0" w:firstLine="2640" w:firstLineChars="11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年  月  日</w:t>
            </w:r>
          </w:p>
          <w:p>
            <w:pPr>
              <w:pStyle w:val="42"/>
              <w:keepNext w:val="0"/>
              <w:keepLines w:val="0"/>
              <w:suppressLineNumbers w:val="0"/>
              <w:spacing w:before="0" w:beforeAutospacing="0" w:after="0" w:afterAutospacing="0"/>
              <w:ind w:left="0" w:right="0" w:firstLine="2640" w:firstLineChars="11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tc>
        <w:tc>
          <w:tcPr>
            <w:tcW w:w="3537" w:type="dxa"/>
            <w:gridSpan w:val="4"/>
            <w:vAlign w:val="center"/>
          </w:tcPr>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w:t>
            </w: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pStyle w:val="42"/>
              <w:keepNext w:val="0"/>
              <w:keepLines w:val="0"/>
              <w:suppressLineNumbers w:val="0"/>
              <w:spacing w:before="0" w:beforeAutospacing="0" w:after="0" w:afterAutospacing="0"/>
              <w:ind w:left="0" w:right="0" w:firstLine="1200" w:firstLineChars="5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（签字盖章）</w:t>
            </w:r>
          </w:p>
          <w:p>
            <w:pPr>
              <w:pStyle w:val="42"/>
              <w:keepNext w:val="0"/>
              <w:keepLines w:val="0"/>
              <w:suppressLineNumbers w:val="0"/>
              <w:spacing w:before="0" w:beforeAutospacing="0" w:after="0" w:afterAutospacing="0"/>
              <w:ind w:left="0" w:right="0" w:firstLine="1440" w:firstLineChars="6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年  月  日</w:t>
            </w:r>
          </w:p>
        </w:tc>
      </w:tr>
    </w:tbl>
    <w:p>
      <w:pPr>
        <w:adjustRightInd w:val="0"/>
        <w:snapToGrid w:val="0"/>
        <w:spacing w:line="40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备注：1.</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装备验收单一式三份，验收单位、使用单位和供应商，正反面打印</w:t>
      </w:r>
      <w:r>
        <w:rPr>
          <w:rFonts w:hint="eastAsia" w:ascii="宋体" w:hAnsi="宋体" w:eastAsia="宋体" w:cs="宋体"/>
          <w:color w:val="000000" w:themeColor="text1"/>
          <w:sz w:val="24"/>
          <w:szCs w:val="24"/>
          <w:highlight w:val="none"/>
          <w14:textFill>
            <w14:solidFill>
              <w14:schemeClr w14:val="tx1"/>
            </w14:solidFill>
          </w14:textFill>
        </w:rPr>
        <w:t>。</w:t>
      </w:r>
    </w:p>
    <w:p>
      <w:pPr>
        <w:adjustRightInd w:val="0"/>
        <w:snapToGrid w:val="0"/>
        <w:spacing w:line="400" w:lineRule="exact"/>
        <w:ind w:firstLine="1200" w:firstLineChars="5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2.消防车辆验收，同时需填写附件3《新购消防车辆检查验收报告》。</w:t>
      </w:r>
    </w:p>
    <w:p>
      <w:pPr>
        <w:adjustRightInd w:val="0"/>
        <w:snapToGrid w:val="0"/>
        <w:spacing w:line="400" w:lineRule="exact"/>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p>
    <w:p>
      <w:pPr>
        <w:adjustRightInd w:val="0"/>
        <w:snapToGrid w:val="0"/>
        <w:spacing w:line="400" w:lineRule="exact"/>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color w:val="000000" w:themeColor="text1"/>
          <w:kern w:val="0"/>
          <w:sz w:val="24"/>
          <w:szCs w:val="24"/>
          <w:highlight w:val="none"/>
          <w14:textFill>
            <w14:solidFill>
              <w14:schemeClr w14:val="tx1"/>
            </w14:solidFill>
          </w14:textFill>
        </w:rPr>
      </w:pPr>
    </w:p>
    <w:p>
      <w:pPr>
        <w:pStyle w:val="42"/>
        <w:rPr>
          <w:rFonts w:hint="eastAsia" w:ascii="宋体" w:hAnsi="宋体" w:eastAsia="宋体" w:cs="宋体"/>
          <w:color w:val="000000" w:themeColor="text1"/>
          <w:kern w:val="0"/>
          <w:sz w:val="24"/>
          <w:szCs w:val="24"/>
          <w:highlight w:val="none"/>
          <w14:textFill>
            <w14:solidFill>
              <w14:schemeClr w14:val="tx1"/>
            </w14:solidFill>
          </w14:textFill>
        </w:rPr>
      </w:pPr>
    </w:p>
    <w:p>
      <w:pPr>
        <w:pStyle w:val="42"/>
        <w:rPr>
          <w:rFonts w:hint="eastAsia" w:ascii="宋体" w:hAnsi="宋体" w:eastAsia="宋体" w:cs="宋体"/>
          <w:color w:val="000000" w:themeColor="text1"/>
          <w:kern w:val="0"/>
          <w:sz w:val="24"/>
          <w:szCs w:val="24"/>
          <w:highlight w:val="none"/>
          <w14:textFill>
            <w14:solidFill>
              <w14:schemeClr w14:val="tx1"/>
            </w14:solidFill>
          </w14:textFill>
        </w:rPr>
      </w:pPr>
    </w:p>
    <w:p>
      <w:pPr>
        <w:pStyle w:val="42"/>
        <w:rPr>
          <w:rFonts w:hint="eastAsia" w:ascii="宋体" w:hAnsi="宋体" w:eastAsia="宋体" w:cs="宋体"/>
          <w:color w:val="000000" w:themeColor="text1"/>
          <w:kern w:val="0"/>
          <w:sz w:val="24"/>
          <w:szCs w:val="24"/>
          <w:highlight w:val="none"/>
          <w14:textFill>
            <w14:solidFill>
              <w14:schemeClr w14:val="tx1"/>
            </w14:solidFill>
          </w14:textFill>
        </w:rPr>
      </w:pPr>
    </w:p>
    <w:p>
      <w:pPr>
        <w:pStyle w:val="44"/>
        <w:rPr>
          <w:rFonts w:hint="eastAsia" w:ascii="宋体" w:hAnsi="宋体" w:eastAsia="宋体" w:cs="宋体"/>
          <w:color w:val="000000" w:themeColor="text1"/>
          <w:kern w:val="0"/>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附件2：</w:t>
      </w:r>
    </w:p>
    <w:p>
      <w:pPr>
        <w:autoSpaceDE w:val="0"/>
        <w:autoSpaceDN w:val="0"/>
        <w:adjustRightInd w:val="0"/>
        <w:snapToGrid w:val="0"/>
        <w:spacing w:line="360" w:lineRule="auto"/>
        <w:jc w:val="left"/>
        <w:rPr>
          <w:rFonts w:hint="eastAsia" w:ascii="宋体" w:hAnsi="宋体" w:eastAsia="宋体" w:cs="宋体"/>
          <w:color w:val="000000" w:themeColor="text1"/>
          <w:kern w:val="0"/>
          <w:sz w:val="24"/>
          <w:highlight w:val="none"/>
          <w14:textFill>
            <w14:solidFill>
              <w14:schemeClr w14:val="tx1"/>
            </w14:solidFill>
          </w14:textFill>
        </w:rPr>
      </w:pPr>
    </w:p>
    <w:p>
      <w:pPr>
        <w:autoSpaceDE w:val="0"/>
        <w:autoSpaceDN w:val="0"/>
        <w:adjustRightInd w:val="0"/>
        <w:spacing w:line="360" w:lineRule="auto"/>
        <w:jc w:val="center"/>
        <w:rPr>
          <w:rFonts w:hint="eastAsia" w:ascii="宋体" w:hAnsi="宋体" w:eastAsia="宋体" w:cs="宋体"/>
          <w:b/>
          <w:color w:val="000000" w:themeColor="text1"/>
          <w:kern w:val="28"/>
          <w:sz w:val="28"/>
          <w:szCs w:val="28"/>
          <w:highlight w:val="none"/>
          <w14:textFill>
            <w14:solidFill>
              <w14:schemeClr w14:val="tx1"/>
            </w14:solidFill>
          </w14:textFill>
        </w:rPr>
      </w:pPr>
      <w:r>
        <w:rPr>
          <w:rFonts w:hint="eastAsia" w:ascii="宋体" w:hAnsi="宋体" w:eastAsia="宋体" w:cs="宋体"/>
          <w:b/>
          <w:color w:val="000000" w:themeColor="text1"/>
          <w:kern w:val="28"/>
          <w:sz w:val="28"/>
          <w:szCs w:val="28"/>
          <w:highlight w:val="none"/>
          <w14:textFill>
            <w14:solidFill>
              <w14:schemeClr w14:val="tx1"/>
            </w14:solidFill>
          </w14:textFill>
        </w:rPr>
        <w:t>质保期内无质量疑义证明文件</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贵单位合同项下《国产消防器材</w:t>
      </w:r>
      <w:r>
        <w:rPr>
          <w:rFonts w:hint="eastAsia" w:ascii="宋体" w:hAnsi="宋体" w:cs="宋体"/>
          <w:color w:val="000000" w:themeColor="text1"/>
          <w:sz w:val="24"/>
          <w:szCs w:val="24"/>
          <w:highlight w:val="none"/>
          <w:lang w:eastAsia="zh-CN"/>
          <w14:textFill>
            <w14:solidFill>
              <w14:schemeClr w14:val="tx1"/>
            </w14:solidFill>
          </w14:textFill>
        </w:rPr>
        <w:t>装备（非信通装备类）采购</w:t>
      </w:r>
      <w:r>
        <w:rPr>
          <w:rFonts w:hint="eastAsia" w:ascii="宋体" w:hAnsi="宋体" w:eastAsia="宋体" w:cs="宋体"/>
          <w:color w:val="000000" w:themeColor="text1"/>
          <w:sz w:val="24"/>
          <w:szCs w:val="24"/>
          <w:highlight w:val="none"/>
          <w14:textFill>
            <w14:solidFill>
              <w14:schemeClr w14:val="tx1"/>
            </w14:solidFill>
          </w14:textFill>
        </w:rPr>
        <w:t>合同》(合同编号: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shd w:val="clear"/>
          <w14:textFill>
            <w14:solidFill>
              <w14:schemeClr w14:val="tx1"/>
            </w14:solidFill>
          </w14:textFill>
        </w:rPr>
        <w:t>)质保期</w:t>
      </w:r>
      <w:r>
        <w:rPr>
          <w:rFonts w:hint="eastAsia" w:ascii="宋体" w:hAnsi="宋体" w:cs="宋体"/>
          <w:color w:val="000000" w:themeColor="text1"/>
          <w:sz w:val="24"/>
          <w:szCs w:val="24"/>
          <w:highlight w:val="none"/>
          <w:shd w:val="clear"/>
          <w:lang w:val="en-US" w:eastAsia="zh-CN"/>
          <w14:textFill>
            <w14:solidFill>
              <w14:schemeClr w14:val="tx1"/>
            </w14:solidFill>
          </w14:textFill>
        </w:rPr>
        <w:t>已</w:t>
      </w:r>
      <w:r>
        <w:rPr>
          <w:rFonts w:hint="eastAsia" w:ascii="宋体" w:hAnsi="宋体" w:eastAsia="宋体" w:cs="宋体"/>
          <w:color w:val="000000" w:themeColor="text1"/>
          <w:sz w:val="24"/>
          <w:szCs w:val="24"/>
          <w:highlight w:val="none"/>
          <w:shd w:val="clear"/>
          <w14:textFill>
            <w14:solidFill>
              <w14:schemeClr w14:val="tx1"/>
            </w14:solidFill>
          </w14:textFill>
        </w:rPr>
        <w:t>满</w:t>
      </w:r>
      <w:r>
        <w:rPr>
          <w:rFonts w:hint="eastAsia" w:ascii="宋体" w:hAnsi="宋体" w:cs="宋体"/>
          <w:color w:val="000000" w:themeColor="text1"/>
          <w:sz w:val="24"/>
          <w:szCs w:val="24"/>
          <w:highlight w:val="none"/>
          <w:shd w:val="clear"/>
          <w:lang w:val="en-US" w:eastAsia="zh-CN"/>
          <w14:textFill>
            <w14:solidFill>
              <w14:schemeClr w14:val="tx1"/>
            </w14:solidFill>
          </w14:textFill>
        </w:rPr>
        <w:t>一年</w:t>
      </w:r>
      <w:r>
        <w:rPr>
          <w:rFonts w:hint="eastAsia" w:ascii="宋体" w:hAnsi="宋体" w:eastAsia="宋体" w:cs="宋体"/>
          <w:color w:val="000000" w:themeColor="text1"/>
          <w:sz w:val="24"/>
          <w:szCs w:val="24"/>
          <w:highlight w:val="none"/>
          <w:shd w:val="clear"/>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在质保期内无质量问题，现经我单位确认，</w:t>
      </w:r>
      <w:r>
        <w:rPr>
          <w:rFonts w:hint="eastAsia" w:ascii="宋体" w:hAnsi="宋体" w:eastAsia="宋体" w:cs="宋体"/>
          <w:color w:val="000000" w:themeColor="text1"/>
          <w:sz w:val="24"/>
          <w:szCs w:val="24"/>
          <w:highlight w:val="none"/>
          <w:shd w:val="clear"/>
          <w14:textFill>
            <w14:solidFill>
              <w14:schemeClr w14:val="tx1"/>
            </w14:solidFill>
          </w14:textFill>
        </w:rPr>
        <w:t>同意</w:t>
      </w:r>
      <w:r>
        <w:rPr>
          <w:rFonts w:hint="eastAsia" w:ascii="宋体" w:hAnsi="宋体" w:cs="宋体"/>
          <w:color w:val="000000" w:themeColor="text1"/>
          <w:sz w:val="24"/>
          <w:szCs w:val="24"/>
          <w:highlight w:val="none"/>
          <w:shd w:val="clear"/>
          <w:lang w:val="en-US" w:eastAsia="zh-CN"/>
          <w14:textFill>
            <w14:solidFill>
              <w14:schemeClr w14:val="tx1"/>
            </w14:solidFill>
          </w14:textFill>
        </w:rPr>
        <w:t>退还履约保证金</w:t>
      </w:r>
      <w:r>
        <w:rPr>
          <w:rFonts w:hint="eastAsia" w:ascii="宋体" w:hAnsi="宋体" w:eastAsia="宋体" w:cs="宋体"/>
          <w:color w:val="000000" w:themeColor="text1"/>
          <w:sz w:val="24"/>
          <w:szCs w:val="24"/>
          <w:highlight w:val="none"/>
          <w:shd w:val="clear"/>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特此回复。清单如下：</w:t>
      </w:r>
    </w:p>
    <w:tbl>
      <w:tblPr>
        <w:tblStyle w:val="40"/>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728"/>
        <w:gridCol w:w="1692"/>
        <w:gridCol w:w="864"/>
        <w:gridCol w:w="1476"/>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7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品名</w:t>
            </w:r>
          </w:p>
        </w:tc>
        <w:tc>
          <w:tcPr>
            <w:tcW w:w="16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品牌、型号</w:t>
            </w:r>
          </w:p>
        </w:tc>
        <w:tc>
          <w:tcPr>
            <w:tcW w:w="8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14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金额</w:t>
            </w:r>
          </w:p>
        </w:tc>
        <w:tc>
          <w:tcPr>
            <w:tcW w:w="21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配置简述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7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7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7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17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1728"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2"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76"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6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使用单位(大中队签字盖章)：</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审核单位(支队签字盖章)：</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注：本证明文件由使用单位打印填写，由审核单位查对后签字盖章。本证明文件一式三份，一份交采购人做</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5%货款支付凭证，一份由使用单位留存，一份由供应商留存。</w:t>
      </w:r>
    </w:p>
    <w:p>
      <w:pPr>
        <w:shd w:val="clear"/>
        <w:rPr>
          <w:rFonts w:hint="eastAsia" w:ascii="宋体" w:hAnsi="宋体" w:cs="宋体"/>
          <w:b/>
          <w:color w:val="000000" w:themeColor="text1"/>
          <w:sz w:val="24"/>
          <w:szCs w:val="24"/>
          <w:highlight w:val="none"/>
          <w:lang w:val="en-US" w:eastAsia="zh-CN"/>
          <w14:textFill>
            <w14:solidFill>
              <w14:schemeClr w14:val="tx1"/>
            </w14:solidFill>
          </w14:textFill>
        </w:rPr>
        <w:sectPr>
          <w:footerReference r:id="rId10"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bookmarkStart w:id="26" w:name="_Toc19244"/>
      <w:bookmarkStart w:id="27" w:name="_Toc12849"/>
    </w:p>
    <w:p>
      <w:pPr>
        <w:shd w:val="clea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lang w:val="en-US" w:eastAsia="zh-CN"/>
          <w14:textFill>
            <w14:solidFill>
              <w14:schemeClr w14:val="tx1"/>
            </w14:solidFill>
          </w14:textFill>
        </w:rPr>
        <w:t>附件3：</w:t>
      </w:r>
      <w:r>
        <w:rPr>
          <w:rFonts w:hint="eastAsia" w:ascii="宋体" w:hAnsi="宋体" w:cs="宋体"/>
          <w:b/>
          <w:bCs/>
          <w:color w:val="000000" w:themeColor="text1"/>
          <w:sz w:val="28"/>
          <w:szCs w:val="28"/>
          <w:highlight w:val="none"/>
          <w14:textFill>
            <w14:solidFill>
              <w14:schemeClr w14:val="tx1"/>
            </w14:solidFill>
          </w14:textFill>
        </w:rPr>
        <w:t>承诺书</w:t>
      </w:r>
    </w:p>
    <w:p>
      <w:pPr>
        <w:shd w:val="clear"/>
        <w:rPr>
          <w:rFonts w:hint="eastAsia" w:ascii="宋体" w:hAnsi="宋体" w:cs="宋体"/>
          <w:b/>
          <w:bCs/>
          <w:color w:val="000000" w:themeColor="text1"/>
          <w:sz w:val="24"/>
          <w:szCs w:val="24"/>
          <w:highlight w:val="none"/>
          <w14:textFill>
            <w14:solidFill>
              <w14:schemeClr w14:val="tx1"/>
            </w14:solidFill>
          </w14:textFill>
        </w:rPr>
      </w:pPr>
    </w:p>
    <w:p>
      <w:pPr>
        <w:shd w:val="clear"/>
        <w:rPr>
          <w:rFonts w:hint="eastAsia" w:ascii="宋体" w:hAnsi="宋体" w:cs="宋体"/>
          <w:b/>
          <w:bCs/>
          <w:color w:val="000000" w:themeColor="text1"/>
          <w:sz w:val="24"/>
          <w:szCs w:val="24"/>
          <w:highlight w:val="none"/>
          <w:lang w:val="en-US" w:eastAsia="zh-CN"/>
          <w14:textFill>
            <w14:solidFill>
              <w14:schemeClr w14:val="tx1"/>
            </w14:solidFill>
          </w14:textFill>
        </w:rPr>
      </w:pPr>
    </w:p>
    <w:p>
      <w:pPr>
        <w:keepNext w:val="0"/>
        <w:keepLines w:val="0"/>
        <w:pageBreakBefore w:val="0"/>
        <w:kinsoku/>
        <w:wordWrap/>
        <w:overflowPunct/>
        <w:topLinePunct w:val="0"/>
        <w:bidi w:val="0"/>
        <w:spacing w:line="360" w:lineRule="exact"/>
        <w:ind w:left="0" w:leftChars="0" w:right="0" w:rightChars="0"/>
        <w:jc w:val="left"/>
        <w:textAlignment w:val="auto"/>
        <w:rPr>
          <w:rFonts w:hint="eastAsia" w:ascii="宋体" w:hAnsi="宋体" w:cs="宋体"/>
          <w:b/>
          <w:bCs/>
          <w:color w:val="000000" w:themeColor="text1"/>
          <w:sz w:val="28"/>
          <w:szCs w:val="28"/>
          <w:highlight w:val="none"/>
          <w:u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附件4</w:t>
      </w:r>
      <w:r>
        <w:rPr>
          <w:rFonts w:hint="eastAsia" w:ascii="宋体" w:hAnsi="宋体" w:cs="宋体"/>
          <w:b/>
          <w:bCs/>
          <w:color w:val="000000" w:themeColor="text1"/>
          <w:sz w:val="28"/>
          <w:szCs w:val="28"/>
          <w:highlight w:val="none"/>
          <w:u w:val="none"/>
          <w:lang w:val="en-US" w:eastAsia="zh-CN"/>
          <w14:textFill>
            <w14:solidFill>
              <w14:schemeClr w14:val="tx1"/>
            </w14:solidFill>
          </w14:textFill>
        </w:rPr>
        <w:t>：</w:t>
      </w:r>
    </w:p>
    <w:p>
      <w:pPr>
        <w:keepNext w:val="0"/>
        <w:keepLines w:val="0"/>
        <w:pageBreakBefore w:val="0"/>
        <w:kinsoku/>
        <w:wordWrap/>
        <w:overflowPunct/>
        <w:topLinePunct w:val="0"/>
        <w:bidi w:val="0"/>
        <w:spacing w:line="360" w:lineRule="exact"/>
        <w:ind w:left="0" w:leftChars="0" w:right="0" w:rightChars="0"/>
        <w:jc w:val="center"/>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《浙江省消防救援总队关于印发浙江省消防救援队伍灭火救援装备验收管理规定（试行）的通知》</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482" w:firstLineChars="200"/>
        <w:jc w:val="both"/>
        <w:textAlignment w:val="auto"/>
        <w:outlineLvl w:val="0"/>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第一章</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 xml:space="preserve">总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第一条</w:t>
      </w:r>
      <w:r>
        <w:rPr>
          <w:rFonts w:hint="eastAsia" w:ascii="宋体" w:hAnsi="宋体" w:eastAsia="宋体" w:cs="宋体"/>
          <w:color w:val="000000" w:themeColor="text1"/>
          <w:sz w:val="24"/>
          <w:szCs w:val="24"/>
          <w:highlight w:val="none"/>
          <w14:textFill>
            <w14:solidFill>
              <w14:schemeClr w14:val="tx1"/>
            </w14:solidFill>
          </w14:textFill>
        </w:rPr>
        <w:t xml:space="preserve"> 为规范全省消防救援队伍</w:t>
      </w:r>
      <w:r>
        <w:rPr>
          <w:rFonts w:hint="eastAsia" w:ascii="宋体" w:hAnsi="宋体" w:eastAsia="宋体" w:cs="宋体"/>
          <w:color w:val="000000" w:themeColor="text1"/>
          <w:sz w:val="24"/>
          <w:szCs w:val="24"/>
          <w:highlight w:val="none"/>
          <w:lang w:val="en-US" w:eastAsia="zh-CN"/>
          <w14:textFill>
            <w14:solidFill>
              <w14:schemeClr w14:val="tx1"/>
            </w14:solidFill>
          </w14:textFill>
        </w:rPr>
        <w:t>灭火救援</w:t>
      </w:r>
      <w:r>
        <w:rPr>
          <w:rFonts w:hint="eastAsia" w:ascii="宋体" w:hAnsi="宋体" w:eastAsia="宋体" w:cs="宋体"/>
          <w:color w:val="000000" w:themeColor="text1"/>
          <w:sz w:val="24"/>
          <w:szCs w:val="24"/>
          <w:highlight w:val="none"/>
          <w:lang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验收工作，保证装备质量，保护采购当事人的合法权益，按照</w:t>
      </w:r>
      <w:r>
        <w:rPr>
          <w:rFonts w:hint="eastAsia" w:ascii="宋体" w:hAnsi="宋体" w:eastAsia="宋体" w:cs="宋体"/>
          <w:color w:val="000000" w:themeColor="text1"/>
          <w:sz w:val="24"/>
          <w:szCs w:val="24"/>
          <w:highlight w:val="none"/>
          <w:lang w:eastAsia="zh-CN"/>
          <w14:textFill>
            <w14:solidFill>
              <w14:schemeClr w14:val="tx1"/>
            </w14:solidFill>
          </w14:textFill>
        </w:rPr>
        <w:t>消防救援局</w:t>
      </w:r>
      <w:r>
        <w:rPr>
          <w:rFonts w:hint="eastAsia" w:ascii="宋体" w:hAnsi="宋体" w:eastAsia="宋体" w:cs="宋体"/>
          <w:color w:val="000000" w:themeColor="text1"/>
          <w:sz w:val="24"/>
          <w:szCs w:val="24"/>
          <w:highlight w:val="none"/>
          <w14:textFill>
            <w14:solidFill>
              <w14:schemeClr w14:val="tx1"/>
            </w14:solidFill>
          </w14:textFill>
        </w:rPr>
        <w:t>《消防救援队伍政府采购管理暂行办法》（应急消〔2021〕1号）及总队相关采购管理规定，结合</w:t>
      </w:r>
      <w:r>
        <w:rPr>
          <w:rFonts w:hint="eastAsia" w:ascii="宋体" w:hAnsi="宋体" w:eastAsia="宋体" w:cs="宋体"/>
          <w:color w:val="000000" w:themeColor="text1"/>
          <w:sz w:val="24"/>
          <w:szCs w:val="24"/>
          <w:highlight w:val="none"/>
          <w:lang w:val="en-US" w:eastAsia="zh-CN"/>
          <w14:textFill>
            <w14:solidFill>
              <w14:schemeClr w14:val="tx1"/>
            </w14:solidFill>
          </w14:textFill>
        </w:rPr>
        <w:t>全省消防救援队伍</w:t>
      </w:r>
      <w:r>
        <w:rPr>
          <w:rFonts w:hint="eastAsia" w:ascii="宋体" w:hAnsi="宋体" w:eastAsia="宋体" w:cs="宋体"/>
          <w:color w:val="000000" w:themeColor="text1"/>
          <w:sz w:val="24"/>
          <w:szCs w:val="24"/>
          <w:highlight w:val="none"/>
          <w14:textFill>
            <w14:solidFill>
              <w14:schemeClr w14:val="tx1"/>
            </w14:solidFill>
          </w14:textFill>
        </w:rPr>
        <w:t>实际，制定本规定。</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第二条 </w:t>
      </w:r>
      <w:r>
        <w:rPr>
          <w:rFonts w:hint="eastAsia" w:ascii="宋体" w:hAnsi="宋体" w:eastAsia="宋体" w:cs="宋体"/>
          <w:color w:val="000000" w:themeColor="text1"/>
          <w:sz w:val="24"/>
          <w:szCs w:val="24"/>
          <w:highlight w:val="none"/>
          <w14:textFill>
            <w14:solidFill>
              <w14:schemeClr w14:val="tx1"/>
            </w14:solidFill>
          </w14:textFill>
        </w:rPr>
        <w:t>本规定适用于全省消防救援队伍新购、调拨、捐赠等用于灭火救援的装备验收工作</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所指灭火救援装备（以下统称“装备”）</w:t>
      </w:r>
      <w:r>
        <w:rPr>
          <w:rFonts w:hint="eastAsia" w:ascii="宋体" w:hAnsi="宋体" w:eastAsia="宋体" w:cs="宋体"/>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color w:val="000000" w:themeColor="text1"/>
          <w:sz w:val="24"/>
          <w:szCs w:val="24"/>
          <w:highlight w:val="none"/>
          <w14:textFill>
            <w14:solidFill>
              <w14:schemeClr w14:val="tx1"/>
            </w14:solidFill>
          </w14:textFill>
        </w:rPr>
        <w:t>消防车辆、消防船艇、消防飞行器、消防员防护装备、抢险救援器材、灭火器材、灭火药剂等用于消防救援队伍完成灭火救援和训练、信息通信、战勤保障等任务的车辆、器材和物资。</w:t>
      </w:r>
    </w:p>
    <w:p>
      <w:pPr>
        <w:keepNext w:val="0"/>
        <w:keepLines w:val="0"/>
        <w:pageBreakBefore w:val="0"/>
        <w:widowControl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第三条</w:t>
      </w:r>
      <w:r>
        <w:rPr>
          <w:rFonts w:hint="eastAsia" w:ascii="宋体" w:hAnsi="宋体" w:eastAsia="宋体" w:cs="宋体"/>
          <w:color w:val="000000" w:themeColor="text1"/>
          <w:sz w:val="24"/>
          <w:szCs w:val="24"/>
          <w:highlight w:val="none"/>
          <w14:textFill>
            <w14:solidFill>
              <w14:schemeClr w14:val="tx1"/>
            </w14:solidFill>
          </w14:textFill>
        </w:rPr>
        <w:t xml:space="preserve"> 本规定所指</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验收是指依据相关国家或行业标准以及采购合同、响应文件、补充协议等证明性文件进行的装备数量、规格型号、外观标识、检测报告或产品认证、质量性能的验收检查行为。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kern w:val="2"/>
          <w:sz w:val="24"/>
          <w:szCs w:val="24"/>
          <w:highlight w:val="none"/>
          <w:u w:val="none"/>
          <w:lang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 xml:space="preserve">第四条 </w:t>
      </w:r>
      <w:r>
        <w:rPr>
          <w:rFonts w:hint="eastAsia" w:ascii="宋体" w:hAnsi="宋体" w:eastAsia="宋体" w:cs="宋体"/>
          <w:color w:val="000000" w:themeColor="text1"/>
          <w:sz w:val="24"/>
          <w:szCs w:val="24"/>
          <w:highlight w:val="none"/>
          <w14:textFill>
            <w14:solidFill>
              <w14:schemeClr w14:val="tx1"/>
            </w14:solidFill>
          </w14:textFill>
        </w:rPr>
        <w:t>本规定所指</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装备验收的权限划分为，</w:t>
      </w:r>
      <w:r>
        <w:rPr>
          <w:rFonts w:hint="eastAsia" w:ascii="宋体" w:hAnsi="宋体" w:eastAsia="宋体" w:cs="宋体"/>
          <w:color w:val="000000" w:themeColor="text1"/>
          <w:kern w:val="2"/>
          <w:sz w:val="24"/>
          <w:szCs w:val="24"/>
          <w:highlight w:val="none"/>
          <w:lang w:eastAsia="zh-CN" w:bidi="ar-SA"/>
          <w14:textFill>
            <w14:solidFill>
              <w14:schemeClr w14:val="tx1"/>
            </w14:solidFill>
          </w14:textFill>
        </w:rPr>
        <w:t>总队签订</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装备（非信通装备类）采购</w:t>
      </w:r>
      <w:r>
        <w:rPr>
          <w:rFonts w:hint="eastAsia" w:ascii="宋体" w:hAnsi="宋体" w:eastAsia="宋体" w:cs="宋体"/>
          <w:color w:val="000000" w:themeColor="text1"/>
          <w:kern w:val="2"/>
          <w:sz w:val="24"/>
          <w:szCs w:val="24"/>
          <w:highlight w:val="none"/>
          <w:lang w:eastAsia="zh-CN" w:bidi="ar-SA"/>
          <w14:textFill>
            <w14:solidFill>
              <w14:schemeClr w14:val="tx1"/>
            </w14:solidFill>
          </w14:textFill>
        </w:rPr>
        <w:t>合同的由总队组织实施，支队签订</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装备（非信通装备类）采购</w:t>
      </w:r>
      <w:r>
        <w:rPr>
          <w:rFonts w:hint="eastAsia" w:ascii="宋体" w:hAnsi="宋体" w:eastAsia="宋体" w:cs="宋体"/>
          <w:color w:val="000000" w:themeColor="text1"/>
          <w:kern w:val="2"/>
          <w:sz w:val="24"/>
          <w:szCs w:val="24"/>
          <w:highlight w:val="none"/>
          <w:lang w:eastAsia="zh-CN" w:bidi="ar-SA"/>
          <w14:textFill>
            <w14:solidFill>
              <w14:schemeClr w14:val="tx1"/>
            </w14:solidFill>
          </w14:textFill>
        </w:rPr>
        <w:t>合同的由支队组织实施。</w:t>
      </w:r>
      <w:r>
        <w:rPr>
          <w:rFonts w:hint="eastAsia" w:ascii="宋体" w:hAnsi="宋体" w:eastAsia="宋体" w:cs="宋体"/>
          <w:color w:val="000000" w:themeColor="text1"/>
          <w:kern w:val="2"/>
          <w:sz w:val="24"/>
          <w:szCs w:val="24"/>
          <w:highlight w:val="none"/>
          <w:u w:val="none"/>
          <w:lang w:eastAsia="zh-CN" w:bidi="ar-SA"/>
          <w14:textFill>
            <w14:solidFill>
              <w14:schemeClr w14:val="tx1"/>
            </w14:solidFill>
          </w14:textFill>
        </w:rPr>
        <w:t>其中，消防车辆</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先</w:t>
      </w:r>
      <w:r>
        <w:rPr>
          <w:rFonts w:hint="eastAsia" w:ascii="宋体" w:hAnsi="宋体" w:eastAsia="宋体" w:cs="宋体"/>
          <w:color w:val="000000" w:themeColor="text1"/>
          <w:kern w:val="2"/>
          <w:sz w:val="24"/>
          <w:szCs w:val="24"/>
          <w:highlight w:val="none"/>
          <w:u w:val="none"/>
          <w:lang w:eastAsia="zh-CN" w:bidi="ar-SA"/>
          <w14:textFill>
            <w14:solidFill>
              <w14:schemeClr w14:val="tx1"/>
            </w14:solidFill>
          </w14:textFill>
        </w:rPr>
        <w:t>由总队委托中国救援浙江机动专业支队开展水力性能</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等</w:t>
      </w:r>
      <w:r>
        <w:rPr>
          <w:rFonts w:hint="eastAsia" w:ascii="宋体" w:hAnsi="宋体" w:eastAsia="宋体" w:cs="宋体"/>
          <w:color w:val="000000" w:themeColor="text1"/>
          <w:kern w:val="2"/>
          <w:sz w:val="24"/>
          <w:szCs w:val="24"/>
          <w:highlight w:val="none"/>
          <w:u w:val="none"/>
          <w:lang w:eastAsia="zh-CN" w:bidi="ar-SA"/>
          <w14:textFill>
            <w14:solidFill>
              <w14:schemeClr w14:val="tx1"/>
            </w14:solidFill>
          </w14:textFill>
        </w:rPr>
        <w:t>测试；同一厂家同一批次采购的消防器材，且合同金额累加</w:t>
      </w:r>
      <w:r>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t>超过500万元的支队验收项目，</w:t>
      </w:r>
      <w:r>
        <w:rPr>
          <w:rFonts w:hint="eastAsia" w:ascii="宋体" w:hAnsi="宋体" w:eastAsia="宋体" w:cs="宋体"/>
          <w:color w:val="000000" w:themeColor="text1"/>
          <w:kern w:val="2"/>
          <w:sz w:val="24"/>
          <w:szCs w:val="24"/>
          <w:highlight w:val="none"/>
          <w:u w:val="none"/>
          <w:lang w:eastAsia="zh-CN" w:bidi="ar-SA"/>
          <w14:textFill>
            <w14:solidFill>
              <w14:schemeClr w14:val="tx1"/>
            </w14:solidFill>
          </w14:textFill>
        </w:rPr>
        <w:t>由总队随机安排其他支队进行交叉验收。</w:t>
      </w:r>
    </w:p>
    <w:p>
      <w:pPr>
        <w:keepNext w:val="0"/>
        <w:keepLines w:val="0"/>
        <w:pageBreakBefore w:val="0"/>
        <w:widowControl w:val="0"/>
        <w:kinsoku/>
        <w:wordWrap/>
        <w:overflowPunct/>
        <w:topLinePunct w:val="0"/>
        <w:autoSpaceDE/>
        <w:autoSpaceDN/>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第五条</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验收人员应严格遵守各项法律法规</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保持</w:t>
      </w:r>
      <w:r>
        <w:rPr>
          <w:rFonts w:hint="eastAsia" w:ascii="宋体" w:hAnsi="宋体" w:eastAsia="宋体" w:cs="宋体"/>
          <w:color w:val="000000" w:themeColor="text1"/>
          <w:sz w:val="24"/>
          <w:szCs w:val="24"/>
          <w:highlight w:val="none"/>
          <w14:textFill>
            <w14:solidFill>
              <w14:schemeClr w14:val="tx1"/>
            </w14:solidFill>
          </w14:textFill>
        </w:rPr>
        <w:t>廉洁</w:t>
      </w:r>
      <w:r>
        <w:rPr>
          <w:rFonts w:hint="eastAsia" w:ascii="宋体" w:hAnsi="宋体" w:eastAsia="宋体" w:cs="宋体"/>
          <w:color w:val="000000" w:themeColor="text1"/>
          <w:sz w:val="24"/>
          <w:szCs w:val="24"/>
          <w:highlight w:val="none"/>
          <w:lang w:val="en-US" w:eastAsia="zh-CN"/>
          <w14:textFill>
            <w14:solidFill>
              <w14:schemeClr w14:val="tx1"/>
            </w14:solidFill>
          </w14:textFill>
        </w:rPr>
        <w:t>自</w:t>
      </w:r>
      <w:r>
        <w:rPr>
          <w:rFonts w:hint="eastAsia" w:ascii="宋体" w:hAnsi="宋体" w:eastAsia="宋体" w:cs="宋体"/>
          <w:color w:val="000000" w:themeColor="text1"/>
          <w:sz w:val="24"/>
          <w:szCs w:val="24"/>
          <w:highlight w:val="none"/>
          <w14:textFill>
            <w14:solidFill>
              <w14:schemeClr w14:val="tx1"/>
            </w14:solidFill>
          </w14:textFill>
        </w:rPr>
        <w:t>律，自觉接受</w:t>
      </w:r>
      <w:r>
        <w:rPr>
          <w:rFonts w:hint="eastAsia" w:ascii="宋体" w:hAnsi="宋体" w:eastAsia="宋体" w:cs="宋体"/>
          <w:color w:val="000000" w:themeColor="text1"/>
          <w:sz w:val="24"/>
          <w:szCs w:val="24"/>
          <w:highlight w:val="none"/>
          <w:lang w:val="en-US" w:eastAsia="zh-CN"/>
          <w14:textFill>
            <w14:solidFill>
              <w14:schemeClr w14:val="tx1"/>
            </w14:solidFill>
          </w14:textFill>
        </w:rPr>
        <w:t>各级</w:t>
      </w:r>
      <w:r>
        <w:rPr>
          <w:rFonts w:hint="eastAsia" w:ascii="宋体" w:hAnsi="宋体" w:eastAsia="宋体" w:cs="宋体"/>
          <w:color w:val="000000" w:themeColor="text1"/>
          <w:sz w:val="24"/>
          <w:szCs w:val="24"/>
          <w:highlight w:val="none"/>
          <w14:textFill>
            <w14:solidFill>
              <w14:schemeClr w14:val="tx1"/>
            </w14:solidFill>
          </w14:textFill>
        </w:rPr>
        <w:t>监督</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按照“谁验收谁负责、谁签字谁负责”原则，严格执行验收管理有关规定，不弄虚作假，不敷衍塞责</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对发现有违法违纪</w:t>
      </w:r>
      <w:r>
        <w:rPr>
          <w:rFonts w:hint="eastAsia" w:ascii="宋体" w:hAnsi="宋体" w:eastAsia="宋体" w:cs="宋体"/>
          <w:color w:val="000000" w:themeColor="text1"/>
          <w:sz w:val="24"/>
          <w:szCs w:val="24"/>
          <w:highlight w:val="none"/>
          <w:lang w:eastAsia="zh-CN"/>
          <w14:textFill>
            <w14:solidFill>
              <w14:schemeClr w14:val="tx1"/>
            </w14:solidFill>
          </w14:textFill>
        </w:rPr>
        <w:t>违规等</w:t>
      </w:r>
      <w:r>
        <w:rPr>
          <w:rFonts w:hint="eastAsia" w:ascii="宋体" w:hAnsi="宋体" w:eastAsia="宋体" w:cs="宋体"/>
          <w:color w:val="000000" w:themeColor="text1"/>
          <w:sz w:val="24"/>
          <w:szCs w:val="24"/>
          <w:highlight w:val="none"/>
          <w14:textFill>
            <w14:solidFill>
              <w14:schemeClr w14:val="tx1"/>
            </w14:solidFill>
          </w14:textFill>
        </w:rPr>
        <w:t>行为的实行责任倒查，并按相关规定和程序追究相关人员责任。</w:t>
      </w:r>
      <w:r>
        <w:rPr>
          <w:rFonts w:hint="eastAsia" w:ascii="宋体" w:hAnsi="宋体" w:eastAsia="宋体" w:cs="宋体"/>
          <w:color w:val="000000" w:themeColor="text1"/>
          <w:sz w:val="24"/>
          <w:szCs w:val="24"/>
          <w:highlight w:val="none"/>
          <w:lang w:eastAsia="zh-CN"/>
          <w14:textFill>
            <w14:solidFill>
              <w14:schemeClr w14:val="tx1"/>
            </w14:solidFill>
          </w14:textFill>
        </w:rPr>
        <w:t>对于工作认真负责，严格把好验收关口，有效维护单位利益的人员要予以</w:t>
      </w:r>
      <w:r>
        <w:rPr>
          <w:rFonts w:hint="eastAsia" w:ascii="宋体" w:hAnsi="宋体" w:eastAsia="宋体" w:cs="宋体"/>
          <w:color w:val="000000" w:themeColor="text1"/>
          <w:sz w:val="24"/>
          <w:szCs w:val="24"/>
          <w:highlight w:val="none"/>
          <w:lang w:val="en-US" w:eastAsia="zh-CN"/>
          <w14:textFill>
            <w14:solidFill>
              <w14:schemeClr w14:val="tx1"/>
            </w14:solidFill>
          </w14:textFill>
        </w:rPr>
        <w:t>褒奖</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482" w:firstLineChars="200"/>
        <w:jc w:val="both"/>
        <w:textAlignment w:val="auto"/>
        <w:outlineLvl w:val="0"/>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第二章  组织机构</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val="0"/>
          <w:bCs w:val="0"/>
          <w:color w:val="000000" w:themeColor="text1"/>
          <w:sz w:val="24"/>
          <w:szCs w:val="24"/>
          <w:highlight w:val="none"/>
          <w14:textFill>
            <w14:solidFill>
              <w14:schemeClr w14:val="tx1"/>
            </w14:solidFill>
          </w14:textFill>
        </w:rPr>
        <w:t>条</w:t>
      </w:r>
      <w:r>
        <w:rPr>
          <w:rFonts w:hint="eastAsia" w:ascii="宋体" w:hAnsi="宋体" w:eastAsia="宋体" w:cs="宋体"/>
          <w:color w:val="000000" w:themeColor="text1"/>
          <w:sz w:val="24"/>
          <w:szCs w:val="24"/>
          <w:highlight w:val="none"/>
          <w14:textFill>
            <w14:solidFill>
              <w14:schemeClr w14:val="tx1"/>
            </w14:solidFill>
          </w14:textFill>
        </w:rPr>
        <w:t xml:space="preserve"> 在总</w:t>
      </w:r>
      <w:r>
        <w:rPr>
          <w:rFonts w:hint="eastAsia" w:ascii="宋体" w:hAnsi="宋体" w:eastAsia="宋体" w:cs="宋体"/>
          <w:color w:val="000000" w:themeColor="text1"/>
          <w:sz w:val="24"/>
          <w:szCs w:val="24"/>
          <w:highlight w:val="none"/>
          <w:lang w:eastAsia="zh-CN"/>
          <w14:textFill>
            <w14:solidFill>
              <w14:schemeClr w14:val="tx1"/>
            </w14:solidFill>
          </w14:textFill>
        </w:rPr>
        <w:t>（支）</w:t>
      </w:r>
      <w:r>
        <w:rPr>
          <w:rFonts w:hint="eastAsia" w:ascii="宋体" w:hAnsi="宋体" w:eastAsia="宋体" w:cs="宋体"/>
          <w:color w:val="000000" w:themeColor="text1"/>
          <w:sz w:val="24"/>
          <w:szCs w:val="24"/>
          <w:highlight w:val="none"/>
          <w14:textFill>
            <w14:solidFill>
              <w14:schemeClr w14:val="tx1"/>
            </w14:solidFill>
          </w14:textFill>
        </w:rPr>
        <w:t>队党委统一领导下成立</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验收领导</w:t>
      </w:r>
      <w:r>
        <w:rPr>
          <w:rFonts w:hint="eastAsia" w:ascii="宋体" w:hAnsi="宋体" w:eastAsia="宋体" w:cs="宋体"/>
          <w:color w:val="000000" w:themeColor="text1"/>
          <w:sz w:val="24"/>
          <w:szCs w:val="24"/>
          <w:highlight w:val="none"/>
          <w:lang w:val="en-US" w:eastAsia="zh-CN"/>
          <w14:textFill>
            <w14:solidFill>
              <w14:schemeClr w14:val="tx1"/>
            </w14:solidFill>
          </w14:textFill>
        </w:rPr>
        <w:t>小</w:t>
      </w:r>
      <w:r>
        <w:rPr>
          <w:rFonts w:hint="eastAsia" w:ascii="宋体" w:hAnsi="宋体" w:eastAsia="宋体" w:cs="宋体"/>
          <w:color w:val="000000" w:themeColor="text1"/>
          <w:sz w:val="24"/>
          <w:szCs w:val="24"/>
          <w:highlight w:val="none"/>
          <w14:textFill>
            <w14:solidFill>
              <w14:schemeClr w14:val="tx1"/>
            </w14:solidFill>
          </w14:textFill>
        </w:rPr>
        <w:t>组，组长由总</w:t>
      </w:r>
      <w:r>
        <w:rPr>
          <w:rFonts w:hint="eastAsia" w:ascii="宋体" w:hAnsi="宋体" w:eastAsia="宋体" w:cs="宋体"/>
          <w:color w:val="000000" w:themeColor="text1"/>
          <w:sz w:val="24"/>
          <w:szCs w:val="24"/>
          <w:highlight w:val="none"/>
          <w:lang w:eastAsia="zh-CN"/>
          <w14:textFill>
            <w14:solidFill>
              <w14:schemeClr w14:val="tx1"/>
            </w14:solidFill>
          </w14:textFill>
        </w:rPr>
        <w:t>（支）</w:t>
      </w:r>
      <w:r>
        <w:rPr>
          <w:rFonts w:hint="eastAsia" w:ascii="宋体" w:hAnsi="宋体" w:eastAsia="宋体" w:cs="宋体"/>
          <w:color w:val="000000" w:themeColor="text1"/>
          <w:sz w:val="24"/>
          <w:szCs w:val="24"/>
          <w:highlight w:val="none"/>
          <w14:textFill>
            <w14:solidFill>
              <w14:schemeClr w14:val="tx1"/>
            </w14:solidFill>
          </w14:textFill>
        </w:rPr>
        <w:t>队</w:t>
      </w:r>
      <w:r>
        <w:rPr>
          <w:rFonts w:hint="eastAsia" w:ascii="宋体" w:hAnsi="宋体" w:eastAsia="宋体" w:cs="宋体"/>
          <w:color w:val="000000" w:themeColor="text1"/>
          <w:sz w:val="24"/>
          <w:szCs w:val="24"/>
          <w:highlight w:val="none"/>
          <w:lang w:eastAsia="zh-CN"/>
          <w14:textFill>
            <w14:solidFill>
              <w14:schemeClr w14:val="tx1"/>
            </w14:solidFill>
          </w14:textFill>
        </w:rPr>
        <w:t>主官担任，副组长由</w:t>
      </w:r>
      <w:r>
        <w:rPr>
          <w:rFonts w:hint="eastAsia" w:ascii="宋体" w:hAnsi="宋体" w:eastAsia="宋体" w:cs="宋体"/>
          <w:color w:val="000000" w:themeColor="text1"/>
          <w:sz w:val="24"/>
          <w:szCs w:val="24"/>
          <w:highlight w:val="none"/>
          <w14:textFill>
            <w14:solidFill>
              <w14:schemeClr w14:val="tx1"/>
            </w14:solidFill>
          </w14:textFill>
        </w:rPr>
        <w:t>分管后勤装备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战勤保障</w:t>
      </w:r>
      <w:r>
        <w:rPr>
          <w:rFonts w:hint="eastAsia" w:ascii="宋体" w:hAnsi="宋体" w:eastAsia="宋体" w:cs="宋体"/>
          <w:color w:val="000000" w:themeColor="text1"/>
          <w:sz w:val="24"/>
          <w:szCs w:val="24"/>
          <w:highlight w:val="none"/>
          <w14:textFill>
            <w14:solidFill>
              <w14:schemeClr w14:val="tx1"/>
            </w14:solidFill>
          </w14:textFill>
        </w:rPr>
        <w:t>的领导担任，成员由</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采购办、后勤装备</w:t>
      </w:r>
      <w:r>
        <w:rPr>
          <w:rFonts w:hint="eastAsia" w:ascii="宋体" w:hAnsi="宋体" w:eastAsia="宋体" w:cs="宋体"/>
          <w:color w:val="000000" w:themeColor="text1"/>
          <w:sz w:val="24"/>
          <w:szCs w:val="24"/>
          <w:highlight w:val="none"/>
          <w:lang w:eastAsia="zh-CN"/>
          <w14:textFill>
            <w14:solidFill>
              <w14:schemeClr w14:val="tx1"/>
            </w14:solidFill>
          </w14:textFill>
        </w:rPr>
        <w:t>处（科）、</w:t>
      </w:r>
      <w:r>
        <w:rPr>
          <w:rFonts w:hint="eastAsia" w:ascii="宋体" w:hAnsi="宋体" w:eastAsia="宋体" w:cs="宋体"/>
          <w:color w:val="000000" w:themeColor="text1"/>
          <w:sz w:val="24"/>
          <w:szCs w:val="24"/>
          <w:highlight w:val="none"/>
          <w:lang w:val="en-US" w:eastAsia="zh-CN"/>
          <w14:textFill>
            <w14:solidFill>
              <w14:schemeClr w14:val="tx1"/>
            </w14:solidFill>
          </w14:textFill>
        </w:rPr>
        <w:t>战勤保障</w:t>
      </w:r>
      <w:r>
        <w:rPr>
          <w:rFonts w:hint="eastAsia" w:ascii="宋体" w:hAnsi="宋体" w:eastAsia="宋体" w:cs="宋体"/>
          <w:color w:val="000000" w:themeColor="text1"/>
          <w:sz w:val="24"/>
          <w:szCs w:val="24"/>
          <w:highlight w:val="none"/>
          <w:lang w:eastAsia="zh-CN"/>
          <w14:textFill>
            <w14:solidFill>
              <w14:schemeClr w14:val="tx1"/>
            </w14:solidFill>
          </w14:textFill>
        </w:rPr>
        <w:t>处（科）、</w:t>
      </w:r>
      <w:r>
        <w:rPr>
          <w:rFonts w:hint="eastAsia" w:ascii="宋体" w:hAnsi="宋体" w:eastAsia="宋体" w:cs="宋体"/>
          <w:color w:val="000000" w:themeColor="text1"/>
          <w:sz w:val="24"/>
          <w:szCs w:val="24"/>
          <w:highlight w:val="none"/>
          <w:lang w:val="en-US" w:eastAsia="zh-CN"/>
          <w14:textFill>
            <w14:solidFill>
              <w14:schemeClr w14:val="tx1"/>
            </w14:solidFill>
          </w14:textFill>
        </w:rPr>
        <w:t>作战训练处</w:t>
      </w:r>
      <w:r>
        <w:rPr>
          <w:rFonts w:hint="eastAsia" w:ascii="宋体" w:hAnsi="宋体" w:eastAsia="宋体" w:cs="宋体"/>
          <w:color w:val="000000" w:themeColor="text1"/>
          <w:sz w:val="24"/>
          <w:szCs w:val="24"/>
          <w:highlight w:val="none"/>
          <w:lang w:eastAsia="zh-CN"/>
          <w14:textFill>
            <w14:solidFill>
              <w14:schemeClr w14:val="tx1"/>
            </w14:solidFill>
          </w14:textFill>
        </w:rPr>
        <w:t>（科）、</w:t>
      </w:r>
      <w:r>
        <w:rPr>
          <w:rFonts w:hint="eastAsia" w:ascii="宋体" w:hAnsi="宋体" w:eastAsia="宋体" w:cs="宋体"/>
          <w:color w:val="000000" w:themeColor="text1"/>
          <w:sz w:val="24"/>
          <w:szCs w:val="24"/>
          <w:highlight w:val="none"/>
          <w:lang w:val="en-US" w:eastAsia="zh-CN"/>
          <w14:textFill>
            <w14:solidFill>
              <w14:schemeClr w14:val="tx1"/>
            </w14:solidFill>
          </w14:textFill>
        </w:rPr>
        <w:t>信息通信处</w:t>
      </w:r>
      <w:r>
        <w:rPr>
          <w:rFonts w:hint="eastAsia" w:ascii="宋体" w:hAnsi="宋体" w:eastAsia="宋体" w:cs="宋体"/>
          <w:color w:val="000000" w:themeColor="text1"/>
          <w:sz w:val="24"/>
          <w:szCs w:val="24"/>
          <w:highlight w:val="none"/>
          <w:lang w:eastAsia="zh-CN"/>
          <w14:textFill>
            <w14:solidFill>
              <w14:schemeClr w14:val="tx1"/>
            </w14:solidFill>
          </w14:textFill>
        </w:rPr>
        <w:t>（科）</w:t>
      </w:r>
      <w:r>
        <w:rPr>
          <w:rFonts w:hint="eastAsia" w:ascii="宋体" w:hAnsi="宋体" w:eastAsia="宋体" w:cs="宋体"/>
          <w:color w:val="000000" w:themeColor="text1"/>
          <w:sz w:val="24"/>
          <w:szCs w:val="24"/>
          <w:highlight w:val="none"/>
          <w:lang w:val="en-US" w:eastAsia="zh-CN"/>
          <w14:textFill>
            <w14:solidFill>
              <w14:schemeClr w14:val="tx1"/>
            </w14:solidFill>
          </w14:textFill>
        </w:rPr>
        <w:t>等需求部门</w:t>
      </w:r>
      <w:r>
        <w:rPr>
          <w:rFonts w:hint="eastAsia" w:ascii="宋体" w:hAnsi="宋体" w:eastAsia="宋体" w:cs="宋体"/>
          <w:color w:val="000000" w:themeColor="text1"/>
          <w:sz w:val="24"/>
          <w:szCs w:val="24"/>
          <w:highlight w:val="none"/>
          <w14:textFill>
            <w14:solidFill>
              <w14:schemeClr w14:val="tx1"/>
            </w14:solidFill>
          </w14:textFill>
        </w:rPr>
        <w:t>相关人员组成。负责验收过程的组织、实施、监督和验收档案归档等工作。</w:t>
      </w:r>
    </w:p>
    <w:p>
      <w:pPr>
        <w:keepNext w:val="0"/>
        <w:keepLines w:val="0"/>
        <w:pageBreakBefore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七</w:t>
      </w:r>
      <w:r>
        <w:rPr>
          <w:rFonts w:hint="eastAsia" w:ascii="宋体" w:hAnsi="宋体" w:eastAsia="宋体" w:cs="宋体"/>
          <w:b w:val="0"/>
          <w:bCs w:val="0"/>
          <w:color w:val="000000" w:themeColor="text1"/>
          <w:sz w:val="24"/>
          <w:szCs w:val="24"/>
          <w:highlight w:val="none"/>
          <w14:textFill>
            <w14:solidFill>
              <w14:schemeClr w14:val="tx1"/>
            </w14:solidFill>
          </w14:textFill>
        </w:rPr>
        <w:t>条</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总</w:t>
      </w:r>
      <w:r>
        <w:rPr>
          <w:rFonts w:hint="eastAsia" w:ascii="宋体" w:hAnsi="宋体" w:eastAsia="宋体" w:cs="宋体"/>
          <w:color w:val="000000" w:themeColor="text1"/>
          <w:sz w:val="24"/>
          <w:szCs w:val="24"/>
          <w:highlight w:val="none"/>
          <w:lang w:eastAsia="zh-CN"/>
          <w14:textFill>
            <w14:solidFill>
              <w14:schemeClr w14:val="tx1"/>
            </w14:solidFill>
          </w14:textFill>
        </w:rPr>
        <w:t>（支）</w:t>
      </w:r>
      <w:r>
        <w:rPr>
          <w:rFonts w:hint="eastAsia" w:ascii="宋体" w:hAnsi="宋体" w:eastAsia="宋体" w:cs="宋体"/>
          <w:color w:val="000000" w:themeColor="text1"/>
          <w:sz w:val="24"/>
          <w:szCs w:val="24"/>
          <w:highlight w:val="none"/>
          <w14:textFill>
            <w14:solidFill>
              <w14:schemeClr w14:val="tx1"/>
            </w14:solidFill>
          </w14:textFill>
        </w:rPr>
        <w:t>队</w:t>
      </w:r>
      <w:r>
        <w:rPr>
          <w:rFonts w:hint="eastAsia" w:ascii="宋体" w:hAnsi="宋体" w:eastAsia="宋体" w:cs="宋体"/>
          <w:color w:val="000000" w:themeColor="text1"/>
          <w:sz w:val="24"/>
          <w:szCs w:val="24"/>
          <w:highlight w:val="none"/>
          <w:lang w:val="en-US" w:eastAsia="zh-CN"/>
          <w14:textFill>
            <w14:solidFill>
              <w14:schemeClr w14:val="tx1"/>
            </w14:solidFill>
          </w14:textFill>
        </w:rPr>
        <w:t>要建立装备验收人员库，由装备质量检验员，</w:t>
      </w:r>
      <w:r>
        <w:rPr>
          <w:rFonts w:hint="eastAsia" w:ascii="宋体" w:hAnsi="宋体" w:eastAsia="宋体" w:cs="宋体"/>
          <w:color w:val="000000" w:themeColor="text1"/>
          <w:sz w:val="24"/>
          <w:szCs w:val="24"/>
          <w:highlight w:val="none"/>
          <w14:textFill>
            <w14:solidFill>
              <w14:schemeClr w14:val="tx1"/>
            </w14:solidFill>
          </w14:textFill>
        </w:rPr>
        <w:t>战训</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信通、</w:t>
      </w:r>
      <w:r>
        <w:rPr>
          <w:rFonts w:hint="eastAsia" w:ascii="宋体" w:hAnsi="宋体" w:eastAsia="宋体" w:cs="宋体"/>
          <w:color w:val="000000" w:themeColor="text1"/>
          <w:sz w:val="24"/>
          <w:szCs w:val="24"/>
          <w:highlight w:val="none"/>
          <w14:textFill>
            <w14:solidFill>
              <w14:schemeClr w14:val="tx1"/>
            </w14:solidFill>
          </w14:textFill>
        </w:rPr>
        <w:t>装备</w:t>
      </w:r>
      <w:r>
        <w:rPr>
          <w:rFonts w:hint="eastAsia" w:ascii="宋体" w:hAnsi="宋体" w:eastAsia="宋体" w:cs="宋体"/>
          <w:color w:val="000000" w:themeColor="text1"/>
          <w:sz w:val="24"/>
          <w:szCs w:val="24"/>
          <w:highlight w:val="none"/>
          <w:lang w:val="en-US" w:eastAsia="zh-CN"/>
          <w14:textFill>
            <w14:solidFill>
              <w14:schemeClr w14:val="tx1"/>
            </w14:solidFill>
          </w14:textFill>
        </w:rPr>
        <w:t>等业务骨干和专业机构专家组成。装备验收库人员</w:t>
      </w:r>
      <w:r>
        <w:rPr>
          <w:rFonts w:hint="eastAsia" w:ascii="宋体" w:hAnsi="宋体" w:eastAsia="宋体" w:cs="宋体"/>
          <w:color w:val="000000" w:themeColor="text1"/>
          <w:sz w:val="24"/>
          <w:szCs w:val="24"/>
          <w:highlight w:val="none"/>
          <w14:textFill>
            <w14:solidFill>
              <w14:schemeClr w14:val="tx1"/>
            </w14:solidFill>
          </w14:textFill>
        </w:rPr>
        <w:t>应具备以下条件：</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（一）具有良好的职业道德和较高的业务素质；</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（二）具备消防装备、作战、通信</w:t>
      </w:r>
      <w:r>
        <w:rPr>
          <w:rFonts w:hint="eastAsia" w:ascii="宋体" w:hAnsi="宋体" w:eastAsia="宋体" w:cs="宋体"/>
          <w:color w:val="000000" w:themeColor="text1"/>
          <w:sz w:val="24"/>
          <w:szCs w:val="24"/>
          <w:highlight w:val="none"/>
          <w:lang w:eastAsia="zh-CN"/>
          <w14:textFill>
            <w14:solidFill>
              <w14:schemeClr w14:val="tx1"/>
            </w14:solidFill>
          </w14:textFill>
        </w:rPr>
        <w:t>等相关</w:t>
      </w:r>
      <w:r>
        <w:rPr>
          <w:rFonts w:hint="eastAsia" w:ascii="宋体" w:hAnsi="宋体" w:eastAsia="宋体" w:cs="宋体"/>
          <w:color w:val="000000" w:themeColor="text1"/>
          <w:sz w:val="24"/>
          <w:szCs w:val="24"/>
          <w:highlight w:val="none"/>
          <w14:textFill>
            <w14:solidFill>
              <w14:schemeClr w14:val="tx1"/>
            </w14:solidFill>
          </w14:textFill>
        </w:rPr>
        <w:t>领域中级专业技术职称以上或从事该岗位累计满5年；</w:t>
      </w:r>
    </w:p>
    <w:p>
      <w:pPr>
        <w:keepNext w:val="0"/>
        <w:keepLines w:val="0"/>
        <w:pageBreakBefore w:val="0"/>
        <w:kinsoku/>
        <w:wordWrap/>
        <w:overflowPunct/>
        <w:topLinePunct w:val="0"/>
        <w:autoSpaceDE/>
        <w:autoSpaceDN/>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（三）无违法违规等不良行为记录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各支队组建的装备验收人员库每年或有人员调整变动要及时上报总队后勤装备处备案。</w:t>
      </w:r>
    </w:p>
    <w:p>
      <w:pPr>
        <w:keepNext w:val="0"/>
        <w:keepLines w:val="0"/>
        <w:pageBreakBefore w:val="0"/>
        <w:widowControl/>
        <w:numPr>
          <w:ilvl w:val="0"/>
          <w:numId w:val="16"/>
        </w:numPr>
        <w:kinsoku/>
        <w:wordWrap/>
        <w:overflowPunct/>
        <w:topLinePunct w:val="0"/>
        <w:autoSpaceDE/>
        <w:autoSpaceDN/>
        <w:bidi w:val="0"/>
        <w:adjustRightInd/>
        <w:snapToGrid/>
        <w:spacing w:line="360" w:lineRule="exact"/>
        <w:ind w:left="0" w:leftChars="0" w:right="0" w:rightChars="0" w:firstLine="482" w:firstLineChars="20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验收</w:t>
      </w:r>
      <w:r>
        <w:rPr>
          <w:rFonts w:hint="eastAsia" w:ascii="宋体" w:hAnsi="宋体" w:eastAsia="宋体" w:cs="宋体"/>
          <w:b/>
          <w:bCs/>
          <w:color w:val="000000" w:themeColor="text1"/>
          <w:sz w:val="24"/>
          <w:szCs w:val="24"/>
          <w:highlight w:val="none"/>
          <w14:textFill>
            <w14:solidFill>
              <w14:schemeClr w14:val="tx1"/>
            </w14:solidFill>
          </w14:textFill>
        </w:rPr>
        <w:t>程序和内容</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第八条</w:t>
      </w:r>
      <w:r>
        <w:rPr>
          <w:rFonts w:hint="eastAsia" w:ascii="宋体" w:hAnsi="宋体" w:eastAsia="宋体" w:cs="宋体"/>
          <w:color w:val="000000" w:themeColor="text1"/>
          <w:sz w:val="24"/>
          <w:szCs w:val="24"/>
          <w:highlight w:val="none"/>
          <w14:textFill>
            <w14:solidFill>
              <w14:schemeClr w14:val="tx1"/>
            </w14:solidFill>
          </w14:textFill>
        </w:rPr>
        <w:t xml:space="preserve"> 装备验收按照验收申请、验收准备、现场验收、</w:t>
      </w:r>
      <w:r>
        <w:rPr>
          <w:rFonts w:hint="eastAsia" w:ascii="宋体" w:hAnsi="宋体" w:eastAsia="宋体" w:cs="宋体"/>
          <w:color w:val="000000" w:themeColor="text1"/>
          <w:sz w:val="24"/>
          <w:szCs w:val="24"/>
          <w:highlight w:val="none"/>
          <w:lang w:val="en-US" w:eastAsia="zh-CN"/>
          <w14:textFill>
            <w14:solidFill>
              <w14:schemeClr w14:val="tx1"/>
            </w14:solidFill>
          </w14:textFill>
        </w:rPr>
        <w:t>验收</w:t>
      </w:r>
      <w:r>
        <w:rPr>
          <w:rFonts w:hint="eastAsia" w:ascii="宋体" w:hAnsi="宋体" w:eastAsia="宋体" w:cs="宋体"/>
          <w:color w:val="000000" w:themeColor="text1"/>
          <w:sz w:val="24"/>
          <w:szCs w:val="24"/>
          <w:highlight w:val="none"/>
          <w14:textFill>
            <w14:solidFill>
              <w14:schemeClr w14:val="tx1"/>
            </w14:solidFill>
          </w14:textFill>
        </w:rPr>
        <w:t>结论等程序进行。验收结论应当及时向供应商反馈，并监督供应商按照合同及验收结论履行相关义务。</w:t>
      </w:r>
    </w:p>
    <w:p>
      <w:pPr>
        <w:keepNext w:val="0"/>
        <w:keepLines w:val="0"/>
        <w:pageBreakBefore w:val="0"/>
        <w:kinsoku/>
        <w:wordWrap/>
        <w:overflowPunct/>
        <w:topLinePunct w:val="0"/>
        <w:bidi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第九条</w:t>
      </w:r>
      <w:r>
        <w:rPr>
          <w:rFonts w:hint="eastAsia" w:ascii="宋体" w:hAnsi="宋体" w:eastAsia="宋体" w:cs="宋体"/>
          <w:color w:val="000000" w:themeColor="text1"/>
          <w:sz w:val="24"/>
          <w:szCs w:val="24"/>
          <w:highlight w:val="none"/>
          <w14:textFill>
            <w14:solidFill>
              <w14:schemeClr w14:val="tx1"/>
            </w14:solidFill>
          </w14:textFill>
        </w:rPr>
        <w:t xml:space="preserve"> 验收申请。消防装备供应商按照合同约定将采购的消防装备运送至指定地点后，向总（支）</w:t>
      </w:r>
      <w:r>
        <w:rPr>
          <w:rFonts w:hint="eastAsia" w:ascii="宋体" w:hAnsi="宋体" w:eastAsia="宋体" w:cs="宋体"/>
          <w:color w:val="000000" w:themeColor="text1"/>
          <w:sz w:val="24"/>
          <w:szCs w:val="24"/>
          <w:highlight w:val="none"/>
          <w:lang w:eastAsia="zh-CN"/>
          <w14:textFill>
            <w14:solidFill>
              <w14:schemeClr w14:val="tx1"/>
            </w14:solidFill>
          </w14:textFill>
        </w:rPr>
        <w:t>队</w:t>
      </w:r>
      <w:r>
        <w:rPr>
          <w:rFonts w:hint="eastAsia" w:ascii="宋体" w:hAnsi="宋体" w:eastAsia="宋体" w:cs="宋体"/>
          <w:color w:val="000000" w:themeColor="text1"/>
          <w:sz w:val="24"/>
          <w:szCs w:val="24"/>
          <w:highlight w:val="none"/>
          <w14:textFill>
            <w14:solidFill>
              <w14:schemeClr w14:val="tx1"/>
            </w14:solidFill>
          </w14:textFill>
        </w:rPr>
        <w:t>提交验收申请，总（支）</w:t>
      </w:r>
      <w:r>
        <w:rPr>
          <w:rFonts w:hint="eastAsia" w:ascii="宋体" w:hAnsi="宋体" w:eastAsia="宋体" w:cs="宋体"/>
          <w:color w:val="000000" w:themeColor="text1"/>
          <w:sz w:val="24"/>
          <w:szCs w:val="24"/>
          <w:highlight w:val="none"/>
          <w:lang w:eastAsia="zh-CN"/>
          <w14:textFill>
            <w14:solidFill>
              <w14:schemeClr w14:val="tx1"/>
            </w14:solidFill>
          </w14:textFill>
        </w:rPr>
        <w:t>队</w:t>
      </w:r>
      <w:r>
        <w:rPr>
          <w:rFonts w:hint="eastAsia" w:ascii="宋体" w:hAnsi="宋体" w:eastAsia="宋体" w:cs="宋体"/>
          <w:color w:val="000000" w:themeColor="text1"/>
          <w:sz w:val="24"/>
          <w:szCs w:val="24"/>
          <w:highlight w:val="none"/>
          <w:lang w:val="en-US" w:eastAsia="zh-CN"/>
          <w14:textFill>
            <w14:solidFill>
              <w14:schemeClr w14:val="tx1"/>
            </w14:solidFill>
          </w14:textFill>
        </w:rPr>
        <w:t>根据实际</w:t>
      </w:r>
      <w:r>
        <w:rPr>
          <w:rFonts w:hint="eastAsia" w:ascii="宋体" w:hAnsi="宋体" w:eastAsia="宋体" w:cs="宋体"/>
          <w:color w:val="000000" w:themeColor="text1"/>
          <w:sz w:val="24"/>
          <w:szCs w:val="24"/>
          <w:highlight w:val="none"/>
          <w14:textFill>
            <w14:solidFill>
              <w14:schemeClr w14:val="tx1"/>
            </w14:solidFill>
          </w14:textFill>
        </w:rPr>
        <w:t>确定验收时间、地点</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并向装备</w:t>
      </w:r>
      <w:r>
        <w:rPr>
          <w:rFonts w:hint="eastAsia" w:ascii="宋体" w:hAnsi="宋体" w:eastAsia="宋体" w:cs="宋体"/>
          <w:color w:val="000000" w:themeColor="text1"/>
          <w:sz w:val="24"/>
          <w:szCs w:val="24"/>
          <w:highlight w:val="none"/>
          <w14:textFill>
            <w14:solidFill>
              <w14:schemeClr w14:val="tx1"/>
            </w14:solidFill>
          </w14:textFill>
        </w:rPr>
        <w:t>验收领导小组</w:t>
      </w:r>
      <w:r>
        <w:rPr>
          <w:rFonts w:hint="eastAsia" w:ascii="宋体" w:hAnsi="宋体" w:eastAsia="宋体" w:cs="宋体"/>
          <w:color w:val="000000" w:themeColor="text1"/>
          <w:sz w:val="24"/>
          <w:szCs w:val="24"/>
          <w:highlight w:val="none"/>
          <w:lang w:val="en-US" w:eastAsia="zh-CN"/>
          <w14:textFill>
            <w14:solidFill>
              <w14:schemeClr w14:val="tx1"/>
            </w14:solidFill>
          </w14:textFill>
        </w:rPr>
        <w:t>报告，同意后方可组织实施。</w:t>
      </w:r>
      <w:r>
        <w:rPr>
          <w:rFonts w:hint="eastAsia" w:ascii="宋体" w:hAnsi="宋体" w:eastAsia="宋体" w:cs="宋体"/>
          <w:color w:val="000000" w:themeColor="text1"/>
          <w:sz w:val="24"/>
          <w:szCs w:val="24"/>
          <w:highlight w:val="none"/>
          <w14:textFill>
            <w14:solidFill>
              <w14:schemeClr w14:val="tx1"/>
            </w14:solidFill>
          </w14:textFill>
        </w:rPr>
        <w:t>除</w:t>
      </w:r>
      <w:r>
        <w:rPr>
          <w:rFonts w:hint="eastAsia" w:ascii="宋体" w:hAnsi="宋体" w:eastAsia="宋体" w:cs="宋体"/>
          <w:bCs/>
          <w:color w:val="000000" w:themeColor="text1"/>
          <w:sz w:val="24"/>
          <w:szCs w:val="24"/>
          <w:highlight w:val="none"/>
          <w14:textFill>
            <w14:solidFill>
              <w14:schemeClr w14:val="tx1"/>
            </w14:solidFill>
          </w14:textFill>
        </w:rPr>
        <w:t>不可抗力因素外，</w:t>
      </w:r>
      <w:r>
        <w:rPr>
          <w:rFonts w:hint="eastAsia" w:ascii="宋体" w:hAnsi="宋体" w:eastAsia="宋体" w:cs="宋体"/>
          <w:color w:val="000000" w:themeColor="text1"/>
          <w:sz w:val="24"/>
          <w:szCs w:val="24"/>
          <w:highlight w:val="none"/>
          <w14:textFill>
            <w14:solidFill>
              <w14:schemeClr w14:val="tx1"/>
            </w14:solidFill>
          </w14:textFill>
        </w:rPr>
        <w:t>验收</w:t>
      </w:r>
      <w:r>
        <w:rPr>
          <w:rFonts w:hint="eastAsia" w:ascii="宋体" w:hAnsi="宋体" w:eastAsia="宋体" w:cs="宋体"/>
          <w:color w:val="000000" w:themeColor="text1"/>
          <w:sz w:val="24"/>
          <w:szCs w:val="24"/>
          <w:highlight w:val="none"/>
          <w:lang w:eastAsia="zh-CN"/>
          <w14:textFill>
            <w14:solidFill>
              <w14:schemeClr w14:val="tx1"/>
            </w14:solidFill>
          </w14:textFill>
        </w:rPr>
        <w:t>开始</w:t>
      </w:r>
      <w:r>
        <w:rPr>
          <w:rFonts w:hint="eastAsia" w:ascii="宋体" w:hAnsi="宋体" w:eastAsia="宋体" w:cs="宋体"/>
          <w:color w:val="000000" w:themeColor="text1"/>
          <w:sz w:val="24"/>
          <w:szCs w:val="24"/>
          <w:highlight w:val="none"/>
          <w14:textFill>
            <w14:solidFill>
              <w14:schemeClr w14:val="tx1"/>
            </w14:solidFill>
          </w14:textFill>
        </w:rPr>
        <w:t>时间原则上为消防车</w:t>
      </w:r>
      <w:r>
        <w:rPr>
          <w:rFonts w:hint="eastAsia" w:ascii="宋体" w:hAnsi="宋体" w:eastAsia="宋体" w:cs="宋体"/>
          <w:color w:val="000000" w:themeColor="text1"/>
          <w:sz w:val="24"/>
          <w:szCs w:val="24"/>
          <w:highlight w:val="none"/>
          <w:lang w:val="en-US" w:eastAsia="zh-CN"/>
          <w14:textFill>
            <w14:solidFill>
              <w14:schemeClr w14:val="tx1"/>
            </w14:solidFill>
          </w14:textFill>
        </w:rPr>
        <w:t>辆</w:t>
      </w:r>
      <w:r>
        <w:rPr>
          <w:rFonts w:hint="eastAsia" w:ascii="宋体" w:hAnsi="宋体" w:eastAsia="宋体" w:cs="宋体"/>
          <w:color w:val="000000" w:themeColor="text1"/>
          <w:sz w:val="24"/>
          <w:szCs w:val="24"/>
          <w:highlight w:val="none"/>
          <w14:textFill>
            <w14:solidFill>
              <w14:schemeClr w14:val="tx1"/>
            </w14:solidFill>
          </w14:textFill>
        </w:rPr>
        <w:t>到货</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个工作日内、器材到货</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0个工作日内。</w:t>
      </w:r>
    </w:p>
    <w:p>
      <w:pPr>
        <w:keepNext w:val="0"/>
        <w:keepLines w:val="0"/>
        <w:pageBreakBefore w:val="0"/>
        <w:widowControl/>
        <w:numPr>
          <w:ilvl w:val="0"/>
          <w:numId w:val="0"/>
        </w:numPr>
        <w:kinsoku/>
        <w:wordWrap/>
        <w:overflowPunct/>
        <w:topLinePunct w:val="0"/>
        <w:bidi w:val="0"/>
        <w:adjustRightInd/>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十</w:t>
      </w:r>
      <w:r>
        <w:rPr>
          <w:rFonts w:hint="eastAsia" w:ascii="宋体" w:hAnsi="宋体" w:eastAsia="宋体" w:cs="宋体"/>
          <w:b w:val="0"/>
          <w:bCs w:val="0"/>
          <w:color w:val="000000" w:themeColor="text1"/>
          <w:sz w:val="24"/>
          <w:szCs w:val="24"/>
          <w:highlight w:val="none"/>
          <w14:textFill>
            <w14:solidFill>
              <w14:schemeClr w14:val="tx1"/>
            </w14:solidFill>
          </w14:textFill>
        </w:rPr>
        <w:t>条</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验收准备。验收前，验收领导小组</w:t>
      </w:r>
      <w:r>
        <w:rPr>
          <w:rFonts w:hint="eastAsia" w:ascii="宋体" w:hAnsi="宋体" w:eastAsia="宋体" w:cs="宋体"/>
          <w:color w:val="000000" w:themeColor="text1"/>
          <w:sz w:val="24"/>
          <w:szCs w:val="24"/>
          <w:highlight w:val="none"/>
          <w:lang w:val="en-US" w:eastAsia="zh-CN"/>
          <w14:textFill>
            <w14:solidFill>
              <w14:schemeClr w14:val="tx1"/>
            </w14:solidFill>
          </w14:textFill>
        </w:rPr>
        <w:t>根据拟验收装备类别提前一天</w:t>
      </w:r>
      <w:r>
        <w:rPr>
          <w:rFonts w:hint="eastAsia" w:ascii="宋体" w:hAnsi="宋体" w:eastAsia="宋体" w:cs="宋体"/>
          <w:color w:val="000000" w:themeColor="text1"/>
          <w:sz w:val="24"/>
          <w:szCs w:val="24"/>
          <w:highlight w:val="none"/>
          <w14:textFill>
            <w14:solidFill>
              <w14:schemeClr w14:val="tx1"/>
            </w14:solidFill>
          </w14:textFill>
        </w:rPr>
        <w:t>从</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装备验收人员库</w:t>
      </w:r>
      <w:r>
        <w:rPr>
          <w:rFonts w:hint="eastAsia" w:ascii="宋体" w:hAnsi="宋体" w:eastAsia="宋体" w:cs="宋体"/>
          <w:color w:val="000000" w:themeColor="text1"/>
          <w:sz w:val="24"/>
          <w:szCs w:val="24"/>
          <w:highlight w:val="none"/>
          <w:lang w:eastAsia="zh-CN"/>
          <w14:textFill>
            <w14:solidFill>
              <w14:schemeClr w14:val="tx1"/>
            </w14:solidFill>
          </w14:textFill>
        </w:rPr>
        <w:t>中随机抽取验收人员，组成验收小组。验收小组由组长、装备质量检验员、</w:t>
      </w:r>
      <w:r>
        <w:rPr>
          <w:rFonts w:hint="eastAsia" w:ascii="宋体" w:hAnsi="宋体" w:eastAsia="宋体" w:cs="宋体"/>
          <w:color w:val="000000" w:themeColor="text1"/>
          <w:sz w:val="24"/>
          <w:szCs w:val="24"/>
          <w:highlight w:val="none"/>
          <w:lang w:val="en-US" w:eastAsia="zh-CN"/>
          <w14:textFill>
            <w14:solidFill>
              <w14:schemeClr w14:val="tx1"/>
            </w14:solidFill>
          </w14:textFill>
        </w:rPr>
        <w:t>战训、信通和</w:t>
      </w:r>
      <w:r>
        <w:rPr>
          <w:rFonts w:hint="eastAsia" w:ascii="宋体" w:hAnsi="宋体" w:eastAsia="宋体" w:cs="宋体"/>
          <w:color w:val="000000" w:themeColor="text1"/>
          <w:sz w:val="24"/>
          <w:szCs w:val="24"/>
          <w:highlight w:val="none"/>
          <w:lang w:eastAsia="zh-CN"/>
          <w14:textFill>
            <w14:solidFill>
              <w14:schemeClr w14:val="tx1"/>
            </w14:solidFill>
          </w14:textFill>
        </w:rPr>
        <w:t>装备业务骨干</w:t>
      </w:r>
      <w:r>
        <w:rPr>
          <w:rFonts w:hint="eastAsia" w:ascii="宋体" w:hAnsi="宋体" w:eastAsia="宋体" w:cs="宋体"/>
          <w:color w:val="000000" w:themeColor="text1"/>
          <w:sz w:val="24"/>
          <w:szCs w:val="24"/>
          <w:highlight w:val="none"/>
          <w:lang w:val="en-US" w:eastAsia="zh-CN"/>
          <w14:textFill>
            <w14:solidFill>
              <w14:schemeClr w14:val="tx1"/>
            </w14:solidFill>
          </w14:textFill>
        </w:rPr>
        <w:t>等</w:t>
      </w:r>
      <w:r>
        <w:rPr>
          <w:rFonts w:hint="eastAsia" w:ascii="宋体" w:hAnsi="宋体" w:eastAsia="宋体" w:cs="宋体"/>
          <w:color w:val="000000" w:themeColor="text1"/>
          <w:sz w:val="24"/>
          <w:szCs w:val="24"/>
          <w:highlight w:val="none"/>
          <w:lang w:eastAsia="zh-CN"/>
          <w14:textFill>
            <w14:solidFill>
              <w14:schemeClr w14:val="tx1"/>
            </w14:solidFill>
          </w14:textFill>
        </w:rPr>
        <w:t>组成，人数不少于</w:t>
      </w:r>
      <w:r>
        <w:rPr>
          <w:rFonts w:hint="eastAsia" w:ascii="宋体" w:hAnsi="宋体" w:eastAsia="宋体" w:cs="宋体"/>
          <w:color w:val="000000" w:themeColor="text1"/>
          <w:sz w:val="24"/>
          <w:szCs w:val="24"/>
          <w:highlight w:val="none"/>
          <w:lang w:val="en-US" w:eastAsia="zh-CN"/>
          <w14:textFill>
            <w14:solidFill>
              <w14:schemeClr w14:val="tx1"/>
            </w14:solidFill>
          </w14:textFill>
        </w:rPr>
        <w:t>5人</w:t>
      </w:r>
      <w:r>
        <w:rPr>
          <w:rFonts w:hint="eastAsia" w:ascii="宋体" w:hAnsi="宋体" w:eastAsia="宋体" w:cs="宋体"/>
          <w:color w:val="000000" w:themeColor="text1"/>
          <w:sz w:val="24"/>
          <w:szCs w:val="24"/>
          <w:highlight w:val="none"/>
          <w:lang w:eastAsia="zh-CN"/>
          <w14:textFill>
            <w14:solidFill>
              <w14:schemeClr w14:val="tx1"/>
            </w14:solidFill>
          </w14:textFill>
        </w:rPr>
        <w:t>。参与该验收项目评标</w:t>
      </w:r>
      <w:r>
        <w:rPr>
          <w:rFonts w:hint="eastAsia" w:ascii="宋体" w:hAnsi="宋体" w:eastAsia="宋体" w:cs="宋体"/>
          <w:color w:val="000000" w:themeColor="text1"/>
          <w:sz w:val="24"/>
          <w:szCs w:val="24"/>
          <w:highlight w:val="none"/>
          <w:lang w:val="en-US" w:eastAsia="zh-CN"/>
          <w14:textFill>
            <w14:solidFill>
              <w14:schemeClr w14:val="tx1"/>
            </w14:solidFill>
          </w14:textFill>
        </w:rPr>
        <w:t>和测试的</w:t>
      </w:r>
      <w:r>
        <w:rPr>
          <w:rFonts w:hint="eastAsia" w:ascii="宋体" w:hAnsi="宋体" w:eastAsia="宋体" w:cs="宋体"/>
          <w:color w:val="000000" w:themeColor="text1"/>
          <w:sz w:val="24"/>
          <w:szCs w:val="24"/>
          <w:highlight w:val="none"/>
          <w14:textFill>
            <w14:solidFill>
              <w14:schemeClr w14:val="tx1"/>
            </w14:solidFill>
          </w14:textFill>
        </w:rPr>
        <w:t>人员不得</w:t>
      </w:r>
      <w:r>
        <w:rPr>
          <w:rFonts w:hint="eastAsia" w:ascii="宋体" w:hAnsi="宋体" w:eastAsia="宋体" w:cs="宋体"/>
          <w:color w:val="000000" w:themeColor="text1"/>
          <w:sz w:val="24"/>
          <w:szCs w:val="24"/>
          <w:highlight w:val="none"/>
          <w:lang w:eastAsia="zh-CN"/>
          <w14:textFill>
            <w14:solidFill>
              <w14:schemeClr w14:val="tx1"/>
            </w14:solidFill>
          </w14:textFill>
        </w:rPr>
        <w:t>作为</w:t>
      </w:r>
      <w:r>
        <w:rPr>
          <w:rFonts w:hint="eastAsia" w:ascii="宋体" w:hAnsi="宋体" w:eastAsia="宋体" w:cs="宋体"/>
          <w:color w:val="000000" w:themeColor="text1"/>
          <w:sz w:val="24"/>
          <w:szCs w:val="24"/>
          <w:highlight w:val="none"/>
          <w:lang w:val="en-US" w:eastAsia="zh-CN"/>
          <w14:textFill>
            <w14:solidFill>
              <w14:schemeClr w14:val="tx1"/>
            </w14:solidFill>
          </w14:textFill>
        </w:rPr>
        <w:t>该项目</w:t>
      </w:r>
      <w:r>
        <w:rPr>
          <w:rFonts w:hint="eastAsia" w:ascii="宋体" w:hAnsi="宋体" w:eastAsia="宋体" w:cs="宋体"/>
          <w:color w:val="000000" w:themeColor="text1"/>
          <w:sz w:val="24"/>
          <w:szCs w:val="24"/>
          <w:highlight w:val="none"/>
          <w14:textFill>
            <w14:solidFill>
              <w14:schemeClr w14:val="tx1"/>
            </w14:solidFill>
          </w14:textFill>
        </w:rPr>
        <w:t>验收</w:t>
      </w:r>
      <w:r>
        <w:rPr>
          <w:rFonts w:hint="eastAsia" w:ascii="宋体" w:hAnsi="宋体" w:eastAsia="宋体" w:cs="宋体"/>
          <w:color w:val="000000" w:themeColor="text1"/>
          <w:sz w:val="24"/>
          <w:szCs w:val="24"/>
          <w:highlight w:val="none"/>
          <w:lang w:val="en-US" w:eastAsia="zh-CN"/>
          <w14:textFill>
            <w14:solidFill>
              <w14:schemeClr w14:val="tx1"/>
            </w14:solidFill>
          </w14:textFill>
        </w:rPr>
        <w:t>小组</w:t>
      </w:r>
      <w:r>
        <w:rPr>
          <w:rFonts w:hint="eastAsia" w:ascii="宋体" w:hAnsi="宋体" w:eastAsia="宋体" w:cs="宋体"/>
          <w:color w:val="000000" w:themeColor="text1"/>
          <w:sz w:val="24"/>
          <w:szCs w:val="24"/>
          <w:highlight w:val="none"/>
          <w:lang w:eastAsia="zh-CN"/>
          <w14:textFill>
            <w14:solidFill>
              <w14:schemeClr w14:val="tx1"/>
            </w14:solidFill>
          </w14:textFill>
        </w:rPr>
        <w:t>人员</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验收前要对</w:t>
      </w:r>
      <w:r>
        <w:rPr>
          <w:rFonts w:hint="eastAsia" w:ascii="宋体" w:hAnsi="宋体" w:eastAsia="宋体" w:cs="宋体"/>
          <w:color w:val="000000" w:themeColor="text1"/>
          <w:sz w:val="24"/>
          <w:szCs w:val="24"/>
          <w:highlight w:val="none"/>
          <w:lang w:eastAsia="zh-CN"/>
          <w14:textFill>
            <w14:solidFill>
              <w14:schemeClr w14:val="tx1"/>
            </w14:solidFill>
          </w14:textFill>
        </w:rPr>
        <w:t>抽取</w:t>
      </w:r>
      <w:r>
        <w:rPr>
          <w:rFonts w:hint="eastAsia" w:ascii="宋体" w:hAnsi="宋体" w:eastAsia="宋体" w:cs="宋体"/>
          <w:color w:val="000000" w:themeColor="text1"/>
          <w:sz w:val="24"/>
          <w:szCs w:val="24"/>
          <w:highlight w:val="none"/>
          <w:lang w:val="en-US" w:eastAsia="zh-CN"/>
          <w14:textFill>
            <w14:solidFill>
              <w14:schemeClr w14:val="tx1"/>
            </w14:solidFill>
          </w14:textFill>
        </w:rPr>
        <w:t>的验收人员开展廉政谈话。</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验收小组应根据验收装备类别制定验收装备检查测试方案，准备验收所需设备、工具，对验收装备的采购合同、补充协议、招投标文件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测试样品和数据</w:t>
      </w:r>
      <w:r>
        <w:rPr>
          <w:rFonts w:hint="eastAsia" w:ascii="宋体" w:hAnsi="宋体" w:eastAsia="宋体" w:cs="宋体"/>
          <w:color w:val="000000" w:themeColor="text1"/>
          <w:sz w:val="24"/>
          <w:szCs w:val="24"/>
          <w:highlight w:val="none"/>
          <w14:textFill>
            <w14:solidFill>
              <w14:schemeClr w14:val="tx1"/>
            </w14:solidFill>
          </w14:textFill>
        </w:rPr>
        <w:t>等进行熟悉</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第十一条</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现场验收。主要包括</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装备一致性检查和装备质量性能检测。现场验收时，验收装备供应商代表应在场，</w:t>
      </w:r>
      <w:r>
        <w:rPr>
          <w:rFonts w:hint="eastAsia" w:ascii="宋体" w:hAnsi="宋体" w:eastAsia="宋体" w:cs="宋体"/>
          <w:color w:val="000000" w:themeColor="text1"/>
          <w:sz w:val="24"/>
          <w:szCs w:val="24"/>
          <w:highlight w:val="none"/>
          <w14:textFill>
            <w14:solidFill>
              <w14:schemeClr w14:val="tx1"/>
            </w14:solidFill>
          </w14:textFill>
        </w:rPr>
        <w:t>验收现场</w:t>
      </w:r>
      <w:r>
        <w:rPr>
          <w:rFonts w:hint="eastAsia" w:ascii="宋体" w:hAnsi="宋体" w:eastAsia="宋体" w:cs="宋体"/>
          <w:color w:val="000000" w:themeColor="text1"/>
          <w:sz w:val="24"/>
          <w:szCs w:val="24"/>
          <w:highlight w:val="none"/>
          <w:lang w:val="en-US" w:eastAsia="zh-CN"/>
          <w14:textFill>
            <w14:solidFill>
              <w14:schemeClr w14:val="tx1"/>
            </w14:solidFill>
          </w14:textFill>
        </w:rPr>
        <w:t>应</w:t>
      </w:r>
      <w:r>
        <w:rPr>
          <w:rFonts w:hint="eastAsia" w:ascii="宋体" w:hAnsi="宋体" w:eastAsia="宋体" w:cs="宋体"/>
          <w:color w:val="000000" w:themeColor="text1"/>
          <w:sz w:val="24"/>
          <w:szCs w:val="24"/>
          <w:highlight w:val="none"/>
          <w14:textFill>
            <w14:solidFill>
              <w14:schemeClr w14:val="tx1"/>
            </w14:solidFill>
          </w14:textFill>
        </w:rPr>
        <w:t>组织严密，</w:t>
      </w:r>
      <w:r>
        <w:rPr>
          <w:rFonts w:hint="eastAsia" w:ascii="宋体" w:hAnsi="宋体" w:eastAsia="宋体" w:cs="宋体"/>
          <w:color w:val="000000" w:themeColor="text1"/>
          <w:sz w:val="24"/>
          <w:szCs w:val="24"/>
          <w:highlight w:val="none"/>
          <w:lang w:val="en-US" w:eastAsia="zh-CN"/>
          <w14:textFill>
            <w14:solidFill>
              <w14:schemeClr w14:val="tx1"/>
            </w14:solidFill>
          </w14:textFill>
        </w:rPr>
        <w:t>全程</w:t>
      </w:r>
      <w:r>
        <w:rPr>
          <w:rFonts w:hint="eastAsia" w:ascii="宋体" w:hAnsi="宋体" w:eastAsia="宋体" w:cs="宋体"/>
          <w:color w:val="000000" w:themeColor="text1"/>
          <w:sz w:val="24"/>
          <w:szCs w:val="24"/>
          <w:highlight w:val="none"/>
          <w14:textFill>
            <w14:solidFill>
              <w14:schemeClr w14:val="tx1"/>
            </w14:solidFill>
          </w14:textFill>
        </w:rPr>
        <w:t>录像。</w:t>
      </w:r>
    </w:p>
    <w:p>
      <w:pPr>
        <w:keepNext w:val="0"/>
        <w:keepLines w:val="0"/>
        <w:pageBreakBefore w:val="0"/>
        <w:widowControl w:val="0"/>
        <w:kinsoku/>
        <w:wordWrap/>
        <w:overflowPunct/>
        <w:topLinePunct w:val="0"/>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一致性检查</w:t>
      </w:r>
      <w:r>
        <w:rPr>
          <w:rFonts w:hint="eastAsia" w:ascii="宋体" w:hAnsi="宋体" w:eastAsia="宋体" w:cs="宋体"/>
          <w:color w:val="000000" w:themeColor="text1"/>
          <w:sz w:val="24"/>
          <w:szCs w:val="24"/>
          <w:highlight w:val="none"/>
          <w14:textFill>
            <w14:solidFill>
              <w14:schemeClr w14:val="tx1"/>
            </w14:solidFill>
          </w14:textFill>
        </w:rPr>
        <w:t>内容：</w:t>
      </w:r>
      <w:r>
        <w:rPr>
          <w:rFonts w:hint="eastAsia" w:ascii="宋体" w:hAnsi="宋体" w:eastAsia="宋体" w:cs="宋体"/>
          <w:color w:val="000000" w:themeColor="text1"/>
          <w:sz w:val="24"/>
          <w:szCs w:val="24"/>
          <w:highlight w:val="none"/>
          <w:lang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资料审查：</w:t>
      </w:r>
      <w:r>
        <w:rPr>
          <w:rFonts w:hint="eastAsia" w:ascii="宋体" w:hAnsi="宋体" w:eastAsia="宋体" w:cs="宋体"/>
          <w:color w:val="000000" w:themeColor="text1"/>
          <w:sz w:val="24"/>
          <w:szCs w:val="24"/>
          <w:highlight w:val="none"/>
          <w:lang w:val="en-US" w:eastAsia="zh-CN"/>
          <w14:textFill>
            <w14:solidFill>
              <w14:schemeClr w14:val="tx1"/>
            </w14:solidFill>
          </w14:textFill>
        </w:rPr>
        <w:t>检查</w:t>
      </w:r>
      <w:r>
        <w:rPr>
          <w:rFonts w:hint="eastAsia" w:ascii="宋体" w:hAnsi="宋体" w:eastAsia="宋体" w:cs="宋体"/>
          <w:color w:val="000000" w:themeColor="text1"/>
          <w:sz w:val="24"/>
          <w:szCs w:val="24"/>
          <w:highlight w:val="none"/>
          <w14:textFill>
            <w14:solidFill>
              <w14:schemeClr w14:val="tx1"/>
            </w14:solidFill>
          </w14:textFill>
        </w:rPr>
        <w:t>装备产品认证证书、检测报告、产品合格证、车</w:t>
      </w:r>
      <w:r>
        <w:rPr>
          <w:rFonts w:hint="eastAsia" w:ascii="宋体" w:hAnsi="宋体" w:eastAsia="宋体" w:cs="宋体"/>
          <w:color w:val="000000" w:themeColor="text1"/>
          <w:sz w:val="24"/>
          <w:szCs w:val="24"/>
          <w:highlight w:val="none"/>
          <w:lang w:val="en-US" w:eastAsia="zh-CN"/>
          <w14:textFill>
            <w14:solidFill>
              <w14:schemeClr w14:val="tx1"/>
            </w14:solidFill>
          </w14:textFill>
        </w:rPr>
        <w:t>辆</w:t>
      </w:r>
      <w:r>
        <w:rPr>
          <w:rFonts w:hint="eastAsia" w:ascii="宋体" w:hAnsi="宋体" w:eastAsia="宋体" w:cs="宋体"/>
          <w:color w:val="000000" w:themeColor="text1"/>
          <w:sz w:val="24"/>
          <w:szCs w:val="24"/>
          <w:highlight w:val="none"/>
          <w14:textFill>
            <w14:solidFill>
              <w14:schemeClr w14:val="tx1"/>
            </w14:solidFill>
          </w14:textFill>
        </w:rPr>
        <w:t>公告</w:t>
      </w:r>
      <w:r>
        <w:rPr>
          <w:rFonts w:hint="eastAsia" w:ascii="宋体" w:hAnsi="宋体" w:eastAsia="宋体" w:cs="宋体"/>
          <w:color w:val="000000" w:themeColor="text1"/>
          <w:sz w:val="24"/>
          <w:szCs w:val="24"/>
          <w:highlight w:val="none"/>
          <w:lang w:val="en-US" w:eastAsia="zh-CN"/>
          <w14:textFill>
            <w14:solidFill>
              <w14:schemeClr w14:val="tx1"/>
            </w14:solidFill>
          </w14:textFill>
        </w:rPr>
        <w:t>信息</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进口装备</w:t>
      </w:r>
      <w:r>
        <w:rPr>
          <w:rFonts w:hint="eastAsia" w:ascii="宋体" w:hAnsi="宋体" w:eastAsia="宋体" w:cs="宋体"/>
          <w:color w:val="000000" w:themeColor="text1"/>
          <w:sz w:val="24"/>
          <w:szCs w:val="24"/>
          <w:highlight w:val="none"/>
          <w14:textFill>
            <w14:solidFill>
              <w14:schemeClr w14:val="tx1"/>
            </w14:solidFill>
          </w14:textFill>
        </w:rPr>
        <w:t>报关</w:t>
      </w:r>
      <w:r>
        <w:rPr>
          <w:rFonts w:hint="eastAsia" w:ascii="宋体" w:hAnsi="宋体" w:eastAsia="宋体" w:cs="宋体"/>
          <w:color w:val="000000" w:themeColor="text1"/>
          <w:sz w:val="24"/>
          <w:szCs w:val="24"/>
          <w:highlight w:val="none"/>
          <w:lang w:val="en-US" w:eastAsia="zh-CN"/>
          <w14:textFill>
            <w14:solidFill>
              <w14:schemeClr w14:val="tx1"/>
            </w14:solidFill>
          </w14:textFill>
        </w:rPr>
        <w:t>资料</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使用说明书等</w:t>
      </w:r>
      <w:r>
        <w:rPr>
          <w:rFonts w:hint="eastAsia" w:ascii="宋体" w:hAnsi="宋体" w:eastAsia="宋体" w:cs="宋体"/>
          <w:color w:val="000000" w:themeColor="text1"/>
          <w:sz w:val="24"/>
          <w:szCs w:val="24"/>
          <w:highlight w:val="none"/>
          <w:lang w:val="en-US" w:eastAsia="zh-CN"/>
          <w14:textFill>
            <w14:solidFill>
              <w14:schemeClr w14:val="tx1"/>
            </w14:solidFill>
          </w14:textFill>
        </w:rPr>
        <w:t>是否齐全、有效</w:t>
      </w:r>
      <w:r>
        <w:rPr>
          <w:rFonts w:hint="eastAsia" w:ascii="宋体" w:hAnsi="宋体" w:eastAsia="宋体" w:cs="宋体"/>
          <w:color w:val="000000" w:themeColor="text1"/>
          <w:sz w:val="24"/>
          <w:szCs w:val="24"/>
          <w:highlight w:val="none"/>
          <w:lang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.数量</w:t>
      </w:r>
      <w:r>
        <w:rPr>
          <w:rFonts w:hint="eastAsia" w:ascii="宋体" w:hAnsi="宋体" w:eastAsia="宋体" w:cs="宋体"/>
          <w:color w:val="000000" w:themeColor="text1"/>
          <w:sz w:val="24"/>
          <w:szCs w:val="24"/>
          <w:highlight w:val="none"/>
          <w14:textFill>
            <w14:solidFill>
              <w14:schemeClr w14:val="tx1"/>
            </w14:solidFill>
          </w14:textFill>
        </w:rPr>
        <w:t>外观检查：</w:t>
      </w:r>
      <w:r>
        <w:rPr>
          <w:rFonts w:hint="eastAsia" w:ascii="宋体" w:hAnsi="宋体" w:eastAsia="宋体" w:cs="宋体"/>
          <w:color w:val="000000" w:themeColor="text1"/>
          <w:sz w:val="24"/>
          <w:szCs w:val="24"/>
          <w:highlight w:val="none"/>
          <w:lang w:val="en-US" w:eastAsia="zh-CN"/>
          <w14:textFill>
            <w14:solidFill>
              <w14:schemeClr w14:val="tx1"/>
            </w14:solidFill>
          </w14:textFill>
        </w:rPr>
        <w:t>检查装备数量以及装备</w:t>
      </w:r>
      <w:r>
        <w:rPr>
          <w:rFonts w:hint="eastAsia" w:ascii="宋体" w:hAnsi="宋体" w:eastAsia="宋体" w:cs="宋体"/>
          <w:color w:val="000000" w:themeColor="text1"/>
          <w:sz w:val="24"/>
          <w:szCs w:val="24"/>
          <w:highlight w:val="none"/>
          <w14:textFill>
            <w14:solidFill>
              <w14:schemeClr w14:val="tx1"/>
            </w14:solidFill>
          </w14:textFill>
        </w:rPr>
        <w:t>外观、颜色、光亮度、永久性铭牌标识</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装备编码</w:t>
      </w:r>
      <w:r>
        <w:rPr>
          <w:rFonts w:hint="eastAsia" w:ascii="宋体" w:hAnsi="宋体" w:eastAsia="宋体" w:cs="宋体"/>
          <w:color w:val="000000" w:themeColor="text1"/>
          <w:sz w:val="24"/>
          <w:szCs w:val="24"/>
          <w:highlight w:val="none"/>
          <w14:textFill>
            <w14:solidFill>
              <w14:schemeClr w14:val="tx1"/>
            </w14:solidFill>
          </w14:textFill>
        </w:rPr>
        <w:t>等</w:t>
      </w:r>
      <w:r>
        <w:rPr>
          <w:rFonts w:hint="eastAsia" w:ascii="宋体" w:hAnsi="宋体" w:eastAsia="宋体" w:cs="宋体"/>
          <w:color w:val="000000" w:themeColor="text1"/>
          <w:sz w:val="24"/>
          <w:szCs w:val="24"/>
          <w:highlight w:val="none"/>
          <w:lang w:val="en-US" w:eastAsia="zh-CN"/>
          <w14:textFill>
            <w14:solidFill>
              <w14:schemeClr w14:val="tx1"/>
            </w14:solidFill>
          </w14:textFill>
        </w:rPr>
        <w:t>是否符合</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部件检查：检查</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各组成部件是否齐全、规格型号是否与响应文件一致等。</w:t>
      </w:r>
      <w:r>
        <w:rPr>
          <w:rFonts w:hint="eastAsia" w:ascii="宋体" w:hAnsi="宋体" w:eastAsia="宋体" w:cs="宋体"/>
          <w:color w:val="000000" w:themeColor="text1"/>
          <w:sz w:val="24"/>
          <w:szCs w:val="24"/>
          <w:highlight w:val="none"/>
          <w:lang w:eastAsia="zh-CN"/>
          <w14:textFill>
            <w14:solidFill>
              <w14:schemeClr w14:val="tx1"/>
            </w14:solidFill>
          </w14:textFill>
        </w:rPr>
        <w:t>4</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履约时间</w:t>
      </w:r>
      <w:r>
        <w:rPr>
          <w:rFonts w:hint="eastAsia" w:ascii="宋体" w:hAnsi="宋体" w:eastAsia="宋体" w:cs="宋体"/>
          <w:color w:val="000000" w:themeColor="text1"/>
          <w:sz w:val="24"/>
          <w:szCs w:val="24"/>
          <w:highlight w:val="none"/>
          <w:lang w:val="en-US" w:eastAsia="zh-CN"/>
          <w14:textFill>
            <w14:solidFill>
              <w14:schemeClr w14:val="tx1"/>
            </w14:solidFill>
          </w14:textFill>
        </w:rPr>
        <w:t>核查</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对</w:t>
      </w:r>
      <w:r>
        <w:rPr>
          <w:rFonts w:hint="eastAsia" w:ascii="宋体" w:hAnsi="宋体" w:eastAsia="宋体" w:cs="宋体"/>
          <w:color w:val="000000" w:themeColor="text1"/>
          <w:sz w:val="24"/>
          <w:szCs w:val="24"/>
          <w:highlight w:val="none"/>
          <w14:textFill>
            <w14:solidFill>
              <w14:schemeClr w14:val="tx1"/>
            </w14:solidFill>
          </w14:textFill>
        </w:rPr>
        <w:t>照合同约定的</w:t>
      </w:r>
      <w:r>
        <w:rPr>
          <w:rFonts w:hint="eastAsia" w:ascii="宋体" w:hAnsi="宋体" w:cs="宋体"/>
          <w:color w:val="000000" w:themeColor="text1"/>
          <w:sz w:val="24"/>
          <w:szCs w:val="24"/>
          <w:highlight w:val="none"/>
          <w:lang w:eastAsia="zh-CN"/>
          <w14:textFill>
            <w14:solidFill>
              <w14:schemeClr w14:val="tx1"/>
            </w14:solidFill>
          </w14:textFill>
        </w:rPr>
        <w:t>供货</w:t>
      </w:r>
      <w:r>
        <w:rPr>
          <w:rFonts w:hint="eastAsia" w:ascii="宋体" w:hAnsi="宋体" w:eastAsia="宋体" w:cs="宋体"/>
          <w:color w:val="000000" w:themeColor="text1"/>
          <w:sz w:val="24"/>
          <w:szCs w:val="24"/>
          <w:highlight w:val="none"/>
          <w14:textFill>
            <w14:solidFill>
              <w14:schemeClr w14:val="tx1"/>
            </w14:solidFill>
          </w14:textFill>
        </w:rPr>
        <w:t>期限核算供</w:t>
      </w:r>
      <w:r>
        <w:rPr>
          <w:rFonts w:hint="eastAsia" w:ascii="宋体" w:hAnsi="宋体" w:eastAsia="宋体" w:cs="宋体"/>
          <w:color w:val="000000" w:themeColor="text1"/>
          <w:sz w:val="24"/>
          <w:szCs w:val="24"/>
          <w:highlight w:val="none"/>
          <w:lang w:val="en-US" w:eastAsia="zh-CN"/>
          <w14:textFill>
            <w14:solidFill>
              <w14:schemeClr w14:val="tx1"/>
            </w14:solidFill>
          </w14:textFill>
        </w:rPr>
        <w:t>应</w:t>
      </w:r>
      <w:r>
        <w:rPr>
          <w:rFonts w:hint="eastAsia" w:ascii="宋体" w:hAnsi="宋体" w:eastAsia="宋体" w:cs="宋体"/>
          <w:color w:val="000000" w:themeColor="text1"/>
          <w:sz w:val="24"/>
          <w:szCs w:val="24"/>
          <w:highlight w:val="none"/>
          <w14:textFill>
            <w14:solidFill>
              <w14:schemeClr w14:val="tx1"/>
            </w14:solidFill>
          </w14:textFill>
        </w:rPr>
        <w:t>商是否按期</w:t>
      </w:r>
      <w:r>
        <w:rPr>
          <w:rFonts w:hint="eastAsia" w:ascii="宋体" w:hAnsi="宋体" w:cs="宋体"/>
          <w:color w:val="000000" w:themeColor="text1"/>
          <w:sz w:val="24"/>
          <w:szCs w:val="24"/>
          <w:highlight w:val="none"/>
          <w:lang w:eastAsia="zh-CN"/>
          <w14:textFill>
            <w14:solidFill>
              <w14:schemeClr w14:val="tx1"/>
            </w14:solidFill>
          </w14:textFill>
        </w:rPr>
        <w:t>供货</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装备质量性能检测内容</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按照验收小组</w:t>
      </w:r>
      <w:r>
        <w:rPr>
          <w:rFonts w:hint="eastAsia" w:ascii="宋体" w:hAnsi="宋体" w:eastAsia="宋体" w:cs="宋体"/>
          <w:color w:val="000000" w:themeColor="text1"/>
          <w:sz w:val="24"/>
          <w:szCs w:val="24"/>
          <w:highlight w:val="none"/>
          <w14:textFill>
            <w14:solidFill>
              <w14:schemeClr w14:val="tx1"/>
            </w14:solidFill>
          </w14:textFill>
        </w:rPr>
        <w:t>制定</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装备验收检查测试方案</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利用装备</w:t>
      </w:r>
      <w:r>
        <w:rPr>
          <w:rFonts w:hint="eastAsia" w:ascii="宋体" w:hAnsi="宋体" w:eastAsia="宋体" w:cs="宋体"/>
          <w:color w:val="000000" w:themeColor="text1"/>
          <w:sz w:val="24"/>
          <w:szCs w:val="24"/>
          <w:highlight w:val="none"/>
          <w:lang w:val="en-US" w:eastAsia="zh-CN"/>
          <w14:textFill>
            <w14:solidFill>
              <w14:schemeClr w14:val="tx1"/>
            </w14:solidFill>
          </w14:textFill>
        </w:rPr>
        <w:t>验收</w:t>
      </w:r>
      <w:r>
        <w:rPr>
          <w:rFonts w:hint="eastAsia" w:ascii="宋体" w:hAnsi="宋体" w:eastAsia="宋体" w:cs="宋体"/>
          <w:color w:val="000000" w:themeColor="text1"/>
          <w:sz w:val="24"/>
          <w:szCs w:val="24"/>
          <w:highlight w:val="none"/>
          <w14:textFill>
            <w14:solidFill>
              <w14:schemeClr w14:val="tx1"/>
            </w14:solidFill>
          </w14:textFill>
        </w:rPr>
        <w:t>检测工具等设备，</w:t>
      </w:r>
      <w:r>
        <w:rPr>
          <w:rFonts w:hint="eastAsia" w:ascii="宋体" w:hAnsi="宋体" w:eastAsia="宋体" w:cs="宋体"/>
          <w:color w:val="000000" w:themeColor="text1"/>
          <w:sz w:val="24"/>
          <w:szCs w:val="24"/>
          <w:highlight w:val="none"/>
          <w:lang w:val="en-US" w:eastAsia="zh-CN"/>
          <w14:textFill>
            <w14:solidFill>
              <w14:schemeClr w14:val="tx1"/>
            </w14:solidFill>
          </w14:textFill>
        </w:rPr>
        <w:t>检测</w:t>
      </w:r>
      <w:r>
        <w:rPr>
          <w:rFonts w:hint="eastAsia" w:ascii="宋体" w:hAnsi="宋体" w:eastAsia="宋体" w:cs="宋体"/>
          <w:color w:val="000000" w:themeColor="text1"/>
          <w:sz w:val="24"/>
          <w:szCs w:val="24"/>
          <w:highlight w:val="none"/>
          <w14:textFill>
            <w14:solidFill>
              <w14:schemeClr w14:val="tx1"/>
            </w14:solidFill>
          </w14:textFill>
        </w:rPr>
        <w:t>核对</w:t>
      </w:r>
      <w:r>
        <w:rPr>
          <w:rFonts w:hint="eastAsia" w:ascii="宋体" w:hAnsi="宋体" w:eastAsia="宋体" w:cs="宋体"/>
          <w:color w:val="000000" w:themeColor="text1"/>
          <w:sz w:val="24"/>
          <w:szCs w:val="24"/>
          <w:highlight w:val="none"/>
          <w:lang w:val="en-US" w:eastAsia="zh-CN"/>
          <w14:textFill>
            <w14:solidFill>
              <w14:schemeClr w14:val="tx1"/>
            </w14:solidFill>
          </w14:textFill>
        </w:rPr>
        <w:t>验收</w:t>
      </w:r>
      <w:r>
        <w:rPr>
          <w:rFonts w:hint="eastAsia" w:ascii="宋体" w:hAnsi="宋体" w:eastAsia="宋体" w:cs="宋体"/>
          <w:color w:val="000000" w:themeColor="text1"/>
          <w:sz w:val="24"/>
          <w:szCs w:val="24"/>
          <w:highlight w:val="none"/>
          <w14:textFill>
            <w14:solidFill>
              <w14:schemeClr w14:val="tx1"/>
            </w14:solidFill>
          </w14:textFill>
        </w:rPr>
        <w:t>装备</w:t>
      </w:r>
      <w:r>
        <w:rPr>
          <w:rFonts w:hint="eastAsia" w:ascii="宋体" w:hAnsi="宋体" w:eastAsia="宋体" w:cs="宋体"/>
          <w:color w:val="000000" w:themeColor="text1"/>
          <w:sz w:val="24"/>
          <w:szCs w:val="24"/>
          <w:highlight w:val="none"/>
          <w:lang w:val="en-US" w:eastAsia="zh-CN"/>
          <w14:textFill>
            <w14:solidFill>
              <w14:schemeClr w14:val="tx1"/>
            </w14:solidFill>
          </w14:textFill>
        </w:rPr>
        <w:t>质量性能是否满足相关标准和</w:t>
      </w:r>
      <w:r>
        <w:rPr>
          <w:rFonts w:hint="eastAsia" w:ascii="宋体" w:hAnsi="宋体" w:eastAsia="宋体" w:cs="宋体"/>
          <w:color w:val="000000" w:themeColor="text1"/>
          <w:sz w:val="24"/>
          <w:szCs w:val="24"/>
          <w:highlight w:val="none"/>
          <w14:textFill>
            <w14:solidFill>
              <w14:schemeClr w14:val="tx1"/>
            </w14:solidFill>
          </w14:textFill>
        </w:rPr>
        <w:t>投标响应文件技术性能参数</w:t>
      </w:r>
      <w:r>
        <w:rPr>
          <w:rFonts w:hint="eastAsia" w:ascii="宋体" w:hAnsi="宋体" w:eastAsia="宋体" w:cs="宋体"/>
          <w:color w:val="000000" w:themeColor="text1"/>
          <w:sz w:val="24"/>
          <w:szCs w:val="24"/>
          <w:highlight w:val="none"/>
          <w:lang w:val="en-US" w:eastAsia="zh-CN"/>
          <w14:textFill>
            <w14:solidFill>
              <w14:schemeClr w14:val="tx1"/>
            </w14:solidFill>
          </w14:textFill>
        </w:rPr>
        <w:t>要求。现场验收检查过程中，对装备质量性能情况难以判定的，可对验收装备进行</w:t>
      </w:r>
      <w:r>
        <w:rPr>
          <w:rFonts w:hint="eastAsia" w:ascii="宋体" w:hAnsi="宋体" w:eastAsia="宋体" w:cs="宋体"/>
          <w:color w:val="000000" w:themeColor="text1"/>
          <w:sz w:val="24"/>
          <w:szCs w:val="24"/>
          <w:highlight w:val="none"/>
          <w14:textFill>
            <w14:solidFill>
              <w14:schemeClr w14:val="tx1"/>
            </w14:solidFill>
          </w14:textFill>
        </w:rPr>
        <w:t>抽样</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送</w:t>
      </w:r>
      <w:r>
        <w:rPr>
          <w:rFonts w:hint="eastAsia" w:ascii="宋体" w:hAnsi="宋体" w:eastAsia="宋体" w:cs="宋体"/>
          <w:color w:val="000000" w:themeColor="text1"/>
          <w:sz w:val="24"/>
          <w:szCs w:val="24"/>
          <w:highlight w:val="none"/>
          <w:lang w:val="en-US" w:eastAsia="zh-CN"/>
          <w14:textFill>
            <w14:solidFill>
              <w14:schemeClr w14:val="tx1"/>
            </w14:solidFill>
          </w14:textFill>
        </w:rPr>
        <w:t>具</w:t>
      </w:r>
      <w:r>
        <w:rPr>
          <w:rFonts w:hint="eastAsia" w:ascii="宋体" w:hAnsi="宋体" w:eastAsia="宋体" w:cs="宋体"/>
          <w:color w:val="000000" w:themeColor="text1"/>
          <w:sz w:val="24"/>
          <w:szCs w:val="24"/>
          <w:highlight w:val="none"/>
          <w14:textFill>
            <w14:solidFill>
              <w14:schemeClr w14:val="tx1"/>
            </w14:solidFill>
          </w14:textFill>
        </w:rPr>
        <w:t>有资质的</w:t>
      </w:r>
      <w:r>
        <w:rPr>
          <w:rFonts w:hint="eastAsia" w:ascii="宋体" w:hAnsi="宋体" w:eastAsia="宋体" w:cs="宋体"/>
          <w:color w:val="000000" w:themeColor="text1"/>
          <w:sz w:val="24"/>
          <w:szCs w:val="24"/>
          <w:highlight w:val="none"/>
          <w:lang w:val="en-US" w:eastAsia="zh-CN"/>
          <w14:textFill>
            <w14:solidFill>
              <w14:schemeClr w14:val="tx1"/>
            </w14:solidFill>
          </w14:textFill>
        </w:rPr>
        <w:t>国家级装备产品</w:t>
      </w:r>
      <w:r>
        <w:rPr>
          <w:rFonts w:hint="eastAsia" w:ascii="宋体" w:hAnsi="宋体" w:eastAsia="宋体" w:cs="宋体"/>
          <w:color w:val="000000" w:themeColor="text1"/>
          <w:sz w:val="24"/>
          <w:szCs w:val="24"/>
          <w:highlight w:val="none"/>
          <w14:textFill>
            <w14:solidFill>
              <w14:schemeClr w14:val="tx1"/>
            </w14:solidFill>
          </w14:textFill>
        </w:rPr>
        <w:t>检测机构</w:t>
      </w:r>
      <w:r>
        <w:rPr>
          <w:rFonts w:hint="eastAsia" w:ascii="宋体" w:hAnsi="宋体" w:eastAsia="宋体" w:cs="宋体"/>
          <w:color w:val="000000" w:themeColor="text1"/>
          <w:sz w:val="24"/>
          <w:szCs w:val="24"/>
          <w:highlight w:val="none"/>
          <w:lang w:val="en-US" w:eastAsia="zh-CN"/>
          <w14:textFill>
            <w14:solidFill>
              <w14:schemeClr w14:val="tx1"/>
            </w14:solidFill>
          </w14:textFill>
        </w:rPr>
        <w:t>进行</w:t>
      </w:r>
      <w:r>
        <w:rPr>
          <w:rFonts w:hint="eastAsia" w:ascii="宋体" w:hAnsi="宋体" w:eastAsia="宋体" w:cs="宋体"/>
          <w:color w:val="000000" w:themeColor="text1"/>
          <w:sz w:val="24"/>
          <w:szCs w:val="24"/>
          <w:highlight w:val="none"/>
          <w14:textFill>
            <w14:solidFill>
              <w14:schemeClr w14:val="tx1"/>
            </w14:solidFill>
          </w14:textFill>
        </w:rPr>
        <w:t>检测</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出具的检测报告</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第十二条 </w:t>
      </w:r>
      <w:r>
        <w:rPr>
          <w:rFonts w:hint="eastAsia" w:ascii="宋体" w:hAnsi="宋体" w:eastAsia="宋体" w:cs="宋体"/>
          <w:color w:val="000000" w:themeColor="text1"/>
          <w:sz w:val="24"/>
          <w:szCs w:val="24"/>
          <w:highlight w:val="none"/>
          <w:lang w:val="en-US" w:eastAsia="zh-CN"/>
          <w14:textFill>
            <w14:solidFill>
              <w14:schemeClr w14:val="tx1"/>
            </w14:solidFill>
          </w14:textFill>
        </w:rPr>
        <w:t>验收</w:t>
      </w:r>
      <w:r>
        <w:rPr>
          <w:rFonts w:hint="eastAsia" w:ascii="宋体" w:hAnsi="宋体" w:eastAsia="宋体" w:cs="宋体"/>
          <w:color w:val="000000" w:themeColor="text1"/>
          <w:sz w:val="24"/>
          <w:szCs w:val="24"/>
          <w:highlight w:val="none"/>
          <w14:textFill>
            <w14:solidFill>
              <w14:schemeClr w14:val="tx1"/>
            </w14:solidFill>
          </w14:textFill>
        </w:rPr>
        <w:t>结论</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验收小组</w:t>
      </w:r>
      <w:r>
        <w:rPr>
          <w:rFonts w:hint="eastAsia" w:ascii="宋体" w:hAnsi="宋体" w:eastAsia="宋体" w:cs="宋体"/>
          <w:color w:val="000000" w:themeColor="text1"/>
          <w:sz w:val="24"/>
          <w:szCs w:val="24"/>
          <w:highlight w:val="none"/>
          <w:lang w:val="en-US" w:eastAsia="zh-CN"/>
          <w14:textFill>
            <w14:solidFill>
              <w14:schemeClr w14:val="tx1"/>
            </w14:solidFill>
          </w14:textFill>
        </w:rPr>
        <w:t>应</w:t>
      </w:r>
      <w:r>
        <w:rPr>
          <w:rFonts w:hint="eastAsia" w:ascii="宋体" w:hAnsi="宋体" w:eastAsia="宋体" w:cs="宋体"/>
          <w:color w:val="000000" w:themeColor="text1"/>
          <w:sz w:val="24"/>
          <w:szCs w:val="24"/>
          <w:highlight w:val="none"/>
          <w14:textFill>
            <w14:solidFill>
              <w14:schemeClr w14:val="tx1"/>
            </w14:solidFill>
          </w14:textFill>
        </w:rPr>
        <w:t>根据</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验收</w:t>
      </w:r>
      <w:r>
        <w:rPr>
          <w:rFonts w:hint="eastAsia" w:ascii="宋体" w:hAnsi="宋体" w:eastAsia="宋体" w:cs="宋体"/>
          <w:color w:val="000000" w:themeColor="text1"/>
          <w:sz w:val="24"/>
          <w:szCs w:val="24"/>
          <w:highlight w:val="none"/>
          <w:lang w:val="en-US" w:eastAsia="zh-CN"/>
          <w14:textFill>
            <w14:solidFill>
              <w14:schemeClr w14:val="tx1"/>
            </w14:solidFill>
          </w14:textFill>
        </w:rPr>
        <w:t>检查测试</w:t>
      </w:r>
      <w:r>
        <w:rPr>
          <w:rFonts w:hint="eastAsia" w:ascii="宋体" w:hAnsi="宋体" w:eastAsia="宋体" w:cs="宋体"/>
          <w:color w:val="000000" w:themeColor="text1"/>
          <w:sz w:val="24"/>
          <w:szCs w:val="24"/>
          <w:highlight w:val="none"/>
          <w14:textFill>
            <w14:solidFill>
              <w14:schemeClr w14:val="tx1"/>
            </w14:solidFill>
          </w14:textFill>
        </w:rPr>
        <w:t>情况，本着依法依规、客观公正、符合实战的原则，</w:t>
      </w:r>
      <w:r>
        <w:rPr>
          <w:rFonts w:hint="eastAsia" w:ascii="宋体" w:hAnsi="宋体" w:eastAsia="宋体" w:cs="宋体"/>
          <w:color w:val="000000" w:themeColor="text1"/>
          <w:sz w:val="24"/>
          <w:szCs w:val="24"/>
          <w:highlight w:val="none"/>
          <w:lang w:val="en-US" w:eastAsia="zh-CN"/>
          <w14:textFill>
            <w14:solidFill>
              <w14:schemeClr w14:val="tx1"/>
            </w14:solidFill>
          </w14:textFill>
        </w:rPr>
        <w:t>综合判定验收结果，形成验收结论（涉及抽样送检的验收装备，验收结论待送检装备检测报告出具后确定），填写装备验收单，验收小组人员和装备供应商代表共同签字确认。验收结论分为合格、整改合格、不合格，验收情况及时向装备验收领导小组报告。</w:t>
      </w:r>
    </w:p>
    <w:p>
      <w:pPr>
        <w:keepNext w:val="0"/>
        <w:keepLines w:val="0"/>
        <w:pageBreakBefore w:val="0"/>
        <w:widowControl w:val="0"/>
        <w:numPr>
          <w:ilvl w:val="0"/>
          <w:numId w:val="0"/>
        </w:numPr>
        <w:kinsoku/>
        <w:wordWrap/>
        <w:overflowPunct/>
        <w:topLinePunct w:val="0"/>
        <w:bidi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合格是指所验收装备性能符合或优于技术标准、投标文件响应、合同约定等相关条款的装备。整改合格是指所验收装备供应商暂时未能提供必要法定技术资料，或缺配、更换非主要器材、零配件等，其性能基本符合技术标准、投标文件响应、合同约定等相关条款，不存在安全隐患、不影响灭火救援，且供应商承诺进行限期整改的装备。不合格是指所验收装备主要性能不符合技术标准、投标文件响应、合同约定等相关条款，或不能提供必要法定技术资料、缺配、更换主要器材、零配件等，存在安全隐患、不能投入执勤备战的装备。</w:t>
      </w:r>
    </w:p>
    <w:p>
      <w:pPr>
        <w:keepNext w:val="0"/>
        <w:keepLines w:val="0"/>
        <w:pageBreakBefore w:val="0"/>
        <w:kinsoku/>
        <w:wordWrap/>
        <w:overflowPunct/>
        <w:topLinePunct w:val="0"/>
        <w:bidi w:val="0"/>
        <w:spacing w:line="360" w:lineRule="exact"/>
        <w:ind w:left="0" w:leftChars="0" w:right="0" w:rightChars="0"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第十</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b w:val="0"/>
          <w:bCs w:val="0"/>
          <w:color w:val="000000" w:themeColor="text1"/>
          <w:sz w:val="24"/>
          <w:szCs w:val="24"/>
          <w:highlight w:val="none"/>
          <w14:textFill>
            <w14:solidFill>
              <w14:schemeClr w14:val="tx1"/>
            </w14:solidFill>
          </w14:textFill>
        </w:rPr>
        <w:t>条</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验收合格的装备，应及时配发至使用单位，由供应商到使用单位进行装备操作使用和维护保养培训；验收整改合格的装备，应督促供应商限期整改，整改期限原则上不宜超过30天，整改完成后进行复验，合格后配发至使用单位，由供应商开展培训。验收不合格的装备，按照合同约定和总队消防装备供应商诚信管理办法进行处理。</w:t>
      </w:r>
    </w:p>
    <w:p>
      <w:pPr>
        <w:pStyle w:val="42"/>
        <w:keepNext w:val="0"/>
        <w:keepLines w:val="0"/>
        <w:pageBreakBefore w:val="0"/>
        <w:widowControl w:val="0"/>
        <w:kinsoku/>
        <w:wordWrap/>
        <w:overflowPunct/>
        <w:topLinePunct w:val="0"/>
        <w:bidi w:val="0"/>
        <w:spacing w:line="360" w:lineRule="exact"/>
        <w:ind w:left="0" w:leftChars="0" w:right="0" w:rightChars="0" w:firstLine="480" w:firstLineChars="200"/>
        <w:jc w:val="both"/>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14:textFill>
            <w14:solidFill>
              <w14:schemeClr w14:val="tx1"/>
            </w14:solidFill>
          </w14:textFill>
        </w:rPr>
        <w:t>第十</w:t>
      </w:r>
      <w:r>
        <w:rPr>
          <w:rFonts w:hint="eastAsia" w:ascii="宋体" w:hAnsi="宋体" w:eastAsia="宋体" w:cs="宋体"/>
          <w:b w:val="0"/>
          <w:bCs w:val="0"/>
          <w:color w:val="000000" w:themeColor="text1"/>
          <w:kern w:val="2"/>
          <w:sz w:val="24"/>
          <w:szCs w:val="24"/>
          <w:highlight w:val="none"/>
          <w:lang w:val="en-US" w:eastAsia="zh-CN"/>
          <w14:textFill>
            <w14:solidFill>
              <w14:schemeClr w14:val="tx1"/>
            </w14:solidFill>
          </w14:textFill>
        </w:rPr>
        <w:t>四</w:t>
      </w:r>
      <w:r>
        <w:rPr>
          <w:rFonts w:hint="eastAsia" w:ascii="宋体" w:hAnsi="宋体" w:eastAsia="宋体" w:cs="宋体"/>
          <w:b w:val="0"/>
          <w:bCs w:val="0"/>
          <w:color w:val="000000" w:themeColor="text1"/>
          <w:kern w:val="2"/>
          <w:sz w:val="24"/>
          <w:szCs w:val="24"/>
          <w:highlight w:val="none"/>
          <w14:textFill>
            <w14:solidFill>
              <w14:schemeClr w14:val="tx1"/>
            </w14:solidFill>
          </w14:textFill>
        </w:rPr>
        <w:t>条</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验收采用全数验收</w:t>
      </w:r>
      <w:r>
        <w:rPr>
          <w:rFonts w:hint="eastAsia" w:ascii="宋体" w:hAnsi="宋体" w:eastAsia="宋体" w:cs="宋体"/>
          <w:color w:val="000000" w:themeColor="text1"/>
          <w:sz w:val="24"/>
          <w:szCs w:val="24"/>
          <w:highlight w:val="none"/>
          <w:lang w:val="en-US" w:eastAsia="zh-CN"/>
          <w14:textFill>
            <w14:solidFill>
              <w14:schemeClr w14:val="tx1"/>
            </w14:solidFill>
          </w14:textFill>
        </w:rPr>
        <w:t>和</w:t>
      </w:r>
      <w:r>
        <w:rPr>
          <w:rFonts w:hint="eastAsia" w:ascii="宋体" w:hAnsi="宋体" w:eastAsia="宋体" w:cs="宋体"/>
          <w:color w:val="000000" w:themeColor="text1"/>
          <w:sz w:val="24"/>
          <w:szCs w:val="24"/>
          <w:highlight w:val="none"/>
          <w14:textFill>
            <w14:solidFill>
              <w14:schemeClr w14:val="tx1"/>
            </w14:solidFill>
          </w14:textFill>
        </w:rPr>
        <w:t>抽样验收</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方式，对于单件价格大于1万元的</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，应采用全数验收方式，对交付的所有车辆器材装备进行逐件验收。对于单件金额不大于1万元的</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，一般采用抽样验收方式，每批次同类产品抽检率不得低于5%且不得少于5件。对于部分性能要求高、技术较为复杂但单价未超过1万元的</w:t>
      </w:r>
      <w:r>
        <w:rPr>
          <w:rFonts w:hint="eastAsia" w:ascii="宋体" w:hAnsi="宋体" w:eastAsia="宋体" w:cs="宋体"/>
          <w:color w:val="000000" w:themeColor="text1"/>
          <w:sz w:val="24"/>
          <w:szCs w:val="24"/>
          <w:highlight w:val="none"/>
          <w:lang w:val="en-US" w:eastAsia="zh-CN"/>
          <w14:textFill>
            <w14:solidFill>
              <w14:schemeClr w14:val="tx1"/>
            </w14:solidFill>
          </w14:textFill>
        </w:rPr>
        <w:t>装备</w:t>
      </w:r>
      <w:r>
        <w:rPr>
          <w:rFonts w:hint="eastAsia" w:ascii="宋体" w:hAnsi="宋体" w:eastAsia="宋体" w:cs="宋体"/>
          <w:color w:val="000000" w:themeColor="text1"/>
          <w:sz w:val="24"/>
          <w:szCs w:val="24"/>
          <w:highlight w:val="none"/>
          <w14:textFill>
            <w14:solidFill>
              <w14:schemeClr w14:val="tx1"/>
            </w14:solidFill>
          </w14:textFill>
        </w:rPr>
        <w:t>宜采用全数验收方式。</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482"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第</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szCs w:val="24"/>
          <w:highlight w:val="none"/>
          <w14:textFill>
            <w14:solidFill>
              <w14:schemeClr w14:val="tx1"/>
            </w14:solidFill>
          </w14:textFill>
        </w:rPr>
        <w:t>章  档案管理</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第十</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val="0"/>
          <w:bCs w:val="0"/>
          <w:color w:val="000000" w:themeColor="text1"/>
          <w:sz w:val="24"/>
          <w:szCs w:val="24"/>
          <w:highlight w:val="none"/>
          <w14:textFill>
            <w14:solidFill>
              <w14:schemeClr w14:val="tx1"/>
            </w14:solidFill>
          </w14:textFill>
        </w:rPr>
        <w:t>条</w:t>
      </w:r>
      <w:r>
        <w:rPr>
          <w:rFonts w:hint="eastAsia" w:ascii="宋体" w:hAnsi="宋体" w:eastAsia="宋体" w:cs="宋体"/>
          <w:color w:val="000000" w:themeColor="text1"/>
          <w:sz w:val="24"/>
          <w:szCs w:val="24"/>
          <w:highlight w:val="none"/>
          <w14:textFill>
            <w14:solidFill>
              <w14:schemeClr w14:val="tx1"/>
            </w14:solidFill>
          </w14:textFill>
        </w:rPr>
        <w:t xml:space="preserve"> 验收档案</w:t>
      </w:r>
      <w:r>
        <w:rPr>
          <w:rFonts w:hint="eastAsia" w:ascii="宋体" w:hAnsi="宋体" w:eastAsia="宋体" w:cs="宋体"/>
          <w:color w:val="000000" w:themeColor="text1"/>
          <w:sz w:val="24"/>
          <w:szCs w:val="24"/>
          <w:highlight w:val="none"/>
          <w:lang w:val="en-US" w:eastAsia="zh-CN"/>
          <w14:textFill>
            <w14:solidFill>
              <w14:schemeClr w14:val="tx1"/>
            </w14:solidFill>
          </w14:textFill>
        </w:rPr>
        <w:t>是指</w:t>
      </w:r>
      <w:r>
        <w:rPr>
          <w:rFonts w:hint="eastAsia" w:ascii="宋体" w:hAnsi="宋体" w:eastAsia="宋体" w:cs="宋体"/>
          <w:color w:val="000000" w:themeColor="text1"/>
          <w:sz w:val="24"/>
          <w:szCs w:val="24"/>
          <w:highlight w:val="none"/>
          <w14:textFill>
            <w14:solidFill>
              <w14:schemeClr w14:val="tx1"/>
            </w14:solidFill>
          </w14:textFill>
        </w:rPr>
        <w:t>验收活动中形成的反映验收活动过程和结果的具有查询、证明作用和保存价值的文字、图表、图片、声像等不同形式、不同载体的记录。包括审批文件、</w:t>
      </w:r>
      <w:r>
        <w:rPr>
          <w:rFonts w:hint="eastAsia" w:ascii="宋体" w:hAnsi="宋体" w:eastAsia="宋体" w:cs="宋体"/>
          <w:color w:val="000000" w:themeColor="text1"/>
          <w:sz w:val="24"/>
          <w:szCs w:val="24"/>
          <w:highlight w:val="none"/>
          <w:lang w:eastAsia="zh-CN"/>
          <w14:textFill>
            <w14:solidFill>
              <w14:schemeClr w14:val="tx1"/>
            </w14:solidFill>
          </w14:textFill>
        </w:rPr>
        <w:t>验收申请、</w:t>
      </w:r>
      <w:r>
        <w:rPr>
          <w:rFonts w:hint="eastAsia" w:ascii="宋体" w:hAnsi="宋体" w:eastAsia="宋体" w:cs="宋体"/>
          <w:color w:val="000000" w:themeColor="text1"/>
          <w:sz w:val="24"/>
          <w:szCs w:val="24"/>
          <w:highlight w:val="none"/>
          <w14:textFill>
            <w14:solidFill>
              <w14:schemeClr w14:val="tx1"/>
            </w14:solidFill>
          </w14:textFill>
        </w:rPr>
        <w:t>验收</w:t>
      </w:r>
      <w:r>
        <w:rPr>
          <w:rFonts w:hint="eastAsia" w:ascii="宋体" w:hAnsi="宋体" w:eastAsia="宋体" w:cs="宋体"/>
          <w:color w:val="000000" w:themeColor="text1"/>
          <w:sz w:val="24"/>
          <w:szCs w:val="24"/>
          <w:highlight w:val="none"/>
          <w:lang w:val="en-US" w:eastAsia="zh-CN"/>
          <w14:textFill>
            <w14:solidFill>
              <w14:schemeClr w14:val="tx1"/>
            </w14:solidFill>
          </w14:textFill>
        </w:rPr>
        <w:t>意见</w:t>
      </w:r>
      <w:r>
        <w:rPr>
          <w:rFonts w:hint="eastAsia" w:ascii="宋体" w:hAnsi="宋体" w:eastAsia="宋体" w:cs="宋体"/>
          <w:color w:val="000000" w:themeColor="text1"/>
          <w:sz w:val="24"/>
          <w:szCs w:val="24"/>
          <w:highlight w:val="none"/>
          <w14:textFill>
            <w14:solidFill>
              <w14:schemeClr w14:val="tx1"/>
            </w14:solidFill>
          </w14:textFill>
        </w:rPr>
        <w:t>、整改</w:t>
      </w:r>
      <w:r>
        <w:rPr>
          <w:rFonts w:hint="eastAsia" w:ascii="宋体" w:hAnsi="宋体" w:eastAsia="宋体" w:cs="宋体"/>
          <w:color w:val="000000" w:themeColor="text1"/>
          <w:sz w:val="24"/>
          <w:szCs w:val="24"/>
          <w:highlight w:val="none"/>
          <w:lang w:eastAsia="zh-CN"/>
          <w14:textFill>
            <w14:solidFill>
              <w14:schemeClr w14:val="tx1"/>
            </w14:solidFill>
          </w14:textFill>
        </w:rPr>
        <w:t>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视频</w:t>
      </w:r>
      <w:r>
        <w:rPr>
          <w:rFonts w:hint="eastAsia" w:ascii="宋体" w:hAnsi="宋体" w:eastAsia="宋体" w:cs="宋体"/>
          <w:color w:val="000000" w:themeColor="text1"/>
          <w:sz w:val="24"/>
          <w:szCs w:val="24"/>
          <w:highlight w:val="none"/>
          <w14:textFill>
            <w14:solidFill>
              <w14:schemeClr w14:val="tx1"/>
            </w14:solidFill>
          </w14:textFill>
        </w:rPr>
        <w:t>等及供应商所提供的相关证明性文件和资料。</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第十</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val="0"/>
          <w:bCs w:val="0"/>
          <w:color w:val="000000" w:themeColor="text1"/>
          <w:sz w:val="24"/>
          <w:szCs w:val="24"/>
          <w:highlight w:val="none"/>
          <w14:textFill>
            <w14:solidFill>
              <w14:schemeClr w14:val="tx1"/>
            </w14:solidFill>
          </w14:textFill>
        </w:rPr>
        <w:t>条</w:t>
      </w:r>
      <w:r>
        <w:rPr>
          <w:rFonts w:hint="eastAsia" w:ascii="宋体" w:hAnsi="宋体" w:eastAsia="宋体" w:cs="宋体"/>
          <w:color w:val="000000" w:themeColor="text1"/>
          <w:sz w:val="24"/>
          <w:szCs w:val="24"/>
          <w:highlight w:val="none"/>
          <w14:textFill>
            <w14:solidFill>
              <w14:schemeClr w14:val="tx1"/>
            </w14:solidFill>
          </w14:textFill>
        </w:rPr>
        <w:t xml:space="preserve"> 验收活动中的验收档案应当妥善保存，不得伪造、变更、隐匿或者销毁。验收档案由后勤装备</w:t>
      </w:r>
      <w:r>
        <w:rPr>
          <w:rFonts w:hint="eastAsia" w:ascii="宋体" w:hAnsi="宋体" w:eastAsia="宋体" w:cs="宋体"/>
          <w:color w:val="000000" w:themeColor="text1"/>
          <w:sz w:val="24"/>
          <w:szCs w:val="24"/>
          <w:highlight w:val="none"/>
          <w:lang w:val="en-US" w:eastAsia="zh-CN"/>
          <w14:textFill>
            <w14:solidFill>
              <w14:schemeClr w14:val="tx1"/>
            </w14:solidFill>
          </w14:textFill>
        </w:rPr>
        <w:t>等经办业务部门归口</w:t>
      </w:r>
      <w:r>
        <w:rPr>
          <w:rFonts w:hint="eastAsia" w:ascii="宋体" w:hAnsi="宋体" w:eastAsia="宋体" w:cs="宋体"/>
          <w:color w:val="000000" w:themeColor="text1"/>
          <w:sz w:val="24"/>
          <w:szCs w:val="24"/>
          <w:highlight w:val="none"/>
          <w14:textFill>
            <w14:solidFill>
              <w14:schemeClr w14:val="tx1"/>
            </w14:solidFill>
          </w14:textFill>
        </w:rPr>
        <w:t>存档。</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482" w:firstLineChars="20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第</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14:textFill>
            <w14:solidFill>
              <w14:schemeClr w14:val="tx1"/>
            </w14:solidFill>
          </w14:textFill>
        </w:rPr>
        <w:t>章</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附</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则</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w:t>
      </w:r>
      <w:r>
        <w:rPr>
          <w:rFonts w:hint="eastAsia" w:ascii="宋体" w:hAnsi="宋体" w:eastAsia="宋体" w:cs="宋体"/>
          <w:color w:val="000000" w:themeColor="text1"/>
          <w:sz w:val="24"/>
          <w:szCs w:val="24"/>
          <w:highlight w:val="none"/>
          <w:lang w:val="en-US" w:eastAsia="zh-CN"/>
          <w14:textFill>
            <w14:solidFill>
              <w14:schemeClr w14:val="tx1"/>
            </w14:solidFill>
          </w14:textFill>
        </w:rPr>
        <w:t>七</w:t>
      </w:r>
      <w:r>
        <w:rPr>
          <w:rFonts w:hint="eastAsia" w:ascii="宋体" w:hAnsi="宋体" w:eastAsia="宋体" w:cs="宋体"/>
          <w:color w:val="000000" w:themeColor="text1"/>
          <w:sz w:val="24"/>
          <w:szCs w:val="24"/>
          <w:highlight w:val="none"/>
          <w14:textFill>
            <w14:solidFill>
              <w14:schemeClr w14:val="tx1"/>
            </w14:solidFill>
          </w14:textFill>
        </w:rPr>
        <w:t>条 本规定未尽事宜，按照国家相关法律法规执行。各支队依据本规定，结合实际制定本支队装备验收管理规定，报总队备案。</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w:t>
      </w:r>
      <w:r>
        <w:rPr>
          <w:rFonts w:hint="eastAsia" w:ascii="宋体" w:hAnsi="宋体" w:eastAsia="宋体" w:cs="宋体"/>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color w:val="000000" w:themeColor="text1"/>
          <w:sz w:val="24"/>
          <w:szCs w:val="24"/>
          <w:highlight w:val="none"/>
          <w14:textFill>
            <w14:solidFill>
              <w14:schemeClr w14:val="tx1"/>
            </w14:solidFill>
          </w14:textFill>
        </w:rPr>
        <w:t>条  本规定自颁布之日起施行，由</w:t>
      </w:r>
      <w:r>
        <w:rPr>
          <w:rFonts w:hint="eastAsia" w:ascii="宋体" w:hAnsi="宋体" w:cs="宋体"/>
          <w:color w:val="000000" w:themeColor="text1"/>
          <w:sz w:val="24"/>
          <w:szCs w:val="24"/>
          <w:highlight w:val="none"/>
          <w:lang w:val="en-US" w:eastAsia="zh-CN"/>
          <w14:textFill>
            <w14:solidFill>
              <w14:schemeClr w14:val="tx1"/>
            </w14:solidFill>
          </w14:textFill>
        </w:rPr>
        <w:t>义乌市消防救援支</w:t>
      </w:r>
      <w:r>
        <w:rPr>
          <w:rFonts w:hint="eastAsia" w:ascii="宋体" w:hAnsi="宋体" w:eastAsia="宋体" w:cs="宋体"/>
          <w:color w:val="000000" w:themeColor="text1"/>
          <w:sz w:val="24"/>
          <w:szCs w:val="24"/>
          <w:highlight w:val="none"/>
          <w14:textFill>
            <w14:solidFill>
              <w14:schemeClr w14:val="tx1"/>
            </w14:solidFill>
          </w14:textFill>
        </w:rPr>
        <w:t>队后勤装备处负责解释。</w:t>
      </w:r>
    </w:p>
    <w:p>
      <w:pPr>
        <w:keepNext w:val="0"/>
        <w:keepLines w:val="0"/>
        <w:pageBreakBefore w:val="0"/>
        <w:kinsoku/>
        <w:wordWrap/>
        <w:overflowPunct/>
        <w:topLinePunct w:val="0"/>
        <w:bidi w:val="0"/>
        <w:spacing w:line="360" w:lineRule="exact"/>
        <w:ind w:left="0" w:leftChars="0" w:right="0" w:rightChars="0"/>
        <w:textAlignment w:val="auto"/>
        <w:rPr>
          <w:color w:val="000000" w:themeColor="text1"/>
          <w:sz w:val="24"/>
          <w:szCs w:val="24"/>
          <w:highlight w:val="none"/>
          <w14:textFill>
            <w14:solidFill>
              <w14:schemeClr w14:val="tx1"/>
            </w14:solidFill>
          </w14:textFill>
        </w:rPr>
      </w:pPr>
    </w:p>
    <w:bookmarkEnd w:id="26"/>
    <w:bookmarkEnd w:id="27"/>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bookmarkStart w:id="28" w:name="_Toc28239"/>
    </w:p>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p>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p>
    <w:p>
      <w:pPr>
        <w:rPr>
          <w:rFonts w:hint="eastAsia"/>
          <w:highlight w:val="none"/>
        </w:rPr>
      </w:pPr>
    </w:p>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p>
    <w:p>
      <w:pPr>
        <w:snapToGrid w:val="0"/>
        <w:spacing w:line="360" w:lineRule="auto"/>
        <w:jc w:val="center"/>
        <w:outlineLvl w:val="0"/>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第六部分  投标文件格式</w:t>
      </w:r>
      <w:bookmarkEnd w:id="28"/>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投标文件由投标人根据招标文件要求参照附件格式编制。</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投标人根据实际情况填写。</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招标文件中没有参考格式的，由投标人自行编制。</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highlight w:val="none"/>
          <w14:textFill>
            <w14:solidFill>
              <w14:schemeClr w14:val="tx1"/>
            </w14:solidFill>
          </w14:textFill>
        </w:rPr>
      </w:pPr>
    </w:p>
    <w:p>
      <w:pPr>
        <w:snapToGrid w:val="0"/>
        <w:spacing w:before="156" w:beforeLines="50" w:after="50" w:line="360" w:lineRule="auto"/>
        <w:outlineLvl w:val="0"/>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Start w:id="29" w:name="_Toc30674"/>
      <w:bookmarkStart w:id="30" w:name="_Toc23472"/>
      <w:r>
        <w:rPr>
          <w:rFonts w:hint="eastAsia" w:ascii="宋体" w:hAnsi="宋体" w:eastAsia="宋体" w:cs="宋体"/>
          <w:color w:val="000000" w:themeColor="text1"/>
          <w:sz w:val="30"/>
          <w:szCs w:val="30"/>
          <w:highlight w:val="none"/>
          <w14:textFill>
            <w14:solidFill>
              <w14:schemeClr w14:val="tx1"/>
            </w14:solidFill>
          </w14:textFill>
        </w:rPr>
        <w:t>封面</w:t>
      </w:r>
      <w:r>
        <w:rPr>
          <w:rFonts w:hint="eastAsia" w:ascii="宋体" w:hAnsi="宋体" w:eastAsia="宋体" w:cs="宋体"/>
          <w:b/>
          <w:color w:val="000000" w:themeColor="text1"/>
          <w:sz w:val="30"/>
          <w:szCs w:val="30"/>
          <w:highlight w:val="none"/>
          <w14:textFill>
            <w14:solidFill>
              <w14:schemeClr w14:val="tx1"/>
            </w14:solidFill>
          </w14:textFill>
        </w:rPr>
        <w:t xml:space="preserve">：                                     </w:t>
      </w:r>
      <w:r>
        <w:rPr>
          <w:rFonts w:hint="eastAsia" w:ascii="宋体" w:hAnsi="宋体" w:eastAsia="宋体" w:cs="宋体"/>
          <w:bCs/>
          <w:color w:val="000000" w:themeColor="text1"/>
          <w:sz w:val="30"/>
          <w:szCs w:val="30"/>
          <w:highlight w:val="none"/>
          <w14:textFill>
            <w14:solidFill>
              <w14:schemeClr w14:val="tx1"/>
            </w14:solidFill>
          </w14:textFill>
        </w:rPr>
        <w:t>正本或副本</w:t>
      </w:r>
      <w:bookmarkEnd w:id="29"/>
      <w:bookmarkEnd w:id="30"/>
    </w:p>
    <w:p>
      <w:pPr>
        <w:snapToGrid w:val="0"/>
        <w:spacing w:before="156" w:beforeLines="50" w:after="50" w:line="360" w:lineRule="auto"/>
        <w:jc w:val="right"/>
        <w:rPr>
          <w:rFonts w:hint="eastAsia" w:ascii="宋体" w:hAnsi="宋体" w:eastAsia="宋体" w:cs="宋体"/>
          <w:bCs/>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 xml:space="preserve">                                            </w:t>
      </w:r>
    </w:p>
    <w:p>
      <w:pPr>
        <w:snapToGrid w:val="0"/>
        <w:spacing w:line="360" w:lineRule="auto"/>
        <w:ind w:left="1900" w:leftChars="0" w:right="-110" w:hanging="1900" w:firstLineChars="0"/>
        <w:jc w:val="center"/>
        <w:outlineLvl w:val="0"/>
        <w:rPr>
          <w:rFonts w:hint="eastAsia" w:ascii="宋体" w:hAnsi="宋体" w:eastAsia="宋体" w:cs="宋体"/>
          <w:color w:val="000000" w:themeColor="text1"/>
          <w:spacing w:val="40"/>
          <w:sz w:val="36"/>
          <w:szCs w:val="36"/>
          <w:highlight w:val="none"/>
          <w:u w:val="single"/>
          <w14:textFill>
            <w14:solidFill>
              <w14:schemeClr w14:val="tx1"/>
            </w14:solidFill>
          </w14:textFill>
        </w:rPr>
      </w:pPr>
      <w:bookmarkStart w:id="31" w:name="_Toc19883"/>
      <w:bookmarkStart w:id="32" w:name="_Toc11655"/>
      <w:r>
        <w:rPr>
          <w:rFonts w:hint="eastAsia" w:ascii="宋体" w:hAnsi="宋体" w:cs="宋体"/>
          <w:color w:val="000000" w:themeColor="text1"/>
          <w:spacing w:val="40"/>
          <w:sz w:val="36"/>
          <w:szCs w:val="36"/>
          <w:highlight w:val="none"/>
          <w:lang w:val="en-US" w:eastAsia="zh-CN"/>
          <w14:textFill>
            <w14:solidFill>
              <w14:schemeClr w14:val="tx1"/>
            </w14:solidFill>
          </w14:textFill>
        </w:rPr>
        <w:t>项目名称：</w:t>
      </w:r>
      <w:bookmarkEnd w:id="31"/>
      <w:bookmarkEnd w:id="32"/>
      <w:r>
        <w:rPr>
          <w:rFonts w:hint="eastAsia" w:ascii="宋体" w:hAnsi="宋体" w:cs="宋体"/>
          <w:color w:val="000000" w:themeColor="text1"/>
          <w:spacing w:val="40"/>
          <w:sz w:val="36"/>
          <w:szCs w:val="36"/>
          <w:highlight w:val="none"/>
          <w:u w:val="single"/>
          <w:lang w:eastAsia="zh-CN"/>
          <w14:textFill>
            <w14:solidFill>
              <w14:schemeClr w14:val="tx1"/>
            </w14:solidFill>
          </w14:textFill>
        </w:rPr>
        <w:t>义乌市消防救援支队2024年度消防器材装备（非信通装备类）采购项目</w:t>
      </w:r>
    </w:p>
    <w:p>
      <w:pPr>
        <w:snapToGrid w:val="0"/>
        <w:spacing w:before="312" w:beforeLines="100" w:line="360" w:lineRule="auto"/>
        <w:ind w:right="-108"/>
        <w:jc w:val="both"/>
        <w:outlineLvl w:val="0"/>
        <w:rPr>
          <w:rFonts w:hint="eastAsia" w:ascii="宋体" w:hAnsi="宋体" w:eastAsia="宋体" w:cs="宋体"/>
          <w:color w:val="000000" w:themeColor="text1"/>
          <w:sz w:val="36"/>
          <w:szCs w:val="36"/>
          <w:highlight w:val="none"/>
          <w14:textFill>
            <w14:solidFill>
              <w14:schemeClr w14:val="tx1"/>
            </w14:solidFill>
          </w14:textFill>
        </w:rPr>
      </w:pPr>
      <w:bookmarkStart w:id="33" w:name="_Toc12229"/>
      <w:bookmarkStart w:id="34" w:name="_Toc18207"/>
      <w:r>
        <w:rPr>
          <w:rFonts w:hint="eastAsia" w:ascii="宋体" w:hAnsi="宋体" w:cs="宋体"/>
          <w:color w:val="000000" w:themeColor="text1"/>
          <w:spacing w:val="40"/>
          <w:sz w:val="36"/>
          <w:szCs w:val="36"/>
          <w:highlight w:val="none"/>
          <w:lang w:val="en-US" w:eastAsia="zh-CN"/>
          <w14:textFill>
            <w14:solidFill>
              <w14:schemeClr w14:val="tx1"/>
            </w14:solidFill>
          </w14:textFill>
        </w:rPr>
        <w:t>项目编号：</w:t>
      </w:r>
      <w:bookmarkEnd w:id="33"/>
      <w:bookmarkEnd w:id="34"/>
      <w:r>
        <w:rPr>
          <w:rFonts w:hint="eastAsia" w:ascii="宋体" w:hAnsi="宋体" w:cs="宋体"/>
          <w:color w:val="000000" w:themeColor="text1"/>
          <w:spacing w:val="40"/>
          <w:sz w:val="36"/>
          <w:szCs w:val="36"/>
          <w:highlight w:val="none"/>
          <w:lang w:val="en-US" w:eastAsia="zh-CN"/>
          <w14:textFill>
            <w14:solidFill>
              <w14:schemeClr w14:val="tx1"/>
            </w14:solidFill>
          </w14:textFill>
        </w:rPr>
        <w:t>JY2024-YW-1008</w:t>
      </w:r>
      <w:r>
        <w:rPr>
          <w:rFonts w:hint="eastAsia" w:ascii="宋体" w:hAnsi="宋体" w:cs="宋体"/>
          <w:color w:val="000000" w:themeColor="text1"/>
          <w:sz w:val="36"/>
          <w:szCs w:val="36"/>
          <w:highlight w:val="none"/>
          <w:shd w:val="clear" w:color="auto" w:fill="auto"/>
          <w:lang w:val="en-US" w:eastAsia="zh-CN"/>
          <w14:textFill>
            <w14:solidFill>
              <w14:schemeClr w14:val="tx1"/>
            </w14:solidFill>
          </w14:textFill>
        </w:rPr>
        <w:t xml:space="preserve">  </w:t>
      </w:r>
    </w:p>
    <w:p>
      <w:pPr>
        <w:snapToGrid w:val="0"/>
        <w:spacing w:before="312" w:beforeLines="100" w:line="360" w:lineRule="auto"/>
        <w:ind w:right="-108"/>
        <w:jc w:val="both"/>
        <w:outlineLvl w:val="0"/>
        <w:rPr>
          <w:rFonts w:hint="eastAsia" w:ascii="宋体" w:hAnsi="宋体" w:cs="宋体"/>
          <w:b/>
          <w:color w:val="000000" w:themeColor="text1"/>
          <w:spacing w:val="40"/>
          <w:sz w:val="21"/>
          <w:szCs w:val="21"/>
          <w:highlight w:val="none"/>
          <w:lang w:val="en-US" w:eastAsia="zh-CN"/>
          <w14:textFill>
            <w14:solidFill>
              <w14:schemeClr w14:val="tx1"/>
            </w14:solidFill>
          </w14:textFill>
        </w:rPr>
      </w:pPr>
      <w:bookmarkStart w:id="35" w:name="_Toc30177"/>
      <w:bookmarkStart w:id="36" w:name="_Toc7109"/>
      <w:r>
        <w:rPr>
          <w:rFonts w:hint="eastAsia" w:ascii="宋体" w:hAnsi="宋体" w:eastAsia="宋体" w:cs="宋体"/>
          <w:color w:val="000000" w:themeColor="text1"/>
          <w:sz w:val="36"/>
          <w:szCs w:val="36"/>
          <w:highlight w:val="none"/>
          <w:shd w:val="clear"/>
          <w14:textFill>
            <w14:solidFill>
              <w14:schemeClr w14:val="tx1"/>
            </w14:solidFill>
          </w14:textFill>
        </w:rPr>
        <w:t>标</w:t>
      </w:r>
      <w:r>
        <w:rPr>
          <w:rFonts w:hint="eastAsia" w:ascii="宋体" w:hAnsi="宋体" w:cs="宋体"/>
          <w:color w:val="000000" w:themeColor="text1"/>
          <w:sz w:val="36"/>
          <w:szCs w:val="36"/>
          <w:highlight w:val="none"/>
          <w:shd w:val="clear"/>
          <w:lang w:val="en-US" w:eastAsia="zh-CN"/>
          <w14:textFill>
            <w14:solidFill>
              <w14:schemeClr w14:val="tx1"/>
            </w14:solidFill>
          </w14:textFill>
        </w:rPr>
        <w:t xml:space="preserve">      </w:t>
      </w:r>
      <w:r>
        <w:rPr>
          <w:rFonts w:hint="eastAsia" w:ascii="宋体" w:hAnsi="宋体" w:eastAsia="宋体" w:cs="宋体"/>
          <w:color w:val="000000" w:themeColor="text1"/>
          <w:sz w:val="36"/>
          <w:szCs w:val="36"/>
          <w:highlight w:val="none"/>
          <w:shd w:val="clear"/>
          <w14:textFill>
            <w14:solidFill>
              <w14:schemeClr w14:val="tx1"/>
            </w14:solidFill>
          </w14:textFill>
        </w:rPr>
        <w:t>项</w:t>
      </w:r>
      <w:r>
        <w:rPr>
          <w:rFonts w:hint="eastAsia" w:ascii="宋体" w:hAnsi="宋体" w:cs="宋体"/>
          <w:color w:val="000000" w:themeColor="text1"/>
          <w:sz w:val="36"/>
          <w:szCs w:val="36"/>
          <w:highlight w:val="none"/>
          <w:shd w:val="clear"/>
          <w:lang w:eastAsia="zh-CN"/>
          <w14:textFill>
            <w14:solidFill>
              <w14:schemeClr w14:val="tx1"/>
            </w14:solidFill>
          </w14:textFill>
        </w:rPr>
        <w:t>：</w:t>
      </w:r>
      <w:r>
        <w:rPr>
          <w:rFonts w:hint="eastAsia" w:ascii="宋体" w:hAnsi="宋体" w:eastAsia="宋体" w:cs="宋体"/>
          <w:color w:val="000000" w:themeColor="text1"/>
          <w:sz w:val="36"/>
          <w:szCs w:val="36"/>
          <w:highlight w:val="none"/>
          <w:u w:val="single"/>
          <w:shd w:val="clear" w:color="auto" w:fill="auto"/>
          <w:lang w:val="en-US" w:eastAsia="zh-CN"/>
          <w14:textFill>
            <w14:solidFill>
              <w14:schemeClr w14:val="tx1"/>
            </w14:solidFill>
          </w14:textFill>
        </w:rPr>
        <w:t xml:space="preserve"> </w:t>
      </w:r>
      <w:r>
        <w:rPr>
          <w:rFonts w:hint="eastAsia" w:ascii="宋体" w:hAnsi="宋体" w:cs="宋体"/>
          <w:color w:val="000000" w:themeColor="text1"/>
          <w:sz w:val="36"/>
          <w:szCs w:val="36"/>
          <w:highlight w:val="none"/>
          <w:u w:val="single"/>
          <w:shd w:val="clear" w:color="auto" w:fill="auto"/>
          <w:lang w:val="en-US" w:eastAsia="zh-CN"/>
          <w14:textFill>
            <w14:solidFill>
              <w14:schemeClr w14:val="tx1"/>
            </w14:solidFill>
          </w14:textFill>
        </w:rPr>
        <w:t xml:space="preserve">           </w:t>
      </w:r>
      <w:bookmarkEnd w:id="35"/>
      <w:bookmarkEnd w:id="36"/>
      <w:r>
        <w:rPr>
          <w:rFonts w:hint="eastAsia" w:ascii="宋体" w:hAnsi="宋体" w:cs="宋体"/>
          <w:b/>
          <w:color w:val="000000" w:themeColor="text1"/>
          <w:spacing w:val="40"/>
          <w:sz w:val="21"/>
          <w:szCs w:val="21"/>
          <w:highlight w:val="none"/>
          <w:lang w:val="en-US" w:eastAsia="zh-CN"/>
          <w14:textFill>
            <w14:solidFill>
              <w14:schemeClr w14:val="tx1"/>
            </w14:solidFill>
          </w14:textFill>
        </w:rPr>
        <w:t>(封面必须标注具体标项）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108" w:rightChars="0" w:firstLine="0" w:firstLineChars="0"/>
        <w:jc w:val="center"/>
        <w:textAlignment w:val="auto"/>
        <w:outlineLvl w:val="0"/>
        <w:rPr>
          <w:rFonts w:hint="eastAsia" w:ascii="宋体" w:hAnsi="宋体" w:eastAsia="宋体" w:cs="宋体"/>
          <w:b/>
          <w:color w:val="000000" w:themeColor="text1"/>
          <w:spacing w:val="40"/>
          <w:sz w:val="72"/>
          <w:szCs w:val="72"/>
          <w:highlight w:val="none"/>
          <w14:textFill>
            <w14:solidFill>
              <w14:schemeClr w14:val="tx1"/>
            </w14:solidFill>
          </w14:textFill>
        </w:rPr>
      </w:pPr>
      <w:bookmarkStart w:id="37" w:name="_Toc13291"/>
      <w:bookmarkStart w:id="38" w:name="_Toc12687"/>
    </w:p>
    <w:p>
      <w:pPr>
        <w:keepNext w:val="0"/>
        <w:keepLines w:val="0"/>
        <w:pageBreakBefore w:val="0"/>
        <w:widowControl w:val="0"/>
        <w:kinsoku/>
        <w:wordWrap/>
        <w:overflowPunct/>
        <w:topLinePunct w:val="0"/>
        <w:autoSpaceDE/>
        <w:autoSpaceDN/>
        <w:bidi w:val="0"/>
        <w:adjustRightInd/>
        <w:snapToGrid w:val="0"/>
        <w:spacing w:line="360" w:lineRule="auto"/>
        <w:ind w:left="0" w:leftChars="0" w:right="-108" w:rightChars="0" w:firstLine="0" w:firstLineChars="0"/>
        <w:jc w:val="center"/>
        <w:textAlignment w:val="auto"/>
        <w:outlineLvl w:val="0"/>
        <w:rPr>
          <w:rFonts w:hint="eastAsia" w:ascii="宋体" w:hAnsi="宋体" w:eastAsia="宋体" w:cs="宋体"/>
          <w:b/>
          <w:color w:val="000000" w:themeColor="text1"/>
          <w:spacing w:val="40"/>
          <w:sz w:val="72"/>
          <w:szCs w:val="72"/>
          <w:highlight w:val="none"/>
          <w14:textFill>
            <w14:solidFill>
              <w14:schemeClr w14:val="tx1"/>
            </w14:solidFill>
          </w14:textFill>
        </w:rPr>
      </w:pPr>
      <w:r>
        <w:rPr>
          <w:rFonts w:hint="eastAsia" w:ascii="宋体" w:hAnsi="宋体" w:eastAsia="宋体" w:cs="宋体"/>
          <w:b/>
          <w:color w:val="000000" w:themeColor="text1"/>
          <w:spacing w:val="40"/>
          <w:sz w:val="72"/>
          <w:szCs w:val="72"/>
          <w:highlight w:val="none"/>
          <w14:textFill>
            <w14:solidFill>
              <w14:schemeClr w14:val="tx1"/>
            </w14:solidFill>
          </w14:textFill>
        </w:rPr>
        <w:t>投</w:t>
      </w:r>
      <w:bookmarkEnd w:id="37"/>
      <w:bookmarkEnd w:id="38"/>
      <w:bookmarkStart w:id="39" w:name="_Toc28864"/>
      <w:bookmarkStart w:id="40" w:name="_Toc9229"/>
      <w:r>
        <w:rPr>
          <w:rFonts w:hint="eastAsia" w:ascii="宋体" w:hAnsi="宋体" w:cs="宋体"/>
          <w:b/>
          <w:color w:val="000000" w:themeColor="text1"/>
          <w:spacing w:val="40"/>
          <w:sz w:val="72"/>
          <w:szCs w:val="72"/>
          <w:highlight w:val="none"/>
          <w:lang w:val="en-US" w:eastAsia="zh-CN"/>
          <w14:textFill>
            <w14:solidFill>
              <w14:schemeClr w14:val="tx1"/>
            </w14:solidFill>
          </w14:textFill>
        </w:rPr>
        <w:t xml:space="preserve">  </w:t>
      </w:r>
      <w:r>
        <w:rPr>
          <w:rFonts w:hint="eastAsia" w:ascii="宋体" w:hAnsi="宋体" w:eastAsia="宋体" w:cs="宋体"/>
          <w:b/>
          <w:color w:val="000000" w:themeColor="text1"/>
          <w:spacing w:val="40"/>
          <w:sz w:val="72"/>
          <w:szCs w:val="72"/>
          <w:highlight w:val="none"/>
          <w14:textFill>
            <w14:solidFill>
              <w14:schemeClr w14:val="tx1"/>
            </w14:solidFill>
          </w14:textFill>
        </w:rPr>
        <w:t>标</w:t>
      </w:r>
      <w:bookmarkEnd w:id="39"/>
      <w:bookmarkEnd w:id="40"/>
      <w:bookmarkStart w:id="41" w:name="_Toc31067"/>
      <w:bookmarkStart w:id="42" w:name="_Toc18351"/>
      <w:r>
        <w:rPr>
          <w:rFonts w:hint="eastAsia" w:ascii="宋体" w:hAnsi="宋体" w:cs="宋体"/>
          <w:b/>
          <w:color w:val="000000" w:themeColor="text1"/>
          <w:spacing w:val="40"/>
          <w:sz w:val="72"/>
          <w:szCs w:val="72"/>
          <w:highlight w:val="none"/>
          <w:lang w:val="en-US" w:eastAsia="zh-CN"/>
          <w14:textFill>
            <w14:solidFill>
              <w14:schemeClr w14:val="tx1"/>
            </w14:solidFill>
          </w14:textFill>
        </w:rPr>
        <w:t xml:space="preserve"> </w:t>
      </w:r>
      <w:r>
        <w:rPr>
          <w:rFonts w:hint="eastAsia" w:ascii="宋体" w:hAnsi="宋体" w:eastAsia="宋体" w:cs="宋体"/>
          <w:b/>
          <w:color w:val="000000" w:themeColor="text1"/>
          <w:spacing w:val="40"/>
          <w:sz w:val="72"/>
          <w:szCs w:val="72"/>
          <w:highlight w:val="none"/>
          <w14:textFill>
            <w14:solidFill>
              <w14:schemeClr w14:val="tx1"/>
            </w14:solidFill>
          </w14:textFill>
        </w:rPr>
        <w:t>文</w:t>
      </w:r>
      <w:bookmarkEnd w:id="41"/>
      <w:bookmarkEnd w:id="42"/>
      <w:bookmarkStart w:id="43" w:name="_Toc720"/>
      <w:bookmarkStart w:id="44" w:name="_Toc23297"/>
      <w:r>
        <w:rPr>
          <w:rFonts w:hint="eastAsia" w:ascii="宋体" w:hAnsi="宋体" w:cs="宋体"/>
          <w:b/>
          <w:color w:val="000000" w:themeColor="text1"/>
          <w:spacing w:val="40"/>
          <w:sz w:val="72"/>
          <w:szCs w:val="72"/>
          <w:highlight w:val="none"/>
          <w:lang w:val="en-US" w:eastAsia="zh-CN"/>
          <w14:textFill>
            <w14:solidFill>
              <w14:schemeClr w14:val="tx1"/>
            </w14:solidFill>
          </w14:textFill>
        </w:rPr>
        <w:t xml:space="preserve"> </w:t>
      </w:r>
      <w:r>
        <w:rPr>
          <w:rFonts w:hint="eastAsia" w:ascii="宋体" w:hAnsi="宋体" w:eastAsia="宋体" w:cs="宋体"/>
          <w:b/>
          <w:color w:val="000000" w:themeColor="text1"/>
          <w:spacing w:val="40"/>
          <w:sz w:val="72"/>
          <w:szCs w:val="72"/>
          <w:highlight w:val="none"/>
          <w14:textFill>
            <w14:solidFill>
              <w14:schemeClr w14:val="tx1"/>
            </w14:solidFill>
          </w14:textFill>
        </w:rPr>
        <w:t>件</w:t>
      </w:r>
      <w:bookmarkEnd w:id="43"/>
      <w:bookmarkEnd w:id="44"/>
    </w:p>
    <w:p>
      <w:pPr>
        <w:pStyle w:val="3"/>
        <w:pageBreakBefore w:val="0"/>
        <w:widowControl w:val="0"/>
        <w:kinsoku/>
        <w:wordWrap/>
        <w:overflowPunct/>
        <w:topLinePunct w:val="0"/>
        <w:autoSpaceDE/>
        <w:autoSpaceDN/>
        <w:bidi w:val="0"/>
        <w:adjustRightInd/>
        <w:snapToGrid/>
        <w:spacing w:before="0" w:after="0" w:line="360" w:lineRule="exact"/>
        <w:ind w:left="0" w:leftChars="0" w:right="0" w:rightChars="0" w:firstLine="0" w:firstLineChars="0"/>
        <w:jc w:val="center"/>
        <w:rPr>
          <w:rFonts w:hint="eastAsia" w:ascii="宋体" w:hAnsi="宋体" w:cs="宋体"/>
          <w:b/>
          <w:color w:val="000000" w:themeColor="text1"/>
          <w:spacing w:val="40"/>
          <w:sz w:val="32"/>
          <w:szCs w:val="32"/>
          <w:highlight w:val="none"/>
          <w:lang w:val="en-US" w:eastAsia="zh-CN"/>
          <w14:textFill>
            <w14:solidFill>
              <w14:schemeClr w14:val="tx1"/>
            </w14:solidFill>
          </w14:textFill>
        </w:rPr>
      </w:pPr>
      <w:r>
        <w:rPr>
          <w:rFonts w:hint="eastAsia" w:ascii="宋体" w:hAnsi="宋体" w:cs="宋体"/>
          <w:b/>
          <w:color w:val="000000" w:themeColor="text1"/>
          <w:spacing w:val="40"/>
          <w:sz w:val="32"/>
          <w:szCs w:val="32"/>
          <w:highlight w:val="none"/>
          <w:lang w:eastAsia="zh-CN"/>
          <w14:textFill>
            <w14:solidFill>
              <w14:schemeClr w14:val="tx1"/>
            </w14:solidFill>
          </w14:textFill>
        </w:rPr>
        <w:t>（</w:t>
      </w:r>
      <w:r>
        <w:rPr>
          <w:rFonts w:hint="eastAsia" w:ascii="宋体" w:hAnsi="宋体" w:cs="宋体"/>
          <w:b/>
          <w:color w:val="000000" w:themeColor="text1"/>
          <w:spacing w:val="40"/>
          <w:sz w:val="32"/>
          <w:szCs w:val="32"/>
          <w:highlight w:val="none"/>
          <w:u w:val="single"/>
          <w:lang w:val="en-US" w:eastAsia="zh-CN"/>
          <w14:textFill>
            <w14:solidFill>
              <w14:schemeClr w14:val="tx1"/>
            </w14:solidFill>
          </w14:textFill>
        </w:rPr>
        <w:t>资格、商务技术文件</w:t>
      </w:r>
      <w:r>
        <w:rPr>
          <w:rFonts w:hint="eastAsia" w:ascii="宋体" w:hAnsi="宋体" w:cs="宋体"/>
          <w:b/>
          <w:color w:val="000000" w:themeColor="text1"/>
          <w:spacing w:val="40"/>
          <w:sz w:val="32"/>
          <w:szCs w:val="32"/>
          <w:highlight w:val="none"/>
          <w:lang w:val="en-US" w:eastAsia="zh-CN"/>
          <w14:textFill>
            <w14:solidFill>
              <w14:schemeClr w14:val="tx1"/>
            </w14:solidFill>
          </w14:textFill>
        </w:rPr>
        <w:t>/</w:t>
      </w:r>
      <w:r>
        <w:rPr>
          <w:rFonts w:hint="eastAsia" w:ascii="宋体" w:hAnsi="宋体" w:cs="宋体"/>
          <w:b/>
          <w:color w:val="000000" w:themeColor="text1"/>
          <w:spacing w:val="40"/>
          <w:sz w:val="32"/>
          <w:szCs w:val="32"/>
          <w:highlight w:val="none"/>
          <w:u w:val="single"/>
          <w:lang w:val="en-US" w:eastAsia="zh-CN"/>
          <w14:textFill>
            <w14:solidFill>
              <w14:schemeClr w14:val="tx1"/>
            </w14:solidFill>
          </w14:textFill>
        </w:rPr>
        <w:t>报价文件</w:t>
      </w:r>
      <w:r>
        <w:rPr>
          <w:rFonts w:hint="eastAsia" w:ascii="宋体" w:hAnsi="宋体" w:cs="宋体"/>
          <w:b/>
          <w:color w:val="000000" w:themeColor="text1"/>
          <w:spacing w:val="40"/>
          <w:sz w:val="32"/>
          <w:szCs w:val="32"/>
          <w:highlight w:val="none"/>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rPr>
          <w:rFonts w:hint="eastAsia"/>
          <w:color w:val="000000" w:themeColor="text1"/>
          <w:highlight w:val="none"/>
          <w:lang w:eastAsia="zh-CN"/>
          <w14:textFill>
            <w14:solidFill>
              <w14:schemeClr w14:val="tx1"/>
            </w14:solidFill>
          </w14:textFill>
        </w:rPr>
      </w:pPr>
      <w:r>
        <w:rPr>
          <w:rFonts w:hint="eastAsia" w:ascii="宋体" w:hAnsi="宋体" w:cs="宋体"/>
          <w:b/>
          <w:color w:val="000000" w:themeColor="text1"/>
          <w:spacing w:val="40"/>
          <w:sz w:val="21"/>
          <w:szCs w:val="21"/>
          <w:highlight w:val="none"/>
          <w:lang w:val="en-US" w:eastAsia="zh-CN"/>
          <w14:textFill>
            <w14:solidFill>
              <w14:schemeClr w14:val="tx1"/>
            </w14:solidFill>
          </w14:textFill>
        </w:rPr>
        <w:t>注：具体文件名称根据投标文件实际内容标注</w:t>
      </w:r>
    </w:p>
    <w:p>
      <w:pPr>
        <w:snapToGrid w:val="0"/>
        <w:spacing w:line="360" w:lineRule="auto"/>
        <w:ind w:right="532"/>
        <w:rPr>
          <w:rFonts w:hint="eastAsia" w:ascii="宋体" w:hAnsi="宋体" w:eastAsia="宋体" w:cs="宋体"/>
          <w:color w:val="000000" w:themeColor="text1"/>
          <w:sz w:val="32"/>
          <w:szCs w:val="32"/>
          <w:highlight w:val="none"/>
          <w14:textFill>
            <w14:solidFill>
              <w14:schemeClr w14:val="tx1"/>
            </w14:solidFill>
          </w14:textFill>
        </w:rPr>
      </w:pPr>
    </w:p>
    <w:p>
      <w:pPr>
        <w:snapToGrid w:val="0"/>
        <w:spacing w:line="360" w:lineRule="auto"/>
        <w:ind w:right="532" w:firstLine="640" w:firstLineChars="200"/>
        <w:outlineLvl w:val="0"/>
        <w:rPr>
          <w:rFonts w:hint="eastAsia" w:ascii="宋体" w:hAnsi="宋体" w:eastAsia="宋体" w:cs="宋体"/>
          <w:color w:val="000000" w:themeColor="text1"/>
          <w:sz w:val="32"/>
          <w:szCs w:val="32"/>
          <w:highlight w:val="none"/>
          <w14:textFill>
            <w14:solidFill>
              <w14:schemeClr w14:val="tx1"/>
            </w14:solidFill>
          </w14:textFill>
        </w:rPr>
      </w:pPr>
      <w:bookmarkStart w:id="45" w:name="_Toc22859"/>
      <w:bookmarkStart w:id="46" w:name="_Toc22865"/>
    </w:p>
    <w:p>
      <w:pPr>
        <w:snapToGrid w:val="0"/>
        <w:spacing w:line="360" w:lineRule="auto"/>
        <w:ind w:right="532" w:firstLine="640" w:firstLineChars="200"/>
        <w:outlineLvl w:val="0"/>
        <w:rPr>
          <w:rFonts w:hint="eastAsia" w:ascii="宋体" w:hAnsi="宋体" w:eastAsia="宋体" w:cs="宋体"/>
          <w:color w:val="000000" w:themeColor="text1"/>
          <w:sz w:val="32"/>
          <w:szCs w:val="32"/>
          <w:highlight w:val="none"/>
          <w14:textFill>
            <w14:solidFill>
              <w14:schemeClr w14:val="tx1"/>
            </w14:solidFill>
          </w14:textFill>
        </w:rPr>
      </w:pPr>
    </w:p>
    <w:p>
      <w:pPr>
        <w:snapToGrid w:val="0"/>
        <w:spacing w:line="360" w:lineRule="auto"/>
        <w:ind w:right="532" w:firstLine="640" w:firstLineChars="200"/>
        <w:outlineLvl w:val="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投标人全称（</w:t>
      </w:r>
      <w:r>
        <w:rPr>
          <w:rFonts w:hint="eastAsia" w:ascii="宋体" w:hAnsi="宋体" w:cs="宋体"/>
          <w:color w:val="000000" w:themeColor="text1"/>
          <w:sz w:val="32"/>
          <w:szCs w:val="32"/>
          <w:highlight w:val="none"/>
          <w:lang w:val="en-US" w:eastAsia="zh-CN"/>
          <w14:textFill>
            <w14:solidFill>
              <w14:schemeClr w14:val="tx1"/>
            </w14:solidFill>
          </w14:textFill>
        </w:rPr>
        <w:t>盖单位</w:t>
      </w:r>
      <w:r>
        <w:rPr>
          <w:rFonts w:hint="eastAsia" w:ascii="宋体" w:hAnsi="宋体" w:eastAsia="宋体" w:cs="宋体"/>
          <w:color w:val="000000" w:themeColor="text1"/>
          <w:sz w:val="32"/>
          <w:szCs w:val="32"/>
          <w:highlight w:val="none"/>
          <w14:textFill>
            <w14:solidFill>
              <w14:schemeClr w14:val="tx1"/>
            </w14:solidFill>
          </w14:textFill>
        </w:rPr>
        <w:t>公章）：</w:t>
      </w:r>
      <w:bookmarkEnd w:id="45"/>
      <w:bookmarkEnd w:id="46"/>
    </w:p>
    <w:p>
      <w:pPr>
        <w:snapToGrid w:val="0"/>
        <w:spacing w:line="360" w:lineRule="auto"/>
        <w:ind w:right="532" w:firstLine="640" w:firstLineChars="200"/>
        <w:outlineLvl w:val="0"/>
        <w:rPr>
          <w:rFonts w:hint="eastAsia" w:ascii="宋体" w:hAnsi="宋体" w:cs="宋体"/>
          <w:color w:val="000000" w:themeColor="text1"/>
          <w:sz w:val="32"/>
          <w:szCs w:val="32"/>
          <w:highlight w:val="none"/>
          <w:lang w:val="en-US" w:eastAsia="zh-CN"/>
          <w14:textFill>
            <w14:solidFill>
              <w14:schemeClr w14:val="tx1"/>
            </w14:solidFill>
          </w14:textFill>
        </w:rPr>
      </w:pPr>
      <w:bookmarkStart w:id="47" w:name="_Toc23785"/>
      <w:bookmarkStart w:id="48" w:name="_Toc9997"/>
      <w:r>
        <w:rPr>
          <w:rFonts w:hint="eastAsia" w:ascii="宋体" w:hAnsi="宋体" w:cs="宋体"/>
          <w:color w:val="000000" w:themeColor="text1"/>
          <w:sz w:val="32"/>
          <w:szCs w:val="32"/>
          <w:highlight w:val="none"/>
          <w:lang w:val="en-US" w:eastAsia="zh-CN"/>
          <w14:textFill>
            <w14:solidFill>
              <w14:schemeClr w14:val="tx1"/>
            </w14:solidFill>
          </w14:textFill>
        </w:rPr>
        <w:t>投标人地址：</w:t>
      </w:r>
    </w:p>
    <w:p>
      <w:pPr>
        <w:snapToGrid w:val="0"/>
        <w:spacing w:line="360" w:lineRule="auto"/>
        <w:ind w:right="532" w:firstLine="640" w:firstLineChars="200"/>
        <w:outlineLvl w:val="0"/>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lang w:val="en-US" w:eastAsia="zh-CN"/>
          <w14:textFill>
            <w14:solidFill>
              <w14:schemeClr w14:val="tx1"/>
            </w14:solidFill>
          </w14:textFill>
        </w:rPr>
        <w:t>投标文件签署人</w:t>
      </w:r>
      <w:r>
        <w:rPr>
          <w:rFonts w:hint="eastAsia" w:ascii="宋体" w:hAnsi="宋体" w:eastAsia="宋体" w:cs="宋体"/>
          <w:color w:val="000000" w:themeColor="text1"/>
          <w:sz w:val="32"/>
          <w:szCs w:val="32"/>
          <w:highlight w:val="none"/>
          <w14:textFill>
            <w14:solidFill>
              <w14:schemeClr w14:val="tx1"/>
            </w14:solidFill>
          </w14:textFill>
        </w:rPr>
        <w:t>（签字</w:t>
      </w:r>
      <w:r>
        <w:rPr>
          <w:rFonts w:hint="eastAsia" w:ascii="宋体" w:hAnsi="宋体" w:cs="宋体"/>
          <w:color w:val="000000" w:themeColor="text1"/>
          <w:sz w:val="32"/>
          <w:szCs w:val="32"/>
          <w:highlight w:val="none"/>
          <w:lang w:val="en-US" w:eastAsia="zh-CN"/>
          <w14:textFill>
            <w14:solidFill>
              <w14:schemeClr w14:val="tx1"/>
            </w14:solidFill>
          </w14:textFill>
        </w:rPr>
        <w:t>或盖章</w:t>
      </w:r>
      <w:r>
        <w:rPr>
          <w:rFonts w:hint="eastAsia" w:ascii="宋体" w:hAnsi="宋体" w:eastAsia="宋体" w:cs="宋体"/>
          <w:color w:val="000000" w:themeColor="text1"/>
          <w:sz w:val="32"/>
          <w:szCs w:val="32"/>
          <w:highlight w:val="none"/>
          <w14:textFill>
            <w14:solidFill>
              <w14:schemeClr w14:val="tx1"/>
            </w14:solidFill>
          </w14:textFill>
        </w:rPr>
        <w:t>）：</w:t>
      </w:r>
      <w:bookmarkEnd w:id="47"/>
      <w:bookmarkEnd w:id="48"/>
    </w:p>
    <w:p>
      <w:pPr>
        <w:snapToGrid w:val="0"/>
        <w:spacing w:line="360" w:lineRule="auto"/>
        <w:ind w:right="532" w:firstLine="640" w:firstLineChars="200"/>
        <w:outlineLvl w:val="0"/>
        <w:rPr>
          <w:rFonts w:hint="eastAsia" w:ascii="宋体" w:hAnsi="宋体" w:cs="宋体"/>
          <w:color w:val="000000" w:themeColor="text1"/>
          <w:sz w:val="32"/>
          <w:szCs w:val="32"/>
          <w:highlight w:val="none"/>
          <w:lang w:val="en-US" w:eastAsia="zh-CN"/>
          <w14:textFill>
            <w14:solidFill>
              <w14:schemeClr w14:val="tx1"/>
            </w14:solidFill>
          </w14:textFill>
        </w:rPr>
        <w:sectPr>
          <w:footerReference r:id="rId12" w:type="firs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bookmarkStart w:id="49" w:name="_Toc24658"/>
      <w:bookmarkStart w:id="50" w:name="_Toc21164"/>
      <w:r>
        <w:rPr>
          <w:rFonts w:hint="eastAsia" w:ascii="宋体" w:hAnsi="宋体" w:cs="宋体"/>
          <w:color w:val="000000" w:themeColor="text1"/>
          <w:sz w:val="32"/>
          <w:szCs w:val="32"/>
          <w:highlight w:val="none"/>
          <w:lang w:val="en-US" w:eastAsia="zh-CN"/>
          <w14:textFill>
            <w14:solidFill>
              <w14:schemeClr w14:val="tx1"/>
            </w14:solidFill>
          </w14:textFill>
        </w:rPr>
        <w:t>日期</w:t>
      </w:r>
      <w:r>
        <w:rPr>
          <w:rFonts w:hint="eastAsia" w:ascii="宋体" w:hAnsi="宋体" w:eastAsia="宋体" w:cs="宋体"/>
          <w:color w:val="000000" w:themeColor="text1"/>
          <w:sz w:val="32"/>
          <w:szCs w:val="32"/>
          <w:highlight w:val="none"/>
          <w14:textFill>
            <w14:solidFill>
              <w14:schemeClr w14:val="tx1"/>
            </w14:solidFill>
          </w14:textFill>
        </w:rPr>
        <w:t>：</w:t>
      </w:r>
      <w:bookmarkEnd w:id="49"/>
      <w:bookmarkEnd w:id="50"/>
      <w:r>
        <w:rPr>
          <w:rFonts w:hint="eastAsia" w:ascii="宋体" w:hAnsi="宋体" w:cs="宋体"/>
          <w:color w:val="000000" w:themeColor="text1"/>
          <w:sz w:val="32"/>
          <w:szCs w:val="32"/>
          <w:highlight w:val="none"/>
          <w:lang w:val="en-US" w:eastAsia="zh-CN"/>
          <w14:textFill>
            <w14:solidFill>
              <w14:schemeClr w14:val="tx1"/>
            </w14:solidFill>
          </w14:textFill>
        </w:rPr>
        <w:t xml:space="preserve">  年  月  日</w:t>
      </w:r>
    </w:p>
    <w:p>
      <w:pPr>
        <w:snapToGrid w:val="0"/>
        <w:spacing w:line="360" w:lineRule="auto"/>
        <w:jc w:val="center"/>
        <w:outlineLvl w:val="0"/>
        <w:rPr>
          <w:rFonts w:hint="eastAsia" w:ascii="宋体" w:hAnsi="宋体" w:eastAsia="宋体" w:cs="宋体"/>
          <w:b/>
          <w:bCs/>
          <w:color w:val="000000" w:themeColor="text1"/>
          <w:sz w:val="32"/>
          <w:szCs w:val="32"/>
          <w:highlight w:val="none"/>
          <w14:textFill>
            <w14:solidFill>
              <w14:schemeClr w14:val="tx1"/>
            </w14:solidFill>
          </w14:textFill>
        </w:rPr>
      </w:pPr>
      <w:bookmarkStart w:id="51" w:name="_Toc744"/>
      <w:bookmarkStart w:id="52" w:name="_Toc2908"/>
      <w:r>
        <w:rPr>
          <w:rFonts w:hint="eastAsia" w:ascii="宋体" w:hAnsi="宋体" w:eastAsia="宋体" w:cs="宋体"/>
          <w:b/>
          <w:bCs/>
          <w:color w:val="000000" w:themeColor="text1"/>
          <w:sz w:val="32"/>
          <w:szCs w:val="32"/>
          <w:highlight w:val="none"/>
          <w14:textFill>
            <w14:solidFill>
              <w14:schemeClr w14:val="tx1"/>
            </w14:solidFill>
          </w14:textFill>
        </w:rPr>
        <w:t>资格证明文件</w:t>
      </w:r>
      <w:bookmarkEnd w:id="51"/>
      <w:bookmarkEnd w:id="52"/>
    </w:p>
    <w:p>
      <w:pPr>
        <w:pStyle w:val="3"/>
        <w:pageBreakBefore w:val="0"/>
        <w:shd w:val="clear"/>
        <w:kinsoku/>
        <w:wordWrap/>
        <w:overflowPunct/>
        <w:topLinePunct w:val="0"/>
        <w:autoSpaceDE/>
        <w:autoSpaceDN/>
        <w:bidi w:val="0"/>
        <w:adjustRightInd/>
        <w:spacing w:before="0" w:after="0" w:line="400" w:lineRule="exact"/>
        <w:ind w:left="0" w:leftChars="0" w:right="0" w:rightChars="0"/>
        <w:jc w:val="center"/>
        <w:rPr>
          <w:rFonts w:hint="eastAsia" w:ascii="宋体" w:hAnsi="宋体" w:eastAsia="宋体" w:cs="宋体"/>
          <w:color w:val="000000" w:themeColor="text1"/>
          <w:sz w:val="24"/>
          <w:szCs w:val="24"/>
          <w:highlight w:val="none"/>
          <w14:textFill>
            <w14:solidFill>
              <w14:schemeClr w14:val="tx1"/>
            </w14:solidFill>
          </w14:textFill>
        </w:rPr>
      </w:pPr>
      <w:bookmarkStart w:id="53" w:name="_Toc27634"/>
      <w:bookmarkStart w:id="54" w:name="_Toc30479"/>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（有格式的参照格式，无格式的自拟）</w:t>
      </w:r>
      <w:bookmarkEnd w:id="53"/>
      <w:bookmarkEnd w:id="54"/>
    </w:p>
    <w:p>
      <w:pPr>
        <w:pageBreakBefore w:val="0"/>
        <w:widowControl/>
        <w:numPr>
          <w:ilvl w:val="0"/>
          <w:numId w:val="17"/>
        </w:numPr>
        <w:kinsoku/>
        <w:wordWrap/>
        <w:overflowPunct/>
        <w:topLinePunct w:val="0"/>
        <w:autoSpaceDE/>
        <w:autoSpaceDN/>
        <w:bidi w:val="0"/>
        <w:adjustRightInd/>
        <w:spacing w:line="400" w:lineRule="exact"/>
        <w:ind w:left="0" w:leftChars="0" w:right="0" w:rightChars="0" w:firstLine="360" w:firstLineChars="150"/>
        <w:jc w:val="left"/>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符合参加政府采购活动应当具备的一般条件的承诺函</w:t>
      </w:r>
      <w:r>
        <w:rPr>
          <w:rFonts w:hint="eastAsia" w:ascii="宋体" w:hAnsi="宋体" w:cs="宋体"/>
          <w:color w:val="000000" w:themeColor="text1"/>
          <w:sz w:val="24"/>
          <w:szCs w:val="24"/>
          <w:highlight w:val="none"/>
          <w:lang w:val="en-US" w:eastAsia="zh-CN"/>
          <w14:textFill>
            <w14:solidFill>
              <w14:schemeClr w14:val="tx1"/>
            </w14:solidFill>
          </w14:textFill>
        </w:rPr>
        <w:t>;</w:t>
      </w:r>
    </w:p>
    <w:p>
      <w:pPr>
        <w:pageBreakBefore w:val="0"/>
        <w:widowControl/>
        <w:numPr>
          <w:ilvl w:val="0"/>
          <w:numId w:val="17"/>
        </w:numPr>
        <w:kinsoku/>
        <w:wordWrap/>
        <w:overflowPunct/>
        <w:topLinePunct w:val="0"/>
        <w:autoSpaceDE/>
        <w:autoSpaceDN/>
        <w:bidi w:val="0"/>
        <w:adjustRightInd/>
        <w:spacing w:line="400" w:lineRule="exact"/>
        <w:ind w:left="0" w:leftChars="0" w:right="0" w:rightChars="0" w:firstLine="360" w:firstLineChars="150"/>
        <w:jc w:val="left"/>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法人或者其他组织的营业执照等证明文件</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复印件加盖公章</w:t>
      </w:r>
      <w:r>
        <w:rPr>
          <w:rFonts w:hint="eastAsia" w:ascii="宋体" w:hAnsi="宋体" w:eastAsia="宋体" w:cs="宋体"/>
          <w:color w:val="000000" w:themeColor="text1"/>
          <w:kern w:val="0"/>
          <w:sz w:val="24"/>
          <w:szCs w:val="24"/>
          <w:highlight w:val="none"/>
          <w14:textFill>
            <w14:solidFill>
              <w14:schemeClr w14:val="tx1"/>
            </w14:solidFill>
          </w14:textFill>
        </w:rPr>
        <w:t>（如投标人为自然人，则应提供自然人的身份证明）</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pPr>
        <w:pageBreakBefore w:val="0"/>
        <w:widowControl/>
        <w:numPr>
          <w:ilvl w:val="0"/>
          <w:numId w:val="17"/>
        </w:numPr>
        <w:kinsoku/>
        <w:wordWrap/>
        <w:overflowPunct/>
        <w:topLinePunct w:val="0"/>
        <w:autoSpaceDE/>
        <w:autoSpaceDN/>
        <w:bidi w:val="0"/>
        <w:adjustRightInd/>
        <w:spacing w:line="400" w:lineRule="exact"/>
        <w:ind w:left="0" w:leftChars="0" w:right="0" w:rightChars="0" w:firstLine="360" w:firstLineChars="150"/>
        <w:jc w:val="lef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投标声明书</w:t>
      </w: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pPr>
        <w:keepNext/>
        <w:keepLines w:val="0"/>
        <w:pageBreakBefore w:val="0"/>
        <w:widowControl/>
        <w:numPr>
          <w:ilvl w:val="0"/>
          <w:numId w:val="17"/>
        </w:numPr>
        <w:kinsoku w:val="0"/>
        <w:wordWrap w:val="0"/>
        <w:overflowPunct/>
        <w:topLinePunct w:val="0"/>
        <w:autoSpaceDE/>
        <w:autoSpaceDN/>
        <w:bidi w:val="0"/>
        <w:adjustRightInd/>
        <w:snapToGrid/>
        <w:spacing w:line="400" w:lineRule="exact"/>
        <w:ind w:left="0" w:leftChars="0" w:right="0" w:rightChars="0" w:firstLine="360" w:firstLineChars="150"/>
        <w:jc w:val="left"/>
        <w:textAlignment w:val="auto"/>
        <w:outlineLvl w:val="9"/>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投标人资格条件中要求的其他材料</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中小企业声明函，自愿提供</w:t>
      </w:r>
      <w:r>
        <w:rPr>
          <w:rFonts w:hint="eastAsia" w:ascii="宋体" w:hAnsi="宋体" w:cs="宋体"/>
          <w:b/>
          <w:bCs/>
          <w:color w:val="000000" w:themeColor="text1"/>
          <w:sz w:val="24"/>
          <w:highlight w:val="none"/>
          <w:lang w:val="en-US" w:eastAsia="zh-CN"/>
          <w14:textFill>
            <w14:solidFill>
              <w14:schemeClr w14:val="tx1"/>
            </w14:solidFill>
          </w14:textFill>
        </w:rPr>
        <w:t>未被‘信用中国”网站（www.creditchina.gov.cn)中国政府采购网（www.ccgp.gov.cn）’列入失信被执行人、重大税收违法失信主体、政府采购严重违法失信行为记录名单的截图证明）</w:t>
      </w:r>
    </w:p>
    <w:p>
      <w:pPr>
        <w:pageBreakBefore w:val="0"/>
        <w:widowControl/>
        <w:kinsoku/>
        <w:wordWrap/>
        <w:overflowPunct/>
        <w:topLinePunct w:val="0"/>
        <w:autoSpaceDE/>
        <w:autoSpaceDN/>
        <w:bidi w:val="0"/>
        <w:adjustRightInd/>
        <w:spacing w:line="400" w:lineRule="exact"/>
        <w:ind w:left="0" w:leftChars="0" w:right="0" w:rightChars="0" w:firstLine="360" w:firstLineChars="150"/>
        <w:jc w:val="left"/>
        <w:rPr>
          <w:rFonts w:hint="eastAsia" w:ascii="宋体" w:hAnsi="宋体" w:eastAsia="宋体" w:cs="宋体"/>
          <w:color w:val="000000" w:themeColor="text1"/>
          <w:kern w:val="0"/>
          <w:sz w:val="24"/>
          <w:szCs w:val="24"/>
          <w:highlight w:val="none"/>
          <w14:textFill>
            <w14:solidFill>
              <w14:schemeClr w14:val="tx1"/>
            </w14:solidFill>
          </w14:textFill>
        </w:rPr>
      </w:pPr>
    </w:p>
    <w:p>
      <w:pPr>
        <w:pageBreakBefore w:val="0"/>
        <w:kinsoku/>
        <w:wordWrap/>
        <w:overflowPunct/>
        <w:topLinePunct w:val="0"/>
        <w:autoSpaceDE/>
        <w:autoSpaceDN/>
        <w:bidi w:val="0"/>
        <w:adjustRightInd/>
        <w:snapToGrid w:val="0"/>
        <w:spacing w:line="400" w:lineRule="exact"/>
        <w:ind w:left="0" w:leftChars="0" w:right="0" w:rightChars="0"/>
        <w:jc w:val="center"/>
        <w:rPr>
          <w:rFonts w:hint="eastAsia" w:ascii="宋体" w:hAnsi="宋体" w:eastAsia="宋体" w:cs="宋体"/>
          <w:b/>
          <w:bCs/>
          <w:color w:val="000000" w:themeColor="text1"/>
          <w:sz w:val="24"/>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napToGrid w:val="0"/>
        <w:spacing w:line="360" w:lineRule="auto"/>
        <w:ind w:right="480"/>
        <w:jc w:val="center"/>
        <w:rPr>
          <w:rFonts w:hint="eastAsia"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符合参加政府采购活动应当具备的一般条件的承诺函</w:t>
      </w:r>
    </w:p>
    <w:p>
      <w:pPr>
        <w:keepNext w:val="0"/>
        <w:keepLines w:val="0"/>
        <w:pageBreakBefore w:val="0"/>
        <w:widowControl w:val="0"/>
        <w:kinsoku/>
        <w:wordWrap/>
        <w:overflowPunct/>
        <w:topLinePunct w:val="0"/>
        <w:bidi w:val="0"/>
        <w:adjustRightInd/>
        <w:snapToGrid w:val="0"/>
        <w:spacing w:line="400" w:lineRule="exact"/>
        <w:ind w:left="0" w:leftChars="0" w:right="0" w:rightChars="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（采购人）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（采购代理机构）</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我方参与（项目名称）【招标编号：（采购编号）】政府采购活动，郑重承诺：</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360" w:firstLineChars="15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（一）具备《中华人民共和国政府采购法》第二十二条第一款规定的条件：</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具有独立承担民事责任的能力；</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 xml:space="preserve">具有良好的商业信誉和健全的财务会计制度； </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具有履行合同所必需的设备和专业技术能力；</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有依法缴纳税收和社会保障资金的良好记录；</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参加政府采购活动前三年内，在经营活动中没有重大违法记录；</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具有法律、行政法规规定的其他条件。</w:t>
      </w:r>
    </w:p>
    <w:p>
      <w:pPr>
        <w:keepNext/>
        <w:keepLines w:val="0"/>
        <w:pageBreakBefore w:val="0"/>
        <w:widowControl w:val="0"/>
        <w:kinsoku w:val="0"/>
        <w:wordWrap w:val="0"/>
        <w:overflowPunct/>
        <w:topLinePunct w:val="0"/>
        <w:autoSpaceDE/>
        <w:autoSpaceDN/>
        <w:bidi w:val="0"/>
        <w:adjustRightInd/>
        <w:snapToGrid w:val="0"/>
        <w:spacing w:line="40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（二）未被信用中国（www.creditchina.gov.cn)、中国政府采购网（www.ccgp.gov.cn）列入失信被执行人、</w:t>
      </w:r>
      <w:r>
        <w:rPr>
          <w:rFonts w:hint="eastAsia" w:ascii="宋体" w:hAnsi="宋体" w:cs="宋体"/>
          <w:color w:val="000000" w:themeColor="text1"/>
          <w:sz w:val="24"/>
          <w:highlight w:val="none"/>
          <w:lang w:eastAsia="zh-CN"/>
          <w14:textFill>
            <w14:solidFill>
              <w14:schemeClr w14:val="tx1"/>
            </w14:solidFill>
          </w14:textFill>
        </w:rPr>
        <w:t>重大税收违法失信主体</w:t>
      </w:r>
      <w:r>
        <w:rPr>
          <w:rFonts w:hint="eastAsia" w:ascii="宋体" w:hAnsi="宋体" w:eastAsia="宋体" w:cs="宋体"/>
          <w:color w:val="000000" w:themeColor="text1"/>
          <w:sz w:val="24"/>
          <w:highlight w:val="none"/>
          <w14:textFill>
            <w14:solidFill>
              <w14:schemeClr w14:val="tx1"/>
            </w14:solidFill>
          </w14:textFill>
        </w:rPr>
        <w:t>、政府采购严重违法失信行为记录名单。</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（三）不存在以下情况：</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单位负责人为同一人或者存在直接控股、管理关系的不同供应商参加同一合同项下的政府采购活动的；</w:t>
      </w:r>
    </w:p>
    <w:p>
      <w:pPr>
        <w:keepNext w:val="0"/>
        <w:keepLines w:val="0"/>
        <w:pageBreakBefore w:val="0"/>
        <w:widowControl w:val="0"/>
        <w:kinsoku/>
        <w:wordWrap/>
        <w:overflowPunct/>
        <w:topLinePunct w:val="0"/>
        <w:bidi w:val="0"/>
        <w:adjustRightInd/>
        <w:snapToGrid w:val="0"/>
        <w:spacing w:line="400" w:lineRule="exact"/>
        <w:ind w:left="0" w:leftChars="0" w:right="0" w:rightChars="0" w:firstLine="480" w:firstLineChars="200"/>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为采购项目提供整体设计、规范编制或者项目管理、监理、检测等服务后再参加该采购项目的其他采购活动的。</w:t>
      </w:r>
    </w:p>
    <w:p>
      <w:pPr>
        <w:keepNext w:val="0"/>
        <w:keepLines w:val="0"/>
        <w:pageBreakBefore w:val="0"/>
        <w:widowControl w:val="0"/>
        <w:kinsoku/>
        <w:wordWrap/>
        <w:overflowPunct/>
        <w:topLinePunct w:val="0"/>
        <w:autoSpaceDE w:val="0"/>
        <w:autoSpaceDN w:val="0"/>
        <w:bidi w:val="0"/>
        <w:adjustRightInd/>
        <w:snapToGrid w:val="0"/>
        <w:spacing w:line="400" w:lineRule="exact"/>
        <w:ind w:right="0" w:rightChars="0"/>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val="0"/>
        <w:spacing w:line="40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投标人名称（公章）：</w:t>
      </w: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法定代表人或其授权代表（签字）：</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日期：  年  月   日</w:t>
      </w:r>
    </w:p>
    <w:p>
      <w:pPr>
        <w:keepNext/>
        <w:keepLines w:val="0"/>
        <w:pageBreakBefore w:val="0"/>
        <w:widowControl w:val="0"/>
        <w:kinsoku w:val="0"/>
        <w:wordWrap w:val="0"/>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宋体" w:hAnsi="宋体" w:cs="宋体"/>
          <w:b/>
          <w:bCs/>
          <w:color w:val="000000" w:themeColor="text1"/>
          <w:kern w:val="0"/>
          <w:sz w:val="24"/>
          <w:highlight w:val="none"/>
          <w:lang w:val="en-US" w:eastAsia="zh-CN"/>
          <w14:textFill>
            <w14:solidFill>
              <w14:schemeClr w14:val="tx1"/>
            </w14:solidFill>
          </w14:textFill>
        </w:rPr>
      </w:pPr>
    </w:p>
    <w:p>
      <w:pPr>
        <w:snapToGrid w:val="0"/>
        <w:spacing w:line="360" w:lineRule="auto"/>
        <w:jc w:val="both"/>
        <w:rPr>
          <w:rFonts w:hint="eastAsia" w:ascii="宋体" w:hAnsi="宋体" w:cs="宋体"/>
          <w:b/>
          <w:bCs/>
          <w:color w:val="0000FF"/>
          <w:sz w:val="24"/>
          <w:highlight w:val="none"/>
          <w:lang w:val="en-US" w:eastAsia="zh-CN"/>
        </w:rPr>
      </w:pPr>
    </w:p>
    <w:p>
      <w:pPr>
        <w:snapToGrid w:val="0"/>
        <w:spacing w:line="360" w:lineRule="auto"/>
        <w:jc w:val="both"/>
        <w:rPr>
          <w:rFonts w:hint="eastAsia" w:ascii="宋体" w:hAnsi="宋体" w:cs="宋体"/>
          <w:b/>
          <w:bCs/>
          <w:color w:val="0000FF"/>
          <w:sz w:val="24"/>
          <w:highlight w:val="none"/>
          <w:lang w:val="en-US" w:eastAsia="zh-CN"/>
        </w:rPr>
      </w:pPr>
    </w:p>
    <w:p>
      <w:pPr>
        <w:snapToGrid w:val="0"/>
        <w:spacing w:line="360" w:lineRule="auto"/>
        <w:jc w:val="both"/>
        <w:rPr>
          <w:rFonts w:hint="eastAsia" w:ascii="宋体" w:hAnsi="宋体" w:cs="宋体"/>
          <w:b/>
          <w:bCs/>
          <w:color w:val="0000FF"/>
          <w:sz w:val="24"/>
          <w:highlight w:val="none"/>
          <w:lang w:val="en-US" w:eastAsia="zh-CN"/>
        </w:rPr>
      </w:pPr>
    </w:p>
    <w:p>
      <w:pPr>
        <w:snapToGrid w:val="0"/>
        <w:spacing w:line="360" w:lineRule="auto"/>
        <w:jc w:val="both"/>
        <w:rPr>
          <w:rFonts w:hint="eastAsia" w:ascii="宋体" w:hAnsi="宋体" w:cs="宋体"/>
          <w:b/>
          <w:bCs/>
          <w:color w:val="0000FF"/>
          <w:sz w:val="24"/>
          <w:highlight w:val="none"/>
          <w:lang w:val="en-US" w:eastAsia="zh-CN"/>
        </w:rPr>
      </w:pPr>
    </w:p>
    <w:p>
      <w:pPr>
        <w:snapToGrid w:val="0"/>
        <w:spacing w:line="360" w:lineRule="auto"/>
        <w:ind w:firstLine="480" w:firstLineChars="200"/>
        <w:jc w:val="both"/>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cs="宋体"/>
          <w:b w:val="0"/>
          <w:bCs w:val="0"/>
          <w:color w:val="000000" w:themeColor="text1"/>
          <w:sz w:val="24"/>
          <w:highlight w:val="none"/>
          <w:lang w:val="en-US" w:eastAsia="zh-CN"/>
          <w14:textFill>
            <w14:solidFill>
              <w14:schemeClr w14:val="tx1"/>
            </w14:solidFill>
          </w14:textFill>
        </w:rPr>
        <w:t>附：自愿提供未被‘信用中国”网站（www.creditchina.gov.cn)中国政府采购网（www.ccgp.gov.cn）’列入失信被执行人、重大税收违法失信主体、政府采购严重违法失信行为记录名单的截图证明。</w:t>
      </w:r>
    </w:p>
    <w:p>
      <w:pPr>
        <w:snapToGrid w:val="0"/>
        <w:spacing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投标声明书</w:t>
      </w:r>
    </w:p>
    <w:p>
      <w:pPr>
        <w:keepNext w:val="0"/>
        <w:keepLines w:val="0"/>
        <w:pageBreakBefore w:val="0"/>
        <w:widowControl w:val="0"/>
        <w:kinsoku/>
        <w:wordWrap/>
        <w:overflowPunct/>
        <w:topLinePunct w:val="0"/>
        <w:bidi w:val="0"/>
        <w:adjustRightInd/>
        <w:snapToGrid w:val="0"/>
        <w:spacing w:line="360" w:lineRule="exact"/>
        <w:ind w:left="0" w:leftChars="0" w:right="0" w:rightChars="0"/>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（采购人）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（采购代理机构）</w:t>
      </w:r>
      <w:r>
        <w:rPr>
          <w:rFonts w:hint="eastAsia" w:ascii="宋体" w:hAnsi="宋体" w:eastAsia="宋体" w:cs="宋体"/>
          <w:color w:val="000000" w:themeColor="text1"/>
          <w:ker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80"/>
        <w:textAlignment w:val="auto"/>
        <w:outlineLvl w:val="9"/>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14:textFill>
            <w14:solidFill>
              <w14:schemeClr w14:val="tx1"/>
            </w14:solidFill>
          </w14:textFill>
        </w:rPr>
        <w:t>我公司</w:t>
      </w:r>
      <w:r>
        <w:rPr>
          <w:rFonts w:hint="eastAsia" w:ascii="宋体" w:hAnsi="宋体" w:eastAsia="宋体" w:cs="宋体"/>
          <w:color w:val="000000" w:themeColor="text1"/>
          <w:sz w:val="24"/>
          <w:szCs w:val="24"/>
          <w:highlight w:val="none"/>
          <w14:textFill>
            <w14:solidFill>
              <w14:schemeClr w14:val="tx1"/>
            </w14:solidFill>
          </w14:textFill>
        </w:rPr>
        <w:t>声明截止投标时间近三年以来，在</w:t>
      </w:r>
      <w:r>
        <w:rPr>
          <w:rFonts w:hint="eastAsia" w:ascii="宋体" w:hAnsi="宋体" w:eastAsia="宋体" w:cs="宋体"/>
          <w:color w:val="000000" w:themeColor="text1"/>
          <w:kern w:val="0"/>
          <w:sz w:val="24"/>
          <w:szCs w:val="24"/>
          <w:highlight w:val="none"/>
          <w14:textFill>
            <w14:solidFill>
              <w14:schemeClr w14:val="tx1"/>
            </w14:solidFill>
          </w14:textFill>
        </w:rPr>
        <w:t>政府采购领域中</w:t>
      </w:r>
      <w:r>
        <w:rPr>
          <w:rFonts w:hint="eastAsia" w:ascii="宋体" w:hAnsi="宋体" w:eastAsia="宋体" w:cs="宋体"/>
          <w:color w:val="000000" w:themeColor="text1"/>
          <w:sz w:val="24"/>
          <w:szCs w:val="24"/>
          <w:highlight w:val="none"/>
          <w14:textFill>
            <w14:solidFill>
              <w14:schemeClr w14:val="tx1"/>
            </w14:solidFill>
          </w14:textFill>
        </w:rPr>
        <w:t>，在项目招标、投标和合同履约期间无任何不良行为记录和违法、违规行为</w:t>
      </w:r>
      <w:r>
        <w:rPr>
          <w:rFonts w:hint="eastAsia" w:ascii="宋体" w:hAnsi="宋体" w:eastAsia="宋体" w:cs="宋体"/>
          <w:color w:val="000000" w:themeColor="text1"/>
          <w:kern w:val="0"/>
          <w:sz w:val="24"/>
          <w:szCs w:val="24"/>
          <w:highlight w:val="none"/>
          <w:lang w:val="zh-CN"/>
          <w14:textFill>
            <w14:solidFill>
              <w14:schemeClr w14:val="tx1"/>
            </w14:solidFill>
          </w14:textFill>
        </w:rPr>
        <w:t>。</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80"/>
        <w:textAlignment w:val="auto"/>
        <w:outlineLvl w:val="9"/>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14:textFill>
            <w14:solidFill>
              <w14:schemeClr w14:val="tx1"/>
            </w14:solidFill>
          </w14:textFill>
        </w:rPr>
        <w:t>我公司自愿参</w:t>
      </w:r>
      <w:r>
        <w:rPr>
          <w:rFonts w:hint="eastAsia" w:ascii="宋体" w:hAnsi="宋体" w:eastAsia="宋体" w:cs="宋体"/>
          <w:color w:val="000000" w:themeColor="text1"/>
          <w:sz w:val="24"/>
          <w:szCs w:val="24"/>
          <w:highlight w:val="none"/>
          <w14:textFill>
            <w14:solidFill>
              <w14:schemeClr w14:val="tx1"/>
            </w14:solidFill>
          </w14:textFill>
        </w:rPr>
        <w:t>加</w:t>
      </w:r>
      <w:r>
        <w:rPr>
          <w:rFonts w:hint="eastAsia" w:ascii="宋体" w:hAnsi="宋体" w:cs="宋体"/>
          <w:color w:val="000000" w:themeColor="text1"/>
          <w:sz w:val="24"/>
          <w:szCs w:val="24"/>
          <w:highlight w:val="none"/>
          <w:lang w:eastAsia="zh-CN"/>
          <w14:textFill>
            <w14:solidFill>
              <w14:schemeClr w14:val="tx1"/>
            </w14:solidFill>
          </w14:textFill>
        </w:rPr>
        <w:t xml:space="preserve"> 义乌市消防救援支队2023年度新型消防装备（非信通装备类）采购</w:t>
      </w:r>
      <w:r>
        <w:rPr>
          <w:rFonts w:hint="eastAsia" w:ascii="宋体" w:hAnsi="宋体" w:eastAsia="宋体" w:cs="宋体"/>
          <w:color w:val="000000" w:themeColor="text1"/>
          <w:sz w:val="24"/>
          <w:szCs w:val="24"/>
          <w:highlight w:val="none"/>
          <w:lang w:eastAsia="zh-CN"/>
          <w14:textFill>
            <w14:solidFill>
              <w14:schemeClr w14:val="tx1"/>
            </w14:solidFill>
          </w14:textFill>
        </w:rPr>
        <w:t>项目</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（填写标项）     </w:t>
      </w:r>
      <w:r>
        <w:rPr>
          <w:rFonts w:hint="eastAsia" w:ascii="宋体" w:hAnsi="宋体" w:eastAsia="宋体" w:cs="宋体"/>
          <w:color w:val="000000" w:themeColor="text1"/>
          <w:kern w:val="0"/>
          <w:sz w:val="24"/>
          <w:szCs w:val="24"/>
          <w:highlight w:val="none"/>
          <w:lang w:val="zh-CN"/>
          <w14:textFill>
            <w14:solidFill>
              <w14:schemeClr w14:val="tx1"/>
            </w14:solidFill>
          </w14:textFill>
        </w:rPr>
        <w:t>(编号：</w:t>
      </w:r>
      <w:r>
        <w:rPr>
          <w:rFonts w:hint="eastAsia" w:ascii="宋体" w:hAnsi="宋体" w:cs="宋体"/>
          <w:color w:val="000000" w:themeColor="text1"/>
          <w:kern w:val="0"/>
          <w:sz w:val="24"/>
          <w:szCs w:val="24"/>
          <w:highlight w:val="none"/>
          <w:lang w:val="en-US" w:eastAsia="zh-CN"/>
          <w14:textFill>
            <w14:solidFill>
              <w14:schemeClr w14:val="tx1"/>
            </w14:solidFill>
          </w14:textFill>
        </w:rPr>
        <w:t>JY2024-YW-1008</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szCs w:val="24"/>
          <w:highlight w:val="none"/>
          <w:lang w:val="zh-CN"/>
          <w14:textFill>
            <w14:solidFill>
              <w14:schemeClr w14:val="tx1"/>
            </w14:solidFill>
          </w14:textFill>
        </w:rPr>
        <w:t>的投标，并保证投标文件中所列举的投标报价文件及相关资料和公司基本情况资料是真实的、合法的。</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80"/>
        <w:textAlignment w:val="auto"/>
        <w:outlineLvl w:val="9"/>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zh-CN"/>
          <w14:textFill>
            <w14:solidFill>
              <w14:schemeClr w14:val="tx1"/>
            </w14:solidFill>
          </w14:textFill>
        </w:rPr>
        <w:t>我公司已详细阅读全部“招标文件”，包括修改文件（如果有）以及全部招标资料和相关附件，并已了解我公司在招投标过程中的权利和义务。</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80"/>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zh-CN"/>
          <w14:textFill>
            <w14:solidFill>
              <w14:schemeClr w14:val="tx1"/>
            </w14:solidFill>
          </w14:textFill>
        </w:rPr>
        <w:t>我公司理解并接受招标文件的各项规定和要求，同意此次招标文件中的各项内容，</w:t>
      </w:r>
      <w:r>
        <w:rPr>
          <w:rFonts w:hint="eastAsia" w:ascii="宋体" w:hAnsi="宋体" w:eastAsia="宋体" w:cs="宋体"/>
          <w:color w:val="000000" w:themeColor="text1"/>
          <w:kern w:val="0"/>
          <w:sz w:val="24"/>
          <w:szCs w:val="24"/>
          <w:highlight w:val="none"/>
          <w14:textFill>
            <w14:solidFill>
              <w14:schemeClr w14:val="tx1"/>
            </w14:solidFill>
          </w14:textFill>
        </w:rPr>
        <w:t>并</w:t>
      </w:r>
      <w:r>
        <w:rPr>
          <w:rFonts w:hint="eastAsia" w:ascii="宋体" w:hAnsi="宋体" w:eastAsia="宋体" w:cs="宋体"/>
          <w:color w:val="000000" w:themeColor="text1"/>
          <w:kern w:val="0"/>
          <w:sz w:val="24"/>
          <w:szCs w:val="24"/>
          <w:highlight w:val="none"/>
          <w:lang w:val="zh-CN"/>
          <w14:textFill>
            <w14:solidFill>
              <w14:schemeClr w14:val="tx1"/>
            </w14:solidFill>
          </w14:textFill>
        </w:rPr>
        <w:t>同意提供按照贵方可能要求的与投标有关的一切数据或资料等。</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80"/>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zh-CN"/>
          <w14:textFill>
            <w14:solidFill>
              <w14:schemeClr w14:val="tx1"/>
            </w14:solidFill>
          </w14:textFill>
        </w:rPr>
        <w:t>本公司如中标，保证按照投标文件的承诺与贵方签订合同，保证履行合同条款。</w:t>
      </w: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投标人名称（公章）：</w:t>
      </w: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法定代表人或其授权代表（签字）：</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日期：  年  月   日</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1918" w:firstLineChars="796"/>
        <w:jc w:val="left"/>
        <w:textAlignment w:val="auto"/>
        <w:outlineLvl w:val="9"/>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pStyle w:val="3"/>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pStyle w:val="3"/>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pPr>
        <w:snapToGrid w:val="0"/>
        <w:spacing w:line="360" w:lineRule="auto"/>
        <w:rPr>
          <w:rFonts w:hint="eastAsia" w:ascii="宋体" w:hAnsi="宋体" w:eastAsia="宋体" w:cs="宋体"/>
          <w:b/>
          <w:bCs/>
          <w:color w:val="000000" w:themeColor="text1"/>
          <w:sz w:val="28"/>
          <w:szCs w:val="28"/>
          <w:highlight w:val="none"/>
          <w14:textFill>
            <w14:solidFill>
              <w14:schemeClr w14:val="tx1"/>
            </w14:solidFill>
          </w14:textFill>
        </w:rPr>
      </w:pPr>
    </w:p>
    <w:p>
      <w:pPr>
        <w:pStyle w:val="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5"/>
        <w:rPr>
          <w:rFonts w:hint="eastAsia"/>
          <w:color w:val="000000" w:themeColor="text1"/>
          <w:highlight w:val="none"/>
          <w14:textFill>
            <w14:solidFill>
              <w14:schemeClr w14:val="tx1"/>
            </w14:solidFill>
          </w14:textFill>
        </w:rPr>
      </w:pPr>
    </w:p>
    <w:p>
      <w:pPr>
        <w:pStyle w:val="25"/>
        <w:rPr>
          <w:rFonts w:hint="eastAsia"/>
          <w:color w:val="000000" w:themeColor="text1"/>
          <w:highlight w:val="none"/>
          <w14:textFill>
            <w14:solidFill>
              <w14:schemeClr w14:val="tx1"/>
            </w14:solidFill>
          </w14:textFill>
        </w:rPr>
      </w:pPr>
    </w:p>
    <w:p>
      <w:pPr>
        <w:pStyle w:val="25"/>
        <w:rPr>
          <w:rFonts w:hint="eastAsia"/>
          <w:color w:val="000000" w:themeColor="text1"/>
          <w:highlight w:val="none"/>
          <w14:textFill>
            <w14:solidFill>
              <w14:schemeClr w14:val="tx1"/>
            </w14:solidFill>
          </w14:textFill>
        </w:rPr>
      </w:pPr>
    </w:p>
    <w:p>
      <w:pPr>
        <w:pStyle w:val="25"/>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keepNext w:val="0"/>
        <w:keepLines w:val="0"/>
        <w:pageBreakBefore w:val="0"/>
        <w:kinsoku/>
        <w:wordWrap/>
        <w:overflowPunct/>
        <w:topLinePunct w:val="0"/>
        <w:bidi w:val="0"/>
        <w:adjustRightInd/>
        <w:snapToGrid/>
        <w:spacing w:line="360" w:lineRule="exact"/>
        <w:ind w:left="0" w:leftChars="0" w:right="0" w:rightChars="0" w:firstLine="643" w:firstLineChars="200"/>
        <w:outlineLvl w:val="9"/>
        <w:rPr>
          <w:rFonts w:ascii="宋体" w:hAnsi="宋体" w:cs="宋体"/>
          <w:b/>
          <w:bCs/>
          <w:color w:val="auto"/>
          <w:sz w:val="32"/>
          <w:szCs w:val="32"/>
          <w:highlight w:val="none"/>
        </w:rPr>
      </w:pPr>
      <w:r>
        <w:rPr>
          <w:rFonts w:hint="eastAsia" w:ascii="宋体" w:hAnsi="宋体" w:cs="宋体"/>
          <w:b/>
          <w:bCs/>
          <w:color w:val="auto"/>
          <w:sz w:val="32"/>
          <w:szCs w:val="32"/>
          <w:highlight w:val="none"/>
        </w:rPr>
        <w:t>中小企业声明函</w:t>
      </w: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w:t>
      </w:r>
    </w:p>
    <w:p>
      <w:pPr>
        <w:pStyle w:val="33"/>
        <w:spacing w:before="0" w:beforeAutospacing="0" w:after="0" w:afterAutospacing="0" w:line="360" w:lineRule="auto"/>
        <w:ind w:firstLine="480" w:firstLineChars="200"/>
        <w:rPr>
          <w:rFonts w:hint="eastAsia" w:cs="宋体"/>
          <w:color w:val="auto"/>
          <w:sz w:val="24"/>
          <w:szCs w:val="24"/>
          <w:highlight w:val="none"/>
        </w:rPr>
      </w:pPr>
      <w:r>
        <w:rPr>
          <w:rFonts w:hint="eastAsia" w:cs="宋体"/>
          <w:color w:val="auto"/>
          <w:sz w:val="24"/>
          <w:szCs w:val="24"/>
          <w:highlight w:val="none"/>
        </w:rPr>
        <w:t>本公司（联合体）郑重声明，根据《政府采购促进中小 企业发展管理办法》（财库﹝2020﹞46 号）的规定，本公司参加</w:t>
      </w:r>
      <w:r>
        <w:rPr>
          <w:rFonts w:hint="eastAsia" w:cs="宋体"/>
          <w:color w:val="auto"/>
          <w:sz w:val="24"/>
          <w:szCs w:val="24"/>
          <w:highlight w:val="none"/>
          <w:u w:val="single"/>
        </w:rPr>
        <w:t>（单位名称）</w:t>
      </w:r>
      <w:r>
        <w:rPr>
          <w:rFonts w:hint="eastAsia" w:cs="宋体"/>
          <w:color w:val="auto"/>
          <w:sz w:val="24"/>
          <w:szCs w:val="24"/>
          <w:highlight w:val="none"/>
        </w:rPr>
        <w:t>的</w:t>
      </w:r>
      <w:r>
        <w:rPr>
          <w:rFonts w:hint="eastAsia" w:cs="宋体"/>
          <w:color w:val="auto"/>
          <w:sz w:val="24"/>
          <w:szCs w:val="24"/>
          <w:highlight w:val="none"/>
          <w:u w:val="single"/>
        </w:rPr>
        <w:t>（项目名称）</w:t>
      </w:r>
      <w:r>
        <w:rPr>
          <w:rFonts w:hint="eastAsia" w:cs="宋体"/>
          <w:color w:val="auto"/>
          <w:sz w:val="24"/>
          <w:szCs w:val="24"/>
          <w:highlight w:val="none"/>
        </w:rPr>
        <w:t>采购活动，提供的货物全部由符合政策要求的中小企业制造。相关企业 （含联合体中的中小企业、签订分包意向协议的中小企业） 的具体情况如下：</w:t>
      </w:r>
    </w:p>
    <w:p>
      <w:pPr>
        <w:pStyle w:val="33"/>
        <w:spacing w:before="0" w:beforeAutospacing="0" w:after="0" w:afterAutospacing="0" w:line="360" w:lineRule="auto"/>
        <w:ind w:firstLine="480" w:firstLineChars="200"/>
        <w:rPr>
          <w:rFonts w:hint="eastAsia" w:cs="宋体"/>
          <w:color w:val="auto"/>
          <w:sz w:val="24"/>
          <w:szCs w:val="24"/>
          <w:highlight w:val="none"/>
        </w:rPr>
      </w:pPr>
      <w:r>
        <w:rPr>
          <w:rFonts w:hint="eastAsia" w:cs="宋体"/>
          <w:color w:val="auto"/>
          <w:sz w:val="24"/>
          <w:szCs w:val="24"/>
          <w:highlight w:val="none"/>
        </w:rPr>
        <w:t xml:space="preserve">1. </w:t>
      </w:r>
      <w:r>
        <w:rPr>
          <w:rFonts w:hint="eastAsia" w:cs="宋体"/>
          <w:color w:val="auto"/>
          <w:sz w:val="24"/>
          <w:szCs w:val="24"/>
          <w:highlight w:val="none"/>
          <w:u w:val="single"/>
        </w:rPr>
        <w:t xml:space="preserve">（标的名称） </w:t>
      </w:r>
      <w:r>
        <w:rPr>
          <w:rFonts w:hint="eastAsia" w:cs="宋体"/>
          <w:color w:val="auto"/>
          <w:sz w:val="24"/>
          <w:szCs w:val="24"/>
          <w:highlight w:val="none"/>
        </w:rPr>
        <w:t>，属于</w:t>
      </w:r>
      <w:r>
        <w:rPr>
          <w:rFonts w:hint="eastAsia" w:cs="宋体"/>
          <w:color w:val="auto"/>
          <w:sz w:val="24"/>
          <w:szCs w:val="24"/>
          <w:highlight w:val="none"/>
          <w:u w:val="single"/>
        </w:rPr>
        <w:t xml:space="preserve">（采购文件中明确的所属行业） </w:t>
      </w:r>
      <w:r>
        <w:rPr>
          <w:rFonts w:hint="eastAsia" w:cs="宋体"/>
          <w:color w:val="auto"/>
          <w:sz w:val="24"/>
          <w:szCs w:val="24"/>
          <w:highlight w:val="none"/>
        </w:rPr>
        <w:t>行业；制造商为</w:t>
      </w:r>
      <w:r>
        <w:rPr>
          <w:rFonts w:hint="eastAsia" w:cs="宋体"/>
          <w:color w:val="auto"/>
          <w:sz w:val="24"/>
          <w:szCs w:val="24"/>
          <w:highlight w:val="none"/>
          <w:u w:val="single"/>
        </w:rPr>
        <w:t>（企业名称），</w:t>
      </w:r>
      <w:r>
        <w:rPr>
          <w:rFonts w:hint="eastAsia" w:cs="宋体"/>
          <w:color w:val="auto"/>
          <w:sz w:val="24"/>
          <w:szCs w:val="24"/>
          <w:highlight w:val="none"/>
        </w:rPr>
        <w:t>从业人员</w:t>
      </w:r>
      <w:r>
        <w:rPr>
          <w:rFonts w:hint="eastAsia" w:cs="宋体"/>
          <w:color w:val="auto"/>
          <w:sz w:val="24"/>
          <w:szCs w:val="24"/>
          <w:highlight w:val="none"/>
          <w:u w:val="single"/>
        </w:rPr>
        <w:t xml:space="preserve">   </w:t>
      </w:r>
      <w:r>
        <w:rPr>
          <w:rFonts w:hint="eastAsia" w:cs="宋体"/>
          <w:color w:val="auto"/>
          <w:sz w:val="24"/>
          <w:szCs w:val="24"/>
          <w:highlight w:val="none"/>
        </w:rPr>
        <w:t>人，营业收 入为</w:t>
      </w:r>
      <w:r>
        <w:rPr>
          <w:rFonts w:hint="eastAsia" w:cs="宋体"/>
          <w:color w:val="auto"/>
          <w:sz w:val="24"/>
          <w:szCs w:val="24"/>
          <w:highlight w:val="none"/>
          <w:u w:val="single"/>
        </w:rPr>
        <w:t xml:space="preserve">    </w:t>
      </w:r>
      <w:r>
        <w:rPr>
          <w:rFonts w:hint="eastAsia" w:cs="宋体"/>
          <w:color w:val="auto"/>
          <w:sz w:val="24"/>
          <w:szCs w:val="24"/>
          <w:highlight w:val="none"/>
        </w:rPr>
        <w:t>万元，资产总额为</w:t>
      </w:r>
      <w:r>
        <w:rPr>
          <w:rFonts w:hint="eastAsia" w:cs="宋体"/>
          <w:color w:val="auto"/>
          <w:sz w:val="24"/>
          <w:szCs w:val="24"/>
          <w:highlight w:val="none"/>
          <w:u w:val="single"/>
        </w:rPr>
        <w:t xml:space="preserve">    </w:t>
      </w:r>
      <w:r>
        <w:rPr>
          <w:rFonts w:hint="eastAsia" w:cs="宋体"/>
          <w:color w:val="auto"/>
          <w:sz w:val="24"/>
          <w:szCs w:val="24"/>
          <w:highlight w:val="none"/>
        </w:rPr>
        <w:t>万元，属于</w:t>
      </w:r>
      <w:r>
        <w:rPr>
          <w:rFonts w:hint="eastAsia" w:cs="宋体"/>
          <w:color w:val="auto"/>
          <w:sz w:val="24"/>
          <w:szCs w:val="24"/>
          <w:highlight w:val="none"/>
          <w:u w:val="single"/>
        </w:rPr>
        <w:t>（中型企业、小型企业、微型企业）</w:t>
      </w:r>
      <w:r>
        <w:rPr>
          <w:rFonts w:hint="eastAsia" w:cs="宋体"/>
          <w:color w:val="auto"/>
          <w:sz w:val="24"/>
          <w:szCs w:val="24"/>
          <w:highlight w:val="none"/>
        </w:rPr>
        <w:t>；</w:t>
      </w:r>
    </w:p>
    <w:p>
      <w:pPr>
        <w:pStyle w:val="33"/>
        <w:spacing w:before="0" w:beforeAutospacing="0" w:after="0" w:afterAutospacing="0" w:line="360" w:lineRule="auto"/>
        <w:ind w:firstLine="480" w:firstLineChars="200"/>
        <w:rPr>
          <w:rFonts w:hint="eastAsia" w:cs="宋体"/>
          <w:color w:val="auto"/>
          <w:sz w:val="24"/>
          <w:szCs w:val="24"/>
          <w:highlight w:val="none"/>
        </w:rPr>
      </w:pPr>
      <w:r>
        <w:rPr>
          <w:rFonts w:hint="eastAsia" w:cs="宋体"/>
          <w:color w:val="auto"/>
          <w:sz w:val="24"/>
          <w:szCs w:val="24"/>
          <w:highlight w:val="none"/>
        </w:rPr>
        <w:t xml:space="preserve">2. </w:t>
      </w:r>
      <w:r>
        <w:rPr>
          <w:rFonts w:hint="eastAsia" w:cs="宋体"/>
          <w:color w:val="auto"/>
          <w:sz w:val="24"/>
          <w:szCs w:val="24"/>
          <w:highlight w:val="none"/>
          <w:u w:val="single"/>
        </w:rPr>
        <w:t xml:space="preserve">（标的名称） </w:t>
      </w:r>
      <w:r>
        <w:rPr>
          <w:rFonts w:hint="eastAsia" w:cs="宋体"/>
          <w:color w:val="auto"/>
          <w:sz w:val="24"/>
          <w:szCs w:val="24"/>
          <w:highlight w:val="none"/>
        </w:rPr>
        <w:t>，属于</w:t>
      </w:r>
      <w:r>
        <w:rPr>
          <w:rFonts w:hint="eastAsia" w:cs="宋体"/>
          <w:color w:val="auto"/>
          <w:sz w:val="24"/>
          <w:szCs w:val="24"/>
          <w:highlight w:val="none"/>
          <w:u w:val="single"/>
        </w:rPr>
        <w:t xml:space="preserve">（采购文件中明确的所属行业） </w:t>
      </w:r>
      <w:r>
        <w:rPr>
          <w:rFonts w:hint="eastAsia" w:cs="宋体"/>
          <w:color w:val="auto"/>
          <w:sz w:val="24"/>
          <w:szCs w:val="24"/>
          <w:highlight w:val="none"/>
        </w:rPr>
        <w:t>行业；制造商为</w:t>
      </w:r>
      <w:r>
        <w:rPr>
          <w:rFonts w:hint="eastAsia" w:cs="宋体"/>
          <w:color w:val="auto"/>
          <w:sz w:val="24"/>
          <w:szCs w:val="24"/>
          <w:highlight w:val="none"/>
          <w:u w:val="single"/>
        </w:rPr>
        <w:t>（企业名称）</w:t>
      </w:r>
      <w:r>
        <w:rPr>
          <w:rFonts w:hint="eastAsia" w:cs="宋体"/>
          <w:color w:val="auto"/>
          <w:sz w:val="24"/>
          <w:szCs w:val="24"/>
          <w:highlight w:val="none"/>
        </w:rPr>
        <w:t>，从业人员</w:t>
      </w:r>
      <w:r>
        <w:rPr>
          <w:rFonts w:hint="eastAsia" w:cs="宋体"/>
          <w:color w:val="auto"/>
          <w:sz w:val="24"/>
          <w:szCs w:val="24"/>
          <w:highlight w:val="none"/>
          <w:u w:val="single"/>
        </w:rPr>
        <w:t xml:space="preserve">   </w:t>
      </w:r>
      <w:r>
        <w:rPr>
          <w:rFonts w:hint="eastAsia" w:cs="宋体"/>
          <w:color w:val="auto"/>
          <w:sz w:val="24"/>
          <w:szCs w:val="24"/>
          <w:highlight w:val="none"/>
        </w:rPr>
        <w:t>人，营业收入 为</w:t>
      </w:r>
      <w:r>
        <w:rPr>
          <w:rFonts w:hint="eastAsia" w:cs="宋体"/>
          <w:color w:val="auto"/>
          <w:sz w:val="24"/>
          <w:szCs w:val="24"/>
          <w:highlight w:val="none"/>
          <w:u w:val="single"/>
        </w:rPr>
        <w:t xml:space="preserve">    </w:t>
      </w:r>
      <w:r>
        <w:rPr>
          <w:rFonts w:hint="eastAsia" w:cs="宋体"/>
          <w:color w:val="auto"/>
          <w:sz w:val="24"/>
          <w:szCs w:val="24"/>
          <w:highlight w:val="none"/>
        </w:rPr>
        <w:t>万元，资产总额为</w:t>
      </w:r>
      <w:r>
        <w:rPr>
          <w:rFonts w:hint="eastAsia" w:cs="宋体"/>
          <w:color w:val="auto"/>
          <w:sz w:val="24"/>
          <w:szCs w:val="24"/>
          <w:highlight w:val="none"/>
          <w:u w:val="single"/>
        </w:rPr>
        <w:t xml:space="preserve">    </w:t>
      </w:r>
      <w:r>
        <w:rPr>
          <w:rFonts w:hint="eastAsia" w:cs="宋体"/>
          <w:color w:val="auto"/>
          <w:sz w:val="24"/>
          <w:szCs w:val="24"/>
          <w:highlight w:val="none"/>
        </w:rPr>
        <w:t xml:space="preserve"> 万元，属于</w:t>
      </w:r>
      <w:r>
        <w:rPr>
          <w:rFonts w:hint="eastAsia" w:cs="宋体"/>
          <w:color w:val="auto"/>
          <w:sz w:val="24"/>
          <w:szCs w:val="24"/>
          <w:highlight w:val="none"/>
          <w:u w:val="single"/>
        </w:rPr>
        <w:t>（中型企业、小型企业、微型企业）</w:t>
      </w:r>
      <w:r>
        <w:rPr>
          <w:rFonts w:hint="eastAsia" w:cs="宋体"/>
          <w:color w:val="auto"/>
          <w:sz w:val="24"/>
          <w:szCs w:val="24"/>
          <w:highlight w:val="none"/>
        </w:rPr>
        <w:t>；</w:t>
      </w:r>
    </w:p>
    <w:p>
      <w:pPr>
        <w:pStyle w:val="33"/>
        <w:spacing w:before="0" w:beforeAutospacing="0" w:after="0" w:afterAutospacing="0" w:line="360" w:lineRule="auto"/>
        <w:ind w:firstLine="480" w:firstLineChars="200"/>
        <w:rPr>
          <w:rFonts w:hint="eastAsia" w:cs="宋体"/>
          <w:color w:val="auto"/>
          <w:sz w:val="24"/>
          <w:szCs w:val="24"/>
          <w:highlight w:val="none"/>
        </w:rPr>
      </w:pPr>
      <w:r>
        <w:rPr>
          <w:rFonts w:hint="eastAsia" w:cs="宋体"/>
          <w:color w:val="auto"/>
          <w:sz w:val="24"/>
          <w:szCs w:val="24"/>
          <w:highlight w:val="none"/>
        </w:rPr>
        <w:t>……</w:t>
      </w:r>
    </w:p>
    <w:p>
      <w:pPr>
        <w:pStyle w:val="33"/>
        <w:spacing w:before="0" w:beforeAutospacing="0" w:after="0" w:afterAutospacing="0" w:line="360" w:lineRule="auto"/>
        <w:ind w:firstLine="480" w:firstLineChars="200"/>
        <w:rPr>
          <w:rFonts w:hint="eastAsia" w:cs="宋体"/>
          <w:color w:val="auto"/>
          <w:sz w:val="24"/>
          <w:szCs w:val="24"/>
          <w:highlight w:val="none"/>
        </w:rPr>
      </w:pPr>
      <w:r>
        <w:rPr>
          <w:rFonts w:hint="eastAsia" w:cs="宋体"/>
          <w:color w:val="auto"/>
          <w:sz w:val="24"/>
          <w:szCs w:val="24"/>
          <w:highlight w:val="none"/>
        </w:rPr>
        <w:t>以上企业，不属于大企业的分支机构，不存在控股股东 为大企业的情形，也不存在与大企业的负责人为同一人的情形。</w:t>
      </w:r>
    </w:p>
    <w:p>
      <w:pPr>
        <w:pStyle w:val="33"/>
        <w:spacing w:before="0" w:beforeAutospacing="0" w:after="0" w:afterAutospacing="0" w:line="360" w:lineRule="auto"/>
        <w:ind w:firstLine="480" w:firstLineChars="200"/>
        <w:rPr>
          <w:rFonts w:hint="eastAsia" w:cs="宋体"/>
          <w:color w:val="auto"/>
          <w:sz w:val="24"/>
          <w:szCs w:val="24"/>
          <w:highlight w:val="none"/>
        </w:rPr>
      </w:pPr>
      <w:r>
        <w:rPr>
          <w:rFonts w:hint="eastAsia" w:cs="宋体"/>
          <w:color w:val="auto"/>
          <w:sz w:val="24"/>
          <w:szCs w:val="24"/>
          <w:highlight w:val="none"/>
        </w:rPr>
        <w:t>本企业对上述声明内容的真实性负责。如有虚假，将依 法承担相应责任。</w:t>
      </w:r>
    </w:p>
    <w:p>
      <w:pPr>
        <w:pStyle w:val="33"/>
        <w:spacing w:before="0" w:beforeAutospacing="0" w:after="0" w:afterAutospacing="0" w:line="360" w:lineRule="auto"/>
        <w:ind w:firstLine="480" w:firstLineChars="200"/>
        <w:jc w:val="both"/>
        <w:rPr>
          <w:rFonts w:cs="宋体"/>
          <w:color w:val="auto"/>
          <w:sz w:val="24"/>
          <w:szCs w:val="24"/>
          <w:highlight w:val="none"/>
        </w:rPr>
      </w:pPr>
    </w:p>
    <w:p>
      <w:pPr>
        <w:pStyle w:val="33"/>
        <w:spacing w:before="0" w:beforeAutospacing="0" w:after="0" w:afterAutospacing="0" w:line="360" w:lineRule="auto"/>
        <w:ind w:firstLine="480" w:firstLineChars="200"/>
        <w:jc w:val="both"/>
        <w:rPr>
          <w:rFonts w:cs="宋体"/>
          <w:color w:val="auto"/>
          <w:sz w:val="24"/>
          <w:szCs w:val="24"/>
          <w:highlight w:val="none"/>
        </w:rPr>
      </w:pPr>
    </w:p>
    <w:p>
      <w:pPr>
        <w:pStyle w:val="33"/>
        <w:spacing w:before="0" w:beforeAutospacing="0" w:after="0" w:afterAutospacing="0" w:line="360" w:lineRule="auto"/>
        <w:ind w:firstLine="7440" w:firstLineChars="3100"/>
        <w:jc w:val="both"/>
        <w:rPr>
          <w:rFonts w:hint="eastAsia" w:cs="宋体"/>
          <w:color w:val="auto"/>
          <w:sz w:val="24"/>
          <w:szCs w:val="24"/>
          <w:highlight w:val="none"/>
        </w:rPr>
      </w:pPr>
      <w:r>
        <w:rPr>
          <w:rFonts w:hint="eastAsia" w:cs="宋体"/>
          <w:color w:val="auto"/>
          <w:sz w:val="24"/>
          <w:szCs w:val="24"/>
          <w:highlight w:val="none"/>
        </w:rPr>
        <w:t xml:space="preserve">企业名称（盖章）： </w:t>
      </w:r>
    </w:p>
    <w:p>
      <w:pPr>
        <w:pStyle w:val="33"/>
        <w:spacing w:before="0" w:beforeAutospacing="0" w:after="0" w:afterAutospacing="0" w:line="360" w:lineRule="auto"/>
        <w:ind w:firstLine="7440" w:firstLineChars="3100"/>
        <w:jc w:val="both"/>
        <w:rPr>
          <w:rFonts w:hint="eastAsia" w:cs="宋体"/>
          <w:color w:val="auto"/>
          <w:sz w:val="24"/>
          <w:szCs w:val="24"/>
          <w:highlight w:val="none"/>
        </w:rPr>
      </w:pPr>
      <w:r>
        <w:rPr>
          <w:rFonts w:hint="eastAsia" w:cs="宋体"/>
          <w:color w:val="auto"/>
          <w:sz w:val="24"/>
          <w:szCs w:val="24"/>
          <w:highlight w:val="none"/>
        </w:rPr>
        <w:t>日 期：</w:t>
      </w:r>
    </w:p>
    <w:p>
      <w:pPr>
        <w:pStyle w:val="33"/>
        <w:spacing w:before="0" w:beforeAutospacing="0" w:after="0" w:afterAutospacing="0" w:line="360" w:lineRule="auto"/>
        <w:ind w:firstLine="7440" w:firstLineChars="3100"/>
        <w:jc w:val="both"/>
        <w:rPr>
          <w:rFonts w:hint="eastAsia" w:cs="宋体"/>
          <w:color w:val="auto"/>
          <w:sz w:val="24"/>
          <w:szCs w:val="24"/>
          <w:highlight w:val="none"/>
        </w:rPr>
      </w:pPr>
    </w:p>
    <w:p>
      <w:pPr>
        <w:pStyle w:val="33"/>
        <w:spacing w:before="0" w:beforeAutospacing="0" w:after="0" w:afterAutospacing="0" w:line="360" w:lineRule="auto"/>
        <w:ind w:firstLine="7440" w:firstLineChars="3100"/>
        <w:jc w:val="both"/>
        <w:rPr>
          <w:rFonts w:hint="eastAsia" w:cs="宋体"/>
          <w:color w:val="auto"/>
          <w:sz w:val="24"/>
          <w:szCs w:val="24"/>
          <w:highlight w:val="none"/>
        </w:rPr>
      </w:pPr>
    </w:p>
    <w:p>
      <w:pPr>
        <w:widowControl/>
        <w:spacing w:line="360" w:lineRule="auto"/>
        <w:jc w:val="left"/>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注：从业人员、营业收入、资产总额填报上一年度数据，无上一年度数据的新成立企业可不填报。</w:t>
      </w:r>
    </w:p>
    <w:p>
      <w:pPr>
        <w:spacing w:line="360" w:lineRule="auto"/>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p>
    <w:p>
      <w:pPr>
        <w:spacing w:line="360" w:lineRule="auto"/>
        <w:rPr>
          <w:rFonts w:ascii="宋体" w:hAnsi="宋体" w:cs="宋体"/>
          <w:b/>
          <w:color w:val="auto"/>
          <w:sz w:val="24"/>
          <w:szCs w:val="24"/>
          <w:highlight w:val="none"/>
        </w:rPr>
      </w:pPr>
    </w:p>
    <w:p>
      <w:pPr>
        <w:pStyle w:val="33"/>
        <w:spacing w:before="0" w:beforeAutospacing="0" w:after="0" w:afterAutospacing="0" w:line="360" w:lineRule="auto"/>
        <w:ind w:firstLine="420" w:firstLineChars="200"/>
        <w:jc w:val="both"/>
        <w:rPr>
          <w:rFonts w:cs="宋体"/>
          <w:color w:val="auto"/>
          <w:sz w:val="21"/>
          <w:szCs w:val="21"/>
          <w:highlight w:val="none"/>
        </w:rPr>
      </w:pPr>
    </w:p>
    <w:p>
      <w:pPr>
        <w:pStyle w:val="33"/>
        <w:spacing w:before="0" w:beforeAutospacing="0" w:after="0" w:afterAutospacing="0" w:line="360" w:lineRule="auto"/>
        <w:jc w:val="both"/>
        <w:rPr>
          <w:rFonts w:cs="宋体"/>
          <w:b/>
          <w:bCs/>
          <w:color w:val="auto"/>
          <w:kern w:val="2"/>
          <w:sz w:val="24"/>
          <w:szCs w:val="24"/>
          <w:highlight w:val="none"/>
        </w:rPr>
      </w:pPr>
      <w:r>
        <w:rPr>
          <w:rFonts w:hint="eastAsia" w:cs="宋体"/>
          <w:color w:val="auto"/>
          <w:sz w:val="21"/>
          <w:szCs w:val="21"/>
          <w:highlight w:val="none"/>
        </w:rPr>
        <w:br w:type="page"/>
      </w:r>
      <w:r>
        <w:rPr>
          <w:rFonts w:hint="eastAsia" w:cs="宋体"/>
          <w:b/>
          <w:bCs/>
          <w:color w:val="auto"/>
          <w:kern w:val="2"/>
          <w:sz w:val="24"/>
          <w:szCs w:val="24"/>
          <w:highlight w:val="none"/>
        </w:rPr>
        <w:t>供应商为监狱企业的证明文件：省级以上监狱管理局、戒毒管理局（含新疆生产建设兵团）出具。（如有）</w:t>
      </w:r>
    </w:p>
    <w:p>
      <w:pPr>
        <w:pStyle w:val="33"/>
        <w:spacing w:before="0" w:beforeAutospacing="0" w:after="0" w:afterAutospacing="0" w:line="360" w:lineRule="auto"/>
        <w:jc w:val="both"/>
        <w:rPr>
          <w:rFonts w:cs="宋体"/>
          <w:b/>
          <w:color w:val="auto"/>
          <w:sz w:val="24"/>
          <w:szCs w:val="24"/>
          <w:highlight w:val="none"/>
        </w:rPr>
      </w:pPr>
    </w:p>
    <w:p>
      <w:pPr>
        <w:pStyle w:val="33"/>
        <w:spacing w:before="0" w:beforeAutospacing="0" w:after="0" w:afterAutospacing="0" w:line="360" w:lineRule="auto"/>
        <w:jc w:val="both"/>
        <w:rPr>
          <w:rFonts w:cs="宋体"/>
          <w:b/>
          <w:color w:val="auto"/>
          <w:sz w:val="24"/>
          <w:szCs w:val="24"/>
          <w:highlight w:val="none"/>
        </w:rPr>
      </w:pPr>
    </w:p>
    <w:p>
      <w:pPr>
        <w:pStyle w:val="33"/>
        <w:spacing w:before="0" w:beforeAutospacing="0" w:after="0" w:afterAutospacing="0" w:line="360" w:lineRule="auto"/>
        <w:jc w:val="both"/>
        <w:rPr>
          <w:rFonts w:cs="宋体"/>
          <w:b/>
          <w:color w:val="auto"/>
          <w:sz w:val="24"/>
          <w:szCs w:val="24"/>
          <w:highlight w:val="none"/>
        </w:rPr>
      </w:pPr>
    </w:p>
    <w:p>
      <w:pPr>
        <w:pStyle w:val="33"/>
        <w:spacing w:before="0" w:beforeAutospacing="0" w:after="0" w:afterAutospacing="0" w:line="360" w:lineRule="auto"/>
        <w:jc w:val="both"/>
        <w:rPr>
          <w:rFonts w:cs="宋体"/>
          <w:b/>
          <w:color w:val="auto"/>
          <w:sz w:val="24"/>
          <w:szCs w:val="24"/>
          <w:highlight w:val="none"/>
        </w:rPr>
      </w:pPr>
    </w:p>
    <w:p>
      <w:pPr>
        <w:pStyle w:val="33"/>
        <w:spacing w:before="0" w:beforeAutospacing="0" w:after="0" w:afterAutospacing="0" w:line="360" w:lineRule="auto"/>
        <w:jc w:val="both"/>
        <w:rPr>
          <w:rFonts w:cs="宋体"/>
          <w:b/>
          <w:color w:val="auto"/>
          <w:sz w:val="24"/>
          <w:szCs w:val="24"/>
          <w:highlight w:val="none"/>
        </w:rPr>
      </w:pPr>
    </w:p>
    <w:p>
      <w:pPr>
        <w:pStyle w:val="33"/>
        <w:spacing w:before="0" w:beforeAutospacing="0" w:after="0" w:afterAutospacing="0" w:line="360" w:lineRule="auto"/>
        <w:jc w:val="both"/>
        <w:rPr>
          <w:rFonts w:cs="宋体"/>
          <w:b/>
          <w:bCs/>
          <w:color w:val="auto"/>
          <w:kern w:val="2"/>
          <w:sz w:val="24"/>
          <w:szCs w:val="24"/>
          <w:highlight w:val="none"/>
        </w:rPr>
      </w:pPr>
      <w:r>
        <w:rPr>
          <w:rFonts w:hint="eastAsia" w:cs="宋体"/>
          <w:b/>
          <w:bCs/>
          <w:color w:val="auto"/>
          <w:kern w:val="2"/>
          <w:sz w:val="24"/>
          <w:szCs w:val="24"/>
          <w:highlight w:val="none"/>
        </w:rPr>
        <w:t>供应商符合《财政部、民政部、中国残疾人联合会关于促进残疾人就业政府采购政策的通知》（财库〔2017〕141号）政策规定的，须提供《残疾人福利性单位声明函》。（如有）</w:t>
      </w:r>
    </w:p>
    <w:p>
      <w:pPr>
        <w:spacing w:line="360" w:lineRule="auto"/>
        <w:rPr>
          <w:rFonts w:ascii="宋体" w:hAnsi="宋体" w:cs="宋体"/>
          <w:color w:val="auto"/>
          <w:szCs w:val="21"/>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残疾人福利性单位声明函</w:t>
      </w:r>
    </w:p>
    <w:p>
      <w:pPr>
        <w:spacing w:line="360" w:lineRule="auto"/>
        <w:rPr>
          <w:rFonts w:ascii="宋体" w:hAnsi="宋体" w:cs="宋体"/>
          <w:b/>
          <w:color w:val="auto"/>
          <w:spacing w:val="6"/>
          <w:sz w:val="30"/>
          <w:szCs w:val="30"/>
          <w:highlight w:val="none"/>
        </w:rPr>
      </w:pP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pPr>
        <w:spacing w:line="360" w:lineRule="auto"/>
        <w:ind w:firstLine="504" w:firstLineChars="200"/>
        <w:rPr>
          <w:rFonts w:ascii="宋体" w:hAnsi="宋体" w:cs="宋体"/>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p>
    <w:p>
      <w:pPr>
        <w:spacing w:line="360" w:lineRule="auto"/>
        <w:rPr>
          <w:rFonts w:ascii="宋体" w:hAnsi="宋体" w:cs="宋体"/>
          <w:color w:val="auto"/>
          <w:spacing w:val="20"/>
          <w:sz w:val="24"/>
          <w:szCs w:val="24"/>
          <w:highlight w:val="none"/>
          <w:u w:val="single"/>
        </w:rPr>
      </w:pPr>
      <w:r>
        <w:rPr>
          <w:rFonts w:hint="eastAsia" w:ascii="宋体" w:hAnsi="宋体" w:cs="宋体"/>
          <w:color w:val="auto"/>
          <w:sz w:val="24"/>
          <w:szCs w:val="24"/>
          <w:highlight w:val="none"/>
        </w:rPr>
        <w:t>法定代表人或授权委托人</w:t>
      </w:r>
      <w:r>
        <w:rPr>
          <w:rFonts w:hint="eastAsia" w:ascii="宋体" w:hAnsi="宋体" w:cs="宋体"/>
          <w:color w:val="auto"/>
          <w:spacing w:val="20"/>
          <w:sz w:val="24"/>
          <w:szCs w:val="24"/>
          <w:highlight w:val="none"/>
        </w:rPr>
        <w:t>：</w:t>
      </w:r>
      <w:r>
        <w:rPr>
          <w:rFonts w:hint="eastAsia" w:ascii="宋体" w:hAnsi="宋体" w:cs="宋体"/>
          <w:color w:val="auto"/>
          <w:sz w:val="24"/>
          <w:szCs w:val="24"/>
          <w:highlight w:val="none"/>
          <w:u w:val="single"/>
        </w:rPr>
        <w:t>（签字或盖章）</w:t>
      </w:r>
    </w:p>
    <w:p>
      <w:pPr>
        <w:spacing w:line="360" w:lineRule="auto"/>
        <w:rPr>
          <w:rFonts w:ascii="宋体" w:hAnsi="宋体" w:cs="宋体"/>
          <w:color w:val="auto"/>
          <w:spacing w:val="20"/>
          <w:sz w:val="24"/>
          <w:szCs w:val="24"/>
          <w:highlight w:val="none"/>
        </w:rPr>
      </w:pPr>
    </w:p>
    <w:p>
      <w:pPr>
        <w:spacing w:line="360" w:lineRule="auto"/>
        <w:rPr>
          <w:rFonts w:ascii="宋体" w:hAnsi="宋体" w:cs="宋体"/>
          <w:color w:val="auto"/>
          <w:spacing w:val="20"/>
          <w:sz w:val="24"/>
          <w:szCs w:val="24"/>
          <w:highlight w:val="none"/>
        </w:rPr>
      </w:pPr>
      <w:r>
        <w:rPr>
          <w:rFonts w:hint="eastAsia" w:ascii="宋体" w:hAnsi="宋体" w:cs="宋体"/>
          <w:color w:val="auto"/>
          <w:spacing w:val="20"/>
          <w:sz w:val="24"/>
          <w:szCs w:val="24"/>
          <w:highlight w:val="none"/>
        </w:rPr>
        <w:t>投标人：</w:t>
      </w:r>
      <w:r>
        <w:rPr>
          <w:rFonts w:hint="eastAsia" w:ascii="宋体" w:hAnsi="宋体" w:cs="宋体"/>
          <w:color w:val="auto"/>
          <w:spacing w:val="20"/>
          <w:sz w:val="24"/>
          <w:szCs w:val="24"/>
          <w:highlight w:val="none"/>
          <w:u w:val="single"/>
        </w:rPr>
        <w:t xml:space="preserve">      （盖章）      </w:t>
      </w:r>
      <w:r>
        <w:rPr>
          <w:rFonts w:hint="eastAsia" w:ascii="宋体" w:hAnsi="宋体" w:cs="宋体"/>
          <w:color w:val="auto"/>
          <w:spacing w:val="20"/>
          <w:sz w:val="24"/>
          <w:szCs w:val="24"/>
          <w:highlight w:val="none"/>
        </w:rPr>
        <w:t xml:space="preserve">     日  期：</w:t>
      </w:r>
    </w:p>
    <w:p>
      <w:pPr>
        <w:pStyle w:val="3"/>
        <w:rPr>
          <w:rFonts w:hint="eastAsia"/>
        </w:rPr>
      </w:pPr>
    </w:p>
    <w:p>
      <w:pPr>
        <w:snapToGrid w:val="0"/>
        <w:spacing w:line="240" w:lineRule="auto"/>
        <w:ind w:firstLine="3200" w:firstLineChars="996"/>
        <w:jc w:val="left"/>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p>
    <w:p>
      <w:pPr>
        <w:snapToGrid w:val="0"/>
        <w:spacing w:line="240" w:lineRule="auto"/>
        <w:ind w:firstLine="3200" w:firstLineChars="996"/>
        <w:jc w:val="left"/>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商务技术文件</w:t>
      </w:r>
    </w:p>
    <w:p>
      <w:pPr>
        <w:pStyle w:val="3"/>
        <w:spacing w:line="240" w:lineRule="auto"/>
        <w:jc w:val="center"/>
        <w:rPr>
          <w:rFonts w:hint="eastAsia" w:ascii="宋体" w:hAnsi="宋体" w:eastAsia="宋体" w:cs="宋体"/>
          <w:color w:val="000000" w:themeColor="text1"/>
          <w:kern w:val="0"/>
          <w:sz w:val="24"/>
          <w:highlight w:val="none"/>
          <w14:textFill>
            <w14:solidFill>
              <w14:schemeClr w14:val="tx1"/>
            </w14:solidFill>
          </w14:textFill>
        </w:rPr>
      </w:pPr>
      <w:bookmarkStart w:id="55" w:name="_Toc32643"/>
      <w:bookmarkStart w:id="56" w:name="_Toc12343"/>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（有格式的参照格式，无格式的自拟）</w:t>
      </w:r>
      <w:bookmarkEnd w:id="55"/>
      <w:bookmarkEnd w:id="56"/>
      <w:r>
        <w:rPr>
          <w:rFonts w:hint="eastAsia" w:ascii="宋体" w:hAnsi="宋体" w:eastAsia="宋体" w:cs="宋体"/>
          <w:color w:val="000000" w:themeColor="text1"/>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70" w:firstLineChars="196"/>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）节能产品的相关证明材料</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环境标志产品的相关证明材料：</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）投标人情况介绍（格式自拟）；</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）商务响应表（格式见第六</w:t>
      </w:r>
      <w:r>
        <w:rPr>
          <w:rFonts w:hint="eastAsia" w:ascii="宋体" w:hAnsi="宋体" w:eastAsia="宋体" w:cs="宋体"/>
          <w:color w:val="000000" w:themeColor="text1"/>
          <w:kern w:val="0"/>
          <w:sz w:val="24"/>
          <w:highlight w:val="none"/>
          <w:lang w:val="en-US" w:eastAsia="zh-CN"/>
          <w14:textFill>
            <w14:solidFill>
              <w14:schemeClr w14:val="tx1"/>
            </w14:solidFill>
          </w14:textFill>
        </w:rPr>
        <w:t>部分</w:t>
      </w:r>
      <w:r>
        <w:rPr>
          <w:rFonts w:hint="eastAsia" w:ascii="宋体" w:hAnsi="宋体" w:eastAsia="宋体" w:cs="宋体"/>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）同类项目业绩（格式见</w:t>
      </w:r>
      <w:r>
        <w:rPr>
          <w:rFonts w:hint="eastAsia" w:ascii="宋体" w:hAnsi="宋体" w:eastAsia="宋体" w:cs="宋体"/>
          <w:color w:val="000000" w:themeColor="text1"/>
          <w:kern w:val="0"/>
          <w:sz w:val="24"/>
          <w:highlight w:val="none"/>
          <w:lang w:eastAsia="zh-CN"/>
          <w14:textFill>
            <w14:solidFill>
              <w14:schemeClr w14:val="tx1"/>
            </w14:solidFill>
          </w14:textFill>
        </w:rPr>
        <w:t>第六部分</w:t>
      </w:r>
      <w:r>
        <w:rPr>
          <w:rFonts w:hint="eastAsia" w:ascii="宋体" w:hAnsi="宋体" w:eastAsia="宋体" w:cs="宋体"/>
          <w:color w:val="000000" w:themeColor="text1"/>
          <w:kern w:val="0"/>
          <w:sz w:val="24"/>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）针对本项目建设的详细实施计划，包括技术方案、装备详细配置清单及所用材质等明细（品牌、产地、规格、参数）；</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6</w:t>
      </w:r>
      <w:r>
        <w:rPr>
          <w:rFonts w:hint="eastAsia" w:ascii="宋体" w:hAnsi="宋体" w:eastAsia="宋体" w:cs="宋体"/>
          <w:color w:val="000000" w:themeColor="text1"/>
          <w:kern w:val="0"/>
          <w:sz w:val="24"/>
          <w:highlight w:val="none"/>
          <w14:textFill>
            <w14:solidFill>
              <w14:schemeClr w14:val="tx1"/>
            </w14:solidFill>
          </w14:textFill>
        </w:rPr>
        <w:t>）生产工艺流程，质量控制措施等；</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7</w:t>
      </w:r>
      <w:r>
        <w:rPr>
          <w:rFonts w:hint="eastAsia" w:ascii="宋体" w:hAnsi="宋体" w:eastAsia="宋体" w:cs="宋体"/>
          <w:color w:val="000000" w:themeColor="text1"/>
          <w:kern w:val="0"/>
          <w:sz w:val="24"/>
          <w:highlight w:val="none"/>
          <w14:textFill>
            <w14:solidFill>
              <w14:schemeClr w14:val="tx1"/>
            </w14:solidFill>
          </w14:textFill>
        </w:rPr>
        <w:t>）所投产品或主要材质的检测报告；</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8</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产品及原材料验收标准及检测具体办法；</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9</w:t>
      </w:r>
      <w:r>
        <w:rPr>
          <w:rFonts w:hint="eastAsia" w:ascii="宋体" w:hAnsi="宋体" w:eastAsia="宋体" w:cs="宋体"/>
          <w:color w:val="000000" w:themeColor="text1"/>
          <w:kern w:val="0"/>
          <w:sz w:val="24"/>
          <w:highlight w:val="none"/>
          <w14:textFill>
            <w14:solidFill>
              <w14:schemeClr w14:val="tx1"/>
            </w14:solidFill>
          </w14:textFill>
        </w:rPr>
        <w:t>）技术偏离表（格式见附件）；</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0</w:t>
      </w:r>
      <w:r>
        <w:rPr>
          <w:rFonts w:hint="eastAsia" w:ascii="宋体" w:hAnsi="宋体" w:eastAsia="宋体" w:cs="宋体"/>
          <w:color w:val="000000" w:themeColor="text1"/>
          <w:kern w:val="0"/>
          <w:sz w:val="24"/>
          <w:highlight w:val="none"/>
          <w14:textFill>
            <w14:solidFill>
              <w14:schemeClr w14:val="tx1"/>
            </w14:solidFill>
          </w14:textFill>
        </w:rPr>
        <w:t>）项目的组织实施方案，包括产品的供货、验收、安装调试方案及配送承诺等；</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highlight w:val="none"/>
          <w14:textFill>
            <w14:solidFill>
              <w14:schemeClr w14:val="tx1"/>
            </w14:solidFill>
          </w14:textFill>
        </w:rPr>
        <w:t>）技术服务、售后服务的内容和措施，明确售后服务承诺（范围、标准、期限</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质保期外维修及零配件</w:t>
      </w:r>
      <w:r>
        <w:rPr>
          <w:rFonts w:hint="eastAsia" w:ascii="宋体" w:hAnsi="宋体" w:eastAsia="宋体" w:cs="宋体"/>
          <w:color w:val="000000" w:themeColor="text1"/>
          <w:kern w:val="0"/>
          <w:sz w:val="24"/>
          <w:highlight w:val="none"/>
          <w14:textFill>
            <w14:solidFill>
              <w14:schemeClr w14:val="tx1"/>
            </w14:solidFill>
          </w14:textFill>
        </w:rPr>
        <w:t>等</w:t>
      </w:r>
      <w:r>
        <w:rPr>
          <w:rFonts w:hint="eastAsia" w:ascii="宋体" w:hAnsi="宋体" w:cs="宋体"/>
          <w:color w:val="000000" w:themeColor="text1"/>
          <w:kern w:val="0"/>
          <w:sz w:val="24"/>
          <w:highlight w:val="none"/>
          <w:lang w:val="en-US" w:eastAsia="zh-CN"/>
          <w14:textFill>
            <w14:solidFill>
              <w14:schemeClr w14:val="tx1"/>
            </w14:solidFill>
          </w14:textFill>
        </w:rPr>
        <w:t>费用</w:t>
      </w:r>
      <w:r>
        <w:rPr>
          <w:rFonts w:hint="eastAsia" w:ascii="宋体" w:hAnsi="宋体" w:eastAsia="宋体" w:cs="宋体"/>
          <w:color w:val="000000" w:themeColor="text1"/>
          <w:kern w:val="0"/>
          <w:sz w:val="24"/>
          <w:highlight w:val="none"/>
          <w14:textFill>
            <w14:solidFill>
              <w14:schemeClr w14:val="tx1"/>
            </w14:solidFill>
          </w14:textFill>
        </w:rPr>
        <w:t>），并明示服务承诺可能涉及的前提设定和费用，否则将被认为是无条件和免费的；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）项目实施方案和人力资源安排，以及本项目实施人员一览表；</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）项目保障应急预案</w:t>
      </w:r>
      <w:r>
        <w:rPr>
          <w:rFonts w:hint="eastAsia" w:ascii="宋体" w:hAnsi="宋体" w:eastAsia="宋体" w:cs="宋体"/>
          <w:color w:val="000000" w:themeColor="text1"/>
          <w:kern w:val="0"/>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）供应商提出的对本项目的实质性优惠条件和承诺情况；</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68" w:firstLineChars="195"/>
        <w:jc w:val="left"/>
        <w:textAlignment w:val="auto"/>
        <w:outlineLvl w:val="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）供应商认为需要说明的其他文件和资料（请结合评标办法自行添加相应内容）。</w:t>
      </w:r>
    </w:p>
    <w:p>
      <w:pPr>
        <w:snapToGrid w:val="0"/>
        <w:spacing w:line="360" w:lineRule="auto"/>
        <w:jc w:val="left"/>
        <w:rPr>
          <w:rFonts w:hint="eastAsia" w:ascii="宋体" w:hAnsi="宋体" w:eastAsia="宋体" w:cs="宋体"/>
          <w:b/>
          <w:color w:val="000000" w:themeColor="text1"/>
          <w:sz w:val="24"/>
          <w:highlight w:val="none"/>
          <w14:textFill>
            <w14:solidFill>
              <w14:schemeClr w14:val="tx1"/>
            </w14:solidFill>
          </w14:textFill>
        </w:rPr>
      </w:pPr>
    </w:p>
    <w:p>
      <w:pPr>
        <w:pStyle w:val="3"/>
        <w:rPr>
          <w:rFonts w:hint="eastAsia" w:ascii="宋体" w:hAnsi="宋体" w:eastAsia="宋体" w:cs="宋体"/>
          <w:b/>
          <w:color w:val="000000" w:themeColor="text1"/>
          <w:sz w:val="24"/>
          <w:highlight w:val="none"/>
          <w14:textFill>
            <w14:solidFill>
              <w14:schemeClr w14:val="tx1"/>
            </w14:solidFill>
          </w14:textFill>
        </w:rPr>
      </w:pPr>
    </w:p>
    <w:p>
      <w:pPr>
        <w:rPr>
          <w:rFonts w:hint="eastAsia" w:ascii="宋体" w:hAnsi="宋体" w:eastAsia="宋体" w:cs="宋体"/>
          <w:b/>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color w:val="000000" w:themeColor="text1"/>
          <w:sz w:val="24"/>
          <w:highlight w:val="none"/>
          <w14:textFill>
            <w14:solidFill>
              <w14:schemeClr w14:val="tx1"/>
            </w14:solidFill>
          </w14:textFill>
        </w:rPr>
      </w:pPr>
    </w:p>
    <w:p>
      <w:pPr>
        <w:pStyle w:val="25"/>
        <w:rPr>
          <w:rFonts w:hint="eastAsia" w:ascii="宋体" w:hAnsi="宋体" w:eastAsia="宋体" w:cs="宋体"/>
          <w:b/>
          <w:color w:val="000000" w:themeColor="text1"/>
          <w:sz w:val="24"/>
          <w:highlight w:val="none"/>
          <w14:textFill>
            <w14:solidFill>
              <w14:schemeClr w14:val="tx1"/>
            </w14:solidFill>
          </w14:textFill>
        </w:rPr>
      </w:pPr>
    </w:p>
    <w:p>
      <w:pPr>
        <w:pStyle w:val="25"/>
        <w:rPr>
          <w:rFonts w:hint="eastAsia" w:ascii="宋体" w:hAnsi="宋体" w:eastAsia="宋体" w:cs="宋体"/>
          <w:b/>
          <w:color w:val="000000" w:themeColor="text1"/>
          <w:sz w:val="24"/>
          <w:highlight w:val="none"/>
          <w14:textFill>
            <w14:solidFill>
              <w14:schemeClr w14:val="tx1"/>
            </w14:solidFill>
          </w14:textFill>
        </w:rPr>
      </w:pPr>
    </w:p>
    <w:p>
      <w:pPr>
        <w:pStyle w:val="25"/>
        <w:rPr>
          <w:rFonts w:hint="eastAsia" w:ascii="宋体" w:hAnsi="宋体" w:eastAsia="宋体" w:cs="宋体"/>
          <w:b/>
          <w:color w:val="000000" w:themeColor="text1"/>
          <w:sz w:val="24"/>
          <w:highlight w:val="none"/>
          <w14:textFill>
            <w14:solidFill>
              <w14:schemeClr w14:val="tx1"/>
            </w14:solidFill>
          </w14:textFill>
        </w:rPr>
      </w:pPr>
    </w:p>
    <w:p>
      <w:pPr>
        <w:pStyle w:val="25"/>
        <w:rPr>
          <w:rFonts w:hint="eastAsia" w:ascii="宋体" w:hAnsi="宋体" w:eastAsia="宋体" w:cs="宋体"/>
          <w:b/>
          <w:color w:val="000000" w:themeColor="text1"/>
          <w:sz w:val="24"/>
          <w:highlight w:val="none"/>
          <w14:textFill>
            <w14:solidFill>
              <w14:schemeClr w14:val="tx1"/>
            </w14:solidFill>
          </w14:textFill>
        </w:rPr>
      </w:pPr>
    </w:p>
    <w:p>
      <w:pPr>
        <w:pStyle w:val="25"/>
        <w:rPr>
          <w:rFonts w:hint="eastAsia" w:ascii="宋体" w:hAnsi="宋体" w:eastAsia="宋体" w:cs="宋体"/>
          <w:b/>
          <w:color w:val="000000" w:themeColor="text1"/>
          <w:sz w:val="24"/>
          <w:highlight w:val="none"/>
          <w14:textFill>
            <w14:solidFill>
              <w14:schemeClr w14:val="tx1"/>
            </w14:solidFill>
          </w14:textFill>
        </w:rPr>
      </w:pPr>
    </w:p>
    <w:p>
      <w:pPr>
        <w:snapToGrid w:val="0"/>
        <w:spacing w:before="156" w:beforeLines="50" w:after="156" w:afterLines="50"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类似成功业绩一览表</w:t>
      </w:r>
    </w:p>
    <w:tbl>
      <w:tblPr>
        <w:tblStyle w:val="40"/>
        <w:tblW w:w="9148" w:type="dxa"/>
        <w:jc w:val="center"/>
        <w:tblInd w:w="0" w:type="dxa"/>
        <w:tblLayout w:type="fixed"/>
        <w:tblCellMar>
          <w:top w:w="0" w:type="dxa"/>
          <w:left w:w="108" w:type="dxa"/>
          <w:bottom w:w="0" w:type="dxa"/>
          <w:right w:w="108" w:type="dxa"/>
        </w:tblCellMar>
      </w:tblPr>
      <w:tblGrid>
        <w:gridCol w:w="1498"/>
        <w:gridCol w:w="951"/>
        <w:gridCol w:w="1356"/>
        <w:gridCol w:w="1008"/>
        <w:gridCol w:w="1155"/>
        <w:gridCol w:w="1965"/>
        <w:gridCol w:w="1215"/>
      </w:tblGrid>
      <w:tr>
        <w:tblPrEx>
          <w:tblLayout w:type="fixed"/>
          <w:tblCellMar>
            <w:top w:w="0" w:type="dxa"/>
            <w:left w:w="108" w:type="dxa"/>
            <w:bottom w:w="0" w:type="dxa"/>
            <w:right w:w="108" w:type="dxa"/>
          </w:tblCellMar>
        </w:tblPrEx>
        <w:trPr>
          <w:trHeight w:val="817" w:hRule="atLeast"/>
          <w:jc w:val="center"/>
        </w:trPr>
        <w:tc>
          <w:tcPr>
            <w:tcW w:w="149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简要描述</w:t>
            </w:r>
          </w:p>
        </w:tc>
        <w:tc>
          <w:tcPr>
            <w:tcW w:w="100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服务</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规模</w:t>
            </w:r>
          </w:p>
        </w:tc>
        <w:tc>
          <w:tcPr>
            <w:tcW w:w="115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服务起始日期</w:t>
            </w:r>
          </w:p>
        </w:tc>
        <w:tc>
          <w:tcPr>
            <w:tcW w:w="196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项目地址与服务单位联系电话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所在页码</w:t>
            </w:r>
          </w:p>
        </w:tc>
      </w:tr>
      <w:tr>
        <w:tblPrEx>
          <w:tblLayout w:type="fixed"/>
          <w:tblCellMar>
            <w:top w:w="0" w:type="dxa"/>
            <w:left w:w="108" w:type="dxa"/>
            <w:bottom w:w="0" w:type="dxa"/>
            <w:right w:w="108" w:type="dxa"/>
          </w:tblCellMar>
        </w:tblPrEx>
        <w:trPr>
          <w:trHeight w:val="415" w:hRule="atLeast"/>
          <w:jc w:val="center"/>
        </w:trPr>
        <w:tc>
          <w:tcPr>
            <w:tcW w:w="1498"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965"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Layout w:type="fixed"/>
          <w:tblCellMar>
            <w:top w:w="0" w:type="dxa"/>
            <w:left w:w="108" w:type="dxa"/>
            <w:bottom w:w="0" w:type="dxa"/>
            <w:right w:w="108" w:type="dxa"/>
          </w:tblCellMar>
        </w:tblPrEx>
        <w:trPr>
          <w:trHeight w:val="415" w:hRule="atLeast"/>
          <w:jc w:val="center"/>
        </w:trPr>
        <w:tc>
          <w:tcPr>
            <w:tcW w:w="1498"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951"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008"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965"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r>
    </w:tbl>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注：供应商可按上述的格式自行编制。</w:t>
      </w:r>
    </w:p>
    <w:p>
      <w:pPr>
        <w:snapToGrid w:val="0"/>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供应商名称（公章）：</w:t>
      </w:r>
    </w:p>
    <w:p>
      <w:pPr>
        <w:snapToGrid w:val="0"/>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授权代表签字：</w:t>
      </w:r>
    </w:p>
    <w:p>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snapToGrid w:val="0"/>
        <w:spacing w:line="360" w:lineRule="auto"/>
        <w:jc w:val="left"/>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napToGrid w:val="0"/>
        <w:spacing w:line="360" w:lineRule="auto"/>
        <w:jc w:val="left"/>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商务响应表格式：</w:t>
      </w:r>
    </w:p>
    <w:p>
      <w:pPr>
        <w:snapToGrid w:val="0"/>
        <w:spacing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商务响应表</w:t>
      </w:r>
    </w:p>
    <w:p>
      <w:pPr>
        <w:snapToGrid w:val="0"/>
        <w:spacing w:line="360" w:lineRule="auto"/>
        <w:jc w:val="left"/>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tbl>
      <w:tblPr>
        <w:tblStyle w:val="40"/>
        <w:tblW w:w="809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71"/>
        <w:gridCol w:w="2013"/>
        <w:gridCol w:w="1365"/>
        <w:gridCol w:w="24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jc w:val="center"/>
        </w:trPr>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招标文件要求</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是否响应</w:t>
            </w:r>
          </w:p>
        </w:tc>
        <w:tc>
          <w:tcPr>
            <w:tcW w:w="2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jc w:val="center"/>
        </w:trPr>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付款方式</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jc w:val="center"/>
        </w:trPr>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43"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43"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jc w:val="center"/>
        </w:trPr>
        <w:tc>
          <w:tcPr>
            <w:tcW w:w="22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4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投标人全称（公章）： </w:t>
      </w:r>
    </w:p>
    <w:p>
      <w:pPr>
        <w:snapToGrid w:val="0"/>
        <w:spacing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法定代表人或授权代表（签字）：</w:t>
      </w:r>
    </w:p>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snapToGrid w:val="0"/>
        <w:spacing w:line="360" w:lineRule="auto"/>
        <w:jc w:val="left"/>
        <w:rPr>
          <w:rFonts w:hint="eastAsia" w:ascii="宋体" w:hAnsi="宋体" w:eastAsia="宋体" w:cs="宋体"/>
          <w:b/>
          <w:bCs/>
          <w:color w:val="000000" w:themeColor="text1"/>
          <w:sz w:val="24"/>
          <w:szCs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b/>
          <w:bCs/>
          <w:color w:val="000000" w:themeColor="text1"/>
          <w:sz w:val="28"/>
          <w:szCs w:val="28"/>
          <w:highlight w:val="none"/>
          <w:lang w:val="zh-CN"/>
          <w14:textFill>
            <w14:solidFill>
              <w14:schemeClr w14:val="tx1"/>
            </w14:solidFill>
          </w14:textFill>
        </w:rPr>
        <w:t>投标人、投标人法定代表人及本次投标的授权代表违法犯罪情况表</w:t>
      </w:r>
    </w:p>
    <w:tbl>
      <w:tblPr>
        <w:tblStyle w:val="40"/>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6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jc w:val="center"/>
        </w:trPr>
        <w:tc>
          <w:tcPr>
            <w:tcW w:w="2724"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内容</w:t>
            </w:r>
          </w:p>
        </w:tc>
        <w:tc>
          <w:tcPr>
            <w:tcW w:w="613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投标截止之日前</w:t>
            </w: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zh-CN"/>
                <w14:textFill>
                  <w14:solidFill>
                    <w14:schemeClr w14:val="tx1"/>
                  </w14:solidFill>
                </w14:textFill>
              </w:rPr>
              <w:t>年内违法犯罪情况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 w:hRule="atLeast"/>
          <w:jc w:val="center"/>
        </w:trPr>
        <w:tc>
          <w:tcPr>
            <w:tcW w:w="2724"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1</w:t>
            </w:r>
            <w:r>
              <w:rPr>
                <w:rFonts w:hint="eastAsia" w:ascii="宋体" w:hAnsi="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zh-CN"/>
                <w14:textFill>
                  <w14:solidFill>
                    <w14:schemeClr w14:val="tx1"/>
                  </w14:solidFill>
                </w14:textFill>
              </w:rPr>
              <w:t>投标人违法犯罪记录</w:t>
            </w:r>
          </w:p>
        </w:tc>
        <w:tc>
          <w:tcPr>
            <w:tcW w:w="6132"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投标人                           无违法犯罪记录。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jc w:val="center"/>
        </w:trPr>
        <w:tc>
          <w:tcPr>
            <w:tcW w:w="2724"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2</w:t>
            </w:r>
            <w:r>
              <w:rPr>
                <w:rFonts w:hint="eastAsia" w:ascii="宋体" w:hAnsi="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zh-CN"/>
                <w14:textFill>
                  <w14:solidFill>
                    <w14:schemeClr w14:val="tx1"/>
                  </w14:solidFill>
                </w14:textFill>
              </w:rPr>
              <w:t>投标人法定代表人违法犯罪记录</w:t>
            </w:r>
          </w:p>
        </w:tc>
        <w:tc>
          <w:tcPr>
            <w:tcW w:w="6132"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投标人法定代表人（姓名：     、身份证号码：        ）无违法犯罪记录。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2" w:hRule="atLeast"/>
          <w:jc w:val="center"/>
        </w:trPr>
        <w:tc>
          <w:tcPr>
            <w:tcW w:w="2724"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3</w:t>
            </w:r>
            <w:r>
              <w:rPr>
                <w:rFonts w:hint="eastAsia" w:ascii="宋体" w:hAnsi="宋体" w:cs="宋体"/>
                <w:color w:val="000000" w:themeColor="text1"/>
                <w:sz w:val="24"/>
                <w:szCs w:val="24"/>
                <w:highlight w:val="none"/>
                <w:lang w:val="zh-CN"/>
                <w14:textFill>
                  <w14:solidFill>
                    <w14:schemeClr w14:val="tx1"/>
                  </w14:solidFill>
                </w14:textFill>
              </w:rPr>
              <w:t>.</w:t>
            </w:r>
            <w:r>
              <w:rPr>
                <w:rFonts w:hint="eastAsia" w:ascii="宋体" w:hAnsi="宋体" w:eastAsia="宋体" w:cs="宋体"/>
                <w:color w:val="000000" w:themeColor="text1"/>
                <w:sz w:val="24"/>
                <w:szCs w:val="24"/>
                <w:highlight w:val="none"/>
                <w:lang w:val="zh-CN"/>
                <w14:textFill>
                  <w14:solidFill>
                    <w14:schemeClr w14:val="tx1"/>
                  </w14:solidFill>
                </w14:textFill>
              </w:rPr>
              <w:t>本次投标授权代表违法犯罪记录</w:t>
            </w:r>
          </w:p>
        </w:tc>
        <w:tc>
          <w:tcPr>
            <w:tcW w:w="6132"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本次投标授权代表（姓名：       、身份证号码：       ）无违法犯罪记录。</w:t>
            </w:r>
          </w:p>
        </w:tc>
      </w:tr>
    </w:tbl>
    <w:p>
      <w:pPr>
        <w:snapToGrid w:val="0"/>
        <w:spacing w:line="360" w:lineRule="auto"/>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注：若</w:t>
      </w:r>
      <w:r>
        <w:rPr>
          <w:rFonts w:hint="eastAsia" w:ascii="宋体" w:hAnsi="宋体" w:cs="宋体"/>
          <w:color w:val="000000" w:themeColor="text1"/>
          <w:sz w:val="24"/>
          <w:szCs w:val="24"/>
          <w:highlight w:val="none"/>
          <w:lang w:val="zh-CN"/>
          <w14:textFill>
            <w14:solidFill>
              <w14:schemeClr w14:val="tx1"/>
            </w14:solidFill>
          </w14:textFill>
        </w:rPr>
        <w:t>中标人</w:t>
      </w:r>
      <w:r>
        <w:rPr>
          <w:rFonts w:hint="eastAsia" w:ascii="宋体" w:hAnsi="宋体" w:eastAsia="宋体" w:cs="宋体"/>
          <w:color w:val="000000" w:themeColor="text1"/>
          <w:sz w:val="24"/>
          <w:szCs w:val="24"/>
          <w:highlight w:val="none"/>
          <w:lang w:val="zh-CN"/>
          <w14:textFill>
            <w14:solidFill>
              <w14:schemeClr w14:val="tx1"/>
            </w14:solidFill>
          </w14:textFill>
        </w:rPr>
        <w:t>经违法犯罪档案查询存在违法犯罪记录的，投标文件将被视为无效，取消中标资格。</w:t>
      </w:r>
    </w:p>
    <w:p>
      <w:pPr>
        <w:snapToGrid w:val="0"/>
        <w:spacing w:line="360" w:lineRule="auto"/>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 xml:space="preserve">投标人全称（公章）：                  </w:t>
      </w:r>
    </w:p>
    <w:p>
      <w:pPr>
        <w:snapToGrid w:val="0"/>
        <w:spacing w:line="360" w:lineRule="auto"/>
        <w:jc w:val="left"/>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法定代表人或授权代表（签字）：　　　　　</w:t>
      </w:r>
    </w:p>
    <w:p>
      <w:pPr>
        <w:snapToGrid w:val="0"/>
        <w:spacing w:line="360" w:lineRule="auto"/>
        <w:jc w:val="left"/>
        <w:rPr>
          <w:rFonts w:hint="eastAsia" w:ascii="宋体" w:hAnsi="宋体" w:eastAsia="宋体" w:cs="宋体"/>
          <w:color w:val="000000" w:themeColor="text1"/>
          <w:kern w:val="0"/>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日期：     年    月    日</w:t>
      </w:r>
    </w:p>
    <w:p>
      <w:pPr>
        <w:snapToGrid w:val="0"/>
        <w:spacing w:line="360" w:lineRule="auto"/>
        <w:jc w:val="left"/>
        <w:rPr>
          <w:rFonts w:hint="eastAsia" w:ascii="宋体" w:hAnsi="宋体" w:eastAsia="宋体" w:cs="宋体"/>
          <w:color w:val="000000" w:themeColor="text1"/>
          <w:kern w:val="0"/>
          <w:sz w:val="24"/>
          <w:szCs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kern w:val="0"/>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kern w:val="0"/>
          <w:sz w:val="24"/>
          <w:highlight w:val="none"/>
          <w:lang w:val="zh-CN"/>
          <w14:textFill>
            <w14:solidFill>
              <w14:schemeClr w14:val="tx1"/>
            </w14:solidFill>
          </w14:textFill>
        </w:rPr>
      </w:pPr>
    </w:p>
    <w:p>
      <w:pPr>
        <w:snapToGrid w:val="0"/>
        <w:spacing w:line="360" w:lineRule="auto"/>
        <w:jc w:val="left"/>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jc w:val="left"/>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ind w:right="-108"/>
        <w:rPr>
          <w:rFonts w:hint="eastAsia" w:ascii="宋体" w:hAnsi="宋体" w:eastAsia="宋体" w:cs="宋体"/>
          <w:b/>
          <w:color w:val="000000" w:themeColor="text1"/>
          <w:sz w:val="36"/>
          <w:szCs w:val="36"/>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napToGrid w:val="0"/>
        <w:spacing w:before="156" w:beforeLines="50" w:after="156" w:afterLines="50"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技术偏离表</w:t>
      </w:r>
    </w:p>
    <w:p>
      <w:pPr>
        <w:snapToGrid w:val="0"/>
        <w:spacing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11"/>
        <w:gridCol w:w="1917"/>
        <w:gridCol w:w="2132"/>
        <w:gridCol w:w="1696"/>
        <w:gridCol w:w="15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19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招标文件要求</w:t>
            </w:r>
          </w:p>
        </w:tc>
        <w:tc>
          <w:tcPr>
            <w:tcW w:w="213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投标文件响应</w:t>
            </w:r>
          </w:p>
        </w:tc>
        <w:tc>
          <w:tcPr>
            <w:tcW w:w="16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偏离情况</w:t>
            </w:r>
          </w:p>
        </w:tc>
        <w:tc>
          <w:tcPr>
            <w:tcW w:w="15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3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6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3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6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3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6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3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6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3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6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11"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13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66"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napToGrid w:val="0"/>
        <w:spacing w:after="120" w:line="360" w:lineRule="auto"/>
        <w:rPr>
          <w:rFonts w:hint="eastAsia" w:ascii="宋体" w:hAnsi="宋体" w:eastAsia="宋体" w:cs="宋体"/>
          <w:color w:val="000000" w:themeColor="text1"/>
          <w:spacing w:val="2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注：供应商应根据投标设备的性能指标、对照招标文件要求在“偏离情况”栏注明“正偏离”、“负偏离”或“无偏离”。</w:t>
      </w:r>
    </w:p>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供应商全称（公章）： </w:t>
      </w:r>
    </w:p>
    <w:p>
      <w:pPr>
        <w:snapToGrid w:val="0"/>
        <w:spacing w:before="152" w:after="160"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法定代表人或授权代表（签字）：</w:t>
      </w:r>
    </w:p>
    <w:p>
      <w:pPr>
        <w:snapToGrid w:val="0"/>
        <w:spacing w:before="156" w:beforeLines="50" w:after="156" w:afterLines="50" w:line="360" w:lineRule="auto"/>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snapToGrid w:val="0"/>
        <w:spacing w:line="360" w:lineRule="auto"/>
        <w:jc w:val="left"/>
        <w:rPr>
          <w:rFonts w:hint="eastAsia" w:ascii="宋体" w:hAnsi="宋体" w:eastAsia="宋体" w:cs="宋体"/>
          <w:b/>
          <w:bCs/>
          <w:color w:val="000000" w:themeColor="text1"/>
          <w:sz w:val="24"/>
          <w:szCs w:val="24"/>
          <w:highlight w:val="none"/>
          <w14:textFill>
            <w14:solidFill>
              <w14:schemeClr w14:val="tx1"/>
            </w14:solidFill>
          </w14:textFill>
        </w:rPr>
      </w:pPr>
    </w:p>
    <w:p>
      <w:pPr>
        <w:snapToGrid w:val="0"/>
        <w:spacing w:line="360" w:lineRule="auto"/>
        <w:jc w:val="left"/>
        <w:rPr>
          <w:rFonts w:hint="eastAsia" w:ascii="宋体" w:hAnsi="宋体" w:eastAsia="宋体" w:cs="宋体"/>
          <w:color w:val="000000" w:themeColor="text1"/>
          <w:kern w:val="0"/>
          <w:sz w:val="24"/>
          <w:szCs w:val="24"/>
          <w:highlight w:val="none"/>
          <w:lang w:val="zh-CN"/>
          <w14:textFill>
            <w14:solidFill>
              <w14:schemeClr w14:val="tx1"/>
            </w14:solidFill>
          </w14:textFill>
        </w:rPr>
      </w:pPr>
    </w:p>
    <w:p>
      <w:pPr>
        <w:snapToGrid w:val="0"/>
        <w:spacing w:before="156" w:beforeLines="50" w:after="156" w:afterLines="50" w:line="360" w:lineRule="auto"/>
        <w:rPr>
          <w:rFonts w:hint="eastAsia" w:ascii="宋体" w:hAnsi="宋体" w:eastAsia="宋体" w:cs="宋体"/>
          <w:b/>
          <w:bCs/>
          <w:color w:val="000000" w:themeColor="text1"/>
          <w:kern w:val="0"/>
          <w:sz w:val="24"/>
          <w:szCs w:val="24"/>
          <w:highlight w:val="none"/>
          <w14:textFill>
            <w14:solidFill>
              <w14:schemeClr w14:val="tx1"/>
            </w14:solidFill>
          </w14:textFill>
        </w:rPr>
      </w:pPr>
    </w:p>
    <w:p>
      <w:pPr>
        <w:snapToGrid w:val="0"/>
        <w:spacing w:before="156" w:beforeLines="50" w:after="156" w:afterLines="50" w:line="360" w:lineRule="auto"/>
        <w:rPr>
          <w:rFonts w:hint="eastAsia" w:ascii="宋体" w:hAnsi="宋体" w:eastAsia="宋体" w:cs="宋体"/>
          <w:b/>
          <w:bCs/>
          <w:color w:val="000000" w:themeColor="text1"/>
          <w:kern w:val="0"/>
          <w:sz w:val="24"/>
          <w:szCs w:val="24"/>
          <w:highlight w:val="none"/>
          <w:lang w:val="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napToGrid w:val="0"/>
        <w:spacing w:before="156" w:beforeLines="50" w:after="156" w:afterLines="50"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8"/>
          <w:szCs w:val="28"/>
          <w:highlight w:val="none"/>
          <w:lang w:val="zh-CN"/>
          <w14:textFill>
            <w14:solidFill>
              <w14:schemeClr w14:val="tx1"/>
            </w14:solidFill>
          </w14:textFill>
        </w:rPr>
        <w:t>项目实施方案和人力资源安排，以及本项目实施人员一览</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项目名称： </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1"/>
        <w:gridCol w:w="960"/>
        <w:gridCol w:w="1830"/>
        <w:gridCol w:w="1200"/>
        <w:gridCol w:w="1854"/>
        <w:gridCol w:w="1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职务</w:t>
            </w:r>
          </w:p>
        </w:tc>
        <w:tc>
          <w:tcPr>
            <w:tcW w:w="1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专业技术资格</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证书编号</w:t>
            </w:r>
          </w:p>
        </w:tc>
        <w:tc>
          <w:tcPr>
            <w:tcW w:w="18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参加本单位工作时间</w:t>
            </w:r>
          </w:p>
        </w:tc>
        <w:tc>
          <w:tcPr>
            <w:tcW w:w="16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相关工作经验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6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6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6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8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c>
          <w:tcPr>
            <w:tcW w:w="16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p>
        </w:tc>
      </w:tr>
    </w:tbl>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注：在填写时，如本表格不适合投标单位的实际情况，可根据本表格式自行划表填写。</w:t>
      </w:r>
    </w:p>
    <w:p>
      <w:pPr>
        <w:snapToGrid w:val="0"/>
        <w:spacing w:line="360" w:lineRule="auto"/>
        <w:jc w:val="left"/>
        <w:rPr>
          <w:rFonts w:hint="eastAsia" w:ascii="宋体" w:hAnsi="宋体" w:eastAsia="宋体" w:cs="宋体"/>
          <w:b/>
          <w:color w:val="000000" w:themeColor="text1"/>
          <w:sz w:val="24"/>
          <w:szCs w:val="24"/>
          <w:highlight w:val="none"/>
          <w14:textFill>
            <w14:solidFill>
              <w14:schemeClr w14:val="tx1"/>
            </w14:solidFill>
          </w14:textFill>
        </w:rPr>
      </w:pPr>
    </w:p>
    <w:p>
      <w:pPr>
        <w:snapToGrid w:val="0"/>
        <w:spacing w:line="360" w:lineRule="auto"/>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供应商全称（公章）： </w:t>
      </w:r>
    </w:p>
    <w:p>
      <w:pPr>
        <w:snapToGrid w:val="0"/>
        <w:spacing w:line="360" w:lineRule="auto"/>
        <w:ind w:firstLine="240" w:firstLineChars="1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法定代表人或授权代表（签字）：</w:t>
      </w:r>
    </w:p>
    <w:p>
      <w:pPr>
        <w:snapToGrid w:val="0"/>
        <w:spacing w:line="360" w:lineRule="auto"/>
        <w:ind w:firstLine="240" w:firstLineChars="1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w:t>
      </w:r>
    </w:p>
    <w:p>
      <w:pPr>
        <w:snapToGrid w:val="0"/>
        <w:spacing w:line="360" w:lineRule="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附：项目实施人员相关经验或资质证明文件复印件</w:t>
      </w:r>
    </w:p>
    <w:p>
      <w:pPr>
        <w:snapToGrid w:val="0"/>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姓名：</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职务：</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52" w:hRule="atLeast"/>
        </w:trPr>
        <w:tc>
          <w:tcPr>
            <w:tcW w:w="8522" w:type="dxa"/>
          </w:tcPr>
          <w:p>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经验或资质证明文件复印件</w:t>
            </w:r>
          </w:p>
        </w:tc>
      </w:tr>
    </w:tbl>
    <w:p>
      <w:pPr>
        <w:snapToGrid w:val="0"/>
        <w:spacing w:before="156" w:beforeLines="50" w:after="156" w:afterLines="50"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lang w:val="zh-CN"/>
          <w14:textFill>
            <w14:solidFill>
              <w14:schemeClr w14:val="tx1"/>
            </w14:solidFill>
          </w14:textFill>
        </w:rPr>
      </w:pPr>
    </w:p>
    <w:p>
      <w:pPr>
        <w:snapToGrid w:val="0"/>
        <w:spacing w:line="360" w:lineRule="auto"/>
        <w:jc w:val="center"/>
        <w:outlineLvl w:val="0"/>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Start w:id="57" w:name="_Toc5972"/>
      <w:bookmarkStart w:id="58" w:name="_Toc21891"/>
      <w:r>
        <w:rPr>
          <w:rFonts w:hint="eastAsia" w:ascii="宋体" w:hAnsi="宋体" w:eastAsia="宋体" w:cs="宋体"/>
          <w:b/>
          <w:color w:val="000000" w:themeColor="text1"/>
          <w:sz w:val="32"/>
          <w:szCs w:val="32"/>
          <w:highlight w:val="none"/>
          <w14:textFill>
            <w14:solidFill>
              <w14:schemeClr w14:val="tx1"/>
            </w14:solidFill>
          </w14:textFill>
        </w:rPr>
        <w:t>报价文件</w:t>
      </w:r>
      <w:bookmarkEnd w:id="57"/>
      <w:bookmarkEnd w:id="58"/>
    </w:p>
    <w:p>
      <w:pPr>
        <w:numPr>
          <w:ilvl w:val="0"/>
          <w:numId w:val="18"/>
        </w:numPr>
        <w:snapToGrid w:val="0"/>
        <w:spacing w:line="360" w:lineRule="auto"/>
        <w:jc w:val="center"/>
        <w:rPr>
          <w:rFonts w:hint="eastAsia" w:ascii="宋体" w:hAnsi="宋体" w:eastAsia="宋体" w:cs="宋体"/>
          <w:b/>
          <w:color w:val="000000" w:themeColor="text1"/>
          <w:kern w:val="44"/>
          <w:sz w:val="28"/>
          <w:szCs w:val="28"/>
          <w:highlight w:val="none"/>
          <w14:textFill>
            <w14:solidFill>
              <w14:schemeClr w14:val="tx1"/>
            </w14:solidFill>
          </w14:textFill>
        </w:rPr>
      </w:pPr>
      <w:bookmarkStart w:id="59" w:name="_Toc415734855"/>
      <w:r>
        <w:rPr>
          <w:rFonts w:hint="eastAsia" w:ascii="宋体" w:hAnsi="宋体" w:eastAsia="宋体" w:cs="宋体"/>
          <w:b/>
          <w:color w:val="000000" w:themeColor="text1"/>
          <w:kern w:val="44"/>
          <w:sz w:val="28"/>
          <w:szCs w:val="28"/>
          <w:highlight w:val="none"/>
          <w14:textFill>
            <w14:solidFill>
              <w14:schemeClr w14:val="tx1"/>
            </w14:solidFill>
          </w14:textFill>
        </w:rPr>
        <w:t>法定代表人授权委托书</w:t>
      </w:r>
    </w:p>
    <w:p>
      <w:pPr>
        <w:snapToGrid w:val="0"/>
        <w:spacing w:line="360" w:lineRule="auto"/>
        <w:jc w:val="left"/>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法定代表人授权委托书或法定代表人身份证明书格式（2选1）</w:t>
      </w:r>
      <w:r>
        <w:rPr>
          <w:rFonts w:hint="eastAsia" w:ascii="宋体" w:hAnsi="宋体" w:eastAsia="宋体" w:cs="宋体"/>
          <w:b/>
          <w:bCs/>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投标人代表须携带有效身份证件。如投标人代表不是法定代表人，须有法定代表人出具的授权委托书;若是法定代表人参加，须填写法定代表人身份证明书。</w:t>
      </w:r>
    </w:p>
    <w:p>
      <w:pPr>
        <w:snapToGrid w:val="0"/>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法定代表人授权委托书</w:t>
      </w:r>
    </w:p>
    <w:p>
      <w:pPr>
        <w:snapToGrid w:val="0"/>
        <w:spacing w:line="360" w:lineRule="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（采购人）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（采购代理机构）</w:t>
      </w:r>
      <w:r>
        <w:rPr>
          <w:rFonts w:hint="eastAsia" w:ascii="宋体" w:hAnsi="宋体" w:eastAsia="宋体" w:cs="宋体"/>
          <w:color w:val="000000" w:themeColor="text1"/>
          <w:kern w:val="0"/>
          <w:sz w:val="24"/>
          <w:highlight w:val="none"/>
          <w:lang w:val="zh-CN"/>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val="0"/>
        <w:spacing w:line="360" w:lineRule="exact"/>
        <w:ind w:left="0" w:leftChars="0" w:firstLine="480" w:firstLineChars="200"/>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兹委派我公司</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先生/女士(其在本公司的职务是：联系电话：手机：传真：)，代表我公司全权处理</w:t>
      </w:r>
      <w:r>
        <w:rPr>
          <w:rFonts w:hint="eastAsia" w:ascii="宋体" w:hAnsi="宋体" w:cs="宋体"/>
          <w:color w:val="000000" w:themeColor="text1"/>
          <w:sz w:val="24"/>
          <w:highlight w:val="none"/>
          <w:lang w:eastAsia="zh-CN"/>
          <w14:textFill>
            <w14:solidFill>
              <w14:schemeClr w14:val="tx1"/>
            </w14:solidFill>
          </w14:textFill>
        </w:rPr>
        <w:t xml:space="preserve"> 义乌市消防救援支队2024年度消防器材装备（非信通装备类）采购项目</w:t>
      </w:r>
      <w:r>
        <w:rPr>
          <w:rFonts w:hint="eastAsia" w:ascii="宋体" w:hAnsi="宋体" w:eastAsia="宋体" w:cs="宋体"/>
          <w:color w:val="000000" w:themeColor="text1"/>
          <w:kern w:val="0"/>
          <w:sz w:val="24"/>
          <w:highlight w:val="none"/>
          <w:lang w:val="zh-CN"/>
          <w14:textFill>
            <w14:solidFill>
              <w14:schemeClr w14:val="tx1"/>
            </w14:solidFill>
          </w14:textFill>
        </w:rPr>
        <w:t>(编号：</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政府采购投标的一切事项，若中标则全权代表本公司签订相关合同，并负责处理合同履行等事宜。</w:t>
      </w:r>
    </w:p>
    <w:p>
      <w:pPr>
        <w:keepNext w:val="0"/>
        <w:keepLines w:val="0"/>
        <w:pageBreakBefore w:val="0"/>
        <w:widowControl w:val="0"/>
        <w:kinsoku/>
        <w:overflowPunct/>
        <w:topLinePunct w:val="0"/>
        <w:autoSpaceDE/>
        <w:autoSpaceDN/>
        <w:bidi w:val="0"/>
        <w:adjustRightInd/>
        <w:snapToGrid w:val="0"/>
        <w:spacing w:line="360" w:lineRule="exact"/>
        <w:ind w:left="0" w:leftChars="0"/>
        <w:textAlignment w:val="auto"/>
        <w:outlineLvl w:val="9"/>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    本授权书有效期：自   年 月  日起至  年  月  日止。</w:t>
      </w:r>
    </w:p>
    <w:p>
      <w:pPr>
        <w:keepNext w:val="0"/>
        <w:keepLines w:val="0"/>
        <w:pageBreakBefore w:val="0"/>
        <w:widowControl w:val="0"/>
        <w:kinsoku/>
        <w:overflowPunct/>
        <w:topLinePunct w:val="0"/>
        <w:autoSpaceDE/>
        <w:autoSpaceDN/>
        <w:bidi w:val="0"/>
        <w:adjustRightInd/>
        <w:snapToGrid w:val="0"/>
        <w:spacing w:line="360" w:lineRule="exact"/>
        <w:ind w:left="0" w:leftChars="0" w:firstLine="480"/>
        <w:textAlignment w:val="auto"/>
        <w:outlineLvl w:val="9"/>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特此告知。</w:t>
      </w:r>
    </w:p>
    <w:p>
      <w:pPr>
        <w:keepNext w:val="0"/>
        <w:keepLines w:val="0"/>
        <w:pageBreakBefore w:val="0"/>
        <w:widowControl w:val="0"/>
        <w:kinsoku/>
        <w:overflowPunct/>
        <w:topLinePunct w:val="0"/>
        <w:autoSpaceDE/>
        <w:autoSpaceDN/>
        <w:bidi w:val="0"/>
        <w:adjustRightInd/>
        <w:snapToGrid w:val="0"/>
        <w:spacing w:line="360" w:lineRule="exact"/>
        <w:ind w:left="0" w:leftChars="0" w:firstLine="480"/>
        <w:textAlignment w:val="auto"/>
        <w:outlineLvl w:val="9"/>
        <w:rPr>
          <w:rFonts w:hint="eastAsia" w:ascii="宋体" w:hAnsi="宋体" w:eastAsia="宋体" w:cs="宋体"/>
          <w:color w:val="000000" w:themeColor="text1"/>
          <w:kern w:val="0"/>
          <w:sz w:val="24"/>
          <w:highlight w:val="none"/>
          <w:lang w:val="zh-CN"/>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val="0"/>
        <w:spacing w:line="360" w:lineRule="exact"/>
        <w:ind w:left="0" w:leftChars="0" w:firstLine="480"/>
        <w:textAlignment w:val="auto"/>
        <w:outlineLvl w:val="9"/>
        <w:rPr>
          <w:rFonts w:hint="eastAsia" w:ascii="宋体" w:hAnsi="宋体" w:eastAsia="宋体" w:cs="宋体"/>
          <w:color w:val="000000" w:themeColor="text1"/>
          <w:kern w:val="0"/>
          <w:sz w:val="24"/>
          <w:highlight w:val="none"/>
          <w:lang w:val="zh-CN"/>
          <w14:textFill>
            <w14:solidFill>
              <w14:schemeClr w14:val="tx1"/>
            </w14:solidFill>
          </w14:textFill>
        </w:rPr>
      </w:pPr>
    </w:p>
    <w:p>
      <w:pPr>
        <w:keepNext w:val="0"/>
        <w:keepLines w:val="0"/>
        <w:pageBreakBefore w:val="0"/>
        <w:widowControl w:val="0"/>
        <w:kinsoku/>
        <w:overflowPunct/>
        <w:topLinePunct w:val="0"/>
        <w:autoSpaceDE/>
        <w:autoSpaceDN/>
        <w:bidi w:val="0"/>
        <w:adjustRightInd/>
        <w:snapToGrid w:val="0"/>
        <w:spacing w:line="360" w:lineRule="exact"/>
        <w:ind w:left="0" w:leftChars="0" w:firstLine="5160" w:firstLineChars="2150"/>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投标人名称(公章)：</w:t>
      </w:r>
    </w:p>
    <w:p>
      <w:pPr>
        <w:keepNext w:val="0"/>
        <w:keepLines w:val="0"/>
        <w:pageBreakBefore w:val="0"/>
        <w:widowControl w:val="0"/>
        <w:kinsoku/>
        <w:overflowPunct/>
        <w:topLinePunct w:val="0"/>
        <w:autoSpaceDE/>
        <w:autoSpaceDN/>
        <w:bidi w:val="0"/>
        <w:adjustRightInd/>
        <w:snapToGrid w:val="0"/>
        <w:spacing w:line="360" w:lineRule="exact"/>
        <w:ind w:left="0" w:leftChars="0" w:firstLine="5160" w:firstLineChars="2150"/>
        <w:jc w:val="left"/>
        <w:textAlignment w:val="auto"/>
        <w:outlineLvl w:val="9"/>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法定代表人(签字或盖章)：</w:t>
      </w:r>
    </w:p>
    <w:p>
      <w:pPr>
        <w:keepNext w:val="0"/>
        <w:keepLines w:val="0"/>
        <w:pageBreakBefore w:val="0"/>
        <w:widowControl w:val="0"/>
        <w:kinsoku/>
        <w:wordWrap w:val="0"/>
        <w:overflowPunct/>
        <w:topLinePunct w:val="0"/>
        <w:autoSpaceDE/>
        <w:autoSpaceDN/>
        <w:bidi w:val="0"/>
        <w:adjustRightInd/>
        <w:snapToGrid w:val="0"/>
        <w:spacing w:line="360" w:lineRule="exact"/>
        <w:ind w:left="0" w:leftChars="0" w:right="240" w:firstLine="5160" w:firstLineChars="2150"/>
        <w:jc w:val="left"/>
        <w:textAlignment w:val="auto"/>
        <w:outlineLvl w:val="9"/>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签发日期：  年  月   日</w:t>
      </w:r>
    </w:p>
    <w:p>
      <w:pPr>
        <w:wordWrap w:val="0"/>
        <w:snapToGrid w:val="0"/>
        <w:spacing w:line="360" w:lineRule="auto"/>
        <w:ind w:right="240" w:firstLine="5160" w:firstLineChars="2150"/>
        <w:jc w:val="left"/>
        <w:rPr>
          <w:rFonts w:hint="eastAsia" w:ascii="宋体" w:hAnsi="宋体" w:eastAsia="宋体" w:cs="宋体"/>
          <w:color w:val="000000" w:themeColor="text1"/>
          <w:kern w:val="0"/>
          <w:sz w:val="24"/>
          <w:highlight w:val="none"/>
          <w:lang w:val="zh-CN"/>
          <w14:textFill>
            <w14:solidFill>
              <w14:schemeClr w14:val="tx1"/>
            </w14:solidFill>
          </w14:textFill>
        </w:rPr>
      </w:pPr>
    </w:p>
    <w:p>
      <w:pPr>
        <w:wordWrap w:val="0"/>
        <w:snapToGrid w:val="0"/>
        <w:spacing w:line="360" w:lineRule="auto"/>
        <w:ind w:right="240" w:firstLine="5160" w:firstLineChars="2150"/>
        <w:jc w:val="left"/>
        <w:rPr>
          <w:rFonts w:hint="eastAsia" w:ascii="宋体" w:hAnsi="宋体" w:eastAsia="宋体" w:cs="宋体"/>
          <w:color w:val="000000" w:themeColor="text1"/>
          <w:kern w:val="0"/>
          <w:sz w:val="24"/>
          <w:highlight w:val="none"/>
          <w:lang w:val="zh-CN"/>
          <w14:textFill>
            <w14:solidFill>
              <w14:schemeClr w14:val="tx1"/>
            </w14:solidFill>
          </w14:textFill>
        </w:rPr>
      </w:pPr>
    </w:p>
    <w:p>
      <w:pPr>
        <w:snapToGrid w:val="0"/>
        <w:spacing w:line="360" w:lineRule="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附：法定代表人和授权代表身份证复印件（须正反面复印）。</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投标人名称（公章）：</w:t>
      </w: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法定代表人或其授权代表（签字）：</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日期：  年  月   日</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before="156" w:beforeLines="50" w:after="156" w:afterLines="50" w:line="360" w:lineRule="auto"/>
        <w:outlineLvl w:val="9"/>
        <w:rPr>
          <w:rFonts w:hint="eastAsia" w:ascii="宋体" w:hAnsi="宋体" w:eastAsia="宋体" w:cs="宋体"/>
          <w:b/>
          <w:color w:val="000000" w:themeColor="text1"/>
          <w:sz w:val="24"/>
          <w:highlight w:val="none"/>
          <w14:textFill>
            <w14:solidFill>
              <w14:schemeClr w14:val="tx1"/>
            </w14:solidFill>
          </w14:textFill>
        </w:rPr>
      </w:pPr>
    </w:p>
    <w:p>
      <w:pPr>
        <w:snapToGrid w:val="0"/>
        <w:spacing w:before="156" w:beforeLines="50" w:after="156" w:afterLines="50" w:line="360" w:lineRule="auto"/>
        <w:jc w:val="center"/>
        <w:outlineLvl w:val="1"/>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br w:type="page"/>
      </w:r>
      <w:r>
        <w:rPr>
          <w:rFonts w:hint="eastAsia" w:ascii="宋体" w:hAnsi="宋体" w:eastAsia="宋体" w:cs="宋体"/>
          <w:b/>
          <w:color w:val="000000" w:themeColor="text1"/>
          <w:sz w:val="28"/>
          <w:szCs w:val="28"/>
          <w:highlight w:val="none"/>
          <w14:textFill>
            <w14:solidFill>
              <w14:schemeClr w14:val="tx1"/>
            </w14:solidFill>
          </w14:textFill>
        </w:rPr>
        <w:t>法定代表人身份证明书</w:t>
      </w:r>
    </w:p>
    <w:p>
      <w:pPr>
        <w:snapToGrid w:val="0"/>
        <w:spacing w:line="360" w:lineRule="auto"/>
        <w:ind w:firstLine="612"/>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单位名称：</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p>
    <w:p>
      <w:pPr>
        <w:snapToGrid w:val="0"/>
        <w:spacing w:line="360" w:lineRule="auto"/>
        <w:ind w:firstLine="61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单位性质：</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p>
    <w:p>
      <w:pPr>
        <w:snapToGrid w:val="0"/>
        <w:spacing w:line="360" w:lineRule="auto"/>
        <w:ind w:firstLine="61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地    址：</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p>
    <w:p>
      <w:pPr>
        <w:snapToGrid w:val="0"/>
        <w:spacing w:line="360" w:lineRule="auto"/>
        <w:ind w:firstLine="61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成立时间：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w:t>
      </w:r>
    </w:p>
    <w:p>
      <w:pPr>
        <w:snapToGrid w:val="0"/>
        <w:spacing w:line="360" w:lineRule="auto"/>
        <w:ind w:firstLine="61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经营期限：</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p>
    <w:p>
      <w:pPr>
        <w:snapToGrid w:val="0"/>
        <w:spacing w:line="360" w:lineRule="auto"/>
        <w:ind w:firstLine="610"/>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姓    名：</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性别：</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年龄：</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职务：</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p>
    <w:p>
      <w:pPr>
        <w:snapToGrid w:val="0"/>
        <w:spacing w:line="360" w:lineRule="auto"/>
        <w:ind w:firstLine="61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系</w:t>
      </w:r>
      <w:r>
        <w:rPr>
          <w:rFonts w:hint="eastAsia" w:ascii="宋体" w:hAnsi="宋体" w:eastAsia="宋体" w:cs="宋体"/>
          <w:color w:val="000000" w:themeColor="text1"/>
          <w:sz w:val="24"/>
          <w:highlight w:val="none"/>
          <w:u w:val="single"/>
          <w14:textFill>
            <w14:solidFill>
              <w14:schemeClr w14:val="tx1"/>
            </w14:solidFill>
          </w14:textFill>
        </w:rPr>
        <w:t xml:space="preserve">          （投标人单位名称）         </w:t>
      </w:r>
      <w:r>
        <w:rPr>
          <w:rFonts w:hint="eastAsia" w:ascii="宋体" w:hAnsi="宋体" w:eastAsia="宋体" w:cs="宋体"/>
          <w:color w:val="000000" w:themeColor="text1"/>
          <w:sz w:val="24"/>
          <w:highlight w:val="none"/>
          <w14:textFill>
            <w14:solidFill>
              <w14:schemeClr w14:val="tx1"/>
            </w14:solidFill>
          </w14:textFill>
        </w:rPr>
        <w:t>的法定代表人。</w:t>
      </w:r>
    </w:p>
    <w:p>
      <w:pPr>
        <w:snapToGrid w:val="0"/>
        <w:spacing w:line="360" w:lineRule="auto"/>
        <w:ind w:firstLine="610"/>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ind w:firstLine="1329" w:firstLineChars="554"/>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特此证明。</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附：法定代表人身份证复印件（须正反面复印）。</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p>
    <w:p>
      <w:pPr>
        <w:pStyle w:val="3"/>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p>
    <w:p>
      <w:pPr>
        <w:pStyle w:val="3"/>
        <w:rPr>
          <w:rFonts w:hint="eastAsia"/>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投标人名称（公章）：</w:t>
      </w:r>
    </w:p>
    <w:p>
      <w:pPr>
        <w:keepNext w:val="0"/>
        <w:keepLines w:val="0"/>
        <w:pageBreakBefore w:val="0"/>
        <w:widowControl w:val="0"/>
        <w:kinsoku/>
        <w:wordWrap/>
        <w:overflowPunct/>
        <w:topLinePunct w:val="0"/>
        <w:autoSpaceDE w:val="0"/>
        <w:autoSpaceDN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法定代表人或其授权代表（签字）：</w:t>
      </w:r>
    </w:p>
    <w:p>
      <w:pPr>
        <w:keepNext w:val="0"/>
        <w:keepLines w:val="0"/>
        <w:pageBreakBefore w:val="0"/>
        <w:widowControl w:val="0"/>
        <w:kinsoku/>
        <w:wordWrap/>
        <w:overflowPunct/>
        <w:topLinePunct w:val="0"/>
        <w:bidi w:val="0"/>
        <w:adjustRightInd/>
        <w:snapToGrid w:val="0"/>
        <w:spacing w:line="360" w:lineRule="exact"/>
        <w:ind w:left="0" w:leftChars="0" w:right="0" w:rightChars="0" w:firstLine="4320" w:firstLineChars="18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日期：  年  月   日</w:t>
      </w:r>
    </w:p>
    <w:p>
      <w:pPr>
        <w:numPr>
          <w:ilvl w:val="0"/>
          <w:numId w:val="0"/>
        </w:numPr>
        <w:snapToGrid w:val="0"/>
        <w:spacing w:line="360" w:lineRule="auto"/>
        <w:jc w:val="both"/>
        <w:rPr>
          <w:rFonts w:hint="eastAsia" w:ascii="宋体" w:hAnsi="宋体" w:eastAsia="宋体" w:cs="宋体"/>
          <w:color w:val="000000" w:themeColor="text1"/>
          <w:sz w:val="24"/>
          <w:highlight w:val="none"/>
          <w14:textFill>
            <w14:solidFill>
              <w14:schemeClr w14:val="tx1"/>
            </w14:solidFill>
          </w14:textFill>
        </w:rPr>
      </w:pPr>
    </w:p>
    <w:p>
      <w:pPr>
        <w:pStyle w:val="3"/>
        <w:rPr>
          <w:rFonts w:hint="eastAsia" w:ascii="宋体" w:hAnsi="宋体" w:eastAsia="宋体" w:cs="宋体"/>
          <w:color w:val="000000" w:themeColor="text1"/>
          <w:sz w:val="24"/>
          <w:highlight w:val="none"/>
          <w14:textFill>
            <w14:solidFill>
              <w14:schemeClr w14:val="tx1"/>
            </w14:solidFill>
          </w14:textFill>
        </w:rPr>
      </w:pPr>
    </w:p>
    <w:p>
      <w:pPr>
        <w:pStyle w:val="3"/>
        <w:rPr>
          <w:rFonts w:hint="eastAsia"/>
        </w:rPr>
      </w:pPr>
    </w:p>
    <w:p>
      <w:pPr>
        <w:rPr>
          <w:rFonts w:hint="eastAsia"/>
        </w:rPr>
      </w:pPr>
    </w:p>
    <w:p>
      <w:pPr>
        <w:numPr>
          <w:ilvl w:val="0"/>
          <w:numId w:val="18"/>
        </w:numPr>
        <w:snapToGrid w:val="0"/>
        <w:spacing w:line="360" w:lineRule="auto"/>
        <w:jc w:val="center"/>
        <w:rPr>
          <w:rFonts w:hint="eastAsia" w:ascii="宋体" w:hAnsi="宋体" w:eastAsia="宋体" w:cs="宋体"/>
          <w:b/>
          <w:color w:val="000000" w:themeColor="text1"/>
          <w:kern w:val="44"/>
          <w:sz w:val="28"/>
          <w:szCs w:val="28"/>
          <w:highlight w:val="none"/>
          <w14:textFill>
            <w14:solidFill>
              <w14:schemeClr w14:val="tx1"/>
            </w14:solidFill>
          </w14:textFill>
        </w:rPr>
      </w:pPr>
      <w:r>
        <w:rPr>
          <w:rFonts w:hint="eastAsia" w:ascii="宋体" w:hAnsi="宋体" w:eastAsia="宋体" w:cs="宋体"/>
          <w:b/>
          <w:color w:val="000000" w:themeColor="text1"/>
          <w:kern w:val="44"/>
          <w:sz w:val="28"/>
          <w:szCs w:val="28"/>
          <w:highlight w:val="none"/>
          <w14:textFill>
            <w14:solidFill>
              <w14:schemeClr w14:val="tx1"/>
            </w14:solidFill>
          </w14:textFill>
        </w:rPr>
        <w:t>投标响应函</w:t>
      </w:r>
      <w:bookmarkEnd w:id="59"/>
      <w:r>
        <w:rPr>
          <w:rFonts w:hint="eastAsia" w:ascii="宋体" w:hAnsi="宋体" w:cs="宋体"/>
          <w:b/>
          <w:color w:val="000000" w:themeColor="text1"/>
          <w:kern w:val="44"/>
          <w:sz w:val="28"/>
          <w:szCs w:val="28"/>
          <w:highlight w:val="none"/>
          <w:lang w:eastAsia="zh-CN"/>
          <w14:textFill>
            <w14:solidFill>
              <w14:schemeClr w14:val="tx1"/>
            </w14:solidFill>
          </w14:textFill>
        </w:rPr>
        <w:t>（</w:t>
      </w:r>
      <w:r>
        <w:rPr>
          <w:rFonts w:hint="eastAsia" w:ascii="宋体" w:hAnsi="宋体" w:cs="宋体"/>
          <w:b/>
          <w:color w:val="000000" w:themeColor="text1"/>
          <w:kern w:val="44"/>
          <w:sz w:val="28"/>
          <w:szCs w:val="28"/>
          <w:highlight w:val="none"/>
          <w:lang w:val="en-US" w:eastAsia="zh-CN"/>
          <w14:textFill>
            <w14:solidFill>
              <w14:schemeClr w14:val="tx1"/>
            </w14:solidFill>
          </w14:textFill>
        </w:rPr>
        <w:t>格式）</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（采购人）</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u w:val="single"/>
          <w14:textFill>
            <w14:solidFill>
              <w14:schemeClr w14:val="tx1"/>
            </w14:solidFill>
          </w14:textFill>
        </w:rPr>
        <w:t>（采购代理机构）</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(投标人全称)授权(全权代表姓名)(职务、职称)为全权代表，参加贵方组织的</w:t>
      </w:r>
      <w:r>
        <w:rPr>
          <w:rFonts w:hint="eastAsia" w:ascii="宋体" w:hAnsi="宋体" w:cs="宋体"/>
          <w:color w:val="000000" w:themeColor="text1"/>
          <w:sz w:val="24"/>
          <w:highlight w:val="none"/>
          <w:lang w:eastAsia="zh-CN"/>
          <w14:textFill>
            <w14:solidFill>
              <w14:schemeClr w14:val="tx1"/>
            </w14:solidFill>
          </w14:textFill>
        </w:rPr>
        <w:t xml:space="preserve"> 义乌市消防救援支队2024年度消防器材装备（非信通装备类）采购项目</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（填写标项）     </w:t>
      </w:r>
      <w:r>
        <w:rPr>
          <w:rFonts w:hint="eastAsia" w:ascii="宋体" w:hAnsi="宋体" w:eastAsia="宋体" w:cs="宋体"/>
          <w:color w:val="000000" w:themeColor="text1"/>
          <w:sz w:val="24"/>
          <w:highlight w:val="none"/>
          <w14:textFill>
            <w14:solidFill>
              <w14:schemeClr w14:val="tx1"/>
            </w14:solidFill>
          </w14:textFill>
        </w:rPr>
        <w:t>(采购编号：  ) 招标的有关活动，并对此项目进行投标。为此：</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我方同意在投标人</w:t>
      </w:r>
      <w:r>
        <w:rPr>
          <w:rFonts w:hint="eastAsia" w:ascii="宋体" w:hAnsi="宋体" w:eastAsia="宋体" w:cs="宋体"/>
          <w:color w:val="000000" w:themeColor="text1"/>
          <w:kern w:val="44"/>
          <w:sz w:val="24"/>
          <w:highlight w:val="none"/>
          <w14:textFill>
            <w14:solidFill>
              <w14:schemeClr w14:val="tx1"/>
            </w14:solidFill>
          </w14:textFill>
        </w:rPr>
        <w:t>编制和提交采购响应文件须知</w:t>
      </w:r>
      <w:r>
        <w:rPr>
          <w:rFonts w:hint="eastAsia" w:ascii="宋体" w:hAnsi="宋体" w:eastAsia="宋体" w:cs="宋体"/>
          <w:color w:val="000000" w:themeColor="text1"/>
          <w:sz w:val="24"/>
          <w:highlight w:val="none"/>
          <w14:textFill>
            <w14:solidFill>
              <w14:schemeClr w14:val="tx1"/>
            </w14:solidFill>
          </w14:textFill>
        </w:rPr>
        <w:t>规定的开标日期起遵守本投标文件中的承诺且在投标有效期满之前均具有约束力。</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我方承诺已经具备《中华人民共和国政府采购法》中规定的参加政府采购活动的供应商应当具备的条件：</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(1)具有独立承担民事责任的能力；</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(2)遵守国家法律、行政法规，具有良好的信誉和商业道德；</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(3)具有履行合同的能力和良好的履行合同记录；</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(4)良好的资金、财务状况；</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(5)产品及生产所需装备符合中国政府规定的相应技术标准和环保标准；</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(6)没有违反政府采购法规、政策的记录；</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(7)没有发生重大经济纠纷和走私犯罪记录。</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提供</w:t>
      </w:r>
      <w:r>
        <w:rPr>
          <w:rFonts w:hint="eastAsia" w:ascii="宋体" w:hAnsi="宋体" w:eastAsia="宋体" w:cs="宋体"/>
          <w:color w:val="000000" w:themeColor="text1"/>
          <w:kern w:val="44"/>
          <w:sz w:val="24"/>
          <w:highlight w:val="none"/>
          <w14:textFill>
            <w14:solidFill>
              <w14:schemeClr w14:val="tx1"/>
            </w14:solidFill>
          </w14:textFill>
        </w:rPr>
        <w:t>编制和提交采购响应文件须知</w:t>
      </w:r>
      <w:r>
        <w:rPr>
          <w:rFonts w:hint="eastAsia" w:ascii="宋体" w:hAnsi="宋体" w:eastAsia="宋体" w:cs="宋体"/>
          <w:color w:val="000000" w:themeColor="text1"/>
          <w:sz w:val="24"/>
          <w:highlight w:val="none"/>
          <w14:textFill>
            <w14:solidFill>
              <w14:schemeClr w14:val="tx1"/>
            </w14:solidFill>
          </w14:textFill>
        </w:rPr>
        <w:t>规定的全部投标文件，包括投标文件</w:t>
      </w:r>
      <w:r>
        <w:rPr>
          <w:rFonts w:hint="eastAsia" w:ascii="宋体" w:hAnsi="宋体" w:eastAsia="宋体" w:cs="宋体"/>
          <w:color w:val="000000" w:themeColor="text1"/>
          <w:kern w:val="44"/>
          <w:sz w:val="24"/>
          <w:highlight w:val="none"/>
          <w14:textFill>
            <w14:solidFill>
              <w14:schemeClr w14:val="tx1"/>
            </w14:solidFill>
          </w14:textFill>
        </w:rPr>
        <w:t>正本1份，副本</w:t>
      </w:r>
      <w:r>
        <w:rPr>
          <w:rFonts w:hint="eastAsia" w:ascii="宋体" w:hAnsi="宋体" w:cs="宋体"/>
          <w:color w:val="000000" w:themeColor="text1"/>
          <w:kern w:val="44"/>
          <w:sz w:val="24"/>
          <w:highlight w:val="none"/>
          <w:u w:val="single"/>
          <w:lang w:val="en-US" w:eastAsia="zh-CN"/>
          <w14:textFill>
            <w14:solidFill>
              <w14:schemeClr w14:val="tx1"/>
            </w14:solidFill>
          </w14:textFill>
        </w:rPr>
        <w:t>2</w:t>
      </w:r>
      <w:r>
        <w:rPr>
          <w:rFonts w:hint="eastAsia" w:ascii="宋体" w:hAnsi="宋体" w:eastAsia="宋体" w:cs="宋体"/>
          <w:color w:val="000000" w:themeColor="text1"/>
          <w:kern w:val="44"/>
          <w:sz w:val="24"/>
          <w:highlight w:val="none"/>
          <w14:textFill>
            <w14:solidFill>
              <w14:schemeClr w14:val="tx1"/>
            </w14:solidFill>
          </w14:textFill>
        </w:rPr>
        <w:t>份（见投标须知前附表所述）。</w:t>
      </w:r>
      <w:r>
        <w:rPr>
          <w:rFonts w:hint="eastAsia" w:ascii="宋体" w:hAnsi="宋体" w:eastAsia="宋体" w:cs="宋体"/>
          <w:color w:val="000000" w:themeColor="text1"/>
          <w:sz w:val="24"/>
          <w:highlight w:val="none"/>
          <w14:textFill>
            <w14:solidFill>
              <w14:schemeClr w14:val="tx1"/>
            </w14:solidFill>
          </w14:textFill>
        </w:rPr>
        <w:t>具体内容为：</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(1)投标(开标)一览表及投标报价明细清单；</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w:t>
      </w:r>
      <w:r>
        <w:rPr>
          <w:rFonts w:hint="eastAsia" w:ascii="宋体" w:hAnsi="宋体" w:eastAsia="宋体" w:cs="宋体"/>
          <w:color w:val="000000" w:themeColor="text1"/>
          <w:kern w:val="0"/>
          <w:sz w:val="24"/>
          <w:highlight w:val="none"/>
          <w:lang w:val="zh-CN"/>
          <w14:textFill>
            <w14:solidFill>
              <w14:schemeClr w14:val="tx1"/>
            </w14:solidFill>
          </w14:textFill>
        </w:rPr>
        <w:t>技术文件和</w:t>
      </w:r>
      <w:r>
        <w:rPr>
          <w:rFonts w:hint="eastAsia" w:ascii="宋体" w:hAnsi="宋体" w:eastAsia="宋体" w:cs="宋体"/>
          <w:color w:val="000000" w:themeColor="text1"/>
          <w:sz w:val="24"/>
          <w:highlight w:val="none"/>
          <w:lang w:val="zh-CN"/>
          <w14:textFill>
            <w14:solidFill>
              <w14:schemeClr w14:val="tx1"/>
            </w14:solidFill>
          </w14:textFill>
        </w:rPr>
        <w:t>商务文件</w:t>
      </w:r>
      <w:r>
        <w:rPr>
          <w:rFonts w:hint="eastAsia" w:ascii="宋体" w:hAnsi="宋体" w:eastAsia="宋体" w:cs="宋体"/>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kern w:val="44"/>
          <w:sz w:val="24"/>
          <w:highlight w:val="none"/>
          <w14:textFill>
            <w14:solidFill>
              <w14:schemeClr w14:val="tx1"/>
            </w14:solidFill>
          </w14:textFill>
        </w:rPr>
        <w:t>编制和提交采购响应文件须知</w:t>
      </w:r>
      <w:r>
        <w:rPr>
          <w:rFonts w:hint="eastAsia" w:ascii="宋体" w:hAnsi="宋体" w:eastAsia="宋体" w:cs="宋体"/>
          <w:color w:val="000000" w:themeColor="text1"/>
          <w:sz w:val="24"/>
          <w:highlight w:val="none"/>
          <w14:textFill>
            <w14:solidFill>
              <w14:schemeClr w14:val="tx1"/>
            </w14:solidFill>
          </w14:textFill>
        </w:rPr>
        <w:t>要求投标人提交的全部文件；</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(4)按招标文件要求提供和交付的货物和服务的投标报价详见投标(开标)一览表；</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14:textFill>
            <w14:solidFill>
              <w14:schemeClr w14:val="tx1"/>
            </w14:solidFill>
          </w14:textFill>
        </w:rPr>
        <w:t>)保证忠实地执行双方所签订的合同，并承担合同规定的责任和义务；</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eastAsia="宋体" w:cs="宋体"/>
          <w:color w:val="000000" w:themeColor="text1"/>
          <w:sz w:val="24"/>
          <w:highlight w:val="none"/>
          <w14:textFill>
            <w14:solidFill>
              <w14:schemeClr w14:val="tx1"/>
            </w14:solidFill>
          </w14:textFill>
        </w:rPr>
        <w:t>)保证遵守招标文件中的其他有关规定。</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我方完全理解贵方不一定要接受最低价的投标。</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5</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我方愿意向贵方提供任何与该项投标有关的数据、情况和技术资料。若贵方需要，我方愿意提供我方作出的一切承诺的证明材料。</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6</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我方已详细审核全部招标文件，包括招标文件修改书(如果有)、参考资料及有关附件，确认无误。</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a)提供虚假材料谋取中标、成交的；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b)采取不正当手段诋毁、排挤其他供应商的；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c)与采购人、其它供应商或者采购代理机构恶意串通的；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d)向采购人、采购代理机构行贿或者提供其他不正当利益的；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e)在招标采购过程中与采购人进行协商谈判的；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f)拒绝有关部门监督检查或提供虚假情况的。</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供应商有前款第a)至e)项情形之一的，中标、成交无效。</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3600" w:firstLineChars="15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3600" w:firstLineChars="15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投标人名称（公章）：</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3600" w:firstLineChars="15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法定代表人或其授权代表（签字或盖章）：</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3600" w:firstLineChars="1500"/>
        <w:jc w:val="left"/>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日期：  年   月   日</w:t>
      </w:r>
    </w:p>
    <w:p>
      <w:pPr>
        <w:snapToGrid w:val="0"/>
        <w:spacing w:line="360" w:lineRule="auto"/>
        <w:ind w:left="420" w:leftChars="200" w:firstLine="4200" w:firstLineChars="1750"/>
        <w:rPr>
          <w:rFonts w:hint="eastAsia" w:ascii="宋体" w:hAnsi="宋体" w:eastAsia="宋体" w:cs="宋体"/>
          <w:color w:val="000000" w:themeColor="text1"/>
          <w:kern w:val="0"/>
          <w:sz w:val="24"/>
          <w:highlight w:val="none"/>
          <w:u w:val="single"/>
          <w:lang w:val="zh-CN"/>
          <w14:textFill>
            <w14:solidFill>
              <w14:schemeClr w14:val="tx1"/>
            </w14:solidFill>
          </w14:textFill>
        </w:rPr>
      </w:pPr>
    </w:p>
    <w:p>
      <w:pPr>
        <w:snapToGrid w:val="0"/>
        <w:spacing w:line="360" w:lineRule="auto"/>
        <w:ind w:left="420" w:leftChars="2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 xml:space="preserve">联系人：                               联系电话： </w:t>
      </w:r>
    </w:p>
    <w:p>
      <w:pPr>
        <w:snapToGrid w:val="0"/>
        <w:spacing w:line="360" w:lineRule="auto"/>
        <w:ind w:left="420" w:leftChars="2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联系地址：</w:t>
      </w:r>
    </w:p>
    <w:p>
      <w:pPr>
        <w:snapToGrid w:val="0"/>
        <w:spacing w:line="360" w:lineRule="auto"/>
        <w:ind w:left="420" w:leftChars="2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邮政编码：                             传真号码：</w:t>
      </w:r>
    </w:p>
    <w:p>
      <w:pPr>
        <w:snapToGrid w:val="0"/>
        <w:spacing w:line="360" w:lineRule="auto"/>
        <w:rPr>
          <w:rFonts w:hint="eastAsia" w:ascii="宋体" w:hAnsi="宋体" w:eastAsia="宋体" w:cs="宋体"/>
          <w:b/>
          <w:color w:val="000000" w:themeColor="text1"/>
          <w:kern w:val="0"/>
          <w:sz w:val="24"/>
          <w:highlight w:val="none"/>
          <w:lang w:val="zh-CN"/>
          <w14:textFill>
            <w14:solidFill>
              <w14:schemeClr w14:val="tx1"/>
            </w14:solidFill>
          </w14:textFill>
        </w:rPr>
      </w:pPr>
    </w:p>
    <w:p>
      <w:pPr>
        <w:snapToGrid w:val="0"/>
        <w:spacing w:line="360" w:lineRule="auto"/>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b/>
          <w:color w:val="000000" w:themeColor="text1"/>
          <w:kern w:val="0"/>
          <w:sz w:val="24"/>
          <w:highlight w:val="none"/>
          <w:lang w:val="zh-CN"/>
          <w14:textFill>
            <w14:solidFill>
              <w14:schemeClr w14:val="tx1"/>
            </w14:solidFill>
          </w14:textFill>
        </w:rPr>
        <w:t>注：未按照本投标响应函要求填报的将被视为非实质性响应投标，从而可能导致该投标被拒绝。</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b/>
          <w:bCs/>
          <w:color w:val="000000" w:themeColor="text1"/>
          <w:sz w:val="24"/>
          <w:highlight w:val="none"/>
          <w14:textFill>
            <w14:solidFill>
              <w14:schemeClr w14:val="tx1"/>
            </w14:solidFill>
          </w14:textFill>
        </w:rPr>
      </w:pPr>
    </w:p>
    <w:p>
      <w:pPr>
        <w:pStyle w:val="3"/>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3"/>
        <w:rPr>
          <w:rFonts w:hint="eastAsia"/>
        </w:rPr>
      </w:pPr>
    </w:p>
    <w:p>
      <w:pPr>
        <w:rPr>
          <w:rFonts w:hint="eastAsia"/>
          <w:color w:val="000000" w:themeColor="text1"/>
          <w:highlight w:val="none"/>
          <w14:textFill>
            <w14:solidFill>
              <w14:schemeClr w14:val="tx1"/>
            </w14:solidFill>
          </w14:textFill>
        </w:rPr>
      </w:pPr>
    </w:p>
    <w:p>
      <w:pPr>
        <w:pStyle w:val="25"/>
        <w:rPr>
          <w:rFonts w:hint="eastAsia"/>
          <w:color w:val="000000" w:themeColor="text1"/>
          <w:highlight w:val="none"/>
          <w14:textFill>
            <w14:solidFill>
              <w14:schemeClr w14:val="tx1"/>
            </w14:solidFill>
          </w14:textFill>
        </w:rPr>
      </w:pPr>
    </w:p>
    <w:p>
      <w:pPr>
        <w:pStyle w:val="25"/>
        <w:rPr>
          <w:rFonts w:hint="eastAsia"/>
          <w:color w:val="000000" w:themeColor="text1"/>
          <w:highlight w:val="none"/>
          <w14:textFill>
            <w14:solidFill>
              <w14:schemeClr w14:val="tx1"/>
            </w14:solidFill>
          </w14:textFill>
        </w:rPr>
      </w:pPr>
    </w:p>
    <w:p>
      <w:pPr>
        <w:tabs>
          <w:tab w:val="left" w:pos="1418"/>
        </w:tabs>
        <w:snapToGrid w:val="0"/>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投标（开标）一览表格式：</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特别提醒：</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报价小写填写须</w:t>
      </w:r>
      <w:r>
        <w:rPr>
          <w:rFonts w:hint="eastAsia" w:ascii="宋体" w:hAnsi="宋体" w:eastAsia="宋体" w:cs="宋体"/>
          <w:b/>
          <w:bCs/>
          <w:color w:val="000000" w:themeColor="text1"/>
          <w:kern w:val="2"/>
          <w:sz w:val="24"/>
          <w:szCs w:val="24"/>
          <w:highlight w:val="none"/>
          <w:u w:val="single"/>
          <w14:textFill>
            <w14:solidFill>
              <w14:schemeClr w14:val="tx1"/>
            </w14:solidFill>
          </w14:textFill>
        </w:rPr>
        <w:t>保留小数2位</w:t>
      </w:r>
      <w:r>
        <w:rPr>
          <w:rFonts w:hint="eastAsia" w:ascii="宋体" w:hAnsi="宋体" w:eastAsia="宋体" w:cs="宋体"/>
          <w:b/>
          <w:bCs/>
          <w:color w:val="000000" w:themeColor="text1"/>
          <w:kern w:val="2"/>
          <w:sz w:val="24"/>
          <w:szCs w:val="24"/>
          <w:highlight w:val="none"/>
          <w:u w:val="single"/>
          <w:lang w:eastAsia="zh-CN"/>
          <w14:textFill>
            <w14:solidFill>
              <w14:schemeClr w14:val="tx1"/>
            </w14:solidFill>
          </w14:textFill>
        </w:rPr>
        <w:t>，</w:t>
      </w:r>
      <w:r>
        <w:rPr>
          <w:rFonts w:hint="eastAsia" w:ascii="宋体" w:hAnsi="宋体" w:eastAsia="宋体" w:cs="宋体"/>
          <w:b/>
          <w:bCs/>
          <w:color w:val="000000" w:themeColor="text1"/>
          <w:kern w:val="2"/>
          <w:sz w:val="24"/>
          <w:szCs w:val="24"/>
          <w:highlight w:val="none"/>
          <w:u w:val="single"/>
          <w:lang w:val="en-US" w:eastAsia="zh-CN"/>
          <w14:textFill>
            <w14:solidFill>
              <w14:schemeClr w14:val="tx1"/>
            </w14:solidFill>
          </w14:textFill>
        </w:rPr>
        <w:t>譬如报价1元，须填写为1.00元</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napToGrid w:val="0"/>
        <w:spacing w:line="360" w:lineRule="auto"/>
        <w:rPr>
          <w:rFonts w:hint="eastAsia" w:ascii="宋体" w:hAnsi="宋体" w:eastAsia="宋体" w:cs="宋体"/>
          <w:b/>
          <w:bCs/>
          <w:color w:val="000000" w:themeColor="text1"/>
          <w:sz w:val="28"/>
          <w:szCs w:val="28"/>
          <w:highlight w:val="none"/>
          <w14:textFill>
            <w14:solidFill>
              <w14:schemeClr w14:val="tx1"/>
            </w14:solidFill>
          </w14:textFill>
        </w:rPr>
      </w:pPr>
    </w:p>
    <w:p>
      <w:pPr>
        <w:snapToGrid w:val="0"/>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p>
    <w:p>
      <w:pPr>
        <w:snapToGrid w:val="0"/>
        <w:spacing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shd w:val="clear" w:color="auto" w:fill="auto"/>
          <w:lang w:val="en-US" w:eastAsia="zh-CN"/>
          <w14:textFill>
            <w14:solidFill>
              <w14:schemeClr w14:val="tx1"/>
            </w14:solidFill>
          </w14:textFill>
        </w:rPr>
        <w:t>标项</w:t>
      </w:r>
      <w:r>
        <w:rPr>
          <w:rFonts w:hint="eastAsia" w:ascii="宋体" w:hAnsi="宋体" w:cs="宋体"/>
          <w:b/>
          <w:color w:val="000000" w:themeColor="text1"/>
          <w:sz w:val="28"/>
          <w:szCs w:val="28"/>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highlight w:val="none"/>
          <w14:textFill>
            <w14:solidFill>
              <w14:schemeClr w14:val="tx1"/>
            </w14:solidFill>
          </w14:textFill>
        </w:rPr>
        <w:t>投标（开标）一览表</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p>
      <w:pPr>
        <w:snapToGrid w:val="0"/>
        <w:spacing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p>
      <w:pPr>
        <w:snapToGrid w:val="0"/>
        <w:spacing w:line="360" w:lineRule="auto"/>
        <w:ind w:firstLine="240" w:firstLineChars="1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金额单位：人民币（元）</w:t>
      </w:r>
    </w:p>
    <w:tbl>
      <w:tblPr>
        <w:tblStyle w:val="40"/>
        <w:tblW w:w="74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3074"/>
        <w:gridCol w:w="1065"/>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jc w:val="center"/>
        </w:trPr>
        <w:tc>
          <w:tcPr>
            <w:tcW w:w="2001"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0"/>
              <w:rPr>
                <w:rFonts w:hint="eastAsia" w:ascii="宋体" w:hAnsi="宋体" w:eastAsia="宋体" w:cs="宋体"/>
                <w:color w:val="000000" w:themeColor="text1"/>
                <w:kern w:val="0"/>
                <w:sz w:val="24"/>
                <w:szCs w:val="24"/>
                <w:highlight w:val="none"/>
                <w14:textFill>
                  <w14:solidFill>
                    <w14:schemeClr w14:val="tx1"/>
                  </w14:solidFill>
                </w14:textFill>
              </w:rPr>
            </w:pPr>
            <w:bookmarkStart w:id="60" w:name="_Toc20313"/>
            <w:bookmarkStart w:id="61" w:name="_Toc28654"/>
            <w:r>
              <w:rPr>
                <w:rFonts w:hint="eastAsia" w:ascii="宋体" w:hAnsi="宋体" w:eastAsia="宋体" w:cs="宋体"/>
                <w:color w:val="000000" w:themeColor="text1"/>
                <w:kern w:val="0"/>
                <w:sz w:val="24"/>
                <w:szCs w:val="24"/>
                <w:highlight w:val="none"/>
                <w14:textFill>
                  <w14:solidFill>
                    <w14:schemeClr w14:val="tx1"/>
                  </w14:solidFill>
                </w14:textFill>
              </w:rPr>
              <w:t>项目内容</w:t>
            </w:r>
            <w:bookmarkEnd w:id="60"/>
            <w:bookmarkEnd w:id="61"/>
          </w:p>
        </w:tc>
        <w:tc>
          <w:tcPr>
            <w:tcW w:w="3074"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0"/>
              <w:rPr>
                <w:rFonts w:hint="eastAsia" w:ascii="宋体" w:hAnsi="宋体" w:eastAsia="宋体" w:cs="宋体"/>
                <w:color w:val="000000" w:themeColor="text1"/>
                <w:kern w:val="0"/>
                <w:sz w:val="24"/>
                <w:szCs w:val="24"/>
                <w:highlight w:val="none"/>
                <w14:textFill>
                  <w14:solidFill>
                    <w14:schemeClr w14:val="tx1"/>
                  </w14:solidFill>
                </w14:textFill>
              </w:rPr>
            </w:pPr>
            <w:bookmarkStart w:id="62" w:name="_Toc9344"/>
            <w:bookmarkStart w:id="63" w:name="_Toc11075"/>
            <w:r>
              <w:rPr>
                <w:rFonts w:hint="eastAsia" w:ascii="宋体" w:hAnsi="宋体" w:eastAsia="宋体" w:cs="宋体"/>
                <w:color w:val="000000" w:themeColor="text1"/>
                <w:kern w:val="0"/>
                <w:sz w:val="24"/>
                <w:szCs w:val="24"/>
                <w:highlight w:val="none"/>
                <w14:textFill>
                  <w14:solidFill>
                    <w14:schemeClr w14:val="tx1"/>
                  </w14:solidFill>
                </w14:textFill>
              </w:rPr>
              <w:t>投标报价</w:t>
            </w:r>
            <w:bookmarkEnd w:id="62"/>
            <w:bookmarkEnd w:id="63"/>
          </w:p>
        </w:tc>
        <w:tc>
          <w:tcPr>
            <w:tcW w:w="1065"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0"/>
              <w:rPr>
                <w:rFonts w:hint="eastAsia" w:ascii="宋体" w:hAnsi="宋体" w:eastAsia="宋体" w:cs="宋体"/>
                <w:color w:val="000000" w:themeColor="text1"/>
                <w:kern w:val="0"/>
                <w:sz w:val="24"/>
                <w:szCs w:val="24"/>
                <w:highlight w:val="none"/>
                <w14:textFill>
                  <w14:solidFill>
                    <w14:schemeClr w14:val="tx1"/>
                  </w14:solidFill>
                </w14:textFill>
              </w:rPr>
            </w:pPr>
            <w:bookmarkStart w:id="64" w:name="_Toc7434"/>
            <w:bookmarkStart w:id="65" w:name="_Toc31362"/>
            <w:r>
              <w:rPr>
                <w:rFonts w:hint="eastAsia" w:ascii="宋体" w:hAnsi="宋体" w:eastAsia="宋体" w:cs="宋体"/>
                <w:color w:val="000000" w:themeColor="text1"/>
                <w:sz w:val="24"/>
                <w:szCs w:val="24"/>
                <w:highlight w:val="none"/>
                <w14:textFill>
                  <w14:solidFill>
                    <w14:schemeClr w14:val="tx1"/>
                  </w14:solidFill>
                </w14:textFill>
              </w:rPr>
              <w:t>质保期</w:t>
            </w:r>
            <w:bookmarkEnd w:id="64"/>
            <w:bookmarkEnd w:id="65"/>
          </w:p>
        </w:tc>
        <w:tc>
          <w:tcPr>
            <w:tcW w:w="1273"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0"/>
              <w:rPr>
                <w:rFonts w:hint="eastAsia" w:ascii="宋体" w:hAnsi="宋体" w:eastAsia="宋体" w:cs="宋体"/>
                <w:color w:val="000000" w:themeColor="text1"/>
                <w:kern w:val="0"/>
                <w:sz w:val="24"/>
                <w:szCs w:val="24"/>
                <w:highlight w:val="none"/>
                <w14:textFill>
                  <w14:solidFill>
                    <w14:schemeClr w14:val="tx1"/>
                  </w14:solidFill>
                </w14:textFill>
              </w:rPr>
            </w:pPr>
            <w:bookmarkStart w:id="66" w:name="_Toc27869"/>
            <w:bookmarkStart w:id="67" w:name="_Toc763"/>
            <w:r>
              <w:rPr>
                <w:rFonts w:hint="eastAsia" w:ascii="宋体" w:hAnsi="宋体" w:eastAsia="宋体" w:cs="宋体"/>
                <w:color w:val="000000" w:themeColor="text1"/>
                <w:kern w:val="0"/>
                <w:sz w:val="24"/>
                <w:szCs w:val="24"/>
                <w:highlight w:val="none"/>
                <w14:textFill>
                  <w14:solidFill>
                    <w14:schemeClr w14:val="tx1"/>
                  </w14:solidFill>
                </w14:textFill>
              </w:rPr>
              <w:t>备注</w:t>
            </w:r>
            <w:bookmarkEnd w:id="66"/>
            <w:bookmarkEnd w:id="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7" w:hRule="atLeast"/>
          <w:jc w:val="center"/>
        </w:trPr>
        <w:tc>
          <w:tcPr>
            <w:tcW w:w="2001"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0"/>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义乌市消防救援支队2024年度消防器材装备（非信通装备类）采购项目</w:t>
            </w:r>
          </w:p>
        </w:tc>
        <w:tc>
          <w:tcPr>
            <w:tcW w:w="3074" w:type="dxa"/>
            <w:vAlign w:val="center"/>
          </w:tcPr>
          <w:p>
            <w:pPr>
              <w:keepNext w:val="0"/>
              <w:keepLines w:val="0"/>
              <w:suppressLineNumbers w:val="0"/>
              <w:autoSpaceDE w:val="0"/>
              <w:autoSpaceDN w:val="0"/>
              <w:snapToGrid w:val="0"/>
              <w:spacing w:before="0" w:beforeAutospacing="0" w:after="0" w:afterAutospacing="0" w:line="360" w:lineRule="auto"/>
              <w:ind w:left="0" w:right="0"/>
              <w:textAlignment w:val="bottom"/>
              <w:outlineLvl w:val="0"/>
              <w:rPr>
                <w:rFonts w:hint="eastAsia" w:ascii="宋体" w:hAnsi="宋体" w:eastAsia="宋体" w:cs="宋体"/>
                <w:color w:val="000000" w:themeColor="text1"/>
                <w:kern w:val="0"/>
                <w:sz w:val="24"/>
                <w:szCs w:val="24"/>
                <w:highlight w:val="none"/>
                <w14:textFill>
                  <w14:solidFill>
                    <w14:schemeClr w14:val="tx1"/>
                  </w14:solidFill>
                </w14:textFill>
              </w:rPr>
            </w:pPr>
            <w:bookmarkStart w:id="68" w:name="_Toc29741"/>
            <w:bookmarkStart w:id="69" w:name="_Toc18969"/>
            <w:r>
              <w:rPr>
                <w:rFonts w:hint="eastAsia" w:ascii="宋体" w:hAnsi="宋体" w:eastAsia="宋体" w:cs="宋体"/>
                <w:color w:val="000000" w:themeColor="text1"/>
                <w:kern w:val="0"/>
                <w:sz w:val="24"/>
                <w:szCs w:val="24"/>
                <w:highlight w:val="none"/>
                <w14:textFill>
                  <w14:solidFill>
                    <w14:schemeClr w14:val="tx1"/>
                  </w14:solidFill>
                </w14:textFill>
              </w:rPr>
              <w:t>小写：￥</w:t>
            </w:r>
            <w:bookmarkEnd w:id="68"/>
            <w:bookmarkEnd w:id="69"/>
          </w:p>
          <w:p>
            <w:pPr>
              <w:keepNext w:val="0"/>
              <w:keepLines w:val="0"/>
              <w:suppressLineNumbers w:val="0"/>
              <w:autoSpaceDE w:val="0"/>
              <w:autoSpaceDN w:val="0"/>
              <w:snapToGrid w:val="0"/>
              <w:spacing w:before="0" w:beforeAutospacing="0" w:after="0" w:afterAutospacing="0" w:line="360" w:lineRule="auto"/>
              <w:ind w:left="0" w:right="0"/>
              <w:textAlignment w:val="bottom"/>
              <w:outlineLvl w:val="0"/>
              <w:rPr>
                <w:rFonts w:hint="eastAsia" w:ascii="宋体" w:hAnsi="宋体" w:eastAsia="宋体" w:cs="宋体"/>
                <w:color w:val="000000" w:themeColor="text1"/>
                <w:kern w:val="0"/>
                <w:sz w:val="24"/>
                <w:szCs w:val="24"/>
                <w:highlight w:val="none"/>
                <w14:textFill>
                  <w14:solidFill>
                    <w14:schemeClr w14:val="tx1"/>
                  </w14:solidFill>
                </w14:textFill>
              </w:rPr>
            </w:pPr>
            <w:bookmarkStart w:id="70" w:name="_Toc9869"/>
            <w:bookmarkStart w:id="71" w:name="_Toc21686"/>
            <w:r>
              <w:rPr>
                <w:rFonts w:hint="eastAsia" w:ascii="宋体" w:hAnsi="宋体" w:eastAsia="宋体" w:cs="宋体"/>
                <w:color w:val="000000" w:themeColor="text1"/>
                <w:kern w:val="0"/>
                <w:sz w:val="24"/>
                <w:szCs w:val="24"/>
                <w:highlight w:val="none"/>
                <w14:textFill>
                  <w14:solidFill>
                    <w14:schemeClr w14:val="tx1"/>
                  </w14:solidFill>
                </w14:textFill>
              </w:rPr>
              <w:t>大写：</w:t>
            </w:r>
            <w:bookmarkEnd w:id="70"/>
            <w:bookmarkEnd w:id="71"/>
            <w:r>
              <w:rPr>
                <w:rFonts w:hint="eastAsia" w:ascii="宋体" w:hAnsi="宋体" w:eastAsia="宋体" w:cs="宋体"/>
                <w:color w:val="000000" w:themeColor="text1"/>
                <w:kern w:val="0"/>
                <w:sz w:val="24"/>
                <w:szCs w:val="24"/>
                <w:highlight w:val="none"/>
                <w14:textFill>
                  <w14:solidFill>
                    <w14:schemeClr w14:val="tx1"/>
                  </w14:solidFill>
                </w14:textFill>
              </w:rPr>
              <w:t xml:space="preserve"> </w:t>
            </w:r>
          </w:p>
        </w:tc>
        <w:tc>
          <w:tcPr>
            <w:tcW w:w="1065"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9"/>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73" w:type="dxa"/>
            <w:vAlign w:val="center"/>
          </w:tcPr>
          <w:p>
            <w:pPr>
              <w:keepNext w:val="0"/>
              <w:keepLines w:val="0"/>
              <w:suppressLineNumbers w:val="0"/>
              <w:autoSpaceDE w:val="0"/>
              <w:autoSpaceDN w:val="0"/>
              <w:snapToGrid w:val="0"/>
              <w:spacing w:before="0" w:beforeAutospacing="0" w:after="0" w:afterAutospacing="0" w:line="360" w:lineRule="auto"/>
              <w:ind w:left="0" w:right="0"/>
              <w:jc w:val="center"/>
              <w:textAlignment w:val="bottom"/>
              <w:outlineLvl w:val="9"/>
              <w:rPr>
                <w:rFonts w:hint="eastAsia" w:ascii="宋体" w:hAnsi="宋体" w:eastAsia="宋体" w:cs="宋体"/>
                <w:color w:val="000000" w:themeColor="text1"/>
                <w:kern w:val="0"/>
                <w:sz w:val="24"/>
                <w:szCs w:val="24"/>
                <w:highlight w:val="none"/>
                <w14:textFill>
                  <w14:solidFill>
                    <w14:schemeClr w14:val="tx1"/>
                  </w14:solidFill>
                </w14:textFill>
              </w:rPr>
            </w:pPr>
          </w:p>
        </w:tc>
      </w:tr>
    </w:tbl>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注: </w:t>
      </w:r>
      <w:r>
        <w:rPr>
          <w:rFonts w:hint="eastAsia" w:ascii="宋体" w:hAnsi="宋体" w:cs="宋体"/>
          <w:color w:val="000000" w:themeColor="text1"/>
          <w:sz w:val="24"/>
          <w:szCs w:val="24"/>
          <w:highlight w:val="none"/>
          <w:lang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报价一经涂改，应在涂改处加盖单位公章或者由法定代表人或授权代表签字，否则其投标作无效标处理；</w:t>
      </w:r>
    </w:p>
    <w:p>
      <w:pPr>
        <w:snapToGrid w:val="0"/>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投标报价应包括为完成本项目所涉及的一切费用；</w:t>
      </w:r>
    </w:p>
    <w:p>
      <w:pPr>
        <w:snapToGrid w:val="0"/>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以上报价应与“投标报价明细表”中的“合计”相一致。</w:t>
      </w:r>
    </w:p>
    <w:p>
      <w:pPr>
        <w:snapToGrid w:val="0"/>
        <w:spacing w:line="360" w:lineRule="auto"/>
        <w:jc w:val="left"/>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pacing w:val="20"/>
          <w:sz w:val="24"/>
          <w:szCs w:val="24"/>
          <w:highlight w:val="none"/>
          <w14:textFill>
            <w14:solidFill>
              <w14:schemeClr w14:val="tx1"/>
            </w14:solidFill>
          </w14:textFill>
        </w:rPr>
      </w:pPr>
      <w:r>
        <w:rPr>
          <w:rFonts w:hint="eastAsia" w:ascii="宋体" w:hAnsi="宋体" w:eastAsia="宋体" w:cs="宋体"/>
          <w:color w:val="000000" w:themeColor="text1"/>
          <w:spacing w:val="20"/>
          <w:sz w:val="24"/>
          <w:szCs w:val="24"/>
          <w:highlight w:val="none"/>
          <w14:textFill>
            <w14:solidFill>
              <w14:schemeClr w14:val="tx1"/>
            </w14:solidFill>
          </w14:textFill>
        </w:rPr>
        <w:t xml:space="preserve">投标人全称（公章）： </w:t>
      </w:r>
    </w:p>
    <w:p>
      <w:pPr>
        <w:snapToGrid w:val="0"/>
        <w:spacing w:line="360" w:lineRule="auto"/>
        <w:ind w:right="-817" w:rightChars="-38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法定代表人或授权代表（签字）： </w:t>
      </w:r>
    </w:p>
    <w:p>
      <w:pPr>
        <w:snapToGrid w:val="0"/>
        <w:spacing w:line="360" w:lineRule="auto"/>
        <w:rPr>
          <w:rFonts w:hint="eastAsia" w:ascii="宋体" w:hAnsi="宋体" w:eastAsia="宋体" w:cs="宋体"/>
          <w:color w:val="000000" w:themeColor="text1"/>
          <w:spacing w:val="20"/>
          <w:sz w:val="24"/>
          <w:szCs w:val="24"/>
          <w:highlight w:val="none"/>
          <w:u w:val="single"/>
          <w14:textFill>
            <w14:solidFill>
              <w14:schemeClr w14:val="tx1"/>
            </w14:solidFill>
          </w14:textFill>
        </w:rPr>
      </w:pPr>
      <w:r>
        <w:rPr>
          <w:rFonts w:hint="eastAsia" w:ascii="宋体" w:hAnsi="宋体" w:eastAsia="宋体" w:cs="宋体"/>
          <w:color w:val="000000" w:themeColor="text1"/>
          <w:spacing w:val="20"/>
          <w:sz w:val="24"/>
          <w:szCs w:val="24"/>
          <w:highlight w:val="none"/>
          <w14:textFill>
            <w14:solidFill>
              <w14:schemeClr w14:val="tx1"/>
            </w14:solidFill>
          </w14:textFill>
        </w:rPr>
        <w:t>日 期：</w:t>
      </w: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r>
        <w:rPr>
          <w:rFonts w:hint="eastAsia" w:ascii="宋体" w:hAnsi="宋体" w:eastAsia="宋体" w:cs="宋体"/>
          <w:b/>
          <w:bCs/>
          <w:color w:val="000000" w:themeColor="text1"/>
          <w:sz w:val="28"/>
          <w:szCs w:val="28"/>
          <w:highlight w:val="none"/>
          <w14:textFill>
            <w14:solidFill>
              <w14:schemeClr w14:val="tx1"/>
            </w14:solidFill>
          </w14:textFill>
        </w:rPr>
        <w:t>投标报价明细表格式：</w:t>
      </w:r>
      <w:r>
        <w:rPr>
          <w:rFonts w:hint="eastAsia" w:ascii="宋体" w:hAnsi="宋体" w:eastAsia="宋体" w:cs="宋体"/>
          <w:color w:val="000000" w:themeColor="text1"/>
          <w:sz w:val="24"/>
          <w:highlight w:val="none"/>
          <w14:textFill>
            <w14:solidFill>
              <w14:schemeClr w14:val="tx1"/>
            </w14:solidFill>
          </w14:textFill>
        </w:rPr>
        <w:t xml:space="preserve">       </w:t>
      </w:r>
    </w:p>
    <w:p>
      <w:pPr>
        <w:snapToGrid w:val="0"/>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8"/>
          <w:szCs w:val="28"/>
          <w:highlight w:val="none"/>
          <w:shd w:val="clear" w:color="auto" w:fill="auto"/>
          <w:lang w:val="en-US" w:eastAsia="zh-CN"/>
          <w14:textFill>
            <w14:solidFill>
              <w14:schemeClr w14:val="tx1"/>
            </w14:solidFill>
          </w14:textFill>
        </w:rPr>
        <w:t>标项</w:t>
      </w:r>
      <w:r>
        <w:rPr>
          <w:rFonts w:hint="eastAsia" w:ascii="宋体" w:hAnsi="宋体" w:cs="宋体"/>
          <w:b/>
          <w:color w:val="000000" w:themeColor="text1"/>
          <w:sz w:val="28"/>
          <w:szCs w:val="28"/>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b/>
          <w:color w:val="000000" w:themeColor="text1"/>
          <w:sz w:val="28"/>
          <w:szCs w:val="28"/>
          <w:highlight w:val="none"/>
          <w14:textFill>
            <w14:solidFill>
              <w14:schemeClr w14:val="tx1"/>
            </w14:solidFill>
          </w14:textFill>
        </w:rPr>
        <w:t>投标报价明细表</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3120" w:firstLineChars="1300"/>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金额单位：人民币（元）</w:t>
      </w:r>
    </w:p>
    <w:tbl>
      <w:tblPr>
        <w:tblStyle w:val="40"/>
        <w:tblW w:w="96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4"/>
        <w:gridCol w:w="1396"/>
        <w:gridCol w:w="1774"/>
        <w:gridCol w:w="887"/>
        <w:gridCol w:w="887"/>
        <w:gridCol w:w="887"/>
        <w:gridCol w:w="698"/>
        <w:gridCol w:w="781"/>
        <w:gridCol w:w="892"/>
        <w:gridCol w:w="8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13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品牌</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产地</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规格</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型号</w:t>
            </w: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单价</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小计</w:t>
            </w: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有关说明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4"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1396"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96"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4"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1396"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96"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634"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396"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1" w:hRule="atLeast"/>
          <w:jc w:val="center"/>
        </w:trPr>
        <w:tc>
          <w:tcPr>
            <w:tcW w:w="63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96"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jc w:val="center"/>
        </w:trPr>
        <w:tc>
          <w:tcPr>
            <w:tcW w:w="634"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1396"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jc w:val="center"/>
        </w:trPr>
        <w:tc>
          <w:tcPr>
            <w:tcW w:w="63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96"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jc w:val="center"/>
        </w:trPr>
        <w:tc>
          <w:tcPr>
            <w:tcW w:w="634"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tc>
        <w:tc>
          <w:tcPr>
            <w:tcW w:w="1396" w:type="dxa"/>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jc w:val="center"/>
        </w:trPr>
        <w:tc>
          <w:tcPr>
            <w:tcW w:w="634"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96" w:type="dxa"/>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6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7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944"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合计</w:t>
            </w:r>
          </w:p>
        </w:tc>
        <w:tc>
          <w:tcPr>
            <w:tcW w:w="8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tabs>
          <w:tab w:val="left" w:pos="1418"/>
        </w:tabs>
        <w:snapToGrid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注：1</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此表总计金额应与 “开标一览表”中投标报价相一致</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tabs>
          <w:tab w:val="left" w:pos="1418"/>
        </w:tabs>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此表可进一步细分，栏目可另加，应包括为完成本项目可能发生的全部费用。</w:t>
      </w:r>
    </w:p>
    <w:p>
      <w:pPr>
        <w:snapToGrid w:val="0"/>
        <w:spacing w:line="360" w:lineRule="auto"/>
        <w:rPr>
          <w:rFonts w:hint="eastAsia" w:ascii="宋体" w:hAnsi="宋体" w:eastAsia="宋体" w:cs="宋体"/>
          <w:color w:val="000000" w:themeColor="text1"/>
          <w:spacing w:val="20"/>
          <w:sz w:val="24"/>
          <w:szCs w:val="24"/>
          <w:highlight w:val="none"/>
          <w14:textFill>
            <w14:solidFill>
              <w14:schemeClr w14:val="tx1"/>
            </w14:solidFill>
          </w14:textFill>
        </w:rPr>
      </w:pPr>
    </w:p>
    <w:p>
      <w:pPr>
        <w:snapToGrid w:val="0"/>
        <w:spacing w:line="360" w:lineRule="auto"/>
        <w:rPr>
          <w:rFonts w:hint="eastAsia" w:ascii="宋体" w:hAnsi="宋体" w:eastAsia="宋体" w:cs="宋体"/>
          <w:color w:val="000000" w:themeColor="text1"/>
          <w:spacing w:val="2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投标人全称（公章）</w:t>
      </w:r>
      <w:r>
        <w:rPr>
          <w:rFonts w:hint="eastAsia" w:ascii="宋体" w:hAnsi="宋体" w:eastAsia="宋体" w:cs="宋体"/>
          <w:color w:val="000000" w:themeColor="text1"/>
          <w:spacing w:val="20"/>
          <w:sz w:val="24"/>
          <w:szCs w:val="24"/>
          <w:highlight w:val="non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pacing w:val="20"/>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法定代表人或授权代表（签字）</w:t>
      </w:r>
      <w:r>
        <w:rPr>
          <w:rFonts w:hint="eastAsia" w:ascii="宋体" w:hAnsi="宋体" w:eastAsia="宋体" w:cs="宋体"/>
          <w:color w:val="000000" w:themeColor="text1"/>
          <w:spacing w:val="20"/>
          <w:sz w:val="24"/>
          <w:szCs w:val="24"/>
          <w:highlight w:val="none"/>
          <w14:textFill>
            <w14:solidFill>
              <w14:schemeClr w14:val="tx1"/>
            </w14:solidFill>
          </w14:textFill>
        </w:rPr>
        <w:t>：</w:t>
      </w:r>
    </w:p>
    <w:p>
      <w:pPr>
        <w:snapToGrid w:val="0"/>
        <w:spacing w:line="360" w:lineRule="auto"/>
        <w:rPr>
          <w:rFonts w:hint="eastAsia" w:ascii="宋体" w:hAnsi="宋体" w:eastAsia="宋体" w:cs="宋体"/>
          <w:color w:val="000000" w:themeColor="text1"/>
          <w:spacing w:val="20"/>
          <w:sz w:val="24"/>
          <w:szCs w:val="24"/>
          <w:highlight w:val="none"/>
          <w:u w:val="single"/>
          <w14:textFill>
            <w14:solidFill>
              <w14:schemeClr w14:val="tx1"/>
            </w14:solidFill>
          </w14:textFill>
        </w:rPr>
      </w:pPr>
      <w:r>
        <w:rPr>
          <w:rFonts w:hint="eastAsia" w:ascii="宋体" w:hAnsi="宋体" w:eastAsia="宋体" w:cs="宋体"/>
          <w:color w:val="000000" w:themeColor="text1"/>
          <w:spacing w:val="20"/>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14:textFill>
            <w14:solidFill>
              <w14:schemeClr w14:val="tx1"/>
            </w14:solidFill>
          </w14:textFill>
        </w:rPr>
        <w:t xml:space="preserve">     年    月    日</w:t>
      </w:r>
    </w:p>
    <w:p>
      <w:pPr>
        <w:pStyle w:val="3"/>
        <w:rPr>
          <w:rFonts w:hint="eastAsia"/>
        </w:rPr>
      </w:pPr>
    </w:p>
    <w:p>
      <w:pPr>
        <w:snapToGrid w:val="0"/>
        <w:spacing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投标人针对报价需要说明的其他文件和说明（如有）</w:t>
      </w:r>
    </w:p>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hint="eastAsia" w:ascii="Times New Roman" w:hAnsi="Times New Roman" w:eastAsia="宋体" w:cs="Times New Roman"/>
          <w:b w:val="0"/>
          <w:bCs w:val="0"/>
          <w:color w:val="000000" w:themeColor="text1"/>
          <w:sz w:val="32"/>
          <w:szCs w:val="32"/>
          <w:highlight w:val="none"/>
          <w:lang w:eastAsia="zh-CN"/>
          <w14:textFill>
            <w14:solidFill>
              <w14:schemeClr w14:val="tx1"/>
            </w14:solidFill>
          </w14:textFill>
        </w:rPr>
      </w:pPr>
      <w:r>
        <w:rPr>
          <w:rFonts w:hint="eastAsia" w:cs="Times New Roman"/>
          <w:b w:val="0"/>
          <w:bCs w:val="0"/>
          <w:color w:val="000000" w:themeColor="text1"/>
          <w:sz w:val="32"/>
          <w:szCs w:val="32"/>
          <w:highlight w:val="none"/>
          <w:lang w:eastAsia="zh-CN"/>
          <w14:textFill>
            <w14:solidFill>
              <w14:schemeClr w14:val="tx1"/>
            </w14:solidFill>
          </w14:textFill>
        </w:rPr>
        <w:t>义乌市消防救援支队2024年度消防器材装备（非信通装备类）采购项目</w:t>
      </w:r>
    </w:p>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hint="eastAsia" w:ascii="Times New Roman" w:hAnsi="Times New Roman" w:eastAsia="宋体" w:cs="Times New Roman"/>
          <w:b w:val="0"/>
          <w:bCs w:val="0"/>
          <w:color w:val="000000" w:themeColor="text1"/>
          <w:sz w:val="2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32"/>
          <w:szCs w:val="32"/>
          <w:highlight w:val="none"/>
          <w:lang w:eastAsia="zh-CN"/>
          <w14:textFill>
            <w14:solidFill>
              <w14:schemeClr w14:val="tx1"/>
            </w14:solidFill>
          </w14:textFill>
        </w:rPr>
        <w:t>（</w:t>
      </w:r>
      <w:r>
        <w:rPr>
          <w:rFonts w:hint="eastAsia" w:cs="Times New Roman"/>
          <w:b w:val="0"/>
          <w:bCs w:val="0"/>
          <w:color w:val="000000" w:themeColor="text1"/>
          <w:sz w:val="32"/>
          <w:szCs w:val="32"/>
          <w:highlight w:val="none"/>
          <w:lang w:eastAsia="zh-CN"/>
          <w14:textFill>
            <w14:solidFill>
              <w14:schemeClr w14:val="tx1"/>
            </w14:solidFill>
          </w14:textFill>
        </w:rPr>
        <w:t>JY2024-YW-1008</w:t>
      </w:r>
      <w:r>
        <w:rPr>
          <w:rFonts w:hint="eastAsia" w:cs="Times New Roman"/>
          <w:b w:val="0"/>
          <w:bCs w:val="0"/>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32"/>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p>
    <w:p>
      <w:pPr>
        <w:jc w:val="center"/>
        <w:rPr>
          <w:rFonts w:hint="eastAsia"/>
          <w:sz w:val="32"/>
          <w:szCs w:val="32"/>
          <w:lang w:val="en-US" w:eastAsia="zh-CN"/>
        </w:rPr>
      </w:pPr>
      <w:r>
        <w:rPr>
          <w:rFonts w:hint="eastAsia"/>
          <w:sz w:val="32"/>
          <w:szCs w:val="32"/>
          <w:lang w:val="en-US" w:eastAsia="zh-CN"/>
        </w:rPr>
        <w:t>投标单位履约及廉洁纪律承诺书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为了切实规范投标工作，有效遏制不公平竞争和违规违纪问题的发生，确保投标工作的公平、公正、公开，现就投标工作及履约廉洁纪律等相关要求，特向贵单位承诺如下：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一、自觉遵守国家法律法规及贵单位有关廉洁纪律等要求；</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二、不通过亲属、领导、朋友等任何社会关系，向招标单位管理人员、代理机构人员、评标专家请托干预招投标事项；不使用不正当手段妨碍、排挤其它投标单位或串通投标；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三、按照招标文件规定的方式进行投标，不隐瞒本单位投标资质的真实情况，投标资质符合规定；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四、保证不出借资质不挂靠单位，不以其他人名义投标或以其他方式弄虚作假，骗取中标；中标后不随意变更项目经理等关键岗位人员；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五、不以任何方式向招标人员、代理机构或者评标成员及亲友赠送礼品、礼金及有价证券，宴请或邀请参加高档娱乐消费、旅游等活动，报销各种票据及费用；不进行可能影响招标公平、公正的任何活动；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六</w:t>
      </w:r>
      <w:r>
        <w:rPr>
          <w:rFonts w:hint="eastAsia" w:ascii="仿宋" w:hAnsi="仿宋" w:eastAsia="仿宋" w:cs="仿宋"/>
          <w:sz w:val="24"/>
          <w:szCs w:val="24"/>
        </w:rPr>
        <w:t>、若违反上述承诺任何条款，或违反有关法律法规以及贵公司有关廉政纪律规定，我方自愿放弃在贵</w:t>
      </w:r>
      <w:r>
        <w:rPr>
          <w:rFonts w:hint="eastAsia" w:ascii="仿宋" w:hAnsi="仿宋" w:eastAsia="仿宋" w:cs="仿宋"/>
          <w:sz w:val="24"/>
          <w:szCs w:val="24"/>
          <w:lang w:val="en-US" w:eastAsia="zh-CN"/>
        </w:rPr>
        <w:t>单位</w:t>
      </w:r>
      <w:r>
        <w:rPr>
          <w:rFonts w:hint="eastAsia" w:ascii="仿宋" w:hAnsi="仿宋" w:eastAsia="仿宋" w:cs="仿宋"/>
          <w:sz w:val="24"/>
          <w:szCs w:val="24"/>
        </w:rPr>
        <w:t>的所承揽的业务，并承担合同价1</w:t>
      </w:r>
      <w:r>
        <w:rPr>
          <w:rFonts w:hint="eastAsia" w:ascii="仿宋" w:hAnsi="仿宋" w:eastAsia="仿宋" w:cs="仿宋"/>
          <w:sz w:val="24"/>
          <w:szCs w:val="24"/>
          <w:lang w:val="en-US" w:eastAsia="zh-CN"/>
        </w:rPr>
        <w:t>5</w:t>
      </w:r>
      <w:r>
        <w:rPr>
          <w:rFonts w:hint="eastAsia" w:ascii="仿宋" w:hAnsi="仿宋" w:eastAsia="仿宋" w:cs="仿宋"/>
          <w:sz w:val="24"/>
          <w:szCs w:val="24"/>
        </w:rPr>
        <w:t>%的违约金及一切法律责任；</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我方自愿将本承诺书作为投标文件及合同的附件，具有同等的法律效力；本承诺书自签署之日起生效。</w:t>
      </w:r>
    </w:p>
    <w:p>
      <w:pPr>
        <w:keepNext w:val="0"/>
        <w:keepLines w:val="0"/>
        <w:pageBreakBefore w:val="0"/>
        <w:widowControl w:val="0"/>
        <w:kinsoku/>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p>
    <w:p>
      <w:pPr>
        <w:pStyle w:val="2"/>
        <w:keepNext w:val="0"/>
        <w:keepLines w:val="0"/>
        <w:pageBreakBefore w:val="0"/>
        <w:widowControl w:val="0"/>
        <w:kinsoku/>
        <w:overflowPunct/>
        <w:topLinePunct w:val="0"/>
        <w:autoSpaceDE/>
        <w:autoSpaceDN/>
        <w:bidi w:val="0"/>
        <w:adjustRightInd/>
        <w:snapToGrid/>
        <w:spacing w:line="360" w:lineRule="exact"/>
        <w:ind w:left="0" w:leftChars="0" w:right="0" w:rightChars="0"/>
        <w:textAlignment w:val="auto"/>
        <w:outlineLvl w:val="9"/>
        <w:rPr>
          <w:rFonts w:hint="eastAsia" w:ascii="仿宋" w:hAnsi="仿宋" w:eastAsia="仿宋" w:cs="仿宋"/>
          <w:sz w:val="24"/>
          <w:szCs w:val="24"/>
        </w:rPr>
      </w:pPr>
    </w:p>
    <w:p>
      <w:pPr>
        <w:pStyle w:val="10"/>
        <w:keepNext w:val="0"/>
        <w:keepLines w:val="0"/>
        <w:pageBreakBefore w:val="0"/>
        <w:widowControl w:val="0"/>
        <w:kinsoku/>
        <w:overflowPunct/>
        <w:topLinePunct w:val="0"/>
        <w:autoSpaceDE/>
        <w:autoSpaceDN/>
        <w:bidi w:val="0"/>
        <w:adjustRightInd/>
        <w:snapToGrid/>
        <w:spacing w:after="0" w:afterLines="0" w:line="360" w:lineRule="exact"/>
        <w:ind w:left="0" w:leftChars="0" w:right="0" w:rightChars="0"/>
        <w:textAlignment w:val="auto"/>
        <w:outlineLvl w:val="9"/>
        <w:rPr>
          <w:rFonts w:hint="eastAsia" w:ascii="仿宋" w:hAnsi="仿宋" w:eastAsia="仿宋" w:cs="仿宋"/>
          <w:sz w:val="24"/>
          <w:szCs w:val="24"/>
        </w:rPr>
      </w:pPr>
    </w:p>
    <w:p>
      <w:pPr>
        <w:keepNext w:val="0"/>
        <w:keepLines w:val="0"/>
        <w:pageBreakBefore w:val="0"/>
        <w:widowControl w:val="0"/>
        <w:kinsoku/>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投标单位：                       </w:t>
      </w:r>
    </w:p>
    <w:p>
      <w:pPr>
        <w:keepNext w:val="0"/>
        <w:keepLines w:val="0"/>
        <w:pageBreakBefore w:val="0"/>
        <w:widowControl w:val="0"/>
        <w:kinsoku/>
        <w:overflowPunct/>
        <w:topLinePunct w:val="0"/>
        <w:autoSpaceDE/>
        <w:autoSpaceDN/>
        <w:bidi w:val="0"/>
        <w:adjustRightInd/>
        <w:snapToGrid/>
        <w:spacing w:line="360" w:lineRule="exact"/>
        <w:ind w:left="0" w:leftChars="0" w:right="0" w:rightChars="0" w:firstLine="2160" w:firstLineChars="900"/>
        <w:textAlignment w:val="auto"/>
        <w:outlineLvl w:val="9"/>
        <w:rPr>
          <w:rFonts w:hint="eastAsia" w:ascii="仿宋" w:hAnsi="仿宋" w:eastAsia="仿宋" w:cs="仿宋"/>
          <w:sz w:val="24"/>
          <w:szCs w:val="24"/>
        </w:rPr>
      </w:pPr>
      <w:r>
        <w:rPr>
          <w:rFonts w:hint="eastAsia" w:ascii="仿宋" w:hAnsi="仿宋" w:eastAsia="仿宋" w:cs="仿宋"/>
          <w:sz w:val="24"/>
          <w:szCs w:val="24"/>
        </w:rPr>
        <w:t xml:space="preserve">法定代表人或授权代理人（签名）：          </w:t>
      </w:r>
    </w:p>
    <w:p>
      <w:pPr>
        <w:keepNext w:val="0"/>
        <w:keepLines w:val="0"/>
        <w:pageBreakBefore w:val="0"/>
        <w:widowControl w:val="0"/>
        <w:kinsoku/>
        <w:wordWrap w:val="0"/>
        <w:overflowPunct/>
        <w:topLinePunct w:val="0"/>
        <w:autoSpaceDE/>
        <w:autoSpaceDN/>
        <w:bidi w:val="0"/>
        <w:adjustRightInd/>
        <w:snapToGrid/>
        <w:spacing w:line="360" w:lineRule="exact"/>
        <w:ind w:left="0" w:leftChars="0" w:right="0" w:rightChars="0" w:firstLine="480" w:firstLineChars="200"/>
        <w:jc w:val="center"/>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 xml:space="preserve">     承诺</w:t>
      </w:r>
      <w:r>
        <w:rPr>
          <w:rFonts w:hint="eastAsia" w:ascii="仿宋" w:hAnsi="仿宋" w:eastAsia="仿宋" w:cs="仿宋"/>
          <w:sz w:val="24"/>
          <w:szCs w:val="24"/>
        </w:rPr>
        <w:t xml:space="preserve">日期： </w:t>
      </w:r>
      <w:r>
        <w:rPr>
          <w:rFonts w:hint="eastAsia" w:ascii="仿宋" w:hAnsi="仿宋" w:eastAsia="仿宋" w:cs="仿宋"/>
          <w:sz w:val="24"/>
          <w:szCs w:val="24"/>
          <w:lang w:val="en-US" w:eastAsia="zh-CN"/>
        </w:rPr>
        <w:t>2024</w:t>
      </w:r>
      <w:r>
        <w:rPr>
          <w:rFonts w:hint="eastAsia" w:ascii="仿宋" w:hAnsi="仿宋" w:eastAsia="仿宋" w:cs="仿宋"/>
          <w:sz w:val="24"/>
          <w:szCs w:val="24"/>
        </w:rPr>
        <w:t>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480" w:firstLineChars="2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jc w:val="center"/>
        <w:rPr>
          <w:rFonts w:hint="eastAsia" w:ascii="宋体" w:hAnsi="宋体" w:cs="宋体"/>
          <w:b/>
          <w:color w:val="000000" w:themeColor="text1"/>
          <w:sz w:val="44"/>
          <w:szCs w:val="44"/>
          <w:highlight w:val="none"/>
          <w14:textFill>
            <w14:solidFill>
              <w14:schemeClr w14:val="tx1"/>
            </w14:solidFill>
          </w14:textFill>
        </w:rPr>
      </w:pPr>
    </w:p>
    <w:p>
      <w:pPr>
        <w:pStyle w:val="25"/>
        <w:rPr>
          <w:rFonts w:hint="eastAsia" w:ascii="宋体" w:hAnsi="宋体" w:cs="宋体"/>
          <w:b/>
          <w:color w:val="000000" w:themeColor="text1"/>
          <w:sz w:val="44"/>
          <w:szCs w:val="44"/>
          <w:highlight w:val="none"/>
          <w14:textFill>
            <w14:solidFill>
              <w14:schemeClr w14:val="tx1"/>
            </w14:solidFill>
          </w14:textFill>
        </w:rPr>
      </w:pPr>
    </w:p>
    <w:p>
      <w:pPr>
        <w:rPr>
          <w:rFonts w:hint="eastAsia" w:ascii="宋体" w:hAnsi="宋体" w:cs="宋体"/>
          <w:b/>
          <w:color w:val="000000" w:themeColor="text1"/>
          <w:sz w:val="44"/>
          <w:szCs w:val="44"/>
          <w:highlight w:val="none"/>
          <w14:textFill>
            <w14:solidFill>
              <w14:schemeClr w14:val="tx1"/>
            </w14:solidFill>
          </w14:textFill>
        </w:rPr>
      </w:pPr>
    </w:p>
    <w:p>
      <w:pPr>
        <w:pStyle w:val="25"/>
        <w:rPr>
          <w:rFonts w:hint="eastAsia"/>
        </w:rPr>
      </w:pPr>
    </w:p>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hint="eastAsia" w:ascii="Times New Roman" w:hAnsi="Times New Roman" w:eastAsia="宋体" w:cs="Times New Roman"/>
          <w:b w:val="0"/>
          <w:bCs w:val="0"/>
          <w:color w:val="000000" w:themeColor="text1"/>
          <w:sz w:val="32"/>
          <w:szCs w:val="32"/>
          <w:highlight w:val="none"/>
          <w:lang w:eastAsia="zh-CN"/>
          <w14:textFill>
            <w14:solidFill>
              <w14:schemeClr w14:val="tx1"/>
            </w14:solidFill>
          </w14:textFill>
        </w:rPr>
      </w:pPr>
      <w:r>
        <w:rPr>
          <w:rFonts w:hint="eastAsia" w:cs="Times New Roman"/>
          <w:b w:val="0"/>
          <w:bCs w:val="0"/>
          <w:color w:val="000000" w:themeColor="text1"/>
          <w:sz w:val="32"/>
          <w:szCs w:val="32"/>
          <w:highlight w:val="none"/>
          <w:lang w:eastAsia="zh-CN"/>
          <w14:textFill>
            <w14:solidFill>
              <w14:schemeClr w14:val="tx1"/>
            </w14:solidFill>
          </w14:textFill>
        </w:rPr>
        <w:t>义乌市消防救援支队2024年度消防器材装备（非信通装备类）采购项目</w:t>
      </w:r>
    </w:p>
    <w:p>
      <w:pPr>
        <w:jc w:val="center"/>
        <w:rPr>
          <w:rFonts w:hint="eastAsia" w:ascii="Times New Roman" w:hAnsi="Times New Roman" w:eastAsia="宋体"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32"/>
          <w:szCs w:val="32"/>
          <w:highlight w:val="none"/>
          <w:lang w:eastAsia="zh-CN"/>
          <w14:textFill>
            <w14:solidFill>
              <w14:schemeClr w14:val="tx1"/>
            </w14:solidFill>
          </w14:textFill>
        </w:rPr>
        <w:t>（</w:t>
      </w:r>
      <w:r>
        <w:rPr>
          <w:rFonts w:hint="eastAsia" w:cs="Times New Roman"/>
          <w:b w:val="0"/>
          <w:bCs w:val="0"/>
          <w:color w:val="000000" w:themeColor="text1"/>
          <w:sz w:val="32"/>
          <w:szCs w:val="32"/>
          <w:highlight w:val="none"/>
          <w:lang w:eastAsia="zh-CN"/>
          <w14:textFill>
            <w14:solidFill>
              <w14:schemeClr w14:val="tx1"/>
            </w14:solidFill>
          </w14:textFill>
        </w:rPr>
        <w:t>JY2024-YW-1008</w:t>
      </w:r>
      <w:r>
        <w:rPr>
          <w:rFonts w:hint="eastAsia" w:cs="Times New Roman"/>
          <w:b w:val="0"/>
          <w:bCs w:val="0"/>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32"/>
          <w:szCs w:val="32"/>
          <w:highlight w:val="none"/>
          <w:lang w:val="en-US" w:eastAsia="zh-CN"/>
          <w14:textFill>
            <w14:solidFill>
              <w14:schemeClr w14:val="tx1"/>
            </w14:solidFill>
          </w14:textFill>
        </w:rPr>
        <w:t>）</w:t>
      </w:r>
    </w:p>
    <w:p>
      <w:pPr>
        <w:jc w:val="center"/>
        <w:rPr>
          <w:rFonts w:hint="eastAsia"/>
          <w:sz w:val="32"/>
          <w:szCs w:val="32"/>
          <w:lang w:val="en-US" w:eastAsia="zh-CN"/>
        </w:rPr>
      </w:pPr>
      <w:r>
        <w:rPr>
          <w:rFonts w:hint="eastAsia"/>
          <w:sz w:val="32"/>
          <w:szCs w:val="32"/>
          <w:lang w:val="en-US" w:eastAsia="zh-CN"/>
        </w:rPr>
        <w:t>采购活动现场确认声明书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24"/>
          <w:lang w:val="en-US" w:eastAsia="zh-CN"/>
        </w:rPr>
      </w:pPr>
      <w:r>
        <w:rPr>
          <w:rFonts w:hint="eastAsia"/>
          <w:sz w:val="24"/>
          <w:szCs w:val="24"/>
          <w:u w:val="thick"/>
          <w:lang w:val="en-US" w:eastAsia="zh-CN"/>
        </w:rPr>
        <w:t>吉亿工程管理服务（诸暨）有限公司</w:t>
      </w:r>
      <w:r>
        <w:rPr>
          <w:rFonts w:hint="eastAsia"/>
          <w:sz w:val="24"/>
          <w:szCs w:val="24"/>
          <w:lang w:val="en-US" w:eastAsia="zh-CN"/>
        </w:rPr>
        <w:t>（采购组织机构名称）：</w:t>
      </w:r>
    </w:p>
    <w:p>
      <w:pPr>
        <w:keepNext w:val="0"/>
        <w:keepLines w:val="0"/>
        <w:pageBreakBefore w:val="0"/>
        <w:widowControl/>
        <w:overflowPunct/>
        <w:topLinePunct w:val="0"/>
        <w:autoSpaceDE/>
        <w:autoSpaceDN/>
        <w:bidi w:val="0"/>
        <w:spacing w:line="360" w:lineRule="exact"/>
        <w:ind w:left="0" w:leftChars="0" w:right="0" w:rightChars="0" w:firstLine="480" w:firstLineChars="200"/>
        <w:jc w:val="left"/>
        <w:rPr>
          <w:rFonts w:hint="eastAsia"/>
          <w:sz w:val="24"/>
          <w:szCs w:val="24"/>
          <w:lang w:val="en-US" w:eastAsia="zh-CN"/>
        </w:rPr>
      </w:pPr>
      <w:r>
        <w:rPr>
          <w:rFonts w:hint="eastAsia"/>
          <w:sz w:val="24"/>
          <w:szCs w:val="24"/>
          <w:lang w:val="en-US" w:eastAsia="zh-CN"/>
        </w:rPr>
        <w:t>本人经由</w:t>
      </w:r>
      <w:r>
        <w:rPr>
          <w:rFonts w:hint="eastAsia"/>
          <w:sz w:val="24"/>
          <w:szCs w:val="24"/>
          <w:u w:val="single"/>
          <w:lang w:val="en-US" w:eastAsia="zh-CN"/>
        </w:rPr>
        <w:t xml:space="preserve">                            </w:t>
      </w:r>
      <w:r>
        <w:rPr>
          <w:rFonts w:hint="eastAsia"/>
          <w:sz w:val="24"/>
          <w:szCs w:val="24"/>
          <w:lang w:val="en-US" w:eastAsia="zh-CN"/>
        </w:rPr>
        <w:t>（单位）负责人</w:t>
      </w:r>
      <w:r>
        <w:rPr>
          <w:rFonts w:hint="eastAsia"/>
          <w:sz w:val="24"/>
          <w:szCs w:val="24"/>
          <w:u w:val="single"/>
          <w:lang w:val="en-US" w:eastAsia="zh-CN"/>
        </w:rPr>
        <w:t xml:space="preserve">       </w:t>
      </w:r>
      <w:r>
        <w:rPr>
          <w:rFonts w:hint="eastAsia"/>
          <w:sz w:val="24"/>
          <w:szCs w:val="24"/>
          <w:lang w:val="en-US" w:eastAsia="zh-CN"/>
        </w:rPr>
        <w:t>（姓名）合法授权参加</w:t>
      </w:r>
      <w:r>
        <w:rPr>
          <w:rFonts w:hint="eastAsia"/>
          <w:sz w:val="24"/>
          <w:szCs w:val="24"/>
          <w:u w:val="single"/>
          <w:lang w:val="en-US" w:eastAsia="zh-CN"/>
        </w:rPr>
        <w:t xml:space="preserve"> 义乌市消防救援支队2024年度消防器材装备（非信通装备类）采购项目</w:t>
      </w:r>
      <w:r>
        <w:rPr>
          <w:rFonts w:hint="eastAsia"/>
          <w:sz w:val="24"/>
          <w:szCs w:val="24"/>
          <w:lang w:val="en-US" w:eastAsia="zh-CN"/>
        </w:rPr>
        <w:t>（编号JY2024-YW-1008 ) 政府采购活动。经与本单位法人代表（负责人）联系确认，现就有关公平竞争事项郑重声明如下：</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本单位与采购人之间：</w:t>
      </w:r>
      <w:r>
        <w:rPr>
          <w:rFonts w:hint="eastAsia" w:ascii="宋体" w:hAnsi="宋体" w:eastAsia="宋体" w:cs="宋体"/>
          <w:color w:val="000000"/>
          <w:sz w:val="24"/>
          <w:szCs w:val="24"/>
          <w:highlight w:val="none"/>
        </w:rPr>
        <w:t>□</w:t>
      </w:r>
      <w:r>
        <w:rPr>
          <w:rFonts w:hint="eastAsia"/>
          <w:sz w:val="24"/>
          <w:szCs w:val="24"/>
          <w:lang w:val="en-US" w:eastAsia="zh-CN"/>
        </w:rPr>
        <w:t xml:space="preserve">不存在利害关系  </w:t>
      </w:r>
      <w:r>
        <w:rPr>
          <w:rFonts w:hint="eastAsia" w:ascii="宋体" w:hAnsi="宋体" w:eastAsia="宋体" w:cs="宋体"/>
          <w:color w:val="000000"/>
          <w:sz w:val="24"/>
          <w:szCs w:val="24"/>
          <w:highlight w:val="none"/>
        </w:rPr>
        <w:t>□</w:t>
      </w:r>
      <w:r>
        <w:rPr>
          <w:rFonts w:hint="eastAsia"/>
          <w:sz w:val="24"/>
          <w:szCs w:val="24"/>
          <w:lang w:val="en-US" w:eastAsia="zh-CN"/>
        </w:rPr>
        <w:t>存在下列利害关系</w:t>
      </w:r>
      <w:r>
        <w:rPr>
          <w:rFonts w:hint="eastAsia"/>
          <w:sz w:val="24"/>
          <w:szCs w:val="24"/>
          <w:u w:val="single"/>
          <w:lang w:val="en-US" w:eastAsia="zh-CN"/>
        </w:rPr>
        <w:t xml:space="preserve">     </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24"/>
          <w:lang w:val="en-US" w:eastAsia="zh-CN"/>
        </w:rPr>
      </w:pPr>
      <w:r>
        <w:rPr>
          <w:rFonts w:hint="eastAsia"/>
          <w:sz w:val="24"/>
          <w:szCs w:val="24"/>
          <w:lang w:val="en-US" w:eastAsia="zh-CN"/>
        </w:rPr>
        <w:t xml:space="preserve">  A投资关系  B行政隶属关系  C业务指导关系  D其他可能影响采购公正的利害关系（如有，请如实说明)</w:t>
      </w:r>
      <w:r>
        <w:rPr>
          <w:rFonts w:hint="eastAsia"/>
          <w:sz w:val="24"/>
          <w:szCs w:val="24"/>
          <w:u w:val="single"/>
          <w:lang w:val="en-US" w:eastAsia="zh-CN"/>
        </w:rPr>
        <w:t xml:space="preserve">                          </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二、现已清楚知道参加本项目采购活动的其他所有供应商名称，本单位</w:t>
      </w:r>
      <w:r>
        <w:rPr>
          <w:rFonts w:hint="eastAsia" w:ascii="宋体" w:hAnsi="宋体" w:eastAsia="宋体" w:cs="宋体"/>
          <w:color w:val="000000"/>
          <w:sz w:val="24"/>
          <w:szCs w:val="24"/>
          <w:highlight w:val="none"/>
        </w:rPr>
        <w:t>□</w:t>
      </w:r>
      <w:r>
        <w:rPr>
          <w:rFonts w:hint="eastAsia"/>
          <w:sz w:val="24"/>
          <w:szCs w:val="24"/>
          <w:lang w:val="en-US" w:eastAsia="zh-CN"/>
        </w:rPr>
        <w:t xml:space="preserve">与其他所有供应商之间均不存在利害关系;  </w:t>
      </w:r>
      <w:r>
        <w:rPr>
          <w:rFonts w:hint="eastAsia" w:ascii="宋体" w:hAnsi="宋体" w:eastAsia="宋体" w:cs="宋体"/>
          <w:color w:val="000000"/>
          <w:sz w:val="24"/>
          <w:szCs w:val="24"/>
          <w:highlight w:val="none"/>
        </w:rPr>
        <w:t>□</w:t>
      </w:r>
      <w:r>
        <w:rPr>
          <w:rFonts w:hint="eastAsia"/>
          <w:sz w:val="24"/>
          <w:szCs w:val="24"/>
          <w:lang w:val="en-US" w:eastAsia="zh-CN"/>
        </w:rPr>
        <w:t>与 （供应商名称）</w:t>
      </w:r>
      <w:r>
        <w:rPr>
          <w:rFonts w:hint="eastAsia"/>
          <w:sz w:val="24"/>
          <w:szCs w:val="24"/>
          <w:u w:val="single"/>
          <w:lang w:val="en-US" w:eastAsia="zh-CN"/>
        </w:rPr>
        <w:t xml:space="preserve">              </w:t>
      </w:r>
      <w:r>
        <w:rPr>
          <w:rFonts w:hint="eastAsia"/>
          <w:sz w:val="24"/>
          <w:szCs w:val="24"/>
          <w:lang w:val="en-US" w:eastAsia="zh-CN"/>
        </w:rPr>
        <w:t>之间存在下列利害关系</w:t>
      </w:r>
      <w:r>
        <w:rPr>
          <w:rFonts w:hint="eastAsia"/>
          <w:sz w:val="24"/>
          <w:szCs w:val="24"/>
          <w:u w:val="single"/>
          <w:lang w:val="en-US" w:eastAsia="zh-CN"/>
        </w:rPr>
        <w:t xml:space="preserve">                       </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A法定代表人或负责人或实际控制人是同一人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B法定代表人或负责人或实际控制人是夫妻关系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C法定代表人或负责人或实际控制人是直系血亲关系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D法定代表或负责人或实际控制人存在三代以内旁系血亲关系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E法定代表人或负责人或实际控制人存在近姻亲关系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F法定代表人或负责人或实际控制人存在股份控制或实际控制关系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G存在共同直接或间接投资设立子公司、联营企业和合营企业情况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H存在分级代理或代销关系、同一生产制造商关系、管理关系、重要业务（占主营业务收入50%以上）或重要财务往来关系（如融资）等其他实质性控制关系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 xml:space="preserve">I其他利害关系情况 </w:t>
      </w:r>
      <w:r>
        <w:rPr>
          <w:rFonts w:hint="eastAsia"/>
          <w:sz w:val="24"/>
          <w:szCs w:val="24"/>
          <w:u w:val="single"/>
          <w:lang w:val="en-US" w:eastAsia="zh-CN"/>
        </w:rPr>
        <w:t xml:space="preserve">                                 </w:t>
      </w:r>
      <w:r>
        <w:rPr>
          <w:rFonts w:hint="eastAsia"/>
          <w:sz w:val="24"/>
          <w:szCs w:val="24"/>
          <w:lang w:val="en-US" w:eastAsia="zh-CN"/>
        </w:rPr>
        <w:t xml:space="preserve"> 。</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现已清楚知道并严格遵守政府采购法律法规和现场纪律。</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20"/>
        <w:jc w:val="left"/>
        <w:textAlignment w:val="auto"/>
        <w:outlineLvl w:val="9"/>
        <w:rPr>
          <w:rFonts w:hint="eastAsia"/>
          <w:sz w:val="24"/>
          <w:szCs w:val="24"/>
          <w:lang w:val="en-US" w:eastAsia="zh-CN"/>
        </w:rPr>
      </w:pPr>
      <w:r>
        <w:rPr>
          <w:rFonts w:hint="eastAsia"/>
          <w:sz w:val="24"/>
          <w:szCs w:val="24"/>
          <w:lang w:val="en-US" w:eastAsia="zh-CN"/>
        </w:rPr>
        <w:t xml:space="preserve">我发现 </w:t>
      </w:r>
      <w:r>
        <w:rPr>
          <w:rFonts w:hint="eastAsia"/>
          <w:sz w:val="24"/>
          <w:szCs w:val="24"/>
          <w:u w:val="single"/>
          <w:lang w:val="en-US" w:eastAsia="zh-CN"/>
        </w:rPr>
        <w:t xml:space="preserve">                             </w:t>
      </w:r>
      <w:r>
        <w:rPr>
          <w:rFonts w:hint="eastAsia"/>
          <w:sz w:val="24"/>
          <w:szCs w:val="24"/>
          <w:lang w:val="en-US" w:eastAsia="zh-CN"/>
        </w:rPr>
        <w:t>供应商之间存在或可能存在以上第二条第</w:t>
      </w:r>
      <w:r>
        <w:rPr>
          <w:rFonts w:hint="eastAsia"/>
          <w:sz w:val="24"/>
          <w:szCs w:val="24"/>
          <w:u w:val="single"/>
          <w:lang w:val="en-US" w:eastAsia="zh-CN"/>
        </w:rPr>
        <w:t xml:space="preserve">        </w:t>
      </w:r>
      <w:r>
        <w:rPr>
          <w:rFonts w:hint="eastAsia"/>
          <w:sz w:val="24"/>
          <w:szCs w:val="24"/>
          <w:lang w:val="en-US" w:eastAsia="zh-CN"/>
        </w:rPr>
        <w:t>项利害关系。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24"/>
          <w:lang w:val="en-US" w:eastAsia="zh-CN"/>
        </w:rPr>
      </w:pPr>
      <w:r>
        <w:rPr>
          <w:rFonts w:hint="eastAsia"/>
          <w:sz w:val="24"/>
          <w:szCs w:val="24"/>
          <w:lang w:val="en-US" w:eastAsia="zh-CN"/>
        </w:rPr>
        <w:t xml:space="preserve">                               （供应商代表签名）：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sz w:val="24"/>
          <w:szCs w:val="24"/>
          <w:lang w:val="en-US" w:eastAsia="zh-CN"/>
        </w:rPr>
      </w:pPr>
    </w:p>
    <w:p>
      <w:pPr>
        <w:numPr>
          <w:ilvl w:val="0"/>
          <w:numId w:val="0"/>
        </w:numPr>
        <w:spacing w:line="360" w:lineRule="auto"/>
        <w:jc w:val="left"/>
        <w:outlineLvl w:val="9"/>
        <w:rPr>
          <w:rFonts w:hint="eastAsia" w:eastAsia="宋体"/>
          <w:color w:val="000000" w:themeColor="text1"/>
          <w:highlight w:val="none"/>
          <w:lang w:val="en-US" w:eastAsia="zh-CN"/>
          <w14:textFill>
            <w14:solidFill>
              <w14:schemeClr w14:val="tx1"/>
            </w14:solidFill>
          </w14:textFill>
        </w:rPr>
      </w:pPr>
      <w:r>
        <w:rPr>
          <w:rFonts w:hint="eastAsia"/>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202</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日</w:t>
      </w:r>
    </w:p>
    <w:sectPr>
      <w:footerReference r:id="rId13" w:type="default"/>
      <w:pgSz w:w="11906" w:h="16838"/>
      <w:pgMar w:top="1440" w:right="1274" w:bottom="1440" w:left="127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DejaVu Sans">
    <w:altName w:val="Segoe Print"/>
    <w:panose1 w:val="020B0606030804020204"/>
    <w:charset w:val="00"/>
    <w:family w:val="auto"/>
    <w:pitch w:val="default"/>
    <w:sig w:usb0="00000000" w:usb1="00000000" w:usb2="0A246029" w:usb3="0400200C" w:csb0="600001FF" w:csb1="DFFF0000"/>
  </w:font>
  <w:font w:name="方正书宋_GBK">
    <w:altName w:val="微软雅黑"/>
    <w:panose1 w:val="02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Noto Sans Syriac Eastern">
    <w:altName w:val="宋体"/>
    <w:panose1 w:val="02040503050306020203"/>
    <w:charset w:val="86"/>
    <w:family w:val="auto"/>
    <w:pitch w:val="default"/>
    <w:sig w:usb0="00000000" w:usb1="00000000" w:usb2="00000080" w:usb3="00000000" w:csb0="203E0161" w:csb1="D7FF0000"/>
  </w:font>
  <w:font w:name="方正仿宋_GBK">
    <w:altName w:val="微软雅黑"/>
    <w:panose1 w:val="02000000000000000000"/>
    <w:charset w:val="86"/>
    <w:family w:val="script"/>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方正小标宋简体">
    <w:altName w:val="微软雅黑"/>
    <w:panose1 w:val="02000000000000000000"/>
    <w:charset w:val="86"/>
    <w:family w:val="auto"/>
    <w:pitch w:val="default"/>
    <w:sig w:usb0="00000000" w:usb1="00000000" w:usb2="00000012" w:usb3="00000000" w:csb0="00040001" w:csb1="00000000"/>
  </w:font>
  <w:font w:name="汉真广标">
    <w:altName w:val="微软雅黑"/>
    <w:panose1 w:val="02010609000101010101"/>
    <w:charset w:val="86"/>
    <w:family w:val="auto"/>
    <w:pitch w:val="default"/>
    <w:sig w:usb0="00000000" w:usb1="00000000" w:usb2="00000002" w:usb3="00000000" w:csb0="00040000" w:csb1="00000000"/>
  </w:font>
  <w:font w:name="sans-serif">
    <w:altName w:val="ksdb"/>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ksdb">
    <w:panose1 w:val="02000500000000000000"/>
    <w:charset w:val="00"/>
    <w:family w:val="auto"/>
    <w:pitch w:val="default"/>
    <w:sig w:usb0="00000001" w:usb1="00000000" w:usb2="00000000" w:usb3="00000000" w:csb0="00000001" w:csb1="00000000"/>
  </w:font>
  <w:font w:name="宋体..璂..">
    <w:altName w:val="宋体"/>
    <w:panose1 w:val="00000000000000000000"/>
    <w:charset w:val="86"/>
    <w:family w:val="roman"/>
    <w:pitch w:val="default"/>
    <w:sig w:usb0="00000000" w:usb1="00000000" w:usb2="00000010" w:usb3="00000000" w:csb0="00040000" w:csb1="00000000"/>
  </w:font>
  <w:font w:name="Times New Roman (正文 CS 字体)">
    <w:altName w:val="宋体"/>
    <w:panose1 w:val="00000000000000000000"/>
    <w:charset w:val="86"/>
    <w:family w:val="roman"/>
    <w:pitch w:val="default"/>
    <w:sig w:usb0="00000000" w:usb1="00000000" w:usb2="00000009"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Futura Bk">
    <w:altName w:val="Times New Roman"/>
    <w:panose1 w:val="00000000000000000000"/>
    <w:charset w:val="00"/>
    <w:family w:val="swiss"/>
    <w:pitch w:val="default"/>
    <w:sig w:usb0="00000000" w:usb1="00000000" w:usb2="00000000" w:usb3="00000000" w:csb0="00000011" w:csb1="00000000"/>
  </w:font>
  <w:font w:name="MS Sans Serif">
    <w:altName w:val="Courier New"/>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Microsoft Sans Serif"/>
    <w:panose1 w:val="020B0604020202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icrosoft Sans Serif">
    <w:panose1 w:val="020B0604020202020204"/>
    <w:charset w:val="00"/>
    <w:family w:val="auto"/>
    <w:pitch w:val="default"/>
    <w:sig w:usb0="E5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DFKai-SB">
    <w:altName w:val="Microsoft JhengHei Light"/>
    <w:panose1 w:val="03000509000000000000"/>
    <w:charset w:val="88"/>
    <w:family w:val="script"/>
    <w:pitch w:val="default"/>
    <w:sig w:usb0="00000000" w:usb1="00000000" w:usb2="00000016" w:usb3="00000000" w:csb0="00100001" w:csb1="00000000"/>
  </w:font>
  <w:font w:name="PMingLiU">
    <w:altName w:val="Microsoft JhengHei UI"/>
    <w:panose1 w:val="02010601000101010101"/>
    <w:charset w:val="88"/>
    <w:family w:val="auto"/>
    <w:pitch w:val="default"/>
    <w:sig w:usb0="00000000" w:usb1="00000000" w:usb2="00000010" w:usb3="00000000" w:csb0="00100000" w:csb1="00000000"/>
  </w:font>
  <w:font w:name="Times">
    <w:altName w:val="Times New Roman"/>
    <w:panose1 w:val="02020603050405020304"/>
    <w:charset w:val="00"/>
    <w:family w:val="roman"/>
    <w:pitch w:val="default"/>
    <w:sig w:usb0="00000000" w:usb1="00000000" w:usb2="00000009" w:usb3="00000000" w:csb0="000001FF" w:csb1="00000000"/>
  </w:font>
  <w:font w:name="Futura Lt">
    <w:altName w:val="Arial"/>
    <w:panose1 w:val="00000000000000000000"/>
    <w:charset w:val="00"/>
    <w:family w:val="swiss"/>
    <w:pitch w:val="default"/>
    <w:sig w:usb0="00000000" w:usb1="00000000" w:usb2="00000000" w:usb3="00000000" w:csb0="0000009F" w:csb1="00000000"/>
  </w:font>
  <w:font w:name="Futura-Heavy">
    <w:altName w:val="Arial"/>
    <w:panose1 w:val="00000000000000000000"/>
    <w:charset w:val="00"/>
    <w:family w:val="swiss"/>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0000009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文鼎PL细上海宋Uni">
    <w:altName w:val="宋体"/>
    <w:panose1 w:val="00000000000000000000"/>
    <w:charset w:val="80"/>
    <w:family w:val="modern"/>
    <w:pitch w:val="default"/>
    <w:sig w:usb0="00000000" w:usb1="00000000" w:usb2="00000000" w:usb3="00000000" w:csb0="00040001" w:csb1="00000000"/>
  </w:font>
  <w:font w:name="Futura-Book">
    <w:altName w:val="Arial"/>
    <w:panose1 w:val="00000000000000000000"/>
    <w:charset w:val="00"/>
    <w:family w:val="swiss"/>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华文彩云">
    <w:altName w:val="微软雅黑"/>
    <w:panose1 w:val="02010800040101010101"/>
    <w:charset w:val="86"/>
    <w:family w:val="auto"/>
    <w:pitch w:val="default"/>
    <w:sig w:usb0="00000000" w:usb1="00000000" w:usb2="00000010" w:usb3="00000000" w:csb0="00040000" w:csb1="00000000"/>
  </w:font>
  <w:font w:name="Swis721 BlkOul BT">
    <w:altName w:val="微软雅黑"/>
    <w:panose1 w:val="04020905030B03040203"/>
    <w:charset w:val="00"/>
    <w:family w:val="decorative"/>
    <w:pitch w:val="default"/>
    <w:sig w:usb0="00000000" w:usb1="00000000" w:usb2="00000000" w:usb3="00000000" w:csb0="00040001" w:csb1="00000000"/>
  </w:font>
  <w:font w:name="MS Mincho">
    <w:altName w:val="Yu Gothic UI"/>
    <w:panose1 w:val="02020609040205080304"/>
    <w:charset w:val="80"/>
    <w:family w:val="modern"/>
    <w:pitch w:val="default"/>
    <w:sig w:usb0="00000000" w:usb1="00000000" w:usb2="00000010" w:usb3="00000000" w:csb0="0002009F" w:csb1="00000000"/>
  </w:font>
  <w:font w:name="华文细黑">
    <w:altName w:val="微软雅黑"/>
    <w:panose1 w:val="02010600040101010101"/>
    <w:charset w:val="86"/>
    <w:family w:val="auto"/>
    <w:pitch w:val="default"/>
    <w:sig w:usb0="00000000" w:usb1="00000000" w:usb2="00000010" w:usb3="00000000" w:csb0="0004009F" w:csb1="00000000"/>
  </w:font>
  <w:font w:name="MS UI Gothic">
    <w:panose1 w:val="020B0600070205080204"/>
    <w:charset w:val="80"/>
    <w:family w:val="swiss"/>
    <w:pitch w:val="default"/>
    <w:sig w:usb0="E00002FF" w:usb1="6AC7FDFB" w:usb2="08000012" w:usb3="00000000" w:csb0="4002009F" w:csb1="DFD70000"/>
  </w:font>
  <w:font w:name="IOAPJP+TimesNewRoman">
    <w:altName w:val="宋体"/>
    <w:panose1 w:val="00000000000000000000"/>
    <w:charset w:val="86"/>
    <w:family w:val="roman"/>
    <w:pitch w:val="default"/>
    <w:sig w:usb0="00000000" w:usb1="00000000" w:usb2="00000010" w:usb3="00000000" w:csb0="00040000" w:csb1="00000000"/>
  </w:font>
  <w:font w:name="MetaBook-Roman">
    <w:altName w:val="Arial"/>
    <w:panose1 w:val="00000000000000000000"/>
    <w:charset w:val="00"/>
    <w:family w:val="swiss"/>
    <w:pitch w:val="default"/>
    <w:sig w:usb0="00000000" w:usb1="00000000" w:usb2="00000000" w:usb3="00000000" w:csb0="00000001" w:csb1="00000000"/>
  </w:font>
  <w:font w:name="Sim Sun">
    <w:altName w:val="宋体"/>
    <w:panose1 w:val="00000000000000000000"/>
    <w:charset w:val="86"/>
    <w:family w:val="swiss"/>
    <w:pitch w:val="default"/>
    <w:sig w:usb0="00000000" w:usb1="00000000" w:usb2="00000010" w:usb3="00000000" w:csb0="00040000" w:csb1="00000000"/>
  </w:font>
  <w:font w:name="方正姚体">
    <w:altName w:val="宋体"/>
    <w:panose1 w:val="02010601030101010101"/>
    <w:charset w:val="86"/>
    <w:family w:val="auto"/>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10" w:usb3="00000000" w:csb0="00080000" w:csb1="00000000"/>
  </w:font>
  <w:font w:name="??_GB2312">
    <w:altName w:val="宋体"/>
    <w:panose1 w:val="00000000000000000000"/>
    <w:charset w:val="00"/>
    <w:family w:val="roman"/>
    <w:pitch w:val="default"/>
    <w:sig w:usb0="00000000" w:usb1="00000000" w:usb2="00000000" w:usb3="00000000" w:csb0="00040001" w:csb1="00000000"/>
  </w:font>
  <w:font w:name="New Century Schlbk">
    <w:altName w:val="Segoe Print"/>
    <w:panose1 w:val="00000000000000000000"/>
    <w:charset w:val="00"/>
    <w:family w:val="auto"/>
    <w:pitch w:val="default"/>
    <w:sig w:usb0="00000000" w:usb1="00000000" w:usb2="00000000" w:usb3="00000000" w:csb0="00000001" w:csb1="00000000"/>
  </w:font>
  <w:font w:name="Arail">
    <w:altName w:val="Times New Roman"/>
    <w:panose1 w:val="00000000000000000000"/>
    <w:charset w:val="00"/>
    <w:family w:val="auto"/>
    <w:pitch w:val="default"/>
    <w:sig w:usb0="00000000" w:usb1="00000000" w:usb2="00000000" w:usb3="00000000" w:csb0="00040001" w:csb1="00000000"/>
  </w:font>
  <w:font w:name="sө">
    <w:altName w:val="Times New Roman"/>
    <w:panose1 w:val="00000000000000000000"/>
    <w:charset w:val="00"/>
    <w:family w:val="roman"/>
    <w:pitch w:val="default"/>
    <w:sig w:usb0="00000000" w:usb1="00000000" w:usb2="00000000" w:usb3="00000000" w:csb0="00040001" w:csb1="00000000"/>
  </w:font>
  <w:font w:name="IOBAEE+TimesNewRoman,Bold">
    <w:altName w:val="宋体"/>
    <w:panose1 w:val="00000000000000000000"/>
    <w:charset w:val="86"/>
    <w:family w:val="roman"/>
    <w:pitch w:val="default"/>
    <w:sig w:usb0="00000000" w:usb1="00000000" w:usb2="00000010" w:usb3="00000000" w:csb0="00040000" w:csb1="00000000"/>
  </w:font>
  <w:font w:name="font-weight : 400">
    <w:altName w:val="宋体"/>
    <w:panose1 w:val="00000000000000000000"/>
    <w:charset w:val="00"/>
    <w:family w:val="auto"/>
    <w:pitch w:val="default"/>
    <w:sig w:usb0="00000000" w:usb1="00000000" w:usb2="00000000" w:usb3="00000000" w:csb0="00040001"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algun Gothic">
    <w:panose1 w:val="020B0503020000020004"/>
    <w:charset w:val="81"/>
    <w:family w:val="auto"/>
    <w:pitch w:val="default"/>
    <w:sig w:usb0="9000002F" w:usb1="29D77CFB" w:usb2="00000012" w:usb3="00000000" w:csb0="00080001" w:csb1="00000000"/>
  </w:font>
  <w:font w:name="Helvetica Neue">
    <w:altName w:val="宋体"/>
    <w:panose1 w:val="00000000000000000000"/>
    <w:charset w:val="86"/>
    <w:family w:val="auto"/>
    <w:pitch w:val="default"/>
    <w:sig w:usb0="00000000" w:usb1="00000000" w:usb2="00000000" w:usb3="00000000" w:csb0="00040001" w:csb1="00000000"/>
  </w:font>
  <w:font w:name="Calibri">
    <w:panose1 w:val="020F0502020204030204"/>
    <w:charset w:val="86"/>
    <w:family w:val="swiss"/>
    <w:pitch w:val="default"/>
    <w:sig w:usb0="E4002EFF" w:usb1="C000247B" w:usb2="00000009" w:usb3="00000000" w:csb0="200001FF" w:csb1="00000000"/>
  </w:font>
  <w:font w:name="..ì.">
    <w:altName w:val="Courier New"/>
    <w:panose1 w:val="00000000000000000000"/>
    <w:charset w:val="00"/>
    <w:family w:val="swiss"/>
    <w:pitch w:val="default"/>
    <w:sig w:usb0="00000000" w:usb1="00000000" w:usb2="00000000" w:usb3="00000000" w:csb0="0000019F" w:csb1="00000000"/>
  </w:font>
  <w:font w:name="长城仿宋">
    <w:altName w:val="仿宋"/>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PMingLiU-ExtB">
    <w:panose1 w:val="02020500000000000000"/>
    <w:charset w:val="88"/>
    <w:family w:val="auto"/>
    <w:pitch w:val="default"/>
    <w:sig w:usb0="8000002F" w:usb1="02000008" w:usb2="00000000" w:usb3="00000000" w:csb0="00100001" w:csb1="00000000"/>
  </w:font>
  <w:font w:name="Palatino Linotype">
    <w:panose1 w:val="02040502050505030304"/>
    <w:charset w:val="00"/>
    <w:family w:val="auto"/>
    <w:pitch w:val="default"/>
    <w:sig w:usb0="E0000287" w:usb1="40000013" w:usb2="00000000" w:usb3="00000000" w:csb0="2000019F" w:csb1="00000000"/>
  </w:font>
  <w:font w:name="Trebuchet MS">
    <w:panose1 w:val="020B0603020202020204"/>
    <w:charset w:val="00"/>
    <w:family w:val="auto"/>
    <w:pitch w:val="default"/>
    <w:sig w:usb0="00000687" w:usb1="00000000"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微软雅黑 Light">
    <w:panose1 w:val="020B0502040204020203"/>
    <w:charset w:val="86"/>
    <w:family w:val="auto"/>
    <w:pitch w:val="default"/>
    <w:sig w:usb0="80000287" w:usb1="2ACF001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icrosoft JhengHei UI Light">
    <w:panose1 w:val="020B0304030504040204"/>
    <w:charset w:val="88"/>
    <w:family w:val="auto"/>
    <w:pitch w:val="default"/>
    <w:sig w:usb0="8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 w:name="Comic Sans MS">
    <w:panose1 w:val="030F0702030302020204"/>
    <w:charset w:val="00"/>
    <w:family w:val="script"/>
    <w:pitch w:val="default"/>
    <w:sig w:usb0="00000287" w:usb1="00000013" w:usb2="00000000" w:usb3="00000000" w:csb0="2000009F" w:csb1="00000000"/>
  </w:font>
  <w:font w:name="Romantic">
    <w:altName w:val="微软雅黑"/>
    <w:panose1 w:val="00000400000000000000"/>
    <w:charset w:val="02"/>
    <w:family w:val="auto"/>
    <w:pitch w:val="default"/>
    <w:sig w:usb0="00000000" w:usb1="00000000" w:usb2="00000000" w:usb3="00000000" w:csb0="00040001" w:csb1="00000000"/>
  </w:font>
  <w:font w:name="微软大黑体">
    <w:altName w:val="宋体"/>
    <w:panose1 w:val="02010609000101010101"/>
    <w:charset w:val="86"/>
    <w:family w:val="modern"/>
    <w:pitch w:val="default"/>
    <w:sig w:usb0="00000000" w:usb1="00000000" w:usb2="00000010" w:usb3="00000000" w:csb0="00040000" w:csb1="00000000"/>
  </w:font>
  <w:font w:name="Helvetica Neue">
    <w:altName w:val="Corbel"/>
    <w:panose1 w:val="02000503000000020004"/>
    <w:charset w:val="00"/>
    <w:family w:val="auto"/>
    <w:pitch w:val="default"/>
    <w:sig w:usb0="00000000" w:usb1="00000000" w:usb2="00000010" w:usb3="00000000" w:csb0="00000001" w:csb1="00000000"/>
  </w:font>
  <w:font w:name="???|CS?o｡ﾀ?">
    <w:altName w:val="MS PGothic"/>
    <w:panose1 w:val="00000000000000000000"/>
    <w:charset w:val="80"/>
    <w:family w:val="roman"/>
    <w:pitch w:val="default"/>
    <w:sig w:usb0="00000000" w:usb1="00000000" w:usb2="00000010" w:usb3="00000000" w:csb0="00020000" w:csb1="00000000"/>
  </w:font>
  <w:font w:name="Optima">
    <w:altName w:val="PMingLiU-ExtB"/>
    <w:panose1 w:val="02000503060000020004"/>
    <w:charset w:val="00"/>
    <w:family w:val="auto"/>
    <w:pitch w:val="default"/>
    <w:sig w:usb0="00000000" w:usb1="00000000" w:usb2="00000000" w:usb3="00000000" w:csb0="00000001" w:csb1="00000000"/>
  </w:font>
  <w:font w:name="Museo Sans For Dell 300">
    <w:altName w:val="微软雅黑"/>
    <w:panose1 w:val="00000000000000000000"/>
    <w:charset w:val="86"/>
    <w:family w:val="swiss"/>
    <w:pitch w:val="default"/>
    <w:sig w:usb0="00000000" w:usb1="00000000" w:usb2="00000010" w:usb3="00000000" w:csb0="00040000" w:csb1="00000000"/>
  </w:font>
  <w:font w:name="Univers 57 Condensed">
    <w:altName w:val="微软雅黑"/>
    <w:panose1 w:val="00000000000000000000"/>
    <w:charset w:val="86"/>
    <w:family w:val="swiss"/>
    <w:pitch w:val="default"/>
    <w:sig w:usb0="00000000" w:usb1="00000000" w:usb2="00000010" w:usb3="00000000" w:csb0="00040000" w:csb1="00000000"/>
  </w:font>
  <w:font w:name="WhitneyK-Book">
    <w:altName w:val="Times New Roman"/>
    <w:panose1 w:val="00000000000000000000"/>
    <w:charset w:val="00"/>
    <w:family w:val="roman"/>
    <w:pitch w:val="default"/>
    <w:sig w:usb0="00000000" w:usb1="00000000" w:usb2="00000000" w:usb3="00000000" w:csb0="00040001" w:csb1="00000000"/>
  </w:font>
  <w:font w:name="HYg2gj">
    <w:altName w:val="Times New Roman"/>
    <w:panose1 w:val="00000000000000000000"/>
    <w:charset w:val="00"/>
    <w:family w:val="roman"/>
    <w:pitch w:val="default"/>
    <w:sig w:usb0="00000000" w:usb1="00000000" w:usb2="00000000" w:usb3="00000000" w:csb0="00040001" w:csb1="00000000"/>
  </w:font>
  <w:font w:name="JZongDengXian">
    <w:altName w:val="Times New Roman"/>
    <w:panose1 w:val="00000000000000000000"/>
    <w:charset w:val="00"/>
    <w:family w:val="roman"/>
    <w:pitch w:val="default"/>
    <w:sig w:usb0="00000000" w:usb1="00000000" w:usb2="00000000" w:usb3="00000000" w:csb0="00040001" w:csb1="00000000"/>
  </w:font>
  <w:font w:name="Corbel">
    <w:panose1 w:val="020B0503020204020204"/>
    <w:charset w:val="00"/>
    <w:family w:val="auto"/>
    <w:pitch w:val="default"/>
    <w:sig w:usb0="A00002EF" w:usb1="4000A44B" w:usb2="00000000" w:usb3="00000000" w:csb0="2000019F" w:csb1="00000000"/>
  </w:font>
  <w:font w:name="MS PGothic">
    <w:panose1 w:val="020B0600070205080204"/>
    <w:charset w:val="80"/>
    <w:family w:val="auto"/>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MingLiU_HKSCS-ExtB">
    <w:panose1 w:val="02020500000000000000"/>
    <w:charset w:val="88"/>
    <w:family w:val="auto"/>
    <w:pitch w:val="default"/>
    <w:sig w:usb0="8000002F" w:usb1="02000008" w:usb2="00000000" w:usb3="00000000" w:csb0="00100001" w:csb1="00000000"/>
  </w:font>
  <w:font w:name="Yu Gothic Medium">
    <w:panose1 w:val="020B05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Bahnschrift Condensed">
    <w:panose1 w:val="020B0502040204020203"/>
    <w:charset w:val="00"/>
    <w:family w:val="auto"/>
    <w:pitch w:val="default"/>
    <w:sig w:usb0="A00002C7" w:usb1="00000002" w:usb2="00000000" w:usb3="00000000" w:csb0="2000019F" w:csb1="00000000"/>
  </w:font>
  <w:font w:name="Bahnschrift">
    <w:panose1 w:val="020B0502040204020203"/>
    <w:charset w:val="00"/>
    <w:family w:val="auto"/>
    <w:pitch w:val="default"/>
    <w:sig w:usb0="A00002C7" w:usb1="00000002" w:usb2="00000000" w:usb3="00000000" w:csb0="2000019F" w:csb1="00000000"/>
  </w:font>
  <w:font w:name="Consolas">
    <w:panose1 w:val="020B0609020204030204"/>
    <w:charset w:val="00"/>
    <w:family w:val="modern"/>
    <w:pitch w:val="default"/>
    <w:sig w:usb0="E00006FF" w:usb1="0000FCFF" w:usb2="00000001" w:usb3="00000000" w:csb0="6000019F" w:csb1="DFD70000"/>
  </w:font>
  <w:font w:name="Univers Condensed">
    <w:altName w:val="Segoe Print"/>
    <w:panose1 w:val="020B0606020202060204"/>
    <w:charset w:val="00"/>
    <w:family w:val="swiss"/>
    <w:pitch w:val="default"/>
    <w:sig w:usb0="00000000" w:usb1="00000000" w:usb2="00000000" w:usb3="00000000" w:csb0="00000093" w:csb1="00000000"/>
  </w:font>
  <w:font w:name="Univers">
    <w:altName w:val="Segoe Print"/>
    <w:panose1 w:val="020B0603020202030204"/>
    <w:charset w:val="00"/>
    <w:family w:val="swiss"/>
    <w:pitch w:val="default"/>
    <w:sig w:usb0="00000000" w:usb1="00000000" w:usb2="00000000" w:usb3="00000000" w:csb0="00000093" w:csb1="00000000"/>
  </w:font>
  <w:font w:name="Gabriola">
    <w:panose1 w:val="04040605051002020D02"/>
    <w:charset w:val="00"/>
    <w:family w:val="auto"/>
    <w:pitch w:val="default"/>
    <w:sig w:usb0="E00002EF" w:usb1="5000204B" w:usb2="00000000" w:usb3="00000000" w:csb0="2000009F" w:csb1="00000000"/>
  </w:font>
  <w:font w:name="黑体">
    <w:panose1 w:val="02010609060101010101"/>
    <w:charset w:val="88"/>
    <w:family w:val="auto"/>
    <w:pitch w:val="default"/>
    <w:sig w:usb0="800002BF" w:usb1="38CF7CFA" w:usb2="00000016" w:usb3="00000000" w:csb0="00040001" w:csb1="00000000"/>
  </w:font>
  <w:font w:name="DFKai-SB">
    <w:altName w:val="Microsoft JhengHei Light"/>
    <w:panose1 w:val="03000509000000000000"/>
    <w:charset w:val="00"/>
    <w:family w:val="script"/>
    <w:pitch w:val="default"/>
    <w:sig w:usb0="00000000" w:usb1="00000000" w:usb2="00000016" w:usb3="00000000" w:csb0="00100001" w:csb1="00000000"/>
  </w:font>
  <w:font w:name="微软雅黑">
    <w:panose1 w:val="020B0503020204020204"/>
    <w:charset w:val="88"/>
    <w:family w:val="auto"/>
    <w:pitch w:val="default"/>
    <w:sig w:usb0="80000287" w:usb1="2ACF3C50" w:usb2="00000016" w:usb3="00000000" w:csb0="0004001F" w:csb1="00000000"/>
  </w:font>
  <w:font w:name="文鼎PL细上海宋Uni">
    <w:altName w:val="宋体"/>
    <w:panose1 w:val="00000000000000000000"/>
    <w:charset w:val="00"/>
    <w:family w:val="modern"/>
    <w:pitch w:val="default"/>
    <w:sig w:usb0="00000000" w:usb1="00000000" w:usb2="00000000" w:usb3="00000000" w:csb0="00040001" w:csb1="00000000"/>
  </w:font>
  <w:font w:name="ヒラギノ角ゴ Pro W3">
    <w:altName w:val="Yu Gothic"/>
    <w:panose1 w:val="00000000000000000000"/>
    <w:charset w:val="80"/>
    <w:family w:val="auto"/>
    <w:pitch w:val="default"/>
    <w:sig w:usb0="00000000" w:usb1="00000000" w:usb2="00000012" w:usb3="00000000" w:csb0="0002000D" w:csb1="00000000"/>
  </w:font>
  <w:font w:name="等线">
    <w:panose1 w:val="02010600030101010101"/>
    <w:charset w:val="88"/>
    <w:family w:val="auto"/>
    <w:pitch w:val="default"/>
    <w:sig w:usb0="A00002BF" w:usb1="38CF7CFA" w:usb2="00000016" w:usb3="00000000" w:csb0="0004000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101"/>
        <w:tab w:val="clear" w:pos="4153"/>
      </w:tabs>
      <w:rPr>
        <w:rFonts w:hint="eastAsia" w:eastAsia="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w:t>
                    </w:r>
                    <w:r>
                      <w:rPr>
                        <w:rFonts w:hint="eastAsia"/>
                        <w:sz w:val="18"/>
                        <w:lang w:eastAsia="zh-CN"/>
                      </w:rP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51</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56</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56</w:t>
                    </w:r>
                    <w:r>
                      <w:rPr>
                        <w:rFonts w:hint="eastAsia"/>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101"/>
        <w:tab w:val="clear" w:pos="4153"/>
      </w:tabs>
      <w:rPr>
        <w:rFonts w:hint="eastAsia" w:eastAsia="宋体"/>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w:t>
                    </w:r>
                    <w:r>
                      <w:rPr>
                        <w:rFonts w:hint="eastAsia"/>
                        <w:sz w:val="18"/>
                        <w:lang w:eastAsia="zh-CN"/>
                      </w:rPr>
                      <w:fldChar w:fldCharType="end"/>
                    </w:r>
                  </w:p>
                </w:txbxContent>
              </v:textbox>
            </v:shape>
          </w:pict>
        </mc:Fallback>
      </mc:AlternateContent>
    </w: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56</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56</w:t>
                    </w:r>
                    <w:r>
                      <w:rPr>
                        <w:rFonts w:hint="eastAsia"/>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101"/>
        <w:tab w:val="clear" w:pos="4153"/>
      </w:tabs>
      <w:rPr>
        <w:rFonts w:hint="eastAsia" w:eastAsia="宋体"/>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w:t>
                    </w:r>
                    <w:r>
                      <w:rPr>
                        <w:rFonts w:hint="eastAsia"/>
                        <w:sz w:val="18"/>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360" w:lineRule="auto"/>
      <w:jc w:val="center"/>
      <w:rPr>
        <w:rFonts w:hint="default" w:ascii="Arial Black" w:hAnsi="Arial Black" w:eastAsia="仿宋" w:cs="Arial Black"/>
        <w:b/>
        <w:bCs w:val="0"/>
        <w:color w:val="FFC000"/>
        <w:spacing w:val="-28"/>
        <w:u w:val="thick" w:color="0070C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360" w:lineRule="auto"/>
      <w:jc w:val="center"/>
      <w:rPr>
        <w:rFonts w:hint="eastAsia" w:ascii="仿宋" w:hAnsi="仿宋" w:eastAsia="仿宋" w:cs="仿宋"/>
        <w:b/>
        <w:bCs w:val="0"/>
        <w:color w:val="FFC000"/>
        <w:spacing w:val="-28"/>
        <w:u w:val="thick" w:color="007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493ACA"/>
    <w:multiLevelType w:val="singleLevel"/>
    <w:tmpl w:val="83493ACA"/>
    <w:lvl w:ilvl="0" w:tentative="0">
      <w:start w:val="2"/>
      <w:numFmt w:val="decimal"/>
      <w:suff w:val="nothing"/>
      <w:lvlText w:val="%1、"/>
      <w:lvlJc w:val="left"/>
      <w:pPr>
        <w:ind w:left="420"/>
      </w:pPr>
    </w:lvl>
  </w:abstractNum>
  <w:abstractNum w:abstractNumId="1">
    <w:nsid w:val="CFFF0F60"/>
    <w:multiLevelType w:val="singleLevel"/>
    <w:tmpl w:val="CFFF0F60"/>
    <w:lvl w:ilvl="0" w:tentative="0">
      <w:start w:val="2"/>
      <w:numFmt w:val="decimal"/>
      <w:suff w:val="nothing"/>
      <w:lvlText w:val="%1、"/>
      <w:lvlJc w:val="left"/>
    </w:lvl>
  </w:abstractNum>
  <w:abstractNum w:abstractNumId="2">
    <w:nsid w:val="E02575C6"/>
    <w:multiLevelType w:val="singleLevel"/>
    <w:tmpl w:val="E02575C6"/>
    <w:lvl w:ilvl="0" w:tentative="0">
      <w:start w:val="6"/>
      <w:numFmt w:val="chineseCounting"/>
      <w:suff w:val="nothing"/>
      <w:lvlText w:val="（%1）"/>
      <w:lvlJc w:val="left"/>
      <w:rPr>
        <w:rFonts w:hint="eastAsia"/>
      </w:rPr>
    </w:lvl>
  </w:abstractNum>
  <w:abstractNum w:abstractNumId="3">
    <w:nsid w:val="00000005"/>
    <w:multiLevelType w:val="multilevel"/>
    <w:tmpl w:val="00000005"/>
    <w:lvl w:ilvl="0" w:tentative="0">
      <w:start w:val="1"/>
      <w:numFmt w:val="decimal"/>
      <w:pStyle w:val="11"/>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4">
    <w:nsid w:val="1BA79F92"/>
    <w:multiLevelType w:val="singleLevel"/>
    <w:tmpl w:val="1BA79F92"/>
    <w:lvl w:ilvl="0" w:tentative="0">
      <w:start w:val="1"/>
      <w:numFmt w:val="decimal"/>
      <w:lvlText w:val="%1."/>
      <w:lvlJc w:val="left"/>
      <w:pPr>
        <w:tabs>
          <w:tab w:val="left" w:pos="312"/>
        </w:tabs>
      </w:pPr>
    </w:lvl>
  </w:abstractNum>
  <w:abstractNum w:abstractNumId="5">
    <w:nsid w:val="1C394AFA"/>
    <w:multiLevelType w:val="singleLevel"/>
    <w:tmpl w:val="1C394AFA"/>
    <w:lvl w:ilvl="0" w:tentative="0">
      <w:start w:val="3"/>
      <w:numFmt w:val="chineseCounting"/>
      <w:suff w:val="space"/>
      <w:lvlText w:val="第%1章"/>
      <w:lvlJc w:val="left"/>
      <w:rPr>
        <w:rFonts w:hint="eastAsia"/>
      </w:rPr>
    </w:lvl>
  </w:abstractNum>
  <w:abstractNum w:abstractNumId="6">
    <w:nsid w:val="39172B00"/>
    <w:multiLevelType w:val="singleLevel"/>
    <w:tmpl w:val="39172B00"/>
    <w:lvl w:ilvl="0" w:tentative="0">
      <w:start w:val="6"/>
      <w:numFmt w:val="chineseCounting"/>
      <w:suff w:val="nothing"/>
      <w:lvlText w:val="%1、"/>
      <w:lvlJc w:val="left"/>
      <w:rPr>
        <w:rFonts w:hint="eastAsia"/>
      </w:rPr>
    </w:lvl>
  </w:abstractNum>
  <w:abstractNum w:abstractNumId="7">
    <w:nsid w:val="4E197FD4"/>
    <w:multiLevelType w:val="singleLevel"/>
    <w:tmpl w:val="4E197FD4"/>
    <w:lvl w:ilvl="0" w:tentative="0">
      <w:start w:val="2"/>
      <w:numFmt w:val="chineseCounting"/>
      <w:suff w:val="nothing"/>
      <w:lvlText w:val="（%1）"/>
      <w:lvlJc w:val="left"/>
      <w:pPr>
        <w:ind w:left="-210"/>
      </w:pPr>
      <w:rPr>
        <w:rFonts w:hint="eastAsia"/>
      </w:rPr>
    </w:lvl>
  </w:abstractNum>
  <w:abstractNum w:abstractNumId="8">
    <w:nsid w:val="635796AC"/>
    <w:multiLevelType w:val="singleLevel"/>
    <w:tmpl w:val="635796AC"/>
    <w:lvl w:ilvl="0" w:tentative="0">
      <w:start w:val="1"/>
      <w:numFmt w:val="chineseCounting"/>
      <w:suff w:val="nothing"/>
      <w:lvlText w:val="%1、"/>
      <w:lvlJc w:val="left"/>
    </w:lvl>
  </w:abstractNum>
  <w:abstractNum w:abstractNumId="9">
    <w:nsid w:val="63579A0F"/>
    <w:multiLevelType w:val="singleLevel"/>
    <w:tmpl w:val="63579A0F"/>
    <w:lvl w:ilvl="0" w:tentative="0">
      <w:start w:val="3"/>
      <w:numFmt w:val="chineseCounting"/>
      <w:suff w:val="nothing"/>
      <w:lvlText w:val="%1、"/>
      <w:lvlJc w:val="left"/>
    </w:lvl>
  </w:abstractNum>
  <w:abstractNum w:abstractNumId="10">
    <w:nsid w:val="63F0414A"/>
    <w:multiLevelType w:val="singleLevel"/>
    <w:tmpl w:val="63F0414A"/>
    <w:lvl w:ilvl="0" w:tentative="0">
      <w:start w:val="1"/>
      <w:numFmt w:val="decimal"/>
      <w:suff w:val="nothing"/>
      <w:lvlText w:val="(%1)"/>
      <w:lvlJc w:val="left"/>
    </w:lvl>
  </w:abstractNum>
  <w:abstractNum w:abstractNumId="11">
    <w:nsid w:val="640A8526"/>
    <w:multiLevelType w:val="singleLevel"/>
    <w:tmpl w:val="640A8526"/>
    <w:lvl w:ilvl="0" w:tentative="0">
      <w:start w:val="2"/>
      <w:numFmt w:val="chineseCounting"/>
      <w:suff w:val="nothing"/>
      <w:lvlText w:val="%1、"/>
      <w:lvlJc w:val="left"/>
    </w:lvl>
  </w:abstractNum>
  <w:abstractNum w:abstractNumId="12">
    <w:nsid w:val="640A90A7"/>
    <w:multiLevelType w:val="singleLevel"/>
    <w:tmpl w:val="640A90A7"/>
    <w:lvl w:ilvl="0" w:tentative="0">
      <w:start w:val="1"/>
      <w:numFmt w:val="decimal"/>
      <w:suff w:val="nothing"/>
      <w:lvlText w:val="（%1）"/>
      <w:lvlJc w:val="left"/>
    </w:lvl>
  </w:abstractNum>
  <w:abstractNum w:abstractNumId="13">
    <w:nsid w:val="640A9796"/>
    <w:multiLevelType w:val="singleLevel"/>
    <w:tmpl w:val="640A9796"/>
    <w:lvl w:ilvl="0" w:tentative="0">
      <w:start w:val="1"/>
      <w:numFmt w:val="chineseCounting"/>
      <w:suff w:val="nothing"/>
      <w:lvlText w:val="%1、"/>
      <w:lvlJc w:val="left"/>
    </w:lvl>
  </w:abstractNum>
  <w:abstractNum w:abstractNumId="14">
    <w:nsid w:val="655B001A"/>
    <w:multiLevelType w:val="singleLevel"/>
    <w:tmpl w:val="655B001A"/>
    <w:lvl w:ilvl="0" w:tentative="0">
      <w:start w:val="2"/>
      <w:numFmt w:val="decimal"/>
      <w:suff w:val="nothing"/>
      <w:lvlText w:val="（%1）"/>
      <w:lvlJc w:val="left"/>
    </w:lvl>
  </w:abstractNum>
  <w:abstractNum w:abstractNumId="15">
    <w:nsid w:val="65D73900"/>
    <w:multiLevelType w:val="singleLevel"/>
    <w:tmpl w:val="65D73900"/>
    <w:lvl w:ilvl="0" w:tentative="0">
      <w:start w:val="1"/>
      <w:numFmt w:val="decimal"/>
      <w:suff w:val="nothing"/>
      <w:lvlText w:val="（%1）"/>
      <w:lvlJc w:val="left"/>
    </w:lvl>
  </w:abstractNum>
  <w:abstractNum w:abstractNumId="16">
    <w:nsid w:val="66E55921"/>
    <w:multiLevelType w:val="singleLevel"/>
    <w:tmpl w:val="66E55921"/>
    <w:lvl w:ilvl="0" w:tentative="0">
      <w:start w:val="3"/>
      <w:numFmt w:val="chineseCounting"/>
      <w:suff w:val="nothing"/>
      <w:lvlText w:val="%1、"/>
      <w:lvlJc w:val="left"/>
    </w:lvl>
  </w:abstractNum>
  <w:abstractNum w:abstractNumId="17">
    <w:nsid w:val="66FA574F"/>
    <w:multiLevelType w:val="singleLevel"/>
    <w:tmpl w:val="66FA574F"/>
    <w:lvl w:ilvl="0" w:tentative="0">
      <w:start w:val="1"/>
      <w:numFmt w:val="decimal"/>
      <w:suff w:val="nothing"/>
      <w:lvlText w:val="%1."/>
      <w:lvlJc w:val="left"/>
    </w:lvl>
  </w:abstractNum>
  <w:abstractNum w:abstractNumId="18">
    <w:nsid w:val="66FA584C"/>
    <w:multiLevelType w:val="singleLevel"/>
    <w:tmpl w:val="66FA584C"/>
    <w:lvl w:ilvl="0" w:tentative="0">
      <w:start w:val="1"/>
      <w:numFmt w:val="decimal"/>
      <w:suff w:val="nothing"/>
      <w:lvlText w:val="%1."/>
      <w:lvlJc w:val="left"/>
    </w:lvl>
  </w:abstractNum>
  <w:abstractNum w:abstractNumId="19">
    <w:nsid w:val="66FA5869"/>
    <w:multiLevelType w:val="singleLevel"/>
    <w:tmpl w:val="66FA5869"/>
    <w:lvl w:ilvl="0" w:tentative="0">
      <w:start w:val="1"/>
      <w:numFmt w:val="decimal"/>
      <w:suff w:val="nothing"/>
      <w:lvlText w:val="%1."/>
      <w:lvlJc w:val="left"/>
    </w:lvl>
  </w:abstractNum>
  <w:num w:numId="1">
    <w:abstractNumId w:val="3"/>
  </w:num>
  <w:num w:numId="2">
    <w:abstractNumId w:val="0"/>
  </w:num>
  <w:num w:numId="3">
    <w:abstractNumId w:val="1"/>
  </w:num>
  <w:num w:numId="4">
    <w:abstractNumId w:val="13"/>
  </w:num>
  <w:num w:numId="5">
    <w:abstractNumId w:val="6"/>
  </w:num>
  <w:num w:numId="6">
    <w:abstractNumId w:val="10"/>
  </w:num>
  <w:num w:numId="7">
    <w:abstractNumId w:val="14"/>
  </w:num>
  <w:num w:numId="8">
    <w:abstractNumId w:val="2"/>
  </w:num>
  <w:num w:numId="9">
    <w:abstractNumId w:val="7"/>
  </w:num>
  <w:num w:numId="10">
    <w:abstractNumId w:val="17"/>
  </w:num>
  <w:num w:numId="11">
    <w:abstractNumId w:val="18"/>
  </w:num>
  <w:num w:numId="12">
    <w:abstractNumId w:val="19"/>
  </w:num>
  <w:num w:numId="13">
    <w:abstractNumId w:val="4"/>
  </w:num>
  <w:num w:numId="14">
    <w:abstractNumId w:val="16"/>
  </w:num>
  <w:num w:numId="15">
    <w:abstractNumId w:val="11"/>
  </w:num>
  <w:num w:numId="16">
    <w:abstractNumId w:val="5"/>
  </w:num>
  <w:num w:numId="17">
    <w:abstractNumId w:val="12"/>
  </w:num>
  <w:num w:numId="18">
    <w:abstractNumId w:val="15"/>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0NTYwNTA3ZTYzNDdjZmJhMWZmOGRlZWY0M2NiNGYifQ=="/>
  </w:docVars>
  <w:rsids>
    <w:rsidRoot w:val="00172A27"/>
    <w:rsid w:val="000061A4"/>
    <w:rsid w:val="00024F7E"/>
    <w:rsid w:val="00030203"/>
    <w:rsid w:val="00053F2A"/>
    <w:rsid w:val="000862E2"/>
    <w:rsid w:val="000B7DB0"/>
    <w:rsid w:val="000E7BF5"/>
    <w:rsid w:val="001033BD"/>
    <w:rsid w:val="00135281"/>
    <w:rsid w:val="0014149F"/>
    <w:rsid w:val="00151F4C"/>
    <w:rsid w:val="00160331"/>
    <w:rsid w:val="0016088D"/>
    <w:rsid w:val="00163264"/>
    <w:rsid w:val="00180739"/>
    <w:rsid w:val="00195307"/>
    <w:rsid w:val="001A02C5"/>
    <w:rsid w:val="001A4BA1"/>
    <w:rsid w:val="001B0DB4"/>
    <w:rsid w:val="001C3A62"/>
    <w:rsid w:val="001C3FD8"/>
    <w:rsid w:val="001C46DC"/>
    <w:rsid w:val="001D0E39"/>
    <w:rsid w:val="001D2FD6"/>
    <w:rsid w:val="001D7301"/>
    <w:rsid w:val="001D7470"/>
    <w:rsid w:val="001F17EA"/>
    <w:rsid w:val="001F61FA"/>
    <w:rsid w:val="001F7EDF"/>
    <w:rsid w:val="00200C85"/>
    <w:rsid w:val="00201B24"/>
    <w:rsid w:val="0020682D"/>
    <w:rsid w:val="00212355"/>
    <w:rsid w:val="00220582"/>
    <w:rsid w:val="002213A0"/>
    <w:rsid w:val="00254CCD"/>
    <w:rsid w:val="002714F7"/>
    <w:rsid w:val="00275535"/>
    <w:rsid w:val="00283845"/>
    <w:rsid w:val="002A6C47"/>
    <w:rsid w:val="002A767A"/>
    <w:rsid w:val="002C5D33"/>
    <w:rsid w:val="002C662A"/>
    <w:rsid w:val="002D4343"/>
    <w:rsid w:val="00302FDF"/>
    <w:rsid w:val="003046AA"/>
    <w:rsid w:val="00307A15"/>
    <w:rsid w:val="003121DD"/>
    <w:rsid w:val="00317990"/>
    <w:rsid w:val="003259FC"/>
    <w:rsid w:val="00334213"/>
    <w:rsid w:val="00343ABA"/>
    <w:rsid w:val="00357F5D"/>
    <w:rsid w:val="00364A4D"/>
    <w:rsid w:val="003C2951"/>
    <w:rsid w:val="003D3F4A"/>
    <w:rsid w:val="003E74F6"/>
    <w:rsid w:val="00401B4E"/>
    <w:rsid w:val="00412C27"/>
    <w:rsid w:val="00422E6C"/>
    <w:rsid w:val="004240CD"/>
    <w:rsid w:val="00431027"/>
    <w:rsid w:val="00445F0B"/>
    <w:rsid w:val="004550B3"/>
    <w:rsid w:val="004568E6"/>
    <w:rsid w:val="004720B3"/>
    <w:rsid w:val="00481DD8"/>
    <w:rsid w:val="004A0E6F"/>
    <w:rsid w:val="004C422F"/>
    <w:rsid w:val="004D6F6F"/>
    <w:rsid w:val="004E7FDD"/>
    <w:rsid w:val="004F045E"/>
    <w:rsid w:val="00502BEA"/>
    <w:rsid w:val="0053687F"/>
    <w:rsid w:val="00536F65"/>
    <w:rsid w:val="00541BEF"/>
    <w:rsid w:val="00551A6E"/>
    <w:rsid w:val="005A15BC"/>
    <w:rsid w:val="005C2570"/>
    <w:rsid w:val="005C47AF"/>
    <w:rsid w:val="005D0B0C"/>
    <w:rsid w:val="005E69AA"/>
    <w:rsid w:val="00602E2B"/>
    <w:rsid w:val="00666551"/>
    <w:rsid w:val="006710D3"/>
    <w:rsid w:val="00683EFD"/>
    <w:rsid w:val="006A08A7"/>
    <w:rsid w:val="006B056D"/>
    <w:rsid w:val="006B5C99"/>
    <w:rsid w:val="006B7C09"/>
    <w:rsid w:val="006C3EF8"/>
    <w:rsid w:val="006F0EE1"/>
    <w:rsid w:val="006F1BBC"/>
    <w:rsid w:val="006F377B"/>
    <w:rsid w:val="007009AE"/>
    <w:rsid w:val="00705635"/>
    <w:rsid w:val="00705694"/>
    <w:rsid w:val="00721306"/>
    <w:rsid w:val="007323F3"/>
    <w:rsid w:val="00762857"/>
    <w:rsid w:val="0077275A"/>
    <w:rsid w:val="007821CA"/>
    <w:rsid w:val="00782329"/>
    <w:rsid w:val="00783C74"/>
    <w:rsid w:val="007901E1"/>
    <w:rsid w:val="00791CEA"/>
    <w:rsid w:val="007A51D7"/>
    <w:rsid w:val="007B72F6"/>
    <w:rsid w:val="007B7320"/>
    <w:rsid w:val="007C5775"/>
    <w:rsid w:val="007D30A2"/>
    <w:rsid w:val="007E5E82"/>
    <w:rsid w:val="007E7BAA"/>
    <w:rsid w:val="007F2DF6"/>
    <w:rsid w:val="007F5C35"/>
    <w:rsid w:val="00811E09"/>
    <w:rsid w:val="008269F5"/>
    <w:rsid w:val="0084779D"/>
    <w:rsid w:val="0085548E"/>
    <w:rsid w:val="00861F51"/>
    <w:rsid w:val="0086492C"/>
    <w:rsid w:val="0086784B"/>
    <w:rsid w:val="00875FBF"/>
    <w:rsid w:val="00877F35"/>
    <w:rsid w:val="00891B2C"/>
    <w:rsid w:val="00893F98"/>
    <w:rsid w:val="008A6DDB"/>
    <w:rsid w:val="008B299E"/>
    <w:rsid w:val="008C0149"/>
    <w:rsid w:val="00900520"/>
    <w:rsid w:val="00905078"/>
    <w:rsid w:val="00921FDC"/>
    <w:rsid w:val="009223E0"/>
    <w:rsid w:val="009230D3"/>
    <w:rsid w:val="00951637"/>
    <w:rsid w:val="00953905"/>
    <w:rsid w:val="00983A2F"/>
    <w:rsid w:val="00993A54"/>
    <w:rsid w:val="00997AC2"/>
    <w:rsid w:val="009A282B"/>
    <w:rsid w:val="009E16AA"/>
    <w:rsid w:val="00A05F96"/>
    <w:rsid w:val="00A06D66"/>
    <w:rsid w:val="00A07010"/>
    <w:rsid w:val="00A071C7"/>
    <w:rsid w:val="00A13AD7"/>
    <w:rsid w:val="00A35496"/>
    <w:rsid w:val="00A578DB"/>
    <w:rsid w:val="00A661F4"/>
    <w:rsid w:val="00A81B6D"/>
    <w:rsid w:val="00AB3AE4"/>
    <w:rsid w:val="00AB428D"/>
    <w:rsid w:val="00AC36F7"/>
    <w:rsid w:val="00AD1530"/>
    <w:rsid w:val="00AD4014"/>
    <w:rsid w:val="00AD674A"/>
    <w:rsid w:val="00AE5262"/>
    <w:rsid w:val="00B1140A"/>
    <w:rsid w:val="00B233D1"/>
    <w:rsid w:val="00B33929"/>
    <w:rsid w:val="00B428C8"/>
    <w:rsid w:val="00B627AF"/>
    <w:rsid w:val="00B715BC"/>
    <w:rsid w:val="00B81BA8"/>
    <w:rsid w:val="00B83A22"/>
    <w:rsid w:val="00BA45B1"/>
    <w:rsid w:val="00BC6027"/>
    <w:rsid w:val="00BF0C61"/>
    <w:rsid w:val="00BF5B58"/>
    <w:rsid w:val="00C012D7"/>
    <w:rsid w:val="00C14045"/>
    <w:rsid w:val="00C2351A"/>
    <w:rsid w:val="00C25C6D"/>
    <w:rsid w:val="00C26259"/>
    <w:rsid w:val="00C505AF"/>
    <w:rsid w:val="00C77808"/>
    <w:rsid w:val="00CD3E5A"/>
    <w:rsid w:val="00CE1AF7"/>
    <w:rsid w:val="00CF0180"/>
    <w:rsid w:val="00CF4209"/>
    <w:rsid w:val="00D23833"/>
    <w:rsid w:val="00D33E52"/>
    <w:rsid w:val="00DB674F"/>
    <w:rsid w:val="00DB7E75"/>
    <w:rsid w:val="00DF0B4B"/>
    <w:rsid w:val="00DF376B"/>
    <w:rsid w:val="00E06404"/>
    <w:rsid w:val="00E260B1"/>
    <w:rsid w:val="00E535A9"/>
    <w:rsid w:val="00E738CE"/>
    <w:rsid w:val="00E843E7"/>
    <w:rsid w:val="00E84CCF"/>
    <w:rsid w:val="00E87E54"/>
    <w:rsid w:val="00E93604"/>
    <w:rsid w:val="00EA1FDA"/>
    <w:rsid w:val="00EA2B31"/>
    <w:rsid w:val="00EA3A35"/>
    <w:rsid w:val="00EB19C1"/>
    <w:rsid w:val="00EC6614"/>
    <w:rsid w:val="00EF2F0F"/>
    <w:rsid w:val="00F01DB8"/>
    <w:rsid w:val="00F10D00"/>
    <w:rsid w:val="00F15EAF"/>
    <w:rsid w:val="00F24D6A"/>
    <w:rsid w:val="00F26F17"/>
    <w:rsid w:val="00F815F3"/>
    <w:rsid w:val="00F86EA3"/>
    <w:rsid w:val="00F953F1"/>
    <w:rsid w:val="00FA3F2A"/>
    <w:rsid w:val="00FA52D5"/>
    <w:rsid w:val="00FB4668"/>
    <w:rsid w:val="00FC2B2E"/>
    <w:rsid w:val="00FD071D"/>
    <w:rsid w:val="00FF2D20"/>
    <w:rsid w:val="01062EEC"/>
    <w:rsid w:val="011C44BE"/>
    <w:rsid w:val="01352628"/>
    <w:rsid w:val="015B3238"/>
    <w:rsid w:val="016E5A1A"/>
    <w:rsid w:val="016F3BA8"/>
    <w:rsid w:val="01745C50"/>
    <w:rsid w:val="01904138"/>
    <w:rsid w:val="019A630D"/>
    <w:rsid w:val="01CF1530"/>
    <w:rsid w:val="020E02AA"/>
    <w:rsid w:val="023D6EC0"/>
    <w:rsid w:val="02686CF7"/>
    <w:rsid w:val="026D3D68"/>
    <w:rsid w:val="029F39B6"/>
    <w:rsid w:val="02A477D8"/>
    <w:rsid w:val="02D23086"/>
    <w:rsid w:val="034A70C0"/>
    <w:rsid w:val="034F088E"/>
    <w:rsid w:val="03887BE8"/>
    <w:rsid w:val="03894E44"/>
    <w:rsid w:val="03BC4CFD"/>
    <w:rsid w:val="03D96696"/>
    <w:rsid w:val="03E24FA8"/>
    <w:rsid w:val="03EC35E2"/>
    <w:rsid w:val="044814B2"/>
    <w:rsid w:val="044F3B9C"/>
    <w:rsid w:val="046C6BAD"/>
    <w:rsid w:val="047D46E8"/>
    <w:rsid w:val="048D195A"/>
    <w:rsid w:val="04C9670A"/>
    <w:rsid w:val="04D651D4"/>
    <w:rsid w:val="04D70D83"/>
    <w:rsid w:val="04E377CC"/>
    <w:rsid w:val="04ED5A22"/>
    <w:rsid w:val="054879E7"/>
    <w:rsid w:val="058A7DC0"/>
    <w:rsid w:val="065F7326"/>
    <w:rsid w:val="066D0BE7"/>
    <w:rsid w:val="06905726"/>
    <w:rsid w:val="06AF7656"/>
    <w:rsid w:val="06C95DDB"/>
    <w:rsid w:val="06CB676A"/>
    <w:rsid w:val="06D875C7"/>
    <w:rsid w:val="06DC357B"/>
    <w:rsid w:val="072909FF"/>
    <w:rsid w:val="074321DF"/>
    <w:rsid w:val="074A0591"/>
    <w:rsid w:val="075F5104"/>
    <w:rsid w:val="07C256A4"/>
    <w:rsid w:val="07CA73BB"/>
    <w:rsid w:val="07FD4DC5"/>
    <w:rsid w:val="07FE4D16"/>
    <w:rsid w:val="082A73B1"/>
    <w:rsid w:val="08867A10"/>
    <w:rsid w:val="08C54326"/>
    <w:rsid w:val="08EC67E7"/>
    <w:rsid w:val="08F9554F"/>
    <w:rsid w:val="090441B5"/>
    <w:rsid w:val="091F4B4B"/>
    <w:rsid w:val="0934727A"/>
    <w:rsid w:val="094571EA"/>
    <w:rsid w:val="09C807B0"/>
    <w:rsid w:val="09CE75C3"/>
    <w:rsid w:val="0A0109DB"/>
    <w:rsid w:val="0A060DE8"/>
    <w:rsid w:val="0A252635"/>
    <w:rsid w:val="0A5C4C50"/>
    <w:rsid w:val="0A5F6D1F"/>
    <w:rsid w:val="0A6610BB"/>
    <w:rsid w:val="0A7D7D7B"/>
    <w:rsid w:val="0A9304A6"/>
    <w:rsid w:val="0AAE78F9"/>
    <w:rsid w:val="0AC6388D"/>
    <w:rsid w:val="0ACE29C5"/>
    <w:rsid w:val="0AD36E36"/>
    <w:rsid w:val="0AE14E9A"/>
    <w:rsid w:val="0AE861B1"/>
    <w:rsid w:val="0B100BEF"/>
    <w:rsid w:val="0B2B0FD4"/>
    <w:rsid w:val="0B2E1718"/>
    <w:rsid w:val="0B6E5916"/>
    <w:rsid w:val="0B815649"/>
    <w:rsid w:val="0BC503B0"/>
    <w:rsid w:val="0BE80195"/>
    <w:rsid w:val="0C22649D"/>
    <w:rsid w:val="0C2A5585"/>
    <w:rsid w:val="0C6367E1"/>
    <w:rsid w:val="0C862C9E"/>
    <w:rsid w:val="0CC47EE3"/>
    <w:rsid w:val="0CD22B8F"/>
    <w:rsid w:val="0CD94D10"/>
    <w:rsid w:val="0CE0168F"/>
    <w:rsid w:val="0CE70A00"/>
    <w:rsid w:val="0D284335"/>
    <w:rsid w:val="0D3E1A08"/>
    <w:rsid w:val="0D3F3A0E"/>
    <w:rsid w:val="0D870F11"/>
    <w:rsid w:val="0D9E6E36"/>
    <w:rsid w:val="0DB461AA"/>
    <w:rsid w:val="0DE40111"/>
    <w:rsid w:val="0DE97EF3"/>
    <w:rsid w:val="0E5C0944"/>
    <w:rsid w:val="0E6F425B"/>
    <w:rsid w:val="0EAF1E2A"/>
    <w:rsid w:val="0ED8201D"/>
    <w:rsid w:val="0EEA1757"/>
    <w:rsid w:val="0EF820C6"/>
    <w:rsid w:val="0F0F11BE"/>
    <w:rsid w:val="0F294CCD"/>
    <w:rsid w:val="0F3C3D67"/>
    <w:rsid w:val="0F791285"/>
    <w:rsid w:val="0F914CE4"/>
    <w:rsid w:val="0FAB0948"/>
    <w:rsid w:val="0FEB20AE"/>
    <w:rsid w:val="0FEE2E8E"/>
    <w:rsid w:val="10030D22"/>
    <w:rsid w:val="102F6440"/>
    <w:rsid w:val="103837FD"/>
    <w:rsid w:val="10570684"/>
    <w:rsid w:val="10634DBB"/>
    <w:rsid w:val="10780801"/>
    <w:rsid w:val="109D1177"/>
    <w:rsid w:val="10CD181F"/>
    <w:rsid w:val="10EF574B"/>
    <w:rsid w:val="112E33C2"/>
    <w:rsid w:val="11466EFA"/>
    <w:rsid w:val="115E3A20"/>
    <w:rsid w:val="115E7F22"/>
    <w:rsid w:val="11950E8F"/>
    <w:rsid w:val="11984EF1"/>
    <w:rsid w:val="1212656A"/>
    <w:rsid w:val="121B7D2D"/>
    <w:rsid w:val="121E3A90"/>
    <w:rsid w:val="12AF6A58"/>
    <w:rsid w:val="12F40CDD"/>
    <w:rsid w:val="130A23C8"/>
    <w:rsid w:val="13161C63"/>
    <w:rsid w:val="131C555B"/>
    <w:rsid w:val="13382D62"/>
    <w:rsid w:val="13436557"/>
    <w:rsid w:val="13547AE7"/>
    <w:rsid w:val="138603C4"/>
    <w:rsid w:val="139F5D8C"/>
    <w:rsid w:val="13B0327A"/>
    <w:rsid w:val="13B660AC"/>
    <w:rsid w:val="1407156E"/>
    <w:rsid w:val="1432607A"/>
    <w:rsid w:val="14ED0ECF"/>
    <w:rsid w:val="153C60B9"/>
    <w:rsid w:val="154B4D55"/>
    <w:rsid w:val="15525411"/>
    <w:rsid w:val="156F2112"/>
    <w:rsid w:val="15804BC3"/>
    <w:rsid w:val="159B53F7"/>
    <w:rsid w:val="15B10EC9"/>
    <w:rsid w:val="15BF56EC"/>
    <w:rsid w:val="15CD5A17"/>
    <w:rsid w:val="16065913"/>
    <w:rsid w:val="161F43DC"/>
    <w:rsid w:val="1621345F"/>
    <w:rsid w:val="16314C03"/>
    <w:rsid w:val="165C118C"/>
    <w:rsid w:val="16902CF4"/>
    <w:rsid w:val="16B012A6"/>
    <w:rsid w:val="16C83DF0"/>
    <w:rsid w:val="16D12E22"/>
    <w:rsid w:val="16DB3640"/>
    <w:rsid w:val="171F1E57"/>
    <w:rsid w:val="17247BCF"/>
    <w:rsid w:val="175F22DC"/>
    <w:rsid w:val="17793AAE"/>
    <w:rsid w:val="177F7DC5"/>
    <w:rsid w:val="17B22F24"/>
    <w:rsid w:val="17C1780C"/>
    <w:rsid w:val="17EF517D"/>
    <w:rsid w:val="180475F9"/>
    <w:rsid w:val="181F2B51"/>
    <w:rsid w:val="18565892"/>
    <w:rsid w:val="187327BD"/>
    <w:rsid w:val="189D537A"/>
    <w:rsid w:val="190171BD"/>
    <w:rsid w:val="190E36C2"/>
    <w:rsid w:val="191F46F3"/>
    <w:rsid w:val="19241D0A"/>
    <w:rsid w:val="19291407"/>
    <w:rsid w:val="1929489D"/>
    <w:rsid w:val="192C146E"/>
    <w:rsid w:val="19436634"/>
    <w:rsid w:val="194B2724"/>
    <w:rsid w:val="1968209C"/>
    <w:rsid w:val="19A33916"/>
    <w:rsid w:val="19DE33F1"/>
    <w:rsid w:val="19E36822"/>
    <w:rsid w:val="19FF5865"/>
    <w:rsid w:val="1A1B3D93"/>
    <w:rsid w:val="1A3432EB"/>
    <w:rsid w:val="1A420D87"/>
    <w:rsid w:val="1A6F3854"/>
    <w:rsid w:val="1A8567D8"/>
    <w:rsid w:val="1AB23A71"/>
    <w:rsid w:val="1AB471EC"/>
    <w:rsid w:val="1AD77E76"/>
    <w:rsid w:val="1B00078C"/>
    <w:rsid w:val="1B1F4E7E"/>
    <w:rsid w:val="1B457DFB"/>
    <w:rsid w:val="1B612DA1"/>
    <w:rsid w:val="1B6A2AA1"/>
    <w:rsid w:val="1B851185"/>
    <w:rsid w:val="1B94523D"/>
    <w:rsid w:val="1BB52F38"/>
    <w:rsid w:val="1BBB060D"/>
    <w:rsid w:val="1BBF2504"/>
    <w:rsid w:val="1BE25346"/>
    <w:rsid w:val="1C1632AF"/>
    <w:rsid w:val="1C784846"/>
    <w:rsid w:val="1C7C30FD"/>
    <w:rsid w:val="1C80413E"/>
    <w:rsid w:val="1C9D7FFD"/>
    <w:rsid w:val="1CC8165E"/>
    <w:rsid w:val="1CDD2938"/>
    <w:rsid w:val="1CF70591"/>
    <w:rsid w:val="1D1971C7"/>
    <w:rsid w:val="1D257DE8"/>
    <w:rsid w:val="1D2859E8"/>
    <w:rsid w:val="1D497F91"/>
    <w:rsid w:val="1D541830"/>
    <w:rsid w:val="1D5B1726"/>
    <w:rsid w:val="1D6222E7"/>
    <w:rsid w:val="1D8B1ACD"/>
    <w:rsid w:val="1D916D0B"/>
    <w:rsid w:val="1D974E91"/>
    <w:rsid w:val="1DA14BC8"/>
    <w:rsid w:val="1DAB55FA"/>
    <w:rsid w:val="1DE83745"/>
    <w:rsid w:val="1E05035C"/>
    <w:rsid w:val="1E376A59"/>
    <w:rsid w:val="1E3B5065"/>
    <w:rsid w:val="1E5B441F"/>
    <w:rsid w:val="1E61373D"/>
    <w:rsid w:val="1E6B4261"/>
    <w:rsid w:val="1E9E3037"/>
    <w:rsid w:val="1EB23EEA"/>
    <w:rsid w:val="1EBF49AE"/>
    <w:rsid w:val="1EC37FF1"/>
    <w:rsid w:val="1EF108E0"/>
    <w:rsid w:val="1EF70436"/>
    <w:rsid w:val="1EFD3AF0"/>
    <w:rsid w:val="1F827B58"/>
    <w:rsid w:val="1F95179E"/>
    <w:rsid w:val="1F98501D"/>
    <w:rsid w:val="1F9A0F77"/>
    <w:rsid w:val="1FA20FAE"/>
    <w:rsid w:val="20011B8B"/>
    <w:rsid w:val="201320B0"/>
    <w:rsid w:val="20344F28"/>
    <w:rsid w:val="203D018D"/>
    <w:rsid w:val="20562C61"/>
    <w:rsid w:val="205E024D"/>
    <w:rsid w:val="20A50992"/>
    <w:rsid w:val="20AC0BBD"/>
    <w:rsid w:val="20FE387C"/>
    <w:rsid w:val="21451978"/>
    <w:rsid w:val="21583FAD"/>
    <w:rsid w:val="216711AC"/>
    <w:rsid w:val="217A01D4"/>
    <w:rsid w:val="21CF4F08"/>
    <w:rsid w:val="2224784D"/>
    <w:rsid w:val="223C35D1"/>
    <w:rsid w:val="224A5B4C"/>
    <w:rsid w:val="224D3964"/>
    <w:rsid w:val="22557319"/>
    <w:rsid w:val="227F435A"/>
    <w:rsid w:val="22862341"/>
    <w:rsid w:val="22B442C7"/>
    <w:rsid w:val="22BA468E"/>
    <w:rsid w:val="22F12886"/>
    <w:rsid w:val="22FB68AD"/>
    <w:rsid w:val="231921B3"/>
    <w:rsid w:val="231E77CA"/>
    <w:rsid w:val="23F54D7D"/>
    <w:rsid w:val="24092228"/>
    <w:rsid w:val="247E072F"/>
    <w:rsid w:val="24A26904"/>
    <w:rsid w:val="251437FA"/>
    <w:rsid w:val="25147E11"/>
    <w:rsid w:val="25660F6D"/>
    <w:rsid w:val="2594658A"/>
    <w:rsid w:val="25D935A1"/>
    <w:rsid w:val="26034B6D"/>
    <w:rsid w:val="260809E9"/>
    <w:rsid w:val="261D0249"/>
    <w:rsid w:val="262A0B85"/>
    <w:rsid w:val="263E0836"/>
    <w:rsid w:val="266E3FAA"/>
    <w:rsid w:val="26914E82"/>
    <w:rsid w:val="26B37A27"/>
    <w:rsid w:val="270C366A"/>
    <w:rsid w:val="271124EF"/>
    <w:rsid w:val="27151FA3"/>
    <w:rsid w:val="271909D4"/>
    <w:rsid w:val="27206206"/>
    <w:rsid w:val="2737124A"/>
    <w:rsid w:val="2786566E"/>
    <w:rsid w:val="279D6A4B"/>
    <w:rsid w:val="27AD7318"/>
    <w:rsid w:val="27D96930"/>
    <w:rsid w:val="27ED46BB"/>
    <w:rsid w:val="2852435D"/>
    <w:rsid w:val="28702875"/>
    <w:rsid w:val="287451FA"/>
    <w:rsid w:val="289135A6"/>
    <w:rsid w:val="28B974C5"/>
    <w:rsid w:val="28BF0CD4"/>
    <w:rsid w:val="290C0CDA"/>
    <w:rsid w:val="295C1530"/>
    <w:rsid w:val="296E1D86"/>
    <w:rsid w:val="29CD63FC"/>
    <w:rsid w:val="29FA72FE"/>
    <w:rsid w:val="2A2E5310"/>
    <w:rsid w:val="2A3A7CCF"/>
    <w:rsid w:val="2A3F1017"/>
    <w:rsid w:val="2A52703F"/>
    <w:rsid w:val="2ABF0586"/>
    <w:rsid w:val="2ACF595D"/>
    <w:rsid w:val="2AE87A45"/>
    <w:rsid w:val="2AE93FB4"/>
    <w:rsid w:val="2AEC0F3A"/>
    <w:rsid w:val="2B1E7055"/>
    <w:rsid w:val="2B352C39"/>
    <w:rsid w:val="2B7E051F"/>
    <w:rsid w:val="2BA271EA"/>
    <w:rsid w:val="2BD63337"/>
    <w:rsid w:val="2C06259D"/>
    <w:rsid w:val="2C333D33"/>
    <w:rsid w:val="2C480E40"/>
    <w:rsid w:val="2C4826E7"/>
    <w:rsid w:val="2C5E5C7B"/>
    <w:rsid w:val="2C9E2B6B"/>
    <w:rsid w:val="2CA05C37"/>
    <w:rsid w:val="2CB41C1C"/>
    <w:rsid w:val="2CD828CB"/>
    <w:rsid w:val="2CE23F97"/>
    <w:rsid w:val="2CF71E8B"/>
    <w:rsid w:val="2D0143E4"/>
    <w:rsid w:val="2D1E6D44"/>
    <w:rsid w:val="2D1F330A"/>
    <w:rsid w:val="2D263E4A"/>
    <w:rsid w:val="2D2A362A"/>
    <w:rsid w:val="2D353649"/>
    <w:rsid w:val="2D36101B"/>
    <w:rsid w:val="2D716CA8"/>
    <w:rsid w:val="2D7F052B"/>
    <w:rsid w:val="2DA233D1"/>
    <w:rsid w:val="2DC3422E"/>
    <w:rsid w:val="2DD218DC"/>
    <w:rsid w:val="2DDD0ECC"/>
    <w:rsid w:val="2DF85443"/>
    <w:rsid w:val="2E0E2659"/>
    <w:rsid w:val="2E100294"/>
    <w:rsid w:val="2E19753A"/>
    <w:rsid w:val="2E5A6ECA"/>
    <w:rsid w:val="2E722435"/>
    <w:rsid w:val="2E7F79A8"/>
    <w:rsid w:val="2E9D26C4"/>
    <w:rsid w:val="2EA469EA"/>
    <w:rsid w:val="2EBC4C8D"/>
    <w:rsid w:val="2EC06D5A"/>
    <w:rsid w:val="2EDB5F69"/>
    <w:rsid w:val="2EE23DA1"/>
    <w:rsid w:val="2EE978BD"/>
    <w:rsid w:val="2F0129DE"/>
    <w:rsid w:val="2F02474B"/>
    <w:rsid w:val="2F44018D"/>
    <w:rsid w:val="2F4D1B62"/>
    <w:rsid w:val="2FD42A96"/>
    <w:rsid w:val="30014F7B"/>
    <w:rsid w:val="30077F63"/>
    <w:rsid w:val="30226B4B"/>
    <w:rsid w:val="304D6345"/>
    <w:rsid w:val="304E1B36"/>
    <w:rsid w:val="307849BD"/>
    <w:rsid w:val="30814AD4"/>
    <w:rsid w:val="30AF6DF7"/>
    <w:rsid w:val="30EE2484"/>
    <w:rsid w:val="312866CF"/>
    <w:rsid w:val="312C7E96"/>
    <w:rsid w:val="314C343E"/>
    <w:rsid w:val="315F689E"/>
    <w:rsid w:val="31D04385"/>
    <w:rsid w:val="31E02696"/>
    <w:rsid w:val="31E657AC"/>
    <w:rsid w:val="31F46875"/>
    <w:rsid w:val="321D310C"/>
    <w:rsid w:val="322715B7"/>
    <w:rsid w:val="322E52C1"/>
    <w:rsid w:val="324C6101"/>
    <w:rsid w:val="324C7EAF"/>
    <w:rsid w:val="32754B0F"/>
    <w:rsid w:val="32990C1B"/>
    <w:rsid w:val="32A627A2"/>
    <w:rsid w:val="32A934AD"/>
    <w:rsid w:val="32C95D45"/>
    <w:rsid w:val="333657D8"/>
    <w:rsid w:val="33A56467"/>
    <w:rsid w:val="33AB3D95"/>
    <w:rsid w:val="33CB4C12"/>
    <w:rsid w:val="33E40333"/>
    <w:rsid w:val="340028C2"/>
    <w:rsid w:val="343A6DA8"/>
    <w:rsid w:val="344A6559"/>
    <w:rsid w:val="345F01A4"/>
    <w:rsid w:val="345F38B1"/>
    <w:rsid w:val="348735F3"/>
    <w:rsid w:val="34C53F49"/>
    <w:rsid w:val="34DF61CD"/>
    <w:rsid w:val="34E45281"/>
    <w:rsid w:val="354C14E3"/>
    <w:rsid w:val="35A522BA"/>
    <w:rsid w:val="35BB5A78"/>
    <w:rsid w:val="35C26A12"/>
    <w:rsid w:val="360016DD"/>
    <w:rsid w:val="360410EC"/>
    <w:rsid w:val="360E4D82"/>
    <w:rsid w:val="362058DB"/>
    <w:rsid w:val="36252EF1"/>
    <w:rsid w:val="36275EA7"/>
    <w:rsid w:val="362A2D48"/>
    <w:rsid w:val="366E2B3B"/>
    <w:rsid w:val="367C1CF9"/>
    <w:rsid w:val="36820193"/>
    <w:rsid w:val="36887258"/>
    <w:rsid w:val="3709167D"/>
    <w:rsid w:val="375970CC"/>
    <w:rsid w:val="375B20E4"/>
    <w:rsid w:val="375C1259"/>
    <w:rsid w:val="375D66BB"/>
    <w:rsid w:val="37680BAE"/>
    <w:rsid w:val="37892452"/>
    <w:rsid w:val="3790206F"/>
    <w:rsid w:val="37902B02"/>
    <w:rsid w:val="37906A90"/>
    <w:rsid w:val="379506F8"/>
    <w:rsid w:val="37A75B88"/>
    <w:rsid w:val="3801554A"/>
    <w:rsid w:val="380F5D14"/>
    <w:rsid w:val="38305A13"/>
    <w:rsid w:val="38575789"/>
    <w:rsid w:val="38A74091"/>
    <w:rsid w:val="390B1389"/>
    <w:rsid w:val="391F21FB"/>
    <w:rsid w:val="392107AD"/>
    <w:rsid w:val="394B606C"/>
    <w:rsid w:val="3954558D"/>
    <w:rsid w:val="395978DF"/>
    <w:rsid w:val="3960328F"/>
    <w:rsid w:val="398546DC"/>
    <w:rsid w:val="39873EC3"/>
    <w:rsid w:val="399C17A9"/>
    <w:rsid w:val="39C66799"/>
    <w:rsid w:val="39CB4480"/>
    <w:rsid w:val="3A4018D3"/>
    <w:rsid w:val="3A4715E7"/>
    <w:rsid w:val="3A624F7A"/>
    <w:rsid w:val="3A660A8E"/>
    <w:rsid w:val="3A6853F8"/>
    <w:rsid w:val="3A695373"/>
    <w:rsid w:val="3A6D0AD6"/>
    <w:rsid w:val="3AB6213A"/>
    <w:rsid w:val="3AF91D70"/>
    <w:rsid w:val="3B0D21A6"/>
    <w:rsid w:val="3B3B4F57"/>
    <w:rsid w:val="3B487E4F"/>
    <w:rsid w:val="3B914B85"/>
    <w:rsid w:val="3BEC6D83"/>
    <w:rsid w:val="3C0B52F7"/>
    <w:rsid w:val="3C0C3679"/>
    <w:rsid w:val="3C4D400B"/>
    <w:rsid w:val="3C5E53AF"/>
    <w:rsid w:val="3C6526A9"/>
    <w:rsid w:val="3C6A302C"/>
    <w:rsid w:val="3CC15E65"/>
    <w:rsid w:val="3CC928FC"/>
    <w:rsid w:val="3CD34399"/>
    <w:rsid w:val="3D384F86"/>
    <w:rsid w:val="3D8C7CFA"/>
    <w:rsid w:val="3DA1343C"/>
    <w:rsid w:val="3DC85D27"/>
    <w:rsid w:val="3DD81C5A"/>
    <w:rsid w:val="3DE536B4"/>
    <w:rsid w:val="3DEE2942"/>
    <w:rsid w:val="3DEE4511"/>
    <w:rsid w:val="3DF7125A"/>
    <w:rsid w:val="3E3B0B17"/>
    <w:rsid w:val="3E5720B6"/>
    <w:rsid w:val="3E667AC4"/>
    <w:rsid w:val="3E71537A"/>
    <w:rsid w:val="3E7E3A33"/>
    <w:rsid w:val="3E8565B7"/>
    <w:rsid w:val="3EAD617A"/>
    <w:rsid w:val="3EAE00FC"/>
    <w:rsid w:val="3ED22504"/>
    <w:rsid w:val="3ED6747E"/>
    <w:rsid w:val="3EF24E9F"/>
    <w:rsid w:val="3F0F0BE2"/>
    <w:rsid w:val="3F237357"/>
    <w:rsid w:val="3F436DEF"/>
    <w:rsid w:val="3F4B51D3"/>
    <w:rsid w:val="3F56776C"/>
    <w:rsid w:val="3F581370"/>
    <w:rsid w:val="3F5D194E"/>
    <w:rsid w:val="3F921308"/>
    <w:rsid w:val="3FC56198"/>
    <w:rsid w:val="40137602"/>
    <w:rsid w:val="402F329D"/>
    <w:rsid w:val="404B5C4A"/>
    <w:rsid w:val="406A3E04"/>
    <w:rsid w:val="40794297"/>
    <w:rsid w:val="407A17E8"/>
    <w:rsid w:val="40B72F1B"/>
    <w:rsid w:val="40CE294A"/>
    <w:rsid w:val="40D0780B"/>
    <w:rsid w:val="41210759"/>
    <w:rsid w:val="414C4BDE"/>
    <w:rsid w:val="41AA4BF2"/>
    <w:rsid w:val="41BC1514"/>
    <w:rsid w:val="41BD4926"/>
    <w:rsid w:val="41DF3C61"/>
    <w:rsid w:val="41E33C60"/>
    <w:rsid w:val="42295B17"/>
    <w:rsid w:val="422D77E5"/>
    <w:rsid w:val="424974CE"/>
    <w:rsid w:val="426445DB"/>
    <w:rsid w:val="42663C1F"/>
    <w:rsid w:val="42767E78"/>
    <w:rsid w:val="427B5797"/>
    <w:rsid w:val="428C1735"/>
    <w:rsid w:val="42B50F15"/>
    <w:rsid w:val="42C17FC9"/>
    <w:rsid w:val="42DA6267"/>
    <w:rsid w:val="42E91BC2"/>
    <w:rsid w:val="43091BE7"/>
    <w:rsid w:val="43540B3E"/>
    <w:rsid w:val="43660047"/>
    <w:rsid w:val="436B07C0"/>
    <w:rsid w:val="436B215F"/>
    <w:rsid w:val="43AD5BC0"/>
    <w:rsid w:val="440920A4"/>
    <w:rsid w:val="441B5933"/>
    <w:rsid w:val="444924A1"/>
    <w:rsid w:val="44775B80"/>
    <w:rsid w:val="447F603A"/>
    <w:rsid w:val="44A02D25"/>
    <w:rsid w:val="44AB7894"/>
    <w:rsid w:val="45247F91"/>
    <w:rsid w:val="453E0505"/>
    <w:rsid w:val="45527129"/>
    <w:rsid w:val="455530C7"/>
    <w:rsid w:val="455530DC"/>
    <w:rsid w:val="456F392F"/>
    <w:rsid w:val="45703A5D"/>
    <w:rsid w:val="45846B79"/>
    <w:rsid w:val="462D1334"/>
    <w:rsid w:val="464245FC"/>
    <w:rsid w:val="464258AB"/>
    <w:rsid w:val="466C68EE"/>
    <w:rsid w:val="46805F22"/>
    <w:rsid w:val="46843C64"/>
    <w:rsid w:val="468E3956"/>
    <w:rsid w:val="46AA2E87"/>
    <w:rsid w:val="471263D2"/>
    <w:rsid w:val="471E24AC"/>
    <w:rsid w:val="472A4F76"/>
    <w:rsid w:val="47486A40"/>
    <w:rsid w:val="474927B8"/>
    <w:rsid w:val="47734E7C"/>
    <w:rsid w:val="47AD5C97"/>
    <w:rsid w:val="47C243C7"/>
    <w:rsid w:val="47CA56B8"/>
    <w:rsid w:val="47CD5E52"/>
    <w:rsid w:val="47F05E2A"/>
    <w:rsid w:val="47F40975"/>
    <w:rsid w:val="47F53085"/>
    <w:rsid w:val="47F84AAC"/>
    <w:rsid w:val="47FB61A8"/>
    <w:rsid w:val="48307449"/>
    <w:rsid w:val="485352D6"/>
    <w:rsid w:val="487C74FC"/>
    <w:rsid w:val="48940292"/>
    <w:rsid w:val="48A739A4"/>
    <w:rsid w:val="48AE1B01"/>
    <w:rsid w:val="48B37647"/>
    <w:rsid w:val="48DF5182"/>
    <w:rsid w:val="4901434E"/>
    <w:rsid w:val="4901565F"/>
    <w:rsid w:val="491C0184"/>
    <w:rsid w:val="49904D89"/>
    <w:rsid w:val="4993360E"/>
    <w:rsid w:val="499E7498"/>
    <w:rsid w:val="49B14A31"/>
    <w:rsid w:val="49B36A73"/>
    <w:rsid w:val="49CD621E"/>
    <w:rsid w:val="49D468A9"/>
    <w:rsid w:val="49FE3D2D"/>
    <w:rsid w:val="4A003601"/>
    <w:rsid w:val="4A131986"/>
    <w:rsid w:val="4A7513F7"/>
    <w:rsid w:val="4A8065B2"/>
    <w:rsid w:val="4A844587"/>
    <w:rsid w:val="4A894C29"/>
    <w:rsid w:val="4AC95894"/>
    <w:rsid w:val="4ADB52ED"/>
    <w:rsid w:val="4AE01685"/>
    <w:rsid w:val="4B096959"/>
    <w:rsid w:val="4B147235"/>
    <w:rsid w:val="4B4C2DFD"/>
    <w:rsid w:val="4B5F2444"/>
    <w:rsid w:val="4B970BC3"/>
    <w:rsid w:val="4BA21D49"/>
    <w:rsid w:val="4BCE3E9C"/>
    <w:rsid w:val="4BF85836"/>
    <w:rsid w:val="4C33502F"/>
    <w:rsid w:val="4C3C1F70"/>
    <w:rsid w:val="4CA85709"/>
    <w:rsid w:val="4CAF130F"/>
    <w:rsid w:val="4CB70A84"/>
    <w:rsid w:val="4CB9227D"/>
    <w:rsid w:val="4CC14CD0"/>
    <w:rsid w:val="4D111FCA"/>
    <w:rsid w:val="4D8702C0"/>
    <w:rsid w:val="4D885EA1"/>
    <w:rsid w:val="4DCE1ADF"/>
    <w:rsid w:val="4E054D90"/>
    <w:rsid w:val="4E2A42F4"/>
    <w:rsid w:val="4E2B506C"/>
    <w:rsid w:val="4E3209D9"/>
    <w:rsid w:val="4E560F75"/>
    <w:rsid w:val="4E756BF1"/>
    <w:rsid w:val="4EE52D53"/>
    <w:rsid w:val="4EF57594"/>
    <w:rsid w:val="4F052D0F"/>
    <w:rsid w:val="4F32643B"/>
    <w:rsid w:val="4F524066"/>
    <w:rsid w:val="4F5F01E1"/>
    <w:rsid w:val="4F734876"/>
    <w:rsid w:val="4F822CA9"/>
    <w:rsid w:val="4F824AB9"/>
    <w:rsid w:val="4F8E5B53"/>
    <w:rsid w:val="4F9B5B7A"/>
    <w:rsid w:val="4F9F1B0F"/>
    <w:rsid w:val="4FB05817"/>
    <w:rsid w:val="4FB44D36"/>
    <w:rsid w:val="4FD029C6"/>
    <w:rsid w:val="4FF56E73"/>
    <w:rsid w:val="501068BD"/>
    <w:rsid w:val="50337B46"/>
    <w:rsid w:val="50575F24"/>
    <w:rsid w:val="50583571"/>
    <w:rsid w:val="50712142"/>
    <w:rsid w:val="508E7B52"/>
    <w:rsid w:val="50B125BE"/>
    <w:rsid w:val="50E2402F"/>
    <w:rsid w:val="5147337A"/>
    <w:rsid w:val="51671857"/>
    <w:rsid w:val="51984A67"/>
    <w:rsid w:val="51C15779"/>
    <w:rsid w:val="51E23F34"/>
    <w:rsid w:val="51EF0898"/>
    <w:rsid w:val="51F35176"/>
    <w:rsid w:val="5214467A"/>
    <w:rsid w:val="52262073"/>
    <w:rsid w:val="52367C31"/>
    <w:rsid w:val="52434560"/>
    <w:rsid w:val="52892530"/>
    <w:rsid w:val="528943B0"/>
    <w:rsid w:val="52911BE2"/>
    <w:rsid w:val="52B408C1"/>
    <w:rsid w:val="52B81C34"/>
    <w:rsid w:val="52BE4CDE"/>
    <w:rsid w:val="52EA20C4"/>
    <w:rsid w:val="52F54ED2"/>
    <w:rsid w:val="53034A0C"/>
    <w:rsid w:val="531B14AC"/>
    <w:rsid w:val="53364077"/>
    <w:rsid w:val="536106FF"/>
    <w:rsid w:val="53B32A7B"/>
    <w:rsid w:val="53B4796D"/>
    <w:rsid w:val="53D521ED"/>
    <w:rsid w:val="542763C6"/>
    <w:rsid w:val="54490A75"/>
    <w:rsid w:val="54493DF7"/>
    <w:rsid w:val="549F610D"/>
    <w:rsid w:val="54A20F52"/>
    <w:rsid w:val="54CB7C50"/>
    <w:rsid w:val="552F423B"/>
    <w:rsid w:val="55434CEA"/>
    <w:rsid w:val="55473C9C"/>
    <w:rsid w:val="556804A3"/>
    <w:rsid w:val="55791BB1"/>
    <w:rsid w:val="55B01286"/>
    <w:rsid w:val="55EA600E"/>
    <w:rsid w:val="55FE352C"/>
    <w:rsid w:val="569B26FA"/>
    <w:rsid w:val="56A874FB"/>
    <w:rsid w:val="56E009D4"/>
    <w:rsid w:val="56E15F9D"/>
    <w:rsid w:val="56F40992"/>
    <w:rsid w:val="573A6145"/>
    <w:rsid w:val="576A4D08"/>
    <w:rsid w:val="57943A0F"/>
    <w:rsid w:val="57AA0684"/>
    <w:rsid w:val="57CF03CB"/>
    <w:rsid w:val="57DF2C63"/>
    <w:rsid w:val="57FF111B"/>
    <w:rsid w:val="58395CD8"/>
    <w:rsid w:val="58445001"/>
    <w:rsid w:val="587D17B0"/>
    <w:rsid w:val="589F2191"/>
    <w:rsid w:val="58CD746F"/>
    <w:rsid w:val="58CF02BE"/>
    <w:rsid w:val="58D07C3F"/>
    <w:rsid w:val="5924482E"/>
    <w:rsid w:val="59294B69"/>
    <w:rsid w:val="592E6AC8"/>
    <w:rsid w:val="5984613E"/>
    <w:rsid w:val="59B12B6A"/>
    <w:rsid w:val="59C0063A"/>
    <w:rsid w:val="59E85E60"/>
    <w:rsid w:val="59F803CF"/>
    <w:rsid w:val="5A4C154E"/>
    <w:rsid w:val="5A4D3270"/>
    <w:rsid w:val="5A905F35"/>
    <w:rsid w:val="5AB06FD2"/>
    <w:rsid w:val="5ADE5373"/>
    <w:rsid w:val="5AE15649"/>
    <w:rsid w:val="5B152C85"/>
    <w:rsid w:val="5B2A709E"/>
    <w:rsid w:val="5B580745"/>
    <w:rsid w:val="5B5E63DA"/>
    <w:rsid w:val="5B6B7B93"/>
    <w:rsid w:val="5B6C5BE4"/>
    <w:rsid w:val="5B8528F1"/>
    <w:rsid w:val="5B8B77B4"/>
    <w:rsid w:val="5B900A1A"/>
    <w:rsid w:val="5B92368E"/>
    <w:rsid w:val="5BA1576A"/>
    <w:rsid w:val="5BCA48B4"/>
    <w:rsid w:val="5BE8316E"/>
    <w:rsid w:val="5C12153F"/>
    <w:rsid w:val="5C645C72"/>
    <w:rsid w:val="5C806824"/>
    <w:rsid w:val="5C8A16E1"/>
    <w:rsid w:val="5C8E59C1"/>
    <w:rsid w:val="5CC52608"/>
    <w:rsid w:val="5CCC478E"/>
    <w:rsid w:val="5CE36B93"/>
    <w:rsid w:val="5CE70651"/>
    <w:rsid w:val="5CEA7293"/>
    <w:rsid w:val="5CFC234E"/>
    <w:rsid w:val="5D132CC7"/>
    <w:rsid w:val="5D1E5F54"/>
    <w:rsid w:val="5D753EAF"/>
    <w:rsid w:val="5D852344"/>
    <w:rsid w:val="5D865304"/>
    <w:rsid w:val="5D976C48"/>
    <w:rsid w:val="5DC032E9"/>
    <w:rsid w:val="5DC411AD"/>
    <w:rsid w:val="5DC84035"/>
    <w:rsid w:val="5DD11413"/>
    <w:rsid w:val="5DF66A37"/>
    <w:rsid w:val="5E587A58"/>
    <w:rsid w:val="5E6B0C81"/>
    <w:rsid w:val="5E997BFC"/>
    <w:rsid w:val="5EB20EC7"/>
    <w:rsid w:val="5ECD4A53"/>
    <w:rsid w:val="5EE95696"/>
    <w:rsid w:val="5EEE5CC7"/>
    <w:rsid w:val="5F0B6879"/>
    <w:rsid w:val="5F27742B"/>
    <w:rsid w:val="5F385194"/>
    <w:rsid w:val="5F592E3F"/>
    <w:rsid w:val="5F6D598C"/>
    <w:rsid w:val="5F743723"/>
    <w:rsid w:val="5F8648AE"/>
    <w:rsid w:val="5FB07420"/>
    <w:rsid w:val="5FE02930"/>
    <w:rsid w:val="60196C5C"/>
    <w:rsid w:val="601D2EC6"/>
    <w:rsid w:val="603221A6"/>
    <w:rsid w:val="6041193C"/>
    <w:rsid w:val="604D318A"/>
    <w:rsid w:val="6054725D"/>
    <w:rsid w:val="605F5747"/>
    <w:rsid w:val="60751D5D"/>
    <w:rsid w:val="60857039"/>
    <w:rsid w:val="60C74EDE"/>
    <w:rsid w:val="60CE7165"/>
    <w:rsid w:val="60EC610F"/>
    <w:rsid w:val="60FB291D"/>
    <w:rsid w:val="61210B4D"/>
    <w:rsid w:val="613461FD"/>
    <w:rsid w:val="615362B5"/>
    <w:rsid w:val="616703E1"/>
    <w:rsid w:val="617D1584"/>
    <w:rsid w:val="61FD2F5A"/>
    <w:rsid w:val="62066FBB"/>
    <w:rsid w:val="6220263B"/>
    <w:rsid w:val="622B5265"/>
    <w:rsid w:val="622B5437"/>
    <w:rsid w:val="623714C8"/>
    <w:rsid w:val="6237232D"/>
    <w:rsid w:val="625E7607"/>
    <w:rsid w:val="626A208B"/>
    <w:rsid w:val="627C4DA9"/>
    <w:rsid w:val="628232F6"/>
    <w:rsid w:val="62906902"/>
    <w:rsid w:val="62A42475"/>
    <w:rsid w:val="62C63606"/>
    <w:rsid w:val="62DA69DF"/>
    <w:rsid w:val="62DF24F6"/>
    <w:rsid w:val="62E80C7F"/>
    <w:rsid w:val="62EC34C6"/>
    <w:rsid w:val="62F15D85"/>
    <w:rsid w:val="62F7188B"/>
    <w:rsid w:val="631C76F6"/>
    <w:rsid w:val="634E41F4"/>
    <w:rsid w:val="635307EE"/>
    <w:rsid w:val="638C28C9"/>
    <w:rsid w:val="63966573"/>
    <w:rsid w:val="63C16DBD"/>
    <w:rsid w:val="63C27722"/>
    <w:rsid w:val="63C41FDE"/>
    <w:rsid w:val="63C77D1D"/>
    <w:rsid w:val="63FF7497"/>
    <w:rsid w:val="64190FEE"/>
    <w:rsid w:val="64357EF4"/>
    <w:rsid w:val="6444590E"/>
    <w:rsid w:val="64673B58"/>
    <w:rsid w:val="646E3536"/>
    <w:rsid w:val="6470006B"/>
    <w:rsid w:val="6472787A"/>
    <w:rsid w:val="648139E8"/>
    <w:rsid w:val="649C0802"/>
    <w:rsid w:val="64A62BA0"/>
    <w:rsid w:val="64AA2690"/>
    <w:rsid w:val="64B91102"/>
    <w:rsid w:val="64C94CA8"/>
    <w:rsid w:val="64DF0024"/>
    <w:rsid w:val="65241D87"/>
    <w:rsid w:val="652D34AB"/>
    <w:rsid w:val="65595A0E"/>
    <w:rsid w:val="656C3DE9"/>
    <w:rsid w:val="65796481"/>
    <w:rsid w:val="657F56CF"/>
    <w:rsid w:val="65AB66C0"/>
    <w:rsid w:val="65BD7694"/>
    <w:rsid w:val="65C710BC"/>
    <w:rsid w:val="660F2FA5"/>
    <w:rsid w:val="66260AF8"/>
    <w:rsid w:val="662D5327"/>
    <w:rsid w:val="664A1622"/>
    <w:rsid w:val="66613732"/>
    <w:rsid w:val="668D0844"/>
    <w:rsid w:val="668F5969"/>
    <w:rsid w:val="66A62A27"/>
    <w:rsid w:val="66A765BA"/>
    <w:rsid w:val="66AB0D97"/>
    <w:rsid w:val="66C20165"/>
    <w:rsid w:val="66C51A03"/>
    <w:rsid w:val="66C8359D"/>
    <w:rsid w:val="66F916AD"/>
    <w:rsid w:val="66F9736F"/>
    <w:rsid w:val="67252EFA"/>
    <w:rsid w:val="677D6AFE"/>
    <w:rsid w:val="679B2764"/>
    <w:rsid w:val="67E35EC0"/>
    <w:rsid w:val="67F17978"/>
    <w:rsid w:val="680A3A06"/>
    <w:rsid w:val="684F4019"/>
    <w:rsid w:val="685E2B02"/>
    <w:rsid w:val="6860290F"/>
    <w:rsid w:val="68627F8B"/>
    <w:rsid w:val="688B7082"/>
    <w:rsid w:val="68922D05"/>
    <w:rsid w:val="689A3D1E"/>
    <w:rsid w:val="68A8008D"/>
    <w:rsid w:val="68EA7FB5"/>
    <w:rsid w:val="692036F0"/>
    <w:rsid w:val="693F7D39"/>
    <w:rsid w:val="6942262D"/>
    <w:rsid w:val="695233AA"/>
    <w:rsid w:val="695856CC"/>
    <w:rsid w:val="698129F9"/>
    <w:rsid w:val="6985434F"/>
    <w:rsid w:val="69904E6F"/>
    <w:rsid w:val="69A20CC4"/>
    <w:rsid w:val="69A24880"/>
    <w:rsid w:val="69AC7CAF"/>
    <w:rsid w:val="69B63885"/>
    <w:rsid w:val="69ED0934"/>
    <w:rsid w:val="6A1B67AB"/>
    <w:rsid w:val="6A203528"/>
    <w:rsid w:val="6A722A7F"/>
    <w:rsid w:val="6A786D8C"/>
    <w:rsid w:val="6A8219B9"/>
    <w:rsid w:val="6AA0151A"/>
    <w:rsid w:val="6AB24ABD"/>
    <w:rsid w:val="6ADE3832"/>
    <w:rsid w:val="6B074370"/>
    <w:rsid w:val="6B0D0B90"/>
    <w:rsid w:val="6B141536"/>
    <w:rsid w:val="6B1E3543"/>
    <w:rsid w:val="6B6E0C10"/>
    <w:rsid w:val="6B77039F"/>
    <w:rsid w:val="6B7B4B0A"/>
    <w:rsid w:val="6B971F95"/>
    <w:rsid w:val="6BB95693"/>
    <w:rsid w:val="6BBA7E6F"/>
    <w:rsid w:val="6BD050D2"/>
    <w:rsid w:val="6BEC236D"/>
    <w:rsid w:val="6BF15EB8"/>
    <w:rsid w:val="6C2744B0"/>
    <w:rsid w:val="6C3118E9"/>
    <w:rsid w:val="6C376EFF"/>
    <w:rsid w:val="6C576A20"/>
    <w:rsid w:val="6C634DD7"/>
    <w:rsid w:val="6D577853"/>
    <w:rsid w:val="6D7F4EBE"/>
    <w:rsid w:val="6D9C426A"/>
    <w:rsid w:val="6DBA4FCA"/>
    <w:rsid w:val="6DC55223"/>
    <w:rsid w:val="6DCE650B"/>
    <w:rsid w:val="6DFB7D1F"/>
    <w:rsid w:val="6E0866A1"/>
    <w:rsid w:val="6E1B015A"/>
    <w:rsid w:val="6E1B47E2"/>
    <w:rsid w:val="6E2A32AC"/>
    <w:rsid w:val="6E6B6076"/>
    <w:rsid w:val="6E6B77D4"/>
    <w:rsid w:val="6E865BD5"/>
    <w:rsid w:val="6E896105"/>
    <w:rsid w:val="6E981139"/>
    <w:rsid w:val="6EEC1EAB"/>
    <w:rsid w:val="6F1057E5"/>
    <w:rsid w:val="6F1572A0"/>
    <w:rsid w:val="6F2E2357"/>
    <w:rsid w:val="6F4B0F13"/>
    <w:rsid w:val="6F60676D"/>
    <w:rsid w:val="6F912DCA"/>
    <w:rsid w:val="6F941F9B"/>
    <w:rsid w:val="6F9E2A6C"/>
    <w:rsid w:val="6FB6638D"/>
    <w:rsid w:val="6FEC0000"/>
    <w:rsid w:val="6FEE6A5B"/>
    <w:rsid w:val="70020651"/>
    <w:rsid w:val="70155BE3"/>
    <w:rsid w:val="702B4280"/>
    <w:rsid w:val="70372CED"/>
    <w:rsid w:val="704A5239"/>
    <w:rsid w:val="705636CC"/>
    <w:rsid w:val="70583DB3"/>
    <w:rsid w:val="70AB6137"/>
    <w:rsid w:val="70C22D41"/>
    <w:rsid w:val="70C56AED"/>
    <w:rsid w:val="70D143D5"/>
    <w:rsid w:val="70FC518E"/>
    <w:rsid w:val="71091FE1"/>
    <w:rsid w:val="711C28D5"/>
    <w:rsid w:val="7161057A"/>
    <w:rsid w:val="71715BD8"/>
    <w:rsid w:val="719F18AA"/>
    <w:rsid w:val="71A458F3"/>
    <w:rsid w:val="71CF6CB4"/>
    <w:rsid w:val="71D84CE0"/>
    <w:rsid w:val="71ED53AC"/>
    <w:rsid w:val="71F72C8D"/>
    <w:rsid w:val="723323C6"/>
    <w:rsid w:val="723E22A6"/>
    <w:rsid w:val="724600ED"/>
    <w:rsid w:val="725D59CE"/>
    <w:rsid w:val="726271B5"/>
    <w:rsid w:val="727D59BF"/>
    <w:rsid w:val="7286034B"/>
    <w:rsid w:val="729A1F96"/>
    <w:rsid w:val="72A20E4A"/>
    <w:rsid w:val="72C66EA1"/>
    <w:rsid w:val="72EB61A0"/>
    <w:rsid w:val="72F4012D"/>
    <w:rsid w:val="73005B27"/>
    <w:rsid w:val="731550C7"/>
    <w:rsid w:val="73191EA6"/>
    <w:rsid w:val="7340179A"/>
    <w:rsid w:val="73410663"/>
    <w:rsid w:val="734C05E7"/>
    <w:rsid w:val="738467A2"/>
    <w:rsid w:val="7399723F"/>
    <w:rsid w:val="739F03C2"/>
    <w:rsid w:val="73C3376E"/>
    <w:rsid w:val="73C36FFB"/>
    <w:rsid w:val="73CF0356"/>
    <w:rsid w:val="73DC641C"/>
    <w:rsid w:val="74300887"/>
    <w:rsid w:val="7443040B"/>
    <w:rsid w:val="744A1B52"/>
    <w:rsid w:val="74865552"/>
    <w:rsid w:val="74C54B52"/>
    <w:rsid w:val="74DC194B"/>
    <w:rsid w:val="74FB4C13"/>
    <w:rsid w:val="750202C6"/>
    <w:rsid w:val="751E35F3"/>
    <w:rsid w:val="7525129E"/>
    <w:rsid w:val="754B19B8"/>
    <w:rsid w:val="757462FA"/>
    <w:rsid w:val="75996AD0"/>
    <w:rsid w:val="75BB0A6D"/>
    <w:rsid w:val="75BC70BC"/>
    <w:rsid w:val="75CC57CB"/>
    <w:rsid w:val="75CD61DE"/>
    <w:rsid w:val="75D21A46"/>
    <w:rsid w:val="75E1569E"/>
    <w:rsid w:val="75EF69E2"/>
    <w:rsid w:val="763B34B8"/>
    <w:rsid w:val="76520467"/>
    <w:rsid w:val="765E16AF"/>
    <w:rsid w:val="76634D94"/>
    <w:rsid w:val="76636B42"/>
    <w:rsid w:val="7676290F"/>
    <w:rsid w:val="768F5F97"/>
    <w:rsid w:val="76935D4D"/>
    <w:rsid w:val="76B1471D"/>
    <w:rsid w:val="76C779A9"/>
    <w:rsid w:val="76CA2BA4"/>
    <w:rsid w:val="76CB2948"/>
    <w:rsid w:val="76D11CFE"/>
    <w:rsid w:val="77062450"/>
    <w:rsid w:val="772F154E"/>
    <w:rsid w:val="77405332"/>
    <w:rsid w:val="7752172A"/>
    <w:rsid w:val="77586A89"/>
    <w:rsid w:val="775C62D5"/>
    <w:rsid w:val="77A61A97"/>
    <w:rsid w:val="77AB6D0C"/>
    <w:rsid w:val="77AB798B"/>
    <w:rsid w:val="77C65E25"/>
    <w:rsid w:val="77D958B2"/>
    <w:rsid w:val="77F40D52"/>
    <w:rsid w:val="78090A84"/>
    <w:rsid w:val="785E5FEA"/>
    <w:rsid w:val="78601311"/>
    <w:rsid w:val="788E4FAF"/>
    <w:rsid w:val="78937B9A"/>
    <w:rsid w:val="78B254D4"/>
    <w:rsid w:val="78F30652"/>
    <w:rsid w:val="792D0DC2"/>
    <w:rsid w:val="79630A35"/>
    <w:rsid w:val="796C59D2"/>
    <w:rsid w:val="79714B91"/>
    <w:rsid w:val="79BB14C4"/>
    <w:rsid w:val="79CE29BD"/>
    <w:rsid w:val="79D27DA0"/>
    <w:rsid w:val="7A0421F1"/>
    <w:rsid w:val="7A21551A"/>
    <w:rsid w:val="7A220AAA"/>
    <w:rsid w:val="7A2A4A22"/>
    <w:rsid w:val="7A4257DD"/>
    <w:rsid w:val="7A4E365A"/>
    <w:rsid w:val="7A583FB0"/>
    <w:rsid w:val="7A7B13EC"/>
    <w:rsid w:val="7A7B5656"/>
    <w:rsid w:val="7A8D0910"/>
    <w:rsid w:val="7A903FC2"/>
    <w:rsid w:val="7A991DC1"/>
    <w:rsid w:val="7AB23AE6"/>
    <w:rsid w:val="7AC20D44"/>
    <w:rsid w:val="7AD26045"/>
    <w:rsid w:val="7AD36CC4"/>
    <w:rsid w:val="7AEA5A84"/>
    <w:rsid w:val="7AF22E6F"/>
    <w:rsid w:val="7B1C3B93"/>
    <w:rsid w:val="7B3F192C"/>
    <w:rsid w:val="7BAA65B7"/>
    <w:rsid w:val="7BCB5EE9"/>
    <w:rsid w:val="7BD171F7"/>
    <w:rsid w:val="7BD93860"/>
    <w:rsid w:val="7C016BE2"/>
    <w:rsid w:val="7C021813"/>
    <w:rsid w:val="7C2B493F"/>
    <w:rsid w:val="7C2F570D"/>
    <w:rsid w:val="7C547F27"/>
    <w:rsid w:val="7C5E5DE2"/>
    <w:rsid w:val="7C67773B"/>
    <w:rsid w:val="7C6B3294"/>
    <w:rsid w:val="7CA54FA5"/>
    <w:rsid w:val="7CBC6FAC"/>
    <w:rsid w:val="7CC87CF7"/>
    <w:rsid w:val="7CCD740C"/>
    <w:rsid w:val="7CFC4CF4"/>
    <w:rsid w:val="7D0A1A57"/>
    <w:rsid w:val="7D263D47"/>
    <w:rsid w:val="7DC10846"/>
    <w:rsid w:val="7DC75005"/>
    <w:rsid w:val="7E0341C1"/>
    <w:rsid w:val="7E22240F"/>
    <w:rsid w:val="7E355268"/>
    <w:rsid w:val="7E4F6ED4"/>
    <w:rsid w:val="7E7F40C9"/>
    <w:rsid w:val="7E851D4C"/>
    <w:rsid w:val="7E857848"/>
    <w:rsid w:val="7F080206"/>
    <w:rsid w:val="7F5E4F6B"/>
    <w:rsid w:val="7F5E5349"/>
    <w:rsid w:val="7F6F6558"/>
    <w:rsid w:val="7F852320"/>
    <w:rsid w:val="7FE42BF3"/>
    <w:rsid w:val="7FF340A0"/>
    <w:rsid w:val="7FFC20C2"/>
    <w:rsid w:val="A7BFF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spacing w:before="340" w:after="330" w:line="576" w:lineRule="auto"/>
      <w:textAlignment w:val="center"/>
      <w:outlineLvl w:val="0"/>
    </w:pPr>
    <w:rPr>
      <w:bCs/>
      <w:kern w:val="44"/>
      <w:sz w:val="44"/>
      <w:szCs w:val="44"/>
    </w:rPr>
  </w:style>
  <w:style w:type="paragraph" w:styleId="4">
    <w:name w:val="heading 2"/>
    <w:basedOn w:val="1"/>
    <w:next w:val="1"/>
    <w:link w:val="53"/>
    <w:qFormat/>
    <w:uiPriority w:val="9"/>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54"/>
    <w:qFormat/>
    <w:uiPriority w:val="0"/>
    <w:pPr>
      <w:keepNext/>
      <w:keepLines/>
      <w:spacing w:before="260" w:after="260" w:line="413" w:lineRule="auto"/>
      <w:outlineLvl w:val="2"/>
    </w:pPr>
    <w:rPr>
      <w:b/>
      <w:bCs/>
      <w:szCs w:val="32"/>
    </w:rPr>
  </w:style>
  <w:style w:type="paragraph" w:styleId="6">
    <w:name w:val="heading 4"/>
    <w:basedOn w:val="1"/>
    <w:next w:val="1"/>
    <w:link w:val="55"/>
    <w:qFormat/>
    <w:uiPriority w:val="0"/>
    <w:pPr>
      <w:keepNext/>
      <w:keepLines/>
      <w:spacing w:before="280" w:after="290" w:line="376" w:lineRule="auto"/>
      <w:outlineLvl w:val="3"/>
    </w:pPr>
    <w:rPr>
      <w:rFonts w:ascii="Calibri Light" w:hAnsi="Calibri Light"/>
      <w:b/>
      <w:bCs/>
      <w:sz w:val="28"/>
      <w:szCs w:val="28"/>
    </w:rPr>
  </w:style>
  <w:style w:type="paragraph" w:styleId="7">
    <w:name w:val="heading 5"/>
    <w:basedOn w:val="1"/>
    <w:next w:val="1"/>
    <w:link w:val="56"/>
    <w:qFormat/>
    <w:uiPriority w:val="9"/>
    <w:pPr>
      <w:keepNext/>
      <w:keepLines/>
      <w:spacing w:before="280" w:after="290" w:line="376" w:lineRule="auto"/>
      <w:outlineLvl w:val="4"/>
    </w:pPr>
    <w:rPr>
      <w:b/>
      <w:bCs/>
      <w:kern w:val="0"/>
      <w:sz w:val="28"/>
      <w:szCs w:val="28"/>
    </w:rPr>
  </w:style>
  <w:style w:type="character" w:default="1" w:styleId="34">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basedOn w:val="1"/>
    <w:next w:val="1"/>
    <w:link w:val="48"/>
    <w:unhideWhenUsed/>
    <w:qFormat/>
    <w:uiPriority w:val="0"/>
    <w:pPr>
      <w:spacing w:after="120"/>
    </w:pPr>
  </w:style>
  <w:style w:type="paragraph" w:styleId="8">
    <w:name w:val="annotation subject"/>
    <w:basedOn w:val="9"/>
    <w:next w:val="9"/>
    <w:link w:val="64"/>
    <w:semiHidden/>
    <w:qFormat/>
    <w:uiPriority w:val="0"/>
    <w:rPr>
      <w:b/>
      <w:bCs/>
    </w:rPr>
  </w:style>
  <w:style w:type="paragraph" w:styleId="9">
    <w:name w:val="annotation text"/>
    <w:basedOn w:val="1"/>
    <w:link w:val="57"/>
    <w:semiHidden/>
    <w:qFormat/>
    <w:uiPriority w:val="0"/>
    <w:pPr>
      <w:jc w:val="left"/>
    </w:pPr>
  </w:style>
  <w:style w:type="paragraph" w:styleId="10">
    <w:name w:val="Body Text First Indent"/>
    <w:basedOn w:val="2"/>
    <w:unhideWhenUsed/>
    <w:qFormat/>
    <w:uiPriority w:val="99"/>
    <w:pPr>
      <w:ind w:firstLine="420" w:firstLineChars="100"/>
    </w:pPr>
  </w:style>
  <w:style w:type="paragraph" w:styleId="11">
    <w:name w:val="List Number"/>
    <w:basedOn w:val="1"/>
    <w:qFormat/>
    <w:uiPriority w:val="0"/>
    <w:pPr>
      <w:widowControl/>
      <w:numPr>
        <w:ilvl w:val="0"/>
        <w:numId w:val="1"/>
      </w:numPr>
      <w:tabs>
        <w:tab w:val="left" w:pos="454"/>
        <w:tab w:val="left" w:pos="720"/>
        <w:tab w:val="clear" w:pos="900"/>
      </w:tabs>
      <w:spacing w:afterLines="50"/>
      <w:ind w:left="454" w:hanging="284"/>
      <w:jc w:val="left"/>
    </w:pPr>
    <w:rPr>
      <w:kern w:val="0"/>
      <w:sz w:val="24"/>
      <w:szCs w:val="20"/>
    </w:rPr>
  </w:style>
  <w:style w:type="paragraph" w:styleId="12">
    <w:name w:val="Normal Indent"/>
    <w:basedOn w:val="1"/>
    <w:qFormat/>
    <w:uiPriority w:val="0"/>
    <w:pPr>
      <w:ind w:firstLine="420"/>
    </w:pPr>
    <w:rPr>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toa heading"/>
    <w:basedOn w:val="1"/>
    <w:next w:val="1"/>
    <w:qFormat/>
    <w:uiPriority w:val="0"/>
    <w:pPr>
      <w:spacing w:before="120"/>
    </w:pPr>
    <w:rPr>
      <w:rFonts w:ascii="Arial"/>
      <w:kern w:val="0"/>
      <w:sz w:val="24"/>
      <w:szCs w:val="20"/>
    </w:rPr>
  </w:style>
  <w:style w:type="paragraph" w:styleId="15">
    <w:name w:val="Body Text 3"/>
    <w:basedOn w:val="1"/>
    <w:link w:val="58"/>
    <w:qFormat/>
    <w:uiPriority w:val="0"/>
    <w:pPr>
      <w:spacing w:after="120"/>
    </w:pPr>
    <w:rPr>
      <w:sz w:val="16"/>
      <w:szCs w:val="16"/>
    </w:rPr>
  </w:style>
  <w:style w:type="paragraph" w:styleId="16">
    <w:name w:val="Body Text Indent"/>
    <w:basedOn w:val="1"/>
    <w:next w:val="12"/>
    <w:link w:val="49"/>
    <w:qFormat/>
    <w:uiPriority w:val="0"/>
    <w:pPr>
      <w:spacing w:after="120"/>
      <w:ind w:left="420" w:leftChars="200"/>
    </w:pPr>
  </w:style>
  <w:style w:type="paragraph" w:styleId="17">
    <w:name w:val="List 2"/>
    <w:basedOn w:val="1"/>
    <w:qFormat/>
    <w:uiPriority w:val="0"/>
    <w:pPr>
      <w:ind w:left="100" w:leftChars="200" w:hanging="200" w:hangingChars="200"/>
    </w:pPr>
  </w:style>
  <w:style w:type="paragraph" w:styleId="18">
    <w:name w:val="Block Text"/>
    <w:basedOn w:val="1"/>
    <w:unhideWhenUsed/>
    <w:qFormat/>
    <w:uiPriority w:val="99"/>
    <w:pPr>
      <w:autoSpaceDE/>
      <w:autoSpaceDN/>
      <w:adjustRightInd/>
      <w:spacing w:line="340" w:lineRule="exact"/>
      <w:ind w:left="850" w:leftChars="405" w:right="16"/>
    </w:pPr>
    <w:rPr>
      <w:rFonts w:ascii="宋体"/>
      <w:color w:val="auto"/>
      <w:spacing w:val="20"/>
      <w:kern w:val="2"/>
      <w:sz w:val="24"/>
      <w:szCs w:val="24"/>
    </w:rPr>
  </w:style>
  <w:style w:type="paragraph" w:styleId="19">
    <w:name w:val="Plain Text"/>
    <w:basedOn w:val="1"/>
    <w:next w:val="12"/>
    <w:link w:val="47"/>
    <w:qFormat/>
    <w:uiPriority w:val="0"/>
    <w:pPr>
      <w:spacing w:beforeLines="50" w:afterLines="50" w:line="400" w:lineRule="exact"/>
    </w:pPr>
    <w:rPr>
      <w:rFonts w:ascii="宋体" w:hAnsi="Courier New"/>
      <w:sz w:val="24"/>
    </w:rPr>
  </w:style>
  <w:style w:type="paragraph" w:styleId="20">
    <w:name w:val="Date"/>
    <w:basedOn w:val="1"/>
    <w:next w:val="1"/>
    <w:link w:val="59"/>
    <w:qFormat/>
    <w:uiPriority w:val="0"/>
    <w:pPr>
      <w:ind w:left="2500" w:leftChars="2500"/>
    </w:pPr>
    <w:rPr>
      <w:rFonts w:eastAsia="楷体_GB2312"/>
      <w:sz w:val="32"/>
      <w:szCs w:val="20"/>
    </w:rPr>
  </w:style>
  <w:style w:type="paragraph" w:styleId="21">
    <w:name w:val="Body Text Indent 2"/>
    <w:basedOn w:val="1"/>
    <w:link w:val="60"/>
    <w:qFormat/>
    <w:uiPriority w:val="0"/>
    <w:pPr>
      <w:snapToGrid w:val="0"/>
      <w:ind w:firstLine="542" w:firstLineChars="225"/>
    </w:pPr>
    <w:rPr>
      <w:rFonts w:ascii="仿宋_GB2312" w:hAnsi="宋体" w:cs="Arial"/>
      <w:b/>
      <w:bCs/>
      <w:color w:val="000000"/>
      <w:sz w:val="24"/>
    </w:rPr>
  </w:style>
  <w:style w:type="paragraph" w:styleId="22">
    <w:name w:val="Balloon Text"/>
    <w:basedOn w:val="1"/>
    <w:link w:val="61"/>
    <w:qFormat/>
    <w:uiPriority w:val="0"/>
    <w:rPr>
      <w:sz w:val="18"/>
      <w:szCs w:val="18"/>
    </w:rPr>
  </w:style>
  <w:style w:type="paragraph" w:styleId="23">
    <w:name w:val="footer"/>
    <w:basedOn w:val="1"/>
    <w:link w:val="46"/>
    <w:unhideWhenUsed/>
    <w:qFormat/>
    <w:uiPriority w:val="99"/>
    <w:pPr>
      <w:tabs>
        <w:tab w:val="center" w:pos="4153"/>
        <w:tab w:val="right" w:pos="8306"/>
      </w:tabs>
      <w:snapToGrid w:val="0"/>
      <w:jc w:val="left"/>
    </w:pPr>
    <w:rPr>
      <w:sz w:val="18"/>
      <w:szCs w:val="18"/>
    </w:rPr>
  </w:style>
  <w:style w:type="paragraph" w:styleId="24">
    <w:name w:val="envelope return"/>
    <w:basedOn w:val="1"/>
    <w:unhideWhenUsed/>
    <w:qFormat/>
    <w:uiPriority w:val="99"/>
    <w:pPr>
      <w:snapToGrid w:val="0"/>
    </w:pPr>
    <w:rPr>
      <w:rFonts w:asciiTheme="majorHAnsi" w:hAnsiTheme="majorHAnsi" w:eastAsiaTheme="majorEastAsia" w:cstheme="majorBidi"/>
    </w:rPr>
  </w:style>
  <w:style w:type="paragraph" w:styleId="25">
    <w:name w:val="Body Text First Indent 2"/>
    <w:basedOn w:val="16"/>
    <w:qFormat/>
    <w:uiPriority w:val="0"/>
    <w:pPr>
      <w:ind w:firstLine="420"/>
    </w:pPr>
  </w:style>
  <w:style w:type="paragraph" w:styleId="26">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style>
  <w:style w:type="paragraph" w:styleId="28">
    <w:name w:val="Subtitle"/>
    <w:basedOn w:val="1"/>
    <w:link w:val="62"/>
    <w:qFormat/>
    <w:uiPriority w:val="11"/>
    <w:pPr>
      <w:spacing w:afterLines="50"/>
      <w:jc w:val="center"/>
    </w:pPr>
    <w:rPr>
      <w:rFonts w:eastAsia="Times New Roman"/>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pPr>
      <w:spacing w:after="120" w:line="480" w:lineRule="auto"/>
    </w:pPr>
  </w:style>
  <w:style w:type="paragraph" w:styleId="32">
    <w:name w:val="HTML Preformatted"/>
    <w:basedOn w:val="1"/>
    <w:link w:val="6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3">
    <w:name w:val="Normal (Web)"/>
    <w:basedOn w:val="1"/>
    <w:qFormat/>
    <w:uiPriority w:val="0"/>
    <w:pPr>
      <w:widowControl/>
      <w:spacing w:before="100" w:beforeAutospacing="1" w:after="100" w:afterAutospacing="1" w:line="300" w:lineRule="atLeast"/>
      <w:jc w:val="left"/>
    </w:pPr>
    <w:rPr>
      <w:rFonts w:ascii="宋体" w:hAnsi="宋体"/>
      <w:color w:val="000000"/>
      <w:kern w:val="0"/>
      <w:sz w:val="18"/>
    </w:rPr>
  </w:style>
  <w:style w:type="character" w:styleId="35">
    <w:name w:val="Strong"/>
    <w:qFormat/>
    <w:uiPriority w:val="0"/>
    <w:rPr>
      <w:b/>
      <w:bCs/>
    </w:rPr>
  </w:style>
  <w:style w:type="character" w:styleId="36">
    <w:name w:val="page number"/>
    <w:basedOn w:val="34"/>
    <w:qFormat/>
    <w:uiPriority w:val="0"/>
  </w:style>
  <w:style w:type="character" w:styleId="37">
    <w:name w:val="FollowedHyperlink"/>
    <w:basedOn w:val="34"/>
    <w:qFormat/>
    <w:uiPriority w:val="0"/>
    <w:rPr>
      <w:rFonts w:hint="eastAsia" w:ascii="微软雅黑" w:hAnsi="微软雅黑" w:eastAsia="微软雅黑" w:cs="微软雅黑"/>
      <w:color w:val="02396F"/>
      <w:u w:val="single"/>
    </w:rPr>
  </w:style>
  <w:style w:type="character" w:styleId="38">
    <w:name w:val="Hyperlink"/>
    <w:basedOn w:val="34"/>
    <w:qFormat/>
    <w:uiPriority w:val="0"/>
    <w:rPr>
      <w:rFonts w:hint="eastAsia" w:ascii="微软雅黑" w:hAnsi="微软雅黑" w:eastAsia="微软雅黑" w:cs="微软雅黑"/>
      <w:color w:val="02396F"/>
      <w:u w:val="single"/>
    </w:rPr>
  </w:style>
  <w:style w:type="character" w:styleId="39">
    <w:name w:val="annotation reference"/>
    <w:semiHidden/>
    <w:qFormat/>
    <w:uiPriority w:val="0"/>
    <w:rPr>
      <w:sz w:val="21"/>
      <w:szCs w:val="21"/>
    </w:rPr>
  </w:style>
  <w:style w:type="table" w:styleId="41">
    <w:name w:val="Table Grid"/>
    <w:basedOn w:val="4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2">
    <w:name w:val="Default"/>
    <w:next w:val="4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3">
    <w:name w:val="toc 7"/>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5">
    <w:name w:val="页眉 Char"/>
    <w:basedOn w:val="34"/>
    <w:link w:val="26"/>
    <w:qFormat/>
    <w:uiPriority w:val="99"/>
    <w:rPr>
      <w:sz w:val="18"/>
      <w:szCs w:val="18"/>
    </w:rPr>
  </w:style>
  <w:style w:type="character" w:customStyle="1" w:styleId="46">
    <w:name w:val="页脚 Char"/>
    <w:basedOn w:val="34"/>
    <w:link w:val="23"/>
    <w:qFormat/>
    <w:uiPriority w:val="99"/>
    <w:rPr>
      <w:sz w:val="18"/>
      <w:szCs w:val="18"/>
    </w:rPr>
  </w:style>
  <w:style w:type="character" w:customStyle="1" w:styleId="47">
    <w:name w:val="纯文本 Char"/>
    <w:basedOn w:val="34"/>
    <w:link w:val="19"/>
    <w:qFormat/>
    <w:uiPriority w:val="0"/>
    <w:rPr>
      <w:rFonts w:ascii="宋体" w:hAnsi="Courier New" w:eastAsia="宋体" w:cs="Times New Roman"/>
      <w:sz w:val="24"/>
      <w:szCs w:val="24"/>
    </w:rPr>
  </w:style>
  <w:style w:type="character" w:customStyle="1" w:styleId="48">
    <w:name w:val="正文文本 Char"/>
    <w:basedOn w:val="34"/>
    <w:link w:val="2"/>
    <w:semiHidden/>
    <w:qFormat/>
    <w:uiPriority w:val="99"/>
    <w:rPr>
      <w:rFonts w:ascii="Times New Roman" w:hAnsi="Times New Roman" w:eastAsia="宋体" w:cs="Times New Roman"/>
      <w:szCs w:val="24"/>
    </w:rPr>
  </w:style>
  <w:style w:type="character" w:customStyle="1" w:styleId="49">
    <w:name w:val="正文文本缩进 Char"/>
    <w:basedOn w:val="34"/>
    <w:link w:val="16"/>
    <w:qFormat/>
    <w:uiPriority w:val="0"/>
    <w:rPr>
      <w:rFonts w:ascii="Times New Roman" w:hAnsi="Times New Roman" w:eastAsia="宋体" w:cs="Times New Roman"/>
      <w:szCs w:val="24"/>
    </w:rPr>
  </w:style>
  <w:style w:type="character" w:customStyle="1" w:styleId="50">
    <w:name w:val="正文文本缩进 3 Char"/>
    <w:basedOn w:val="34"/>
    <w:link w:val="30"/>
    <w:qFormat/>
    <w:uiPriority w:val="0"/>
    <w:rPr>
      <w:rFonts w:ascii="Times New Roman" w:hAnsi="Times New Roman" w:eastAsia="宋体" w:cs="Times New Roman"/>
      <w:sz w:val="16"/>
      <w:szCs w:val="16"/>
    </w:rPr>
  </w:style>
  <w:style w:type="character" w:customStyle="1" w:styleId="51">
    <w:name w:val="正文文本 2 Char"/>
    <w:basedOn w:val="34"/>
    <w:link w:val="31"/>
    <w:qFormat/>
    <w:uiPriority w:val="0"/>
    <w:rPr>
      <w:rFonts w:ascii="Times New Roman" w:hAnsi="Times New Roman" w:eastAsia="宋体" w:cs="Times New Roman"/>
      <w:szCs w:val="24"/>
    </w:rPr>
  </w:style>
  <w:style w:type="character" w:customStyle="1" w:styleId="52">
    <w:name w:val="标题 1 Char"/>
    <w:basedOn w:val="34"/>
    <w:link w:val="3"/>
    <w:qFormat/>
    <w:uiPriority w:val="0"/>
    <w:rPr>
      <w:rFonts w:ascii="Times New Roman" w:hAnsi="Times New Roman" w:eastAsia="宋体" w:cs="Times New Roman"/>
      <w:bCs/>
      <w:kern w:val="44"/>
      <w:sz w:val="44"/>
      <w:szCs w:val="44"/>
    </w:rPr>
  </w:style>
  <w:style w:type="character" w:customStyle="1" w:styleId="53">
    <w:name w:val="标题 2 Char"/>
    <w:basedOn w:val="34"/>
    <w:link w:val="4"/>
    <w:qFormat/>
    <w:uiPriority w:val="9"/>
    <w:rPr>
      <w:rFonts w:ascii="Arial" w:hAnsi="Arial" w:eastAsia="黑体" w:cs="Times New Roman"/>
      <w:b/>
      <w:bCs/>
      <w:kern w:val="0"/>
      <w:sz w:val="32"/>
      <w:szCs w:val="32"/>
    </w:rPr>
  </w:style>
  <w:style w:type="character" w:customStyle="1" w:styleId="54">
    <w:name w:val="标题 3 Char"/>
    <w:basedOn w:val="34"/>
    <w:link w:val="5"/>
    <w:qFormat/>
    <w:uiPriority w:val="0"/>
    <w:rPr>
      <w:rFonts w:ascii="Times New Roman" w:hAnsi="Times New Roman" w:eastAsia="宋体" w:cs="Times New Roman"/>
      <w:b/>
      <w:bCs/>
      <w:szCs w:val="32"/>
    </w:rPr>
  </w:style>
  <w:style w:type="character" w:customStyle="1" w:styleId="55">
    <w:name w:val="标题 4 Char"/>
    <w:basedOn w:val="34"/>
    <w:link w:val="6"/>
    <w:qFormat/>
    <w:uiPriority w:val="0"/>
    <w:rPr>
      <w:rFonts w:ascii="Calibri Light" w:hAnsi="Calibri Light" w:eastAsia="宋体" w:cs="Times New Roman"/>
      <w:b/>
      <w:bCs/>
      <w:sz w:val="28"/>
      <w:szCs w:val="28"/>
    </w:rPr>
  </w:style>
  <w:style w:type="character" w:customStyle="1" w:styleId="56">
    <w:name w:val="标题 5 Char"/>
    <w:basedOn w:val="34"/>
    <w:link w:val="7"/>
    <w:qFormat/>
    <w:uiPriority w:val="9"/>
    <w:rPr>
      <w:rFonts w:ascii="Times New Roman" w:hAnsi="Times New Roman" w:eastAsia="宋体" w:cs="Times New Roman"/>
      <w:b/>
      <w:bCs/>
      <w:kern w:val="0"/>
      <w:sz w:val="28"/>
      <w:szCs w:val="28"/>
    </w:rPr>
  </w:style>
  <w:style w:type="character" w:customStyle="1" w:styleId="57">
    <w:name w:val="批注文字 Char"/>
    <w:basedOn w:val="34"/>
    <w:link w:val="9"/>
    <w:semiHidden/>
    <w:qFormat/>
    <w:uiPriority w:val="0"/>
    <w:rPr>
      <w:rFonts w:ascii="Times New Roman" w:hAnsi="Times New Roman" w:eastAsia="宋体" w:cs="Times New Roman"/>
      <w:szCs w:val="24"/>
    </w:rPr>
  </w:style>
  <w:style w:type="character" w:customStyle="1" w:styleId="58">
    <w:name w:val="正文文本 3 Char"/>
    <w:basedOn w:val="34"/>
    <w:link w:val="15"/>
    <w:qFormat/>
    <w:uiPriority w:val="0"/>
    <w:rPr>
      <w:rFonts w:ascii="Times New Roman" w:hAnsi="Times New Roman" w:eastAsia="宋体" w:cs="Times New Roman"/>
      <w:sz w:val="16"/>
      <w:szCs w:val="16"/>
    </w:rPr>
  </w:style>
  <w:style w:type="character" w:customStyle="1" w:styleId="59">
    <w:name w:val="日期 Char"/>
    <w:basedOn w:val="34"/>
    <w:link w:val="20"/>
    <w:qFormat/>
    <w:uiPriority w:val="0"/>
    <w:rPr>
      <w:rFonts w:ascii="Times New Roman" w:hAnsi="Times New Roman" w:eastAsia="楷体_GB2312" w:cs="Times New Roman"/>
      <w:sz w:val="32"/>
      <w:szCs w:val="20"/>
    </w:rPr>
  </w:style>
  <w:style w:type="character" w:customStyle="1" w:styleId="60">
    <w:name w:val="正文文本缩进 2 Char"/>
    <w:basedOn w:val="34"/>
    <w:link w:val="21"/>
    <w:qFormat/>
    <w:uiPriority w:val="0"/>
    <w:rPr>
      <w:rFonts w:ascii="仿宋_GB2312" w:hAnsi="宋体" w:eastAsia="宋体" w:cs="Arial"/>
      <w:b/>
      <w:bCs/>
      <w:color w:val="000000"/>
      <w:sz w:val="24"/>
      <w:szCs w:val="24"/>
    </w:rPr>
  </w:style>
  <w:style w:type="character" w:customStyle="1" w:styleId="61">
    <w:name w:val="批注框文本 Char"/>
    <w:basedOn w:val="34"/>
    <w:link w:val="22"/>
    <w:qFormat/>
    <w:uiPriority w:val="0"/>
    <w:rPr>
      <w:rFonts w:ascii="Times New Roman" w:hAnsi="Times New Roman" w:eastAsia="宋体" w:cs="Times New Roman"/>
      <w:sz w:val="18"/>
      <w:szCs w:val="18"/>
    </w:rPr>
  </w:style>
  <w:style w:type="character" w:customStyle="1" w:styleId="62">
    <w:name w:val="副标题 Char"/>
    <w:basedOn w:val="34"/>
    <w:link w:val="28"/>
    <w:qFormat/>
    <w:uiPriority w:val="11"/>
    <w:rPr>
      <w:rFonts w:ascii="Times New Roman" w:hAnsi="Times New Roman" w:eastAsia="Times New Roman" w:cs="Times New Roman"/>
      <w:sz w:val="18"/>
      <w:szCs w:val="18"/>
    </w:rPr>
  </w:style>
  <w:style w:type="character" w:customStyle="1" w:styleId="63">
    <w:name w:val="HTML 预设格式 Char"/>
    <w:basedOn w:val="34"/>
    <w:link w:val="32"/>
    <w:qFormat/>
    <w:uiPriority w:val="0"/>
    <w:rPr>
      <w:rFonts w:ascii="宋体" w:hAnsi="宋体" w:eastAsia="宋体" w:cs="Times New Roman"/>
      <w:kern w:val="0"/>
      <w:sz w:val="24"/>
      <w:szCs w:val="24"/>
    </w:rPr>
  </w:style>
  <w:style w:type="character" w:customStyle="1" w:styleId="64">
    <w:name w:val="批注主题 Char"/>
    <w:basedOn w:val="57"/>
    <w:link w:val="8"/>
    <w:semiHidden/>
    <w:qFormat/>
    <w:uiPriority w:val="0"/>
    <w:rPr>
      <w:rFonts w:ascii="Times New Roman" w:hAnsi="Times New Roman" w:eastAsia="宋体" w:cs="Times New Roman"/>
      <w:b/>
      <w:bCs/>
      <w:szCs w:val="24"/>
    </w:rPr>
  </w:style>
  <w:style w:type="character" w:customStyle="1" w:styleId="65">
    <w:name w:val="Char Char4"/>
    <w:qFormat/>
    <w:uiPriority w:val="0"/>
    <w:rPr>
      <w:rFonts w:ascii="宋体" w:hAnsi="Courier New" w:eastAsia="宋体"/>
      <w:sz w:val="21"/>
      <w:lang w:val="en-US" w:eastAsia="zh-CN"/>
    </w:rPr>
  </w:style>
  <w:style w:type="character" w:customStyle="1" w:styleId="66">
    <w:name w:val="10f0000001"/>
    <w:qFormat/>
    <w:uiPriority w:val="0"/>
    <w:rPr>
      <w:b/>
      <w:bCs/>
      <w:spacing w:val="320"/>
      <w:sz w:val="20"/>
      <w:szCs w:val="20"/>
    </w:rPr>
  </w:style>
  <w:style w:type="character" w:customStyle="1" w:styleId="67">
    <w:name w:val="正文2 Char"/>
    <w:link w:val="68"/>
    <w:qFormat/>
    <w:uiPriority w:val="0"/>
    <w:rPr>
      <w:rFonts w:eastAsia="宋体"/>
      <w:sz w:val="24"/>
    </w:rPr>
  </w:style>
  <w:style w:type="paragraph" w:customStyle="1" w:styleId="68">
    <w:name w:val="正文2"/>
    <w:basedOn w:val="1"/>
    <w:link w:val="67"/>
    <w:qFormat/>
    <w:uiPriority w:val="0"/>
    <w:pPr>
      <w:spacing w:before="156" w:line="360" w:lineRule="auto"/>
      <w:ind w:firstLine="510" w:firstLineChars="200"/>
    </w:pPr>
    <w:rPr>
      <w:rFonts w:asciiTheme="minorHAnsi" w:hAnsiTheme="minorHAnsi" w:cstheme="minorBidi"/>
      <w:sz w:val="24"/>
      <w:szCs w:val="22"/>
    </w:rPr>
  </w:style>
  <w:style w:type="character" w:customStyle="1" w:styleId="69">
    <w:name w:val="Unresolved Mention"/>
    <w:unhideWhenUsed/>
    <w:qFormat/>
    <w:uiPriority w:val="99"/>
    <w:rPr>
      <w:color w:val="605E5C"/>
      <w:shd w:val="clear" w:color="auto" w:fill="E1DFDD"/>
    </w:rPr>
  </w:style>
  <w:style w:type="character" w:customStyle="1" w:styleId="70">
    <w:name w:val="标题 1 Char Char"/>
    <w:qFormat/>
    <w:uiPriority w:val="0"/>
    <w:rPr>
      <w:rFonts w:eastAsia="宋体"/>
      <w:b/>
      <w:spacing w:val="-2"/>
      <w:sz w:val="24"/>
      <w:lang w:val="en-US" w:eastAsia="zh-CN"/>
    </w:rPr>
  </w:style>
  <w:style w:type="character" w:customStyle="1" w:styleId="71">
    <w:name w:val="p141"/>
    <w:qFormat/>
    <w:uiPriority w:val="0"/>
    <w:rPr>
      <w:sz w:val="21"/>
      <w:szCs w:val="21"/>
    </w:rPr>
  </w:style>
  <w:style w:type="paragraph" w:customStyle="1" w:styleId="72">
    <w:name w:val="_Style 48"/>
    <w:basedOn w:val="12"/>
    <w:qFormat/>
    <w:uiPriority w:val="0"/>
    <w:pPr>
      <w:widowControl/>
      <w:spacing w:afterLines="50" w:line="360" w:lineRule="auto"/>
      <w:ind w:firstLine="480" w:firstLineChars="200"/>
      <w:jc w:val="left"/>
    </w:pPr>
  </w:style>
  <w:style w:type="paragraph" w:customStyle="1" w:styleId="73">
    <w:name w:val="[Normal]"/>
    <w:qFormat/>
    <w:uiPriority w:val="0"/>
    <w:rPr>
      <w:rFonts w:ascii="宋体" w:hAnsi="宋体" w:eastAsia="宋体" w:cs="Times New Roman"/>
      <w:sz w:val="24"/>
      <w:szCs w:val="22"/>
      <w:lang w:val="zh-CN" w:eastAsia="zh-CN" w:bidi="ar-SA"/>
    </w:rPr>
  </w:style>
  <w:style w:type="paragraph" w:customStyle="1" w:styleId="74">
    <w:name w:val="无间隔1"/>
    <w:qFormat/>
    <w:uiPriority w:val="0"/>
    <w:rPr>
      <w:rFonts w:ascii="Times New Roman" w:hAnsi="Times New Roman" w:eastAsia="宋体" w:cs="Times New Roman"/>
      <w:sz w:val="22"/>
      <w:szCs w:val="22"/>
      <w:lang w:val="en-US" w:eastAsia="en-US" w:bidi="ar-SA"/>
    </w:rPr>
  </w:style>
  <w:style w:type="paragraph" w:customStyle="1" w:styleId="75">
    <w:name w:val="正文文本缩进 21"/>
    <w:basedOn w:val="1"/>
    <w:qFormat/>
    <w:uiPriority w:val="0"/>
    <w:pPr>
      <w:spacing w:after="120" w:line="480" w:lineRule="auto"/>
      <w:ind w:left="420" w:leftChars="200"/>
    </w:pPr>
    <w:rPr>
      <w:szCs w:val="20"/>
    </w:rPr>
  </w:style>
  <w:style w:type="paragraph" w:customStyle="1" w:styleId="76">
    <w:name w:val="Bullets"/>
    <w:basedOn w:val="1"/>
    <w:qFormat/>
    <w:uiPriority w:val="0"/>
    <w:pPr>
      <w:widowControl/>
      <w:adjustRightInd w:val="0"/>
      <w:snapToGrid w:val="0"/>
      <w:spacing w:before="60" w:after="60"/>
    </w:pPr>
    <w:rPr>
      <w:rFonts w:ascii="Calibri" w:hAnsi="Calibri"/>
      <w:kern w:val="0"/>
      <w:sz w:val="24"/>
      <w:szCs w:val="22"/>
      <w:lang w:val="en-GB"/>
    </w:rPr>
  </w:style>
  <w:style w:type="paragraph" w:customStyle="1" w:styleId="77">
    <w:name w:val="默认段落字体 Para Char Char Char Char Char Char Char Char Char1 Char Char Char Char"/>
    <w:basedOn w:val="1"/>
    <w:qFormat/>
    <w:uiPriority w:val="0"/>
    <w:rPr>
      <w:rFonts w:ascii="Tahoma" w:hAnsi="Tahoma"/>
      <w:sz w:val="24"/>
      <w:szCs w:val="20"/>
    </w:rPr>
  </w:style>
  <w:style w:type="paragraph" w:customStyle="1" w:styleId="78">
    <w:name w:val="Char Char Char Char Char Char Char Char Char Char"/>
    <w:basedOn w:val="1"/>
    <w:qFormat/>
    <w:uiPriority w:val="0"/>
    <w:rPr>
      <w:rFonts w:ascii="Tahoma" w:hAnsi="Tahoma"/>
      <w:sz w:val="24"/>
      <w:szCs w:val="20"/>
    </w:rPr>
  </w:style>
  <w:style w:type="paragraph" w:customStyle="1" w:styleId="79">
    <w:name w:val="样式 标题 5 + 右侧:  -0.18 字符"/>
    <w:basedOn w:val="1"/>
    <w:qFormat/>
    <w:uiPriority w:val="0"/>
    <w:pPr>
      <w:numPr>
        <w:ilvl w:val="4"/>
        <w:numId w:val="2"/>
      </w:numPr>
      <w:tabs>
        <w:tab w:val="left" w:pos="1008"/>
      </w:tabs>
    </w:pPr>
  </w:style>
  <w:style w:type="paragraph" w:customStyle="1" w:styleId="80">
    <w:name w:val="_Style 2"/>
    <w:basedOn w:val="1"/>
    <w:qFormat/>
    <w:uiPriority w:val="0"/>
    <w:pPr>
      <w:tabs>
        <w:tab w:val="left" w:pos="1008"/>
      </w:tabs>
      <w:ind w:left="1008" w:hanging="1008"/>
    </w:pPr>
  </w:style>
  <w:style w:type="paragraph" w:customStyle="1" w:styleId="81">
    <w:name w:val="标准小三"/>
    <w:basedOn w:val="1"/>
    <w:qFormat/>
    <w:uiPriority w:val="0"/>
    <w:pPr>
      <w:spacing w:line="700" w:lineRule="exact"/>
      <w:ind w:firstLine="200" w:firstLineChars="200"/>
    </w:pPr>
    <w:rPr>
      <w:rFonts w:ascii="仿宋_GB2312" w:hAnsi="Arial" w:eastAsia="仿宋_GB2312"/>
      <w:snapToGrid w:val="0"/>
      <w:color w:val="000000"/>
      <w:kern w:val="0"/>
      <w:sz w:val="30"/>
      <w:szCs w:val="32"/>
    </w:rPr>
  </w:style>
  <w:style w:type="paragraph" w:customStyle="1" w:styleId="82">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83">
    <w:name w:val="Char Char Char Char Char Char"/>
    <w:basedOn w:val="1"/>
    <w:qFormat/>
    <w:uiPriority w:val="0"/>
    <w:pPr>
      <w:ind w:firstLine="200" w:firstLineChars="200"/>
    </w:pPr>
    <w:rPr>
      <w:rFonts w:ascii="Tahoma" w:hAnsi="Tahoma"/>
      <w:sz w:val="24"/>
      <w:szCs w:val="20"/>
    </w:rPr>
  </w:style>
  <w:style w:type="paragraph" w:customStyle="1" w:styleId="84">
    <w:name w:val="List Paragraph"/>
    <w:basedOn w:val="1"/>
    <w:qFormat/>
    <w:uiPriority w:val="34"/>
    <w:pPr>
      <w:ind w:firstLine="420" w:firstLineChars="200"/>
    </w:pPr>
  </w:style>
  <w:style w:type="paragraph" w:customStyle="1" w:styleId="85">
    <w:name w:val="列表段落1"/>
    <w:basedOn w:val="1"/>
    <w:qFormat/>
    <w:uiPriority w:val="0"/>
    <w:pPr>
      <w:ind w:firstLine="420" w:firstLineChars="200"/>
    </w:pPr>
  </w:style>
  <w:style w:type="paragraph" w:customStyle="1" w:styleId="86">
    <w:name w:val="样式 标题 3 +"/>
    <w:basedOn w:val="5"/>
    <w:qFormat/>
    <w:uiPriority w:val="0"/>
    <w:pPr>
      <w:numPr>
        <w:ilvl w:val="2"/>
        <w:numId w:val="3"/>
      </w:numPr>
      <w:tabs>
        <w:tab w:val="left" w:pos="709"/>
      </w:tabs>
    </w:pPr>
    <w:rPr>
      <w:kern w:val="0"/>
    </w:rPr>
  </w:style>
  <w:style w:type="paragraph" w:customStyle="1" w:styleId="87">
    <w:name w:val="正文空2格  1."/>
    <w:basedOn w:val="1"/>
    <w:qFormat/>
    <w:uiPriority w:val="0"/>
    <w:pPr>
      <w:ind w:firstLine="480" w:firstLineChars="200"/>
    </w:pPr>
    <w:rPr>
      <w:rFonts w:cs="宋体"/>
      <w:sz w:val="28"/>
      <w:szCs w:val="20"/>
    </w:rPr>
  </w:style>
  <w:style w:type="paragraph" w:customStyle="1" w:styleId="88">
    <w:name w:val="IBM 正文"/>
    <w:basedOn w:val="1"/>
    <w:qFormat/>
    <w:uiPriority w:val="0"/>
    <w:pPr>
      <w:spacing w:line="360" w:lineRule="atLeast"/>
    </w:pPr>
    <w:rPr>
      <w:sz w:val="24"/>
    </w:rPr>
  </w:style>
  <w:style w:type="paragraph" w:customStyle="1" w:styleId="89">
    <w:name w:val="无间隔11"/>
    <w:qFormat/>
    <w:uiPriority w:val="0"/>
    <w:rPr>
      <w:rFonts w:ascii="Times New Roman" w:hAnsi="Times New Roman" w:eastAsia="宋体" w:cs="Times New Roman"/>
      <w:sz w:val="22"/>
      <w:szCs w:val="22"/>
      <w:lang w:val="en-US" w:eastAsia="en-US" w:bidi="ar-SA"/>
    </w:rPr>
  </w:style>
  <w:style w:type="paragraph" w:customStyle="1" w:styleId="90">
    <w:name w:val="表格文字"/>
    <w:basedOn w:val="1"/>
    <w:next w:val="2"/>
    <w:qFormat/>
    <w:uiPriority w:val="0"/>
    <w:rPr>
      <w:rFonts w:ascii="Arial" w:hAnsi="Arial"/>
      <w:szCs w:val="21"/>
    </w:rPr>
  </w:style>
  <w:style w:type="paragraph" w:customStyle="1" w:styleId="91">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92">
    <w:name w:val="正文段"/>
    <w:basedOn w:val="1"/>
    <w:qFormat/>
    <w:uiPriority w:val="0"/>
    <w:pPr>
      <w:widowControl/>
      <w:snapToGrid w:val="0"/>
      <w:spacing w:afterLines="50"/>
      <w:ind w:firstLine="200" w:firstLineChars="200"/>
    </w:pPr>
    <w:rPr>
      <w:kern w:val="0"/>
      <w:sz w:val="24"/>
      <w:szCs w:val="20"/>
    </w:rPr>
  </w:style>
  <w:style w:type="paragraph" w:customStyle="1" w:styleId="93">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94">
    <w:name w:val="KS表格"/>
    <w:basedOn w:val="1"/>
    <w:qFormat/>
    <w:uiPriority w:val="0"/>
    <w:pPr>
      <w:spacing w:line="300" w:lineRule="auto"/>
    </w:pPr>
    <w:rPr>
      <w:kern w:val="0"/>
      <w:sz w:val="20"/>
      <w:szCs w:val="20"/>
    </w:rPr>
  </w:style>
  <w:style w:type="paragraph" w:customStyle="1" w:styleId="95">
    <w:name w:val="列出段落1"/>
    <w:basedOn w:val="1"/>
    <w:qFormat/>
    <w:uiPriority w:val="99"/>
    <w:pPr>
      <w:ind w:firstLine="420" w:firstLineChars="200"/>
    </w:pPr>
    <w:rPr>
      <w:rFonts w:ascii="Calibri" w:hAnsi="Calibri"/>
      <w:sz w:val="24"/>
    </w:rPr>
  </w:style>
  <w:style w:type="character" w:customStyle="1" w:styleId="96">
    <w:name w:val="next"/>
    <w:basedOn w:val="34"/>
    <w:qFormat/>
    <w:uiPriority w:val="0"/>
    <w:rPr>
      <w:rFonts w:ascii="微软雅黑" w:hAnsi="微软雅黑" w:eastAsia="微软雅黑" w:cs="微软雅黑"/>
      <w:sz w:val="21"/>
      <w:szCs w:val="21"/>
    </w:rPr>
  </w:style>
  <w:style w:type="character" w:customStyle="1" w:styleId="97">
    <w:name w:val="next1"/>
    <w:basedOn w:val="34"/>
    <w:qFormat/>
    <w:uiPriority w:val="0"/>
    <w:rPr>
      <w:color w:val="888888"/>
    </w:rPr>
  </w:style>
  <w:style w:type="character" w:customStyle="1" w:styleId="98">
    <w:name w:val="displayarti"/>
    <w:basedOn w:val="34"/>
    <w:qFormat/>
    <w:uiPriority w:val="0"/>
    <w:rPr>
      <w:color w:val="FFFFFF"/>
      <w:shd w:val="clear" w:color="auto" w:fill="A00000"/>
    </w:rPr>
  </w:style>
  <w:style w:type="character" w:customStyle="1" w:styleId="99">
    <w:name w:val="gjfg"/>
    <w:basedOn w:val="34"/>
    <w:qFormat/>
    <w:uiPriority w:val="0"/>
  </w:style>
  <w:style w:type="character" w:customStyle="1" w:styleId="100">
    <w:name w:val="redfilefwwh"/>
    <w:basedOn w:val="34"/>
    <w:qFormat/>
    <w:uiPriority w:val="0"/>
    <w:rPr>
      <w:color w:val="BA2636"/>
      <w:sz w:val="18"/>
      <w:szCs w:val="18"/>
    </w:rPr>
  </w:style>
  <w:style w:type="character" w:customStyle="1" w:styleId="101">
    <w:name w:val="redfilenumber"/>
    <w:basedOn w:val="34"/>
    <w:qFormat/>
    <w:uiPriority w:val="0"/>
    <w:rPr>
      <w:color w:val="BA2636"/>
      <w:sz w:val="18"/>
      <w:szCs w:val="18"/>
    </w:rPr>
  </w:style>
  <w:style w:type="character" w:customStyle="1" w:styleId="102">
    <w:name w:val="cfdate"/>
    <w:basedOn w:val="34"/>
    <w:qFormat/>
    <w:uiPriority w:val="0"/>
    <w:rPr>
      <w:color w:val="333333"/>
      <w:sz w:val="18"/>
      <w:szCs w:val="18"/>
    </w:rPr>
  </w:style>
  <w:style w:type="character" w:customStyle="1" w:styleId="103">
    <w:name w:val="qxdate"/>
    <w:basedOn w:val="34"/>
    <w:qFormat/>
    <w:uiPriority w:val="0"/>
    <w:rPr>
      <w:color w:val="333333"/>
      <w:sz w:val="18"/>
      <w:szCs w:val="18"/>
    </w:rPr>
  </w:style>
  <w:style w:type="character" w:customStyle="1" w:styleId="104">
    <w:name w:val="prev"/>
    <w:basedOn w:val="34"/>
    <w:qFormat/>
    <w:uiPriority w:val="0"/>
    <w:rPr>
      <w:rFonts w:hint="eastAsia" w:ascii="微软雅黑" w:hAnsi="微软雅黑" w:eastAsia="微软雅黑" w:cs="微软雅黑"/>
      <w:sz w:val="21"/>
      <w:szCs w:val="21"/>
    </w:rPr>
  </w:style>
  <w:style w:type="character" w:customStyle="1" w:styleId="105">
    <w:name w:val="prev1"/>
    <w:basedOn w:val="34"/>
    <w:qFormat/>
    <w:uiPriority w:val="0"/>
    <w:rPr>
      <w:color w:val="888888"/>
    </w:rPr>
  </w:style>
  <w:style w:type="character" w:customStyle="1" w:styleId="106">
    <w:name w:val="prev2"/>
    <w:basedOn w:val="34"/>
    <w:qFormat/>
    <w:uiPriority w:val="0"/>
    <w:rPr>
      <w:color w:val="888888"/>
    </w:rPr>
  </w:style>
  <w:style w:type="character" w:customStyle="1" w:styleId="107">
    <w:name w:val="prev3"/>
    <w:basedOn w:val="34"/>
    <w:qFormat/>
    <w:uiPriority w:val="0"/>
    <w:rPr>
      <w:rFonts w:ascii="微软雅黑" w:hAnsi="微软雅黑" w:eastAsia="微软雅黑" w:cs="微软雅黑"/>
      <w:sz w:val="21"/>
      <w:szCs w:val="21"/>
    </w:rPr>
  </w:style>
  <w:style w:type="character" w:customStyle="1" w:styleId="108">
    <w:name w:val="next2"/>
    <w:basedOn w:val="34"/>
    <w:qFormat/>
    <w:uiPriority w:val="0"/>
    <w:rPr>
      <w:color w:val="888888"/>
    </w:rPr>
  </w:style>
  <w:style w:type="character" w:customStyle="1" w:styleId="109">
    <w:name w:val="next3"/>
    <w:basedOn w:val="34"/>
    <w:qFormat/>
    <w:uiPriority w:val="0"/>
    <w:rPr>
      <w:rFonts w:hint="eastAsia" w:ascii="微软雅黑" w:hAnsi="微软雅黑" w:eastAsia="微软雅黑" w:cs="微软雅黑"/>
      <w:sz w:val="21"/>
      <w:szCs w:val="21"/>
    </w:rPr>
  </w:style>
  <w:style w:type="paragraph" w:customStyle="1" w:styleId="110">
    <w:name w:val="正文文字"/>
    <w:basedOn w:val="1"/>
    <w:qFormat/>
    <w:uiPriority w:val="0"/>
    <w:pPr>
      <w:widowControl/>
      <w:spacing w:line="952" w:lineRule="atLeast"/>
      <w:ind w:firstLine="419"/>
      <w:textAlignment w:val="baseline"/>
    </w:pPr>
    <w:rPr>
      <w:b/>
      <w:color w:val="000000"/>
      <w:sz w:val="44"/>
    </w:rPr>
  </w:style>
  <w:style w:type="character" w:customStyle="1" w:styleId="111">
    <w:name w:val="bookmark-item"/>
    <w:qFormat/>
    <w:uiPriority w:val="0"/>
    <w:rPr>
      <w:rFonts w:ascii="Arial" w:hAnsi="Arial" w:eastAsia="黑体" w:cs="Arial"/>
      <w:snapToGrid w:val="0"/>
      <w:kern w:val="0"/>
      <w:szCs w:val="21"/>
    </w:rPr>
  </w:style>
  <w:style w:type="character" w:customStyle="1" w:styleId="112">
    <w:name w:val="font21"/>
    <w:basedOn w:val="34"/>
    <w:qFormat/>
    <w:uiPriority w:val="0"/>
    <w:rPr>
      <w:rFonts w:ascii="Calibri" w:hAnsi="Calibri" w:cs="Calibri"/>
      <w:color w:val="000000"/>
      <w:sz w:val="16"/>
      <w:szCs w:val="16"/>
      <w:u w:val="none"/>
    </w:rPr>
  </w:style>
  <w:style w:type="character" w:customStyle="1" w:styleId="113">
    <w:name w:val="font11"/>
    <w:basedOn w:val="34"/>
    <w:qFormat/>
    <w:uiPriority w:val="0"/>
    <w:rPr>
      <w:rFonts w:hint="eastAsia" w:ascii="宋体" w:hAnsi="宋体" w:eastAsia="宋体" w:cs="宋体"/>
      <w:color w:val="000000"/>
      <w:sz w:val="16"/>
      <w:szCs w:val="16"/>
      <w:u w:val="none"/>
    </w:rPr>
  </w:style>
  <w:style w:type="paragraph" w:customStyle="1" w:styleId="114">
    <w:name w:val="WPSOffice手动目录 1"/>
    <w:qFormat/>
    <w:uiPriority w:val="0"/>
    <w:pPr>
      <w:ind w:leftChars="0"/>
    </w:pPr>
    <w:rPr>
      <w:rFonts w:ascii="Times New Roman" w:hAnsi="Times New Roman" w:eastAsia="宋体" w:cs="Times New Roman"/>
      <w:sz w:val="20"/>
      <w:szCs w:val="20"/>
    </w:rPr>
  </w:style>
  <w:style w:type="character" w:customStyle="1" w:styleId="115">
    <w:name w:val="font41"/>
    <w:basedOn w:val="34"/>
    <w:qFormat/>
    <w:uiPriority w:val="0"/>
    <w:rPr>
      <w:rFonts w:hint="eastAsia" w:ascii="宋体" w:hAnsi="宋体" w:eastAsia="宋体" w:cs="宋体"/>
      <w:color w:val="000000"/>
      <w:sz w:val="18"/>
      <w:szCs w:val="18"/>
      <w:u w:val="none"/>
    </w:rPr>
  </w:style>
  <w:style w:type="character" w:customStyle="1" w:styleId="116">
    <w:name w:val="font31"/>
    <w:basedOn w:val="34"/>
    <w:qFormat/>
    <w:uiPriority w:val="0"/>
    <w:rPr>
      <w:rFonts w:hint="eastAsia" w:ascii="宋体" w:hAnsi="宋体" w:eastAsia="宋体" w:cs="宋体"/>
      <w:color w:val="000000"/>
      <w:sz w:val="18"/>
      <w:szCs w:val="18"/>
      <w:u w:val="none"/>
    </w:rPr>
  </w:style>
  <w:style w:type="paragraph" w:customStyle="1" w:styleId="117">
    <w:name w:val="正文首行缩进1"/>
    <w:basedOn w:val="2"/>
    <w:qFormat/>
    <w:uiPriority w:val="0"/>
    <w:pPr>
      <w:ind w:firstLine="420" w:firstLineChars="100"/>
    </w:pPr>
    <w:rPr>
      <w:kern w:val="2"/>
      <w:sz w:val="21"/>
      <w:szCs w:val="20"/>
      <w:lang w:val="en-US" w:eastAsia="zh-CN"/>
    </w:rPr>
  </w:style>
  <w:style w:type="paragraph" w:customStyle="1" w:styleId="118">
    <w:name w:val="_Style 3"/>
    <w:basedOn w:val="3"/>
    <w:next w:val="1"/>
    <w:qFormat/>
    <w:uiPriority w:val="39"/>
    <w:pPr>
      <w:keepLines/>
      <w:widowControl/>
      <w:spacing w:before="480" w:line="276" w:lineRule="auto"/>
      <w:jc w:val="left"/>
      <w:outlineLvl w:val="9"/>
    </w:pPr>
    <w:rPr>
      <w:rFonts w:ascii="Cambria" w:hAnsi="Cambria" w:eastAsia="宋体" w:cs="Times New Roman"/>
      <w:color w:val="365F91"/>
      <w:kern w:val="0"/>
      <w:sz w:val="28"/>
      <w:szCs w:val="28"/>
    </w:rPr>
  </w:style>
  <w:style w:type="character" w:customStyle="1" w:styleId="119">
    <w:name w:val="font01"/>
    <w:basedOn w:val="34"/>
    <w:qFormat/>
    <w:uiPriority w:val="0"/>
    <w:rPr>
      <w:rFonts w:hint="eastAsia" w:ascii="宋体" w:hAnsi="宋体" w:eastAsia="宋体" w:cs="宋体"/>
      <w:b/>
      <w:color w:val="FF0000"/>
      <w:sz w:val="22"/>
      <w:szCs w:val="22"/>
      <w:u w:val="none"/>
    </w:rPr>
  </w:style>
  <w:style w:type="paragraph" w:customStyle="1" w:styleId="120">
    <w:name w:val="样式1"/>
    <w:basedOn w:val="1"/>
    <w:next w:val="1"/>
    <w:qFormat/>
    <w:uiPriority w:val="0"/>
    <w:pPr>
      <w:spacing w:line="360" w:lineRule="exact"/>
      <w:ind w:firstLine="200" w:firstLineChars="200"/>
    </w:pPr>
    <w:rPr>
      <w:rFonts w:ascii="Arial" w:hAnsi="Arial"/>
    </w:rPr>
  </w:style>
  <w:style w:type="character" w:customStyle="1" w:styleId="121">
    <w:name w:val="font51"/>
    <w:basedOn w:val="34"/>
    <w:qFormat/>
    <w:uiPriority w:val="0"/>
    <w:rPr>
      <w:rFonts w:ascii="方正仿宋_GBK" w:hAnsi="方正仿宋_GBK" w:eastAsia="方正仿宋_GBK" w:cs="方正仿宋_GBK"/>
      <w:color w:val="000000"/>
      <w:sz w:val="24"/>
      <w:szCs w:val="24"/>
      <w:u w:val="none"/>
    </w:rPr>
  </w:style>
  <w:style w:type="paragraph" w:customStyle="1" w:styleId="122">
    <w:name w:val="Table Paragraph"/>
    <w:basedOn w:val="1"/>
    <w:qFormat/>
    <w:uiPriority w:val="1"/>
    <w:pPr>
      <w:autoSpaceDE w:val="0"/>
      <w:autoSpaceDN w:val="0"/>
      <w:jc w:val="left"/>
    </w:pPr>
    <w:rPr>
      <w:rFonts w:ascii="宋体" w:hAnsi="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5AB71C-7BCF-4082-8903-4C928D6F37FF}">
  <ds:schemaRefs/>
</ds:datastoreItem>
</file>

<file path=docProps/app.xml><?xml version="1.0" encoding="utf-8"?>
<Properties xmlns="http://schemas.openxmlformats.org/officeDocument/2006/extended-properties" xmlns:vt="http://schemas.openxmlformats.org/officeDocument/2006/docPropsVTypes">
  <Template>Normal</Template>
  <Company>微软原版</Company>
  <Pages>1</Pages>
  <Words>47218</Words>
  <Characters>50287</Characters>
  <Lines>1</Lines>
  <Paragraphs>1</Paragraphs>
  <ScaleCrop>false</ScaleCrop>
  <LinksUpToDate>false</LinksUpToDate>
  <CharactersWithSpaces>52352</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2022-04-14T15:02:00Z</dcterms:created>
  <dc:creator>李 杰</dc:creator>
  <cp:lastModifiedBy>lxp</cp:lastModifiedBy>
  <cp:lastPrinted>2024-04-05T18:52:00Z</cp:lastPrinted>
  <dcterms:modified xsi:type="dcterms:W3CDTF">2024-10-09T03:21:58Z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ICV">
    <vt:lpwstr>602A121C92B06FA2B4CBF066B47F35B5</vt:lpwstr>
  </property>
</Properties>
</file>