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80825E">
      <w:pPr>
        <w:spacing w:line="660" w:lineRule="exact"/>
        <w:rPr>
          <w:rFonts w:ascii="宋体" w:hAnsi="宋体"/>
          <w:b/>
          <w:bCs/>
          <w:color w:val="auto"/>
          <w:sz w:val="28"/>
          <w:szCs w:val="28"/>
          <w:highlight w:val="none"/>
        </w:rPr>
      </w:pPr>
    </w:p>
    <w:p w14:paraId="0B92B18A">
      <w:pPr>
        <w:spacing w:line="360" w:lineRule="auto"/>
        <w:rPr>
          <w:rFonts w:ascii="宋体" w:hAnsi="宋体" w:cs="宋体"/>
          <w:b/>
          <w:bCs/>
          <w:color w:val="auto"/>
          <w:sz w:val="36"/>
          <w:szCs w:val="36"/>
          <w:highlight w:val="none"/>
        </w:rPr>
      </w:pPr>
    </w:p>
    <w:p w14:paraId="4C824C6A">
      <w:pPr>
        <w:spacing w:line="360" w:lineRule="auto"/>
        <w:jc w:val="center"/>
        <w:rPr>
          <w:rFonts w:hint="eastAsia" w:ascii="宋体" w:hAnsi="宋体" w:eastAsia="宋体" w:cs="宋体"/>
          <w:color w:val="auto"/>
          <w:spacing w:val="-4"/>
          <w:sz w:val="48"/>
          <w:szCs w:val="48"/>
          <w:highlight w:val="none"/>
          <w:lang w:eastAsia="zh-CN"/>
        </w:rPr>
      </w:pPr>
      <w:r>
        <w:rPr>
          <w:rFonts w:hint="eastAsia" w:ascii="宋体" w:hAnsi="宋体" w:cs="宋体"/>
          <w:color w:val="auto"/>
          <w:spacing w:val="-4"/>
          <w:sz w:val="48"/>
          <w:szCs w:val="48"/>
          <w:highlight w:val="none"/>
          <w:lang w:eastAsia="zh-CN"/>
        </w:rPr>
        <w:t>新昌高新技术产业园区安全风险整治提升指导服务</w:t>
      </w:r>
    </w:p>
    <w:p w14:paraId="5531CDF8">
      <w:pPr>
        <w:spacing w:line="360" w:lineRule="auto"/>
        <w:jc w:val="center"/>
        <w:rPr>
          <w:rFonts w:hint="eastAsia" w:ascii="宋体" w:hAnsi="宋体" w:cs="宋体"/>
          <w:b/>
          <w:bCs/>
          <w:color w:val="auto"/>
          <w:spacing w:val="-4"/>
          <w:sz w:val="48"/>
          <w:szCs w:val="48"/>
          <w:highlight w:val="none"/>
        </w:rPr>
      </w:pPr>
    </w:p>
    <w:p w14:paraId="5B67A52D">
      <w:pPr>
        <w:spacing w:line="360" w:lineRule="auto"/>
        <w:jc w:val="center"/>
        <w:rPr>
          <w:rFonts w:ascii="宋体" w:hAnsi="宋体" w:cs="宋体"/>
          <w:b/>
          <w:bCs/>
          <w:color w:val="auto"/>
          <w:spacing w:val="-4"/>
          <w:sz w:val="48"/>
          <w:szCs w:val="48"/>
          <w:highlight w:val="none"/>
        </w:rPr>
      </w:pPr>
      <w:r>
        <w:rPr>
          <w:rFonts w:hint="eastAsia" w:ascii="宋体" w:hAnsi="宋体" w:cs="宋体"/>
          <w:b/>
          <w:bCs/>
          <w:color w:val="auto"/>
          <w:spacing w:val="-4"/>
          <w:sz w:val="48"/>
          <w:szCs w:val="48"/>
          <w:highlight w:val="none"/>
        </w:rPr>
        <w:t xml:space="preserve">招   标  文   件 </w:t>
      </w:r>
    </w:p>
    <w:p w14:paraId="4627E5C6">
      <w:pPr>
        <w:jc w:val="center"/>
        <w:rPr>
          <w:rFonts w:ascii="宋体" w:hAnsi="宋体" w:cs="宋体"/>
          <w:b/>
          <w:bCs/>
          <w:color w:val="auto"/>
          <w:sz w:val="48"/>
          <w:szCs w:val="48"/>
          <w:highlight w:val="none"/>
          <w:u w:val="single"/>
        </w:rPr>
      </w:pPr>
    </w:p>
    <w:p w14:paraId="194B9CB9">
      <w:pPr>
        <w:tabs>
          <w:tab w:val="left" w:pos="5460"/>
        </w:tabs>
        <w:ind w:firstLine="2570" w:firstLineChars="800"/>
        <w:rPr>
          <w:rFonts w:hint="eastAsia" w:ascii="宋体" w:hAnsi="宋体" w:eastAsia="宋体" w:cs="宋体"/>
          <w:b/>
          <w:bCs/>
          <w:color w:val="auto"/>
          <w:sz w:val="52"/>
          <w:szCs w:val="52"/>
          <w:highlight w:val="none"/>
          <w:lang w:val="en-US" w:eastAsia="zh-CN"/>
        </w:rPr>
      </w:pPr>
      <w:r>
        <w:rPr>
          <w:rFonts w:hint="eastAsia" w:ascii="宋体" w:hAnsi="宋体" w:cs="宋体"/>
          <w:b/>
          <w:bCs/>
          <w:color w:val="auto"/>
          <w:sz w:val="32"/>
          <w:szCs w:val="32"/>
          <w:highlight w:val="none"/>
        </w:rPr>
        <w:t>项目编号：</w:t>
      </w:r>
      <w:r>
        <w:rPr>
          <w:rFonts w:hint="eastAsia" w:ascii="宋体" w:hAnsi="宋体" w:cs="宋体"/>
          <w:color w:val="auto"/>
          <w:sz w:val="28"/>
          <w:szCs w:val="28"/>
          <w:highlight w:val="none"/>
        </w:rPr>
        <w:t xml:space="preserve"> </w:t>
      </w:r>
      <w:r>
        <w:rPr>
          <w:rFonts w:hint="eastAsia" w:ascii="宋体" w:hAnsi="宋体" w:cs="宋体"/>
          <w:color w:val="auto"/>
          <w:sz w:val="28"/>
          <w:szCs w:val="28"/>
          <w:highlight w:val="none"/>
          <w:lang w:eastAsia="zh-CN"/>
        </w:rPr>
        <w:t>HX2024-08(CG)1</w:t>
      </w:r>
    </w:p>
    <w:p w14:paraId="37EBC92C">
      <w:pPr>
        <w:jc w:val="center"/>
        <w:rPr>
          <w:rFonts w:ascii="宋体" w:hAnsi="宋体" w:cs="宋体"/>
          <w:b/>
          <w:bCs/>
          <w:color w:val="auto"/>
          <w:sz w:val="44"/>
          <w:szCs w:val="44"/>
          <w:highlight w:val="none"/>
        </w:rPr>
      </w:pPr>
    </w:p>
    <w:p w14:paraId="362119E7">
      <w:pPr>
        <w:jc w:val="center"/>
        <w:rPr>
          <w:rFonts w:ascii="宋体" w:hAnsi="宋体" w:cs="宋体"/>
          <w:b/>
          <w:bCs/>
          <w:color w:val="auto"/>
          <w:sz w:val="44"/>
          <w:szCs w:val="44"/>
          <w:highlight w:val="none"/>
        </w:rPr>
      </w:pPr>
    </w:p>
    <w:p w14:paraId="7A0E483B">
      <w:pPr>
        <w:jc w:val="center"/>
        <w:rPr>
          <w:rFonts w:ascii="宋体" w:hAnsi="宋体" w:cs="宋体"/>
          <w:b/>
          <w:bCs/>
          <w:color w:val="auto"/>
          <w:sz w:val="44"/>
          <w:szCs w:val="44"/>
          <w:highlight w:val="none"/>
        </w:rPr>
      </w:pPr>
    </w:p>
    <w:p w14:paraId="6F54BCA1">
      <w:pPr>
        <w:jc w:val="center"/>
        <w:rPr>
          <w:rFonts w:ascii="宋体" w:hAnsi="宋体" w:cs="宋体"/>
          <w:b/>
          <w:bCs/>
          <w:color w:val="auto"/>
          <w:sz w:val="44"/>
          <w:szCs w:val="44"/>
          <w:highlight w:val="none"/>
        </w:rPr>
      </w:pPr>
    </w:p>
    <w:p w14:paraId="2165CB31">
      <w:pPr>
        <w:jc w:val="center"/>
        <w:rPr>
          <w:rFonts w:ascii="宋体" w:hAnsi="宋体" w:cs="宋体"/>
          <w:b/>
          <w:bCs/>
          <w:color w:val="auto"/>
          <w:sz w:val="44"/>
          <w:szCs w:val="44"/>
          <w:highlight w:val="none"/>
        </w:rPr>
      </w:pPr>
    </w:p>
    <w:p w14:paraId="138C61B1">
      <w:pPr>
        <w:jc w:val="center"/>
        <w:rPr>
          <w:rFonts w:ascii="宋体" w:hAnsi="宋体" w:cs="宋体"/>
          <w:b/>
          <w:bCs/>
          <w:color w:val="auto"/>
          <w:sz w:val="44"/>
          <w:szCs w:val="44"/>
          <w:highlight w:val="none"/>
        </w:rPr>
      </w:pPr>
    </w:p>
    <w:p w14:paraId="35A413E1">
      <w:pPr>
        <w:jc w:val="center"/>
        <w:rPr>
          <w:rFonts w:ascii="宋体" w:hAnsi="宋体" w:cs="宋体"/>
          <w:b/>
          <w:bCs/>
          <w:color w:val="auto"/>
          <w:sz w:val="44"/>
          <w:szCs w:val="44"/>
          <w:highlight w:val="none"/>
        </w:rPr>
      </w:pPr>
    </w:p>
    <w:p w14:paraId="76D854A3">
      <w:pPr>
        <w:jc w:val="center"/>
        <w:rPr>
          <w:rFonts w:ascii="宋体" w:hAnsi="宋体" w:cs="宋体"/>
          <w:b/>
          <w:bCs/>
          <w:color w:val="auto"/>
          <w:sz w:val="44"/>
          <w:szCs w:val="44"/>
          <w:highlight w:val="none"/>
        </w:rPr>
      </w:pPr>
    </w:p>
    <w:p w14:paraId="55AF6AF8">
      <w:pPr>
        <w:spacing w:line="600" w:lineRule="exact"/>
        <w:ind w:firstLine="1124" w:firstLineChars="400"/>
        <w:rPr>
          <w:rFonts w:ascii="宋体" w:hAnsi="宋体" w:cs="宋体"/>
          <w:b/>
          <w:bCs/>
          <w:color w:val="auto"/>
          <w:sz w:val="28"/>
          <w:szCs w:val="28"/>
          <w:highlight w:val="none"/>
        </w:rPr>
      </w:pPr>
      <w:r>
        <w:rPr>
          <w:rFonts w:hint="eastAsia" w:ascii="宋体" w:hAnsi="宋体" w:cs="宋体"/>
          <w:b/>
          <w:bCs/>
          <w:color w:val="auto"/>
          <w:sz w:val="28"/>
          <w:szCs w:val="28"/>
          <w:highlight w:val="none"/>
        </w:rPr>
        <w:t>采购单位：</w:t>
      </w:r>
      <w:r>
        <w:rPr>
          <w:rFonts w:hint="eastAsia" w:ascii="宋体" w:hAnsi="宋体" w:cs="宋体"/>
          <w:color w:val="auto"/>
          <w:sz w:val="28"/>
          <w:szCs w:val="28"/>
          <w:highlight w:val="none"/>
          <w:u w:val="single"/>
          <w:lang w:eastAsia="zh-CN"/>
        </w:rPr>
        <w:t>新昌高新技术产业园区管理委员会</w:t>
      </w:r>
      <w:r>
        <w:rPr>
          <w:rFonts w:hint="eastAsia" w:ascii="宋体" w:hAnsi="宋体" w:cs="宋体"/>
          <w:color w:val="auto"/>
          <w:sz w:val="28"/>
          <w:szCs w:val="28"/>
          <w:highlight w:val="none"/>
          <w:u w:val="single"/>
        </w:rPr>
        <w:t xml:space="preserve">    （盖章）</w:t>
      </w:r>
    </w:p>
    <w:p w14:paraId="726955E2">
      <w:pPr>
        <w:spacing w:line="600" w:lineRule="exact"/>
        <w:ind w:firstLine="1124" w:firstLineChars="400"/>
        <w:rPr>
          <w:rFonts w:ascii="宋体" w:hAnsi="宋体" w:cs="宋体"/>
          <w:color w:val="auto"/>
          <w:sz w:val="28"/>
          <w:szCs w:val="28"/>
          <w:highlight w:val="none"/>
          <w:u w:val="single"/>
        </w:rPr>
      </w:pPr>
      <w:r>
        <w:rPr>
          <w:rFonts w:hint="eastAsia" w:ascii="宋体" w:hAnsi="宋体" w:cs="宋体"/>
          <w:b/>
          <w:bCs/>
          <w:color w:val="auto"/>
          <w:sz w:val="28"/>
          <w:szCs w:val="28"/>
          <w:highlight w:val="none"/>
        </w:rPr>
        <w:t>采购机构：</w:t>
      </w:r>
      <w:r>
        <w:rPr>
          <w:rFonts w:hint="eastAsia" w:ascii="宋体" w:hAnsi="宋体" w:cs="宋体"/>
          <w:b/>
          <w:bCs/>
          <w:color w:val="auto"/>
          <w:sz w:val="28"/>
          <w:szCs w:val="28"/>
          <w:highlight w:val="none"/>
          <w:u w:val="single"/>
        </w:rPr>
        <w:t xml:space="preserve">新昌县鸿翔工程咨询有限公司  </w:t>
      </w:r>
      <w:r>
        <w:rPr>
          <w:rFonts w:hint="eastAsia" w:ascii="宋体" w:hAnsi="宋体" w:cs="宋体"/>
          <w:color w:val="auto"/>
          <w:sz w:val="28"/>
          <w:szCs w:val="28"/>
          <w:highlight w:val="none"/>
          <w:u w:val="single"/>
        </w:rPr>
        <w:t>（盖章）</w:t>
      </w:r>
    </w:p>
    <w:p w14:paraId="765995BF">
      <w:pPr>
        <w:spacing w:line="600" w:lineRule="exact"/>
        <w:ind w:firstLine="1124" w:firstLineChars="400"/>
        <w:jc w:val="left"/>
        <w:rPr>
          <w:rFonts w:ascii="宋体" w:hAnsi="宋体" w:cs="宋体"/>
          <w:color w:val="auto"/>
          <w:sz w:val="28"/>
          <w:szCs w:val="28"/>
          <w:highlight w:val="none"/>
        </w:rPr>
      </w:pPr>
      <w:r>
        <w:rPr>
          <w:rFonts w:hint="eastAsia" w:ascii="宋体" w:hAnsi="宋体" w:cs="宋体"/>
          <w:b/>
          <w:bCs/>
          <w:color w:val="auto"/>
          <w:sz w:val="28"/>
          <w:szCs w:val="28"/>
          <w:highlight w:val="none"/>
        </w:rPr>
        <w:t>日    期：</w:t>
      </w:r>
      <w:r>
        <w:rPr>
          <w:rFonts w:hint="eastAsia" w:ascii="宋体" w:hAnsi="宋体" w:cs="宋体"/>
          <w:color w:val="auto"/>
          <w:sz w:val="28"/>
          <w:szCs w:val="28"/>
          <w:highlight w:val="none"/>
          <w:u w:val="single"/>
        </w:rPr>
        <w:t xml:space="preserve"> 202</w:t>
      </w:r>
      <w:r>
        <w:rPr>
          <w:rFonts w:hint="eastAsia" w:ascii="宋体" w:hAnsi="宋体" w:cs="宋体"/>
          <w:color w:val="auto"/>
          <w:sz w:val="28"/>
          <w:szCs w:val="28"/>
          <w:highlight w:val="none"/>
          <w:u w:val="single"/>
          <w:lang w:val="en-US" w:eastAsia="zh-CN"/>
        </w:rPr>
        <w:t>5</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3 </w:t>
      </w:r>
      <w:r>
        <w:rPr>
          <w:rFonts w:hint="eastAsia" w:ascii="宋体" w:hAnsi="宋体" w:cs="宋体"/>
          <w:color w:val="auto"/>
          <w:sz w:val="28"/>
          <w:szCs w:val="28"/>
          <w:highlight w:val="none"/>
        </w:rPr>
        <w:t>月</w:t>
      </w:r>
    </w:p>
    <w:p w14:paraId="7DF8D8A0">
      <w:pPr>
        <w:pStyle w:val="19"/>
        <w:rPr>
          <w:highlight w:val="none"/>
        </w:rPr>
      </w:pPr>
    </w:p>
    <w:p w14:paraId="1C2FE2E6">
      <w:pPr>
        <w:jc w:val="center"/>
        <w:rPr>
          <w:rFonts w:ascii="宋体" w:hAnsi="宋体" w:cs="宋体"/>
          <w:b/>
          <w:bCs/>
          <w:color w:val="auto"/>
          <w:w w:val="95"/>
          <w:sz w:val="30"/>
          <w:szCs w:val="30"/>
          <w:highlight w:val="none"/>
        </w:rPr>
      </w:pPr>
    </w:p>
    <w:p w14:paraId="0B00764A">
      <w:pPr>
        <w:rPr>
          <w:rFonts w:ascii="宋体" w:hAnsi="宋体" w:cs="宋体"/>
          <w:color w:val="auto"/>
          <w:highlight w:val="none"/>
        </w:rPr>
      </w:pPr>
    </w:p>
    <w:p w14:paraId="4D56D17B">
      <w:pPr>
        <w:rPr>
          <w:rFonts w:hint="eastAsia" w:ascii="宋体" w:hAnsi="宋体" w:cs="宋体"/>
          <w:b/>
          <w:bCs/>
          <w:color w:val="auto"/>
          <w:sz w:val="44"/>
          <w:szCs w:val="44"/>
          <w:highlight w:val="none"/>
        </w:rPr>
      </w:pPr>
      <w:r>
        <w:rPr>
          <w:rFonts w:hint="eastAsia" w:ascii="宋体" w:hAnsi="宋体" w:cs="宋体"/>
          <w:b/>
          <w:bCs/>
          <w:color w:val="auto"/>
          <w:sz w:val="44"/>
          <w:szCs w:val="44"/>
          <w:highlight w:val="none"/>
        </w:rPr>
        <w:br w:type="page"/>
      </w:r>
    </w:p>
    <w:p w14:paraId="5ADA3727">
      <w:pPr>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目   录</w:t>
      </w:r>
    </w:p>
    <w:p w14:paraId="6852E93C">
      <w:pPr>
        <w:jc w:val="center"/>
        <w:rPr>
          <w:rFonts w:ascii="宋体" w:hAnsi="宋体" w:cs="宋体"/>
          <w:color w:val="auto"/>
          <w:sz w:val="44"/>
          <w:szCs w:val="44"/>
          <w:highlight w:val="none"/>
        </w:rPr>
      </w:pPr>
    </w:p>
    <w:p w14:paraId="459858C7">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招标公告</w:t>
      </w:r>
    </w:p>
    <w:p w14:paraId="45D092DD">
      <w:pPr>
        <w:spacing w:line="360" w:lineRule="auto"/>
        <w:ind w:firstLine="640" w:firstLineChars="200"/>
        <w:rPr>
          <w:rFonts w:ascii="宋体" w:hAnsi="宋体" w:cs="宋体"/>
          <w:color w:val="auto"/>
          <w:sz w:val="32"/>
          <w:szCs w:val="32"/>
          <w:highlight w:val="none"/>
        </w:rPr>
      </w:pPr>
    </w:p>
    <w:p w14:paraId="0B269882">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第一章 采购需求</w:t>
      </w:r>
    </w:p>
    <w:p w14:paraId="264ACA0E">
      <w:pPr>
        <w:spacing w:line="360" w:lineRule="auto"/>
        <w:ind w:firstLine="640" w:firstLineChars="200"/>
        <w:rPr>
          <w:rFonts w:ascii="宋体" w:hAnsi="宋体" w:cs="宋体"/>
          <w:color w:val="auto"/>
          <w:sz w:val="32"/>
          <w:szCs w:val="32"/>
          <w:highlight w:val="none"/>
        </w:rPr>
      </w:pPr>
    </w:p>
    <w:p w14:paraId="61D678AD">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第二章 投标须知及其前附表</w:t>
      </w:r>
    </w:p>
    <w:p w14:paraId="532E1D09">
      <w:pPr>
        <w:spacing w:line="360" w:lineRule="auto"/>
        <w:ind w:firstLine="640" w:firstLineChars="200"/>
        <w:rPr>
          <w:rFonts w:ascii="宋体" w:hAnsi="宋体" w:cs="宋体"/>
          <w:color w:val="auto"/>
          <w:sz w:val="32"/>
          <w:szCs w:val="32"/>
          <w:highlight w:val="none"/>
        </w:rPr>
      </w:pPr>
    </w:p>
    <w:p w14:paraId="5927D32D">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第三章 合同主要条款</w:t>
      </w:r>
    </w:p>
    <w:p w14:paraId="36757C5D">
      <w:pPr>
        <w:spacing w:line="360" w:lineRule="auto"/>
        <w:ind w:firstLine="640" w:firstLineChars="200"/>
        <w:rPr>
          <w:rFonts w:ascii="宋体" w:hAnsi="宋体" w:cs="宋体"/>
          <w:color w:val="auto"/>
          <w:sz w:val="32"/>
          <w:szCs w:val="32"/>
          <w:highlight w:val="none"/>
        </w:rPr>
      </w:pPr>
    </w:p>
    <w:p w14:paraId="78E3DF38">
      <w:pPr>
        <w:spacing w:line="360" w:lineRule="auto"/>
        <w:ind w:firstLine="640" w:firstLineChars="200"/>
        <w:rPr>
          <w:rFonts w:ascii="宋体" w:hAnsi="宋体" w:cs="宋体"/>
          <w:color w:val="auto"/>
          <w:sz w:val="32"/>
          <w:szCs w:val="32"/>
          <w:highlight w:val="none"/>
        </w:rPr>
      </w:pPr>
      <w:r>
        <w:rPr>
          <w:rFonts w:hint="eastAsia" w:ascii="宋体" w:hAnsi="宋体" w:cs="宋体"/>
          <w:color w:val="auto"/>
          <w:sz w:val="32"/>
          <w:szCs w:val="32"/>
          <w:highlight w:val="none"/>
        </w:rPr>
        <w:t>第四章 投标文件格式</w:t>
      </w:r>
    </w:p>
    <w:p w14:paraId="6D7B999D">
      <w:pPr>
        <w:spacing w:line="360" w:lineRule="auto"/>
        <w:ind w:firstLine="640" w:firstLineChars="200"/>
        <w:rPr>
          <w:rFonts w:ascii="宋体" w:hAnsi="宋体" w:cs="宋体"/>
          <w:color w:val="auto"/>
          <w:sz w:val="32"/>
          <w:szCs w:val="32"/>
          <w:highlight w:val="none"/>
        </w:rPr>
      </w:pPr>
    </w:p>
    <w:p w14:paraId="56BD390E">
      <w:pPr>
        <w:spacing w:line="400" w:lineRule="exact"/>
        <w:rPr>
          <w:rFonts w:ascii="宋体" w:hAnsi="宋体" w:cs="宋体"/>
          <w:b/>
          <w:color w:val="auto"/>
          <w:sz w:val="44"/>
          <w:szCs w:val="44"/>
          <w:highlight w:val="none"/>
        </w:rPr>
      </w:pPr>
      <w:bookmarkStart w:id="0" w:name="_Toc454374909"/>
      <w:bookmarkStart w:id="1" w:name="_Toc125344501"/>
    </w:p>
    <w:p w14:paraId="1EC4DEAB">
      <w:pPr>
        <w:spacing w:line="400" w:lineRule="exact"/>
        <w:rPr>
          <w:rFonts w:ascii="宋体" w:hAnsi="宋体" w:cs="宋体"/>
          <w:b/>
          <w:color w:val="auto"/>
          <w:sz w:val="44"/>
          <w:szCs w:val="44"/>
          <w:highlight w:val="none"/>
        </w:rPr>
      </w:pPr>
    </w:p>
    <w:p w14:paraId="6E128C2A">
      <w:pPr>
        <w:spacing w:line="400" w:lineRule="exact"/>
        <w:rPr>
          <w:rFonts w:ascii="隶书" w:eastAsia="隶书"/>
          <w:b/>
          <w:color w:val="auto"/>
          <w:sz w:val="44"/>
          <w:szCs w:val="44"/>
          <w:highlight w:val="none"/>
        </w:rPr>
      </w:pPr>
    </w:p>
    <w:p w14:paraId="61BA6ECA">
      <w:pPr>
        <w:spacing w:line="400" w:lineRule="exact"/>
        <w:rPr>
          <w:rFonts w:ascii="隶书" w:eastAsia="隶书"/>
          <w:b/>
          <w:color w:val="auto"/>
          <w:sz w:val="44"/>
          <w:szCs w:val="44"/>
          <w:highlight w:val="none"/>
        </w:rPr>
      </w:pPr>
    </w:p>
    <w:p w14:paraId="181072BA">
      <w:pPr>
        <w:spacing w:line="400" w:lineRule="exact"/>
        <w:rPr>
          <w:rFonts w:ascii="隶书" w:eastAsia="隶书"/>
          <w:b/>
          <w:color w:val="auto"/>
          <w:sz w:val="44"/>
          <w:szCs w:val="44"/>
          <w:highlight w:val="none"/>
        </w:rPr>
      </w:pPr>
    </w:p>
    <w:p w14:paraId="34F7EC36">
      <w:pPr>
        <w:spacing w:line="400" w:lineRule="exact"/>
        <w:rPr>
          <w:rFonts w:ascii="隶书" w:eastAsia="隶书"/>
          <w:b/>
          <w:color w:val="auto"/>
          <w:sz w:val="44"/>
          <w:szCs w:val="44"/>
          <w:highlight w:val="none"/>
        </w:rPr>
      </w:pPr>
    </w:p>
    <w:p w14:paraId="5EA548F5">
      <w:pPr>
        <w:pStyle w:val="5"/>
        <w:rPr>
          <w:highlight w:val="none"/>
        </w:rPr>
      </w:pPr>
    </w:p>
    <w:p w14:paraId="07F94A37">
      <w:pPr>
        <w:spacing w:line="400" w:lineRule="exact"/>
        <w:rPr>
          <w:rFonts w:ascii="隶书" w:eastAsia="隶书"/>
          <w:b/>
          <w:color w:val="auto"/>
          <w:sz w:val="44"/>
          <w:szCs w:val="44"/>
          <w:highlight w:val="none"/>
        </w:rPr>
      </w:pPr>
    </w:p>
    <w:p w14:paraId="36E80AD4">
      <w:pPr>
        <w:spacing w:line="400" w:lineRule="exact"/>
        <w:rPr>
          <w:rFonts w:ascii="隶书" w:eastAsia="隶书"/>
          <w:b/>
          <w:color w:val="auto"/>
          <w:sz w:val="44"/>
          <w:szCs w:val="44"/>
          <w:highlight w:val="none"/>
        </w:rPr>
      </w:pPr>
    </w:p>
    <w:p w14:paraId="7FD338F6">
      <w:pPr>
        <w:spacing w:line="400" w:lineRule="exact"/>
        <w:rPr>
          <w:rFonts w:ascii="隶书" w:eastAsia="隶书"/>
          <w:b/>
          <w:color w:val="auto"/>
          <w:sz w:val="44"/>
          <w:szCs w:val="44"/>
          <w:highlight w:val="none"/>
        </w:rPr>
      </w:pPr>
    </w:p>
    <w:p w14:paraId="7FCF0210">
      <w:pPr>
        <w:spacing w:line="400" w:lineRule="exact"/>
        <w:jc w:val="right"/>
        <w:rPr>
          <w:rFonts w:ascii="隶书" w:eastAsia="隶书"/>
          <w:b/>
          <w:color w:val="auto"/>
          <w:sz w:val="44"/>
          <w:szCs w:val="44"/>
          <w:highlight w:val="none"/>
        </w:rPr>
      </w:pPr>
    </w:p>
    <w:p w14:paraId="786A3F98">
      <w:pPr>
        <w:rPr>
          <w:rFonts w:ascii="宋体" w:hAnsi="宋体" w:cs="宋体"/>
          <w:color w:val="auto"/>
          <w:highlight w:val="none"/>
        </w:rPr>
      </w:pPr>
    </w:p>
    <w:p w14:paraId="6F4E9A11">
      <w:pPr>
        <w:pStyle w:val="19"/>
        <w:ind w:firstLine="480"/>
        <w:rPr>
          <w:rFonts w:ascii="宋体" w:hAnsi="宋体" w:cs="宋体"/>
          <w:color w:val="auto"/>
          <w:highlight w:val="none"/>
        </w:rPr>
      </w:pPr>
    </w:p>
    <w:bookmarkEnd w:id="0"/>
    <w:bookmarkEnd w:id="1"/>
    <w:p w14:paraId="36B4C869">
      <w:pPr>
        <w:pStyle w:val="4"/>
        <w:spacing w:line="500" w:lineRule="exact"/>
        <w:jc w:val="center"/>
        <w:rPr>
          <w:rFonts w:hint="eastAsia" w:ascii="宋体" w:hAnsi="宋体" w:cs="宋体"/>
          <w:color w:val="auto"/>
          <w:sz w:val="36"/>
          <w:szCs w:val="36"/>
          <w:highlight w:val="none"/>
        </w:rPr>
      </w:pPr>
      <w:r>
        <w:rPr>
          <w:rFonts w:hint="eastAsia" w:ascii="宋体" w:hAnsi="宋体" w:cs="宋体"/>
          <w:color w:val="auto"/>
          <w:sz w:val="36"/>
          <w:szCs w:val="36"/>
          <w:highlight w:val="none"/>
        </w:rPr>
        <w:t xml:space="preserve">    </w:t>
      </w:r>
    </w:p>
    <w:p w14:paraId="68CA8FE3">
      <w:pPr>
        <w:rPr>
          <w:rFonts w:hint="eastAsia" w:ascii="宋体" w:hAnsi="宋体" w:cs="宋体"/>
          <w:color w:val="auto"/>
          <w:sz w:val="36"/>
          <w:szCs w:val="36"/>
          <w:highlight w:val="none"/>
        </w:rPr>
      </w:pPr>
      <w:r>
        <w:rPr>
          <w:rFonts w:hint="eastAsia" w:ascii="宋体" w:hAnsi="宋体" w:cs="宋体"/>
          <w:color w:val="auto"/>
          <w:sz w:val="36"/>
          <w:szCs w:val="36"/>
          <w:highlight w:val="none"/>
        </w:rPr>
        <w:br w:type="page"/>
      </w:r>
    </w:p>
    <w:p w14:paraId="444E3CCC">
      <w:pPr>
        <w:pStyle w:val="4"/>
        <w:spacing w:line="500" w:lineRule="exact"/>
        <w:jc w:val="center"/>
        <w:rPr>
          <w:rFonts w:hint="eastAsia" w:ascii="宋体" w:hAnsi="宋体" w:eastAsia="宋体" w:cs="宋体"/>
          <w:color w:val="auto"/>
          <w:sz w:val="36"/>
          <w:szCs w:val="36"/>
          <w:highlight w:val="none"/>
          <w:lang w:eastAsia="zh-CN"/>
        </w:rPr>
      </w:pPr>
      <w:r>
        <w:rPr>
          <w:rFonts w:hint="eastAsia" w:ascii="宋体" w:hAnsi="宋体" w:cs="宋体"/>
          <w:color w:val="auto"/>
          <w:sz w:val="36"/>
          <w:szCs w:val="36"/>
          <w:highlight w:val="none"/>
          <w:lang w:val="en-US" w:eastAsia="zh-CN"/>
        </w:rPr>
        <w:t xml:space="preserve">   </w:t>
      </w:r>
      <w:r>
        <w:rPr>
          <w:rFonts w:hint="eastAsia" w:ascii="宋体" w:hAnsi="宋体" w:cs="宋体"/>
          <w:color w:val="auto"/>
          <w:sz w:val="36"/>
          <w:szCs w:val="36"/>
          <w:highlight w:val="none"/>
        </w:rPr>
        <w:t>招 标 公 告</w:t>
      </w:r>
      <w:r>
        <w:rPr>
          <w:rFonts w:hint="eastAsia" w:ascii="宋体" w:hAnsi="宋体" w:cs="宋体"/>
          <w:color w:val="auto"/>
          <w:sz w:val="36"/>
          <w:szCs w:val="36"/>
          <w:highlight w:val="none"/>
          <w:lang w:eastAsia="zh-CN"/>
        </w:rPr>
        <w:t>（</w:t>
      </w:r>
      <w:r>
        <w:rPr>
          <w:rFonts w:hint="eastAsia" w:ascii="宋体" w:hAnsi="宋体" w:cs="宋体"/>
          <w:color w:val="auto"/>
          <w:sz w:val="36"/>
          <w:szCs w:val="36"/>
          <w:highlight w:val="none"/>
          <w:lang w:val="en-US" w:eastAsia="zh-CN"/>
        </w:rPr>
        <w:t>第二次</w:t>
      </w:r>
      <w:r>
        <w:rPr>
          <w:rFonts w:hint="eastAsia" w:ascii="宋体" w:hAnsi="宋体" w:cs="宋体"/>
          <w:color w:val="auto"/>
          <w:sz w:val="36"/>
          <w:szCs w:val="36"/>
          <w:highlight w:val="none"/>
          <w:lang w:eastAsia="zh-CN"/>
        </w:rPr>
        <w:t>）</w:t>
      </w:r>
    </w:p>
    <w:p w14:paraId="016BDCFA">
      <w:pPr>
        <w:pStyle w:val="19"/>
        <w:ind w:firstLine="2880" w:firstLineChars="1200"/>
        <w:rPr>
          <w:rFonts w:hint="eastAsia" w:ascii="宋体" w:hAnsi="宋体" w:eastAsia="宋体" w:cs="宋体"/>
          <w:color w:val="auto"/>
          <w:highlight w:val="none"/>
          <w:lang w:val="en-US" w:eastAsia="zh-CN"/>
        </w:rPr>
      </w:pPr>
      <w:r>
        <w:rPr>
          <w:rFonts w:hint="eastAsia"/>
          <w:color w:val="auto"/>
          <w:highlight w:val="none"/>
        </w:rPr>
        <w:t>项目编号：</w:t>
      </w:r>
      <w:bookmarkStart w:id="15" w:name="_GoBack"/>
      <w:bookmarkEnd w:id="15"/>
      <w:r>
        <w:rPr>
          <w:rFonts w:hint="eastAsia" w:ascii="宋体" w:hAnsi="宋体" w:cs="宋体"/>
          <w:color w:val="auto"/>
          <w:highlight w:val="none"/>
          <w:lang w:eastAsia="zh-CN"/>
        </w:rPr>
        <w:t>HX2024-08(CG)1</w:t>
      </w:r>
    </w:p>
    <w:p w14:paraId="3CF2B597">
      <w:pPr>
        <w:pStyle w:val="17"/>
        <w:shd w:val="clear" w:color="auto" w:fill="FFFFFF"/>
        <w:spacing w:beforeAutospacing="0" w:afterAutospacing="0" w:line="360" w:lineRule="auto"/>
        <w:ind w:firstLine="480" w:firstLineChars="200"/>
        <w:rPr>
          <w:rFonts w:hint="eastAsia" w:cs="宋体"/>
          <w:highlight w:val="none"/>
        </w:rPr>
      </w:pPr>
      <w:r>
        <w:rPr>
          <w:rFonts w:hint="eastAsia" w:cs="宋体"/>
          <w:highlight w:val="none"/>
          <w:shd w:val="clear" w:color="auto" w:fill="FFFFFF"/>
        </w:rPr>
        <w:t>新昌县鸿翔工程咨询有限公司（以下简称“采购代理机构”）受</w:t>
      </w:r>
      <w:r>
        <w:rPr>
          <w:rFonts w:hint="eastAsia" w:cs="宋体"/>
          <w:highlight w:val="none"/>
          <w:shd w:val="clear" w:color="auto" w:fill="FFFFFF"/>
          <w:lang w:eastAsia="zh-CN"/>
        </w:rPr>
        <w:t>新昌高新技术产业园区管理委员会</w:t>
      </w:r>
      <w:r>
        <w:rPr>
          <w:rFonts w:hint="eastAsia" w:cs="宋体"/>
          <w:highlight w:val="none"/>
          <w:shd w:val="clear" w:color="auto" w:fill="FFFFFF"/>
        </w:rPr>
        <w:t>（以下简称“采购方”）的委托，</w:t>
      </w:r>
      <w:r>
        <w:rPr>
          <w:rFonts w:hint="eastAsia" w:cs="宋体"/>
          <w:highlight w:val="none"/>
          <w:shd w:val="clear" w:color="auto" w:fill="FFFFFF"/>
          <w:lang w:val="en-US" w:eastAsia="zh-CN"/>
        </w:rPr>
        <w:t>因第一次招标失败，</w:t>
      </w:r>
      <w:r>
        <w:rPr>
          <w:rFonts w:hint="eastAsia" w:cs="宋体"/>
          <w:highlight w:val="none"/>
          <w:shd w:val="clear" w:color="auto" w:fill="FFFFFF"/>
        </w:rPr>
        <w:t>就以下采购项目通过</w:t>
      </w:r>
      <w:r>
        <w:rPr>
          <w:rFonts w:hint="eastAsia" w:cs="宋体"/>
          <w:highlight w:val="none"/>
          <w:shd w:val="clear" w:color="auto" w:fill="FFFFFF"/>
          <w:lang w:val="en-US" w:eastAsia="zh-CN"/>
        </w:rPr>
        <w:t>重新</w:t>
      </w:r>
      <w:r>
        <w:rPr>
          <w:rFonts w:hint="eastAsia" w:cs="宋体"/>
          <w:highlight w:val="none"/>
          <w:shd w:val="clear" w:color="auto" w:fill="FFFFFF"/>
        </w:rPr>
        <w:t>公开招标方式选定供应商。有关事项公告如下：</w:t>
      </w:r>
    </w:p>
    <w:p w14:paraId="131B006F">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一、招标项目简要</w:t>
      </w:r>
    </w:p>
    <w:p w14:paraId="063DCE33">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1.1、采购内容及数量</w:t>
      </w:r>
    </w:p>
    <w:tbl>
      <w:tblPr>
        <w:tblStyle w:val="20"/>
        <w:tblpPr w:leftFromText="180" w:rightFromText="180" w:vertAnchor="text" w:horzAnchor="page" w:tblpX="1412" w:tblpY="8"/>
        <w:tblOverlap w:val="never"/>
        <w:tblW w:w="93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380"/>
        <w:gridCol w:w="997"/>
        <w:gridCol w:w="4145"/>
        <w:gridCol w:w="1106"/>
      </w:tblGrid>
      <w:tr w14:paraId="47172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50" w:type="dxa"/>
            <w:noWrap w:val="0"/>
            <w:vAlign w:val="center"/>
          </w:tcPr>
          <w:p w14:paraId="3EB427ED">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2380" w:type="dxa"/>
            <w:noWrap w:val="0"/>
            <w:vAlign w:val="center"/>
          </w:tcPr>
          <w:p w14:paraId="2B2A8067">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项目名称</w:t>
            </w:r>
          </w:p>
        </w:tc>
        <w:tc>
          <w:tcPr>
            <w:tcW w:w="997" w:type="dxa"/>
            <w:noWrap w:val="0"/>
            <w:vAlign w:val="center"/>
          </w:tcPr>
          <w:p w14:paraId="775A74B1">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4145" w:type="dxa"/>
            <w:noWrap w:val="0"/>
            <w:vAlign w:val="center"/>
          </w:tcPr>
          <w:p w14:paraId="6DFACAE0">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项目要求</w:t>
            </w:r>
          </w:p>
        </w:tc>
        <w:tc>
          <w:tcPr>
            <w:tcW w:w="1106" w:type="dxa"/>
            <w:noWrap w:val="0"/>
            <w:vAlign w:val="center"/>
          </w:tcPr>
          <w:p w14:paraId="29156928">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预算（元）</w:t>
            </w:r>
          </w:p>
        </w:tc>
      </w:tr>
      <w:tr w14:paraId="4E2A6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8" w:hRule="atLeast"/>
        </w:trPr>
        <w:tc>
          <w:tcPr>
            <w:tcW w:w="750" w:type="dxa"/>
            <w:noWrap w:val="0"/>
            <w:vAlign w:val="center"/>
          </w:tcPr>
          <w:p w14:paraId="716A3394">
            <w:pPr>
              <w:autoSpaceDE/>
              <w:autoSpaceDN/>
              <w:snapToGrid w:val="0"/>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380" w:type="dxa"/>
            <w:noWrap w:val="0"/>
            <w:vAlign w:val="center"/>
          </w:tcPr>
          <w:p w14:paraId="09D33E61">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 xml:space="preserve">新昌高新技术产业园区安全风险整治提升指导服务 </w:t>
            </w:r>
          </w:p>
        </w:tc>
        <w:tc>
          <w:tcPr>
            <w:tcW w:w="997" w:type="dxa"/>
            <w:noWrap w:val="0"/>
            <w:vAlign w:val="center"/>
          </w:tcPr>
          <w:p w14:paraId="03F064C4">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1项</w:t>
            </w:r>
          </w:p>
        </w:tc>
        <w:tc>
          <w:tcPr>
            <w:tcW w:w="4145" w:type="dxa"/>
            <w:noWrap w:val="0"/>
            <w:vAlign w:val="center"/>
          </w:tcPr>
          <w:p w14:paraId="76DF0771">
            <w:pPr>
              <w:pStyle w:val="9"/>
              <w:autoSpaceDE/>
              <w:autoSpaceDN/>
              <w:spacing w:line="320" w:lineRule="exact"/>
              <w:rPr>
                <w:rFonts w:hint="eastAsia" w:ascii="宋体" w:hAnsi="宋体" w:cs="宋体"/>
                <w:color w:val="auto"/>
                <w:sz w:val="24"/>
                <w:szCs w:val="24"/>
                <w:highlight w:val="none"/>
              </w:rPr>
            </w:pPr>
            <w:r>
              <w:rPr>
                <w:rFonts w:hint="eastAsia" w:ascii="宋体" w:hAnsi="宋体" w:eastAsia="宋体" w:cs="宋体"/>
                <w:i w:val="0"/>
                <w:iCs w:val="0"/>
                <w:caps w:val="0"/>
                <w:color w:val="000000"/>
                <w:spacing w:val="0"/>
                <w:sz w:val="24"/>
                <w:szCs w:val="24"/>
                <w:highlight w:val="none"/>
              </w:rPr>
              <w:t>包括完成《新昌高新技术产业园区化工园区整体性安全风险评估报告》编制、新昌高新技术产业园区化工园区安全风险叠加动态评估、新昌高新技术产业园区化工园区建设项目入园安全条件咨询、化工园区安全风险排查治理提升整治技术服务 </w:t>
            </w:r>
          </w:p>
        </w:tc>
        <w:tc>
          <w:tcPr>
            <w:tcW w:w="1106" w:type="dxa"/>
            <w:noWrap w:val="0"/>
            <w:vAlign w:val="center"/>
          </w:tcPr>
          <w:p w14:paraId="11927D5B">
            <w:pPr>
              <w:pStyle w:val="15"/>
              <w:jc w:val="center"/>
              <w:rPr>
                <w:color w:val="auto"/>
                <w:sz w:val="24"/>
                <w:szCs w:val="24"/>
                <w:highlight w:val="none"/>
              </w:rPr>
            </w:pPr>
            <w:r>
              <w:rPr>
                <w:color w:val="auto"/>
                <w:sz w:val="24"/>
                <w:szCs w:val="24"/>
                <w:highlight w:val="none"/>
              </w:rPr>
              <w:t>700000</w:t>
            </w:r>
          </w:p>
        </w:tc>
      </w:tr>
    </w:tbl>
    <w:p w14:paraId="6013D53A">
      <w:pPr>
        <w:pStyle w:val="17"/>
        <w:shd w:val="clear" w:color="auto" w:fill="FFFFFF"/>
        <w:spacing w:beforeAutospacing="0" w:afterAutospacing="0" w:line="360" w:lineRule="auto"/>
        <w:ind w:firstLine="0"/>
        <w:rPr>
          <w:rFonts w:hint="default" w:eastAsia="宋体" w:cs="宋体"/>
          <w:color w:val="auto"/>
          <w:highlight w:val="none"/>
          <w:lang w:val="en-US" w:eastAsia="zh-CN"/>
        </w:rPr>
      </w:pPr>
      <w:r>
        <w:rPr>
          <w:rFonts w:hint="eastAsia" w:cs="宋体"/>
          <w:color w:val="auto"/>
          <w:highlight w:val="none"/>
          <w:shd w:val="clear" w:color="auto" w:fill="FFFFFF"/>
        </w:rPr>
        <w:t>1.2、</w:t>
      </w:r>
      <w:r>
        <w:rPr>
          <w:rFonts w:hint="eastAsia" w:cs="宋体"/>
          <w:color w:val="auto"/>
          <w:highlight w:val="none"/>
          <w:shd w:val="clear" w:color="auto" w:fill="FFFFFF"/>
          <w:lang w:eastAsia="zh-CN"/>
        </w:rPr>
        <w:t>服务期限：三年（</w:t>
      </w:r>
      <w:r>
        <w:rPr>
          <w:rFonts w:hint="eastAsia" w:cs="宋体"/>
          <w:color w:val="auto"/>
          <w:highlight w:val="none"/>
          <w:shd w:val="clear" w:color="auto" w:fill="FFFFFF"/>
          <w:lang w:val="en-US" w:eastAsia="zh-CN"/>
        </w:rPr>
        <w:t>2025年-2027年，自合同签订之日起计算</w:t>
      </w:r>
      <w:r>
        <w:rPr>
          <w:rFonts w:hint="eastAsia" w:cs="宋体"/>
          <w:color w:val="auto"/>
          <w:highlight w:val="none"/>
          <w:shd w:val="clear" w:color="auto" w:fill="FFFFFF"/>
          <w:lang w:eastAsia="zh-CN"/>
        </w:rPr>
        <w:t>）</w:t>
      </w:r>
    </w:p>
    <w:p w14:paraId="2744A36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二、投标人资格要求</w:t>
      </w:r>
    </w:p>
    <w:p w14:paraId="17FDA5BB">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（1）符合《中华人民共和国政府采购法》第二十二条规定。</w:t>
      </w:r>
    </w:p>
    <w:p w14:paraId="4B0E0D99">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（2）未被“信用中国”、中国政府采购网列入失信被执行人、重大税收违法案件当事人名单、政府采购严重违法失信行为记录名单。</w:t>
      </w:r>
    </w:p>
    <w:p w14:paraId="7AB409F1">
      <w:pPr>
        <w:pStyle w:val="17"/>
        <w:shd w:val="clear" w:color="auto" w:fill="FFFFFF"/>
        <w:spacing w:beforeAutospacing="0" w:afterAutospacing="0" w:line="360" w:lineRule="auto"/>
        <w:ind w:firstLine="0"/>
        <w:rPr>
          <w:rFonts w:hint="eastAsia" w:cs="宋体"/>
          <w:highlight w:val="none"/>
          <w:shd w:val="clear" w:color="auto" w:fill="FFFFFF"/>
        </w:rPr>
      </w:pPr>
      <w:r>
        <w:rPr>
          <w:rFonts w:hint="eastAsia" w:cs="宋体"/>
          <w:highlight w:val="none"/>
          <w:shd w:val="clear" w:color="auto" w:fill="FFFFFF"/>
        </w:rPr>
        <w:t>（3）本项目不接受联合体投标，不允许转包与分包。</w:t>
      </w:r>
    </w:p>
    <w:p w14:paraId="55864DB5">
      <w:pPr>
        <w:pStyle w:val="17"/>
        <w:shd w:val="clear" w:color="auto" w:fill="FFFFFF"/>
        <w:spacing w:beforeAutospacing="0" w:afterAutospacing="0" w:line="360" w:lineRule="auto"/>
        <w:ind w:firstLine="0"/>
        <w:rPr>
          <w:rFonts w:hint="eastAsia" w:eastAsia="宋体" w:cs="宋体"/>
          <w:highlight w:val="none"/>
          <w:shd w:val="clear" w:color="auto" w:fill="FFFFFF"/>
          <w:lang w:eastAsia="zh-CN"/>
        </w:rPr>
      </w:pPr>
      <w:r>
        <w:rPr>
          <w:rFonts w:hint="eastAsia" w:cs="宋体"/>
          <w:highlight w:val="none"/>
          <w:shd w:val="clear" w:color="auto" w:fill="FFFFFF"/>
        </w:rPr>
        <w:t>（4）落实政府采购政策需满足的资格要求：</w:t>
      </w:r>
      <w:r>
        <w:rPr>
          <w:rFonts w:hint="eastAsia" w:cs="宋体"/>
          <w:highlight w:val="none"/>
          <w:shd w:val="clear" w:color="auto" w:fill="FFFFFF"/>
          <w:lang w:eastAsia="zh-CN"/>
        </w:rPr>
        <w:t>无</w:t>
      </w:r>
    </w:p>
    <w:p w14:paraId="29910A4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三、获取招标文件</w:t>
      </w:r>
    </w:p>
    <w:p w14:paraId="668C983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1.时间：自本公告发布之日起至投标文件递交截止时间止。</w:t>
      </w:r>
    </w:p>
    <w:p w14:paraId="41E2762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2.地点：浙江政府采购云平台，网址http://www.zcygov.cn。</w:t>
      </w:r>
    </w:p>
    <w:p w14:paraId="47F4E6DA">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3.方式：在线获取（潜在供应商完成“政府采购云平台”账号注册后，通过浙江政府采购网公告下方“潜在供应商获取采购文件”跳转登录或直接登录“政府采购云平台”（账号或短信验证码或CA方式登录），依次进入「项目采购」-「获取采购文件」-「申请获取采购文件」后在线登记、获取采购文件 ）。</w:t>
      </w:r>
    </w:p>
    <w:p w14:paraId="707E4AF0">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4.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14:paraId="62C1257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5.售价（元）：0</w:t>
      </w:r>
    </w:p>
    <w:p w14:paraId="46D22AA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四、提交投标文件截止时间、开标时间和地点</w:t>
      </w:r>
    </w:p>
    <w:p w14:paraId="6DF0746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提交投标文件截止时间：</w:t>
      </w:r>
      <w:r>
        <w:rPr>
          <w:rFonts w:hint="eastAsia" w:cs="宋体"/>
          <w:highlight w:val="none"/>
          <w:shd w:val="clear" w:color="auto" w:fill="FFFFFF"/>
          <w:lang w:eastAsia="zh-CN"/>
        </w:rPr>
        <w:t xml:space="preserve">2025年 </w:t>
      </w:r>
      <w:r>
        <w:rPr>
          <w:rFonts w:hint="eastAsia" w:cs="宋体"/>
          <w:highlight w:val="none"/>
          <w:shd w:val="clear" w:color="auto" w:fill="FFFFFF"/>
          <w:lang w:val="en-US" w:eastAsia="zh-CN"/>
        </w:rPr>
        <w:t>4月15日</w:t>
      </w:r>
      <w:r>
        <w:rPr>
          <w:rFonts w:hint="eastAsia" w:cs="宋体"/>
          <w:highlight w:val="none"/>
          <w:shd w:val="clear" w:color="auto" w:fill="FFFFFF"/>
        </w:rPr>
        <w:t>09:00（北京时间）</w:t>
      </w:r>
    </w:p>
    <w:p w14:paraId="6C0BA7BE">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投标地点（网址）：请登录政采云投标客户端投标</w:t>
      </w:r>
    </w:p>
    <w:p w14:paraId="4FEACFB8">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开标时间：</w:t>
      </w:r>
      <w:r>
        <w:rPr>
          <w:rFonts w:hint="eastAsia" w:cs="宋体"/>
          <w:highlight w:val="none"/>
          <w:shd w:val="clear" w:color="auto" w:fill="FFFFFF"/>
          <w:lang w:eastAsia="zh-CN"/>
        </w:rPr>
        <w:t>2025年</w:t>
      </w:r>
      <w:r>
        <w:rPr>
          <w:rFonts w:hint="eastAsia" w:cs="宋体"/>
          <w:highlight w:val="none"/>
          <w:shd w:val="clear" w:color="auto" w:fill="FFFFFF"/>
          <w:lang w:val="en-US" w:eastAsia="zh-CN"/>
        </w:rPr>
        <w:t>4月 15日</w:t>
      </w:r>
      <w:r>
        <w:rPr>
          <w:rFonts w:hint="eastAsia" w:cs="宋体"/>
          <w:highlight w:val="none"/>
          <w:shd w:val="clear" w:color="auto" w:fill="FFFFFF"/>
        </w:rPr>
        <w:t>09:00（北京时间）</w:t>
      </w:r>
    </w:p>
    <w:p w14:paraId="6DEC861A">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开标地点（网址）：</w:t>
      </w:r>
      <w:r>
        <w:rPr>
          <w:rFonts w:hint="eastAsia" w:cs="宋体"/>
          <w:color w:val="auto"/>
          <w:highlight w:val="none"/>
          <w:shd w:val="clear" w:color="auto" w:fill="FFFFFF"/>
        </w:rPr>
        <w:t>新昌县七星街道</w:t>
      </w:r>
      <w:r>
        <w:rPr>
          <w:rFonts w:hint="eastAsia" w:cs="宋体"/>
          <w:color w:val="auto"/>
          <w:highlight w:val="none"/>
          <w:shd w:val="clear" w:color="auto" w:fill="FFFFFF"/>
          <w:lang w:val="en-US" w:eastAsia="zh-CN"/>
        </w:rPr>
        <w:t>体育场路</w:t>
      </w:r>
      <w:r>
        <w:rPr>
          <w:rFonts w:hint="eastAsia" w:cs="宋体"/>
          <w:color w:val="auto"/>
          <w:highlight w:val="none"/>
          <w:shd w:val="clear" w:color="auto" w:fill="FFFFFF"/>
        </w:rPr>
        <w:t>磕山佳苑2幢</w:t>
      </w:r>
      <w:r>
        <w:rPr>
          <w:rFonts w:hint="eastAsia" w:ascii="宋体" w:hAnsi="宋体"/>
          <w:highlight w:val="none"/>
          <w:lang w:val="en-US" w:eastAsia="zh-CN"/>
        </w:rPr>
        <w:t>3单元</w:t>
      </w:r>
      <w:r>
        <w:rPr>
          <w:rFonts w:hint="eastAsia" w:cs="宋体"/>
          <w:color w:val="auto"/>
          <w:highlight w:val="none"/>
          <w:shd w:val="clear" w:color="auto" w:fill="FFFFFF"/>
        </w:rPr>
        <w:t>322室</w:t>
      </w:r>
      <w:r>
        <w:rPr>
          <w:rFonts w:hint="eastAsia" w:cs="宋体"/>
          <w:color w:val="auto"/>
          <w:highlight w:val="none"/>
          <w:shd w:val="clear" w:color="auto" w:fill="FFFFFF"/>
          <w:lang w:eastAsia="zh-CN"/>
        </w:rPr>
        <w:t>（</w:t>
      </w:r>
      <w:r>
        <w:rPr>
          <w:rFonts w:hint="eastAsia" w:cs="宋体"/>
          <w:color w:val="auto"/>
          <w:highlight w:val="none"/>
          <w:shd w:val="clear" w:color="auto" w:fill="FFFFFF"/>
          <w:lang w:val="en-US" w:eastAsia="zh-CN"/>
        </w:rPr>
        <w:t>海洋城公寓楼南侧</w:t>
      </w:r>
      <w:r>
        <w:rPr>
          <w:rFonts w:hint="eastAsia" w:cs="宋体"/>
          <w:color w:val="auto"/>
          <w:highlight w:val="none"/>
          <w:shd w:val="clear" w:color="auto" w:fill="FFFFFF"/>
          <w:lang w:eastAsia="zh-CN"/>
        </w:rPr>
        <w:t>）</w:t>
      </w:r>
      <w:r>
        <w:rPr>
          <w:rFonts w:hint="eastAsia" w:cs="宋体"/>
          <w:color w:val="auto"/>
          <w:highlight w:val="none"/>
          <w:shd w:val="clear" w:color="auto" w:fill="FFFFFF"/>
        </w:rPr>
        <w:t>。</w:t>
      </w:r>
      <w:r>
        <w:rPr>
          <w:rFonts w:hint="eastAsia" w:cs="宋体"/>
          <w:highlight w:val="none"/>
          <w:shd w:val="clear" w:color="auto" w:fill="FFFFFF"/>
          <w:lang w:val="en-US" w:eastAsia="zh-CN"/>
        </w:rPr>
        <w:t xml:space="preserve"> </w:t>
      </w:r>
    </w:p>
    <w:p w14:paraId="06606A18">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五、公告期限</w:t>
      </w:r>
    </w:p>
    <w:p w14:paraId="6E1D194A">
      <w:pPr>
        <w:pStyle w:val="17"/>
        <w:shd w:val="clear" w:color="auto" w:fill="FFFFFF"/>
        <w:spacing w:beforeAutospacing="0" w:afterAutospacing="0" w:line="360" w:lineRule="auto"/>
        <w:ind w:firstLine="0"/>
        <w:rPr>
          <w:rFonts w:hint="eastAsia" w:cs="宋体"/>
          <w:color w:val="auto"/>
          <w:highlight w:val="none"/>
        </w:rPr>
      </w:pPr>
      <w:r>
        <w:rPr>
          <w:rFonts w:hint="eastAsia" w:cs="宋体"/>
          <w:color w:val="auto"/>
          <w:highlight w:val="none"/>
          <w:shd w:val="clear" w:color="auto" w:fill="FFFFFF"/>
        </w:rPr>
        <w:t>自本公告发布之日起5个工作日。</w:t>
      </w:r>
    </w:p>
    <w:p w14:paraId="24D7B1F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六、其他补充事宜</w:t>
      </w:r>
    </w:p>
    <w:p w14:paraId="7C40CEBB">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投标人认为采购文件使自己的权益受到损害的，可以自获取采购文件之日或者采购文件公告期限届满之日（采购文件公告期限届满后获取采购文件的，以采购文件公告期限届满之日为准）起7个工作日内，以书面形式一次性向采购人、采购代理机构提出质疑（未按规定获取采购文件的投标人对采购文件提起的质疑将不予受理）。质疑投标人对采购人、采购代理机构的答复不满意或者采购人、采购代理机构未在规定的时间内做出答复的，可以在答复期满后15个工作日内向同级政府采购监督管理部门投诉。质疑函范本、投诉书范本请到浙江政府采购网下载专区下载。</w:t>
      </w:r>
    </w:p>
    <w:p w14:paraId="37294E98">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2.其他事项</w:t>
      </w:r>
    </w:p>
    <w:p w14:paraId="2D3D4087">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助力扎实稳住经济的通知》（浙财采监〔2022〕8号）已分别于2022年1月29日、2022年2月1日、2022年7月1日开始实施，此前有关规定与上述文件内容不一致的，按上述文件要求执行。</w:t>
      </w:r>
    </w:p>
    <w:p w14:paraId="403F4C9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4DB59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（3）需要落实的政府采购政策：包括节约资源、保护环境、支持创新、促进中小企业发展、支持绿色发展等。  </w:t>
      </w:r>
    </w:p>
    <w:p w14:paraId="347C1359">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七、招标公告发布：浙江政府采购网和新昌县公共资源交易平台</w:t>
      </w:r>
    </w:p>
    <w:p w14:paraId="24B20A3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八、采购方、采购代理机构的名称、地址和联系方式</w:t>
      </w:r>
    </w:p>
    <w:p w14:paraId="50208D5F">
      <w:pPr>
        <w:pStyle w:val="17"/>
        <w:shd w:val="clear" w:color="auto" w:fill="FFFFFF"/>
        <w:spacing w:beforeAutospacing="0" w:afterAutospacing="0" w:line="360" w:lineRule="auto"/>
        <w:ind w:firstLine="0"/>
        <w:rPr>
          <w:rFonts w:hint="eastAsia" w:eastAsia="宋体" w:cs="宋体"/>
          <w:highlight w:val="none"/>
          <w:lang w:eastAsia="zh-CN"/>
        </w:rPr>
      </w:pPr>
      <w:r>
        <w:rPr>
          <w:rFonts w:hint="eastAsia" w:cs="宋体"/>
          <w:highlight w:val="none"/>
          <w:shd w:val="clear" w:color="auto" w:fill="FFFFFF"/>
        </w:rPr>
        <w:t>1、采购方名称：</w:t>
      </w:r>
      <w:r>
        <w:rPr>
          <w:rFonts w:hint="eastAsia" w:cs="宋体"/>
          <w:highlight w:val="none"/>
          <w:shd w:val="clear" w:color="auto" w:fill="FFFFFF"/>
          <w:lang w:eastAsia="zh-CN"/>
        </w:rPr>
        <w:t>新昌高新技术产业园区管理委员会</w:t>
      </w:r>
    </w:p>
    <w:p w14:paraId="73BE4DBB">
      <w:pPr>
        <w:pStyle w:val="17"/>
        <w:shd w:val="clear" w:color="auto" w:fill="FFFFFF"/>
        <w:spacing w:beforeAutospacing="0" w:afterAutospacing="0" w:line="360" w:lineRule="auto"/>
        <w:ind w:firstLine="0"/>
        <w:rPr>
          <w:rFonts w:hint="eastAsia" w:cs="宋体"/>
          <w:highlight w:val="none"/>
          <w:shd w:val="clear" w:color="auto" w:fill="FFFFFF"/>
        </w:rPr>
      </w:pPr>
      <w:r>
        <w:rPr>
          <w:rFonts w:hint="eastAsia" w:cs="宋体"/>
          <w:highlight w:val="none"/>
          <w:shd w:val="clear" w:color="auto" w:fill="FFFFFF"/>
        </w:rPr>
        <w:t>采购方地址:</w:t>
      </w:r>
      <w:r>
        <w:rPr>
          <w:rFonts w:hint="eastAsia" w:ascii="宋体" w:hAnsi="宋体" w:eastAsia="宋体" w:cs="宋体"/>
          <w:highlight w:val="none"/>
          <w:shd w:val="clear" w:color="auto" w:fill="FFFFFF"/>
          <w:lang w:eastAsia="zh-CN"/>
        </w:rPr>
        <w:t>新昌县七星街道三花路2号科创服务中心</w:t>
      </w:r>
    </w:p>
    <w:p w14:paraId="68EB31E5">
      <w:pPr>
        <w:pStyle w:val="17"/>
        <w:shd w:val="clear" w:color="auto" w:fill="FFFFFF"/>
        <w:spacing w:beforeAutospacing="0" w:afterAutospacing="0" w:line="360" w:lineRule="auto"/>
        <w:ind w:firstLine="0"/>
        <w:rPr>
          <w:rFonts w:hint="default" w:eastAsia="宋体" w:cs="宋体"/>
          <w:highlight w:val="none"/>
          <w:shd w:val="clear" w:color="auto" w:fill="FFFFFF"/>
          <w:lang w:val="en-US" w:eastAsia="zh-CN"/>
        </w:rPr>
      </w:pPr>
      <w:r>
        <w:rPr>
          <w:rFonts w:hint="eastAsia" w:cs="宋体"/>
          <w:highlight w:val="none"/>
          <w:shd w:val="clear" w:color="auto" w:fill="FFFFFF"/>
        </w:rPr>
        <w:t>操作联系人：俞</w:t>
      </w:r>
      <w:r>
        <w:rPr>
          <w:rFonts w:hint="eastAsia" w:cs="宋体"/>
          <w:highlight w:val="none"/>
          <w:shd w:val="clear" w:color="auto" w:fill="FFFFFF"/>
          <w:lang w:val="en-US" w:eastAsia="zh-CN"/>
        </w:rPr>
        <w:t>女士</w:t>
      </w:r>
      <w:r>
        <w:rPr>
          <w:rFonts w:hint="eastAsia" w:cs="宋体"/>
          <w:highlight w:val="none"/>
          <w:shd w:val="clear" w:color="auto" w:fill="FFFFFF"/>
        </w:rPr>
        <w:t xml:space="preserve"> 0575-86292070</w:t>
      </w:r>
    </w:p>
    <w:p w14:paraId="26C3BFBA">
      <w:pPr>
        <w:pStyle w:val="17"/>
        <w:shd w:val="clear" w:color="auto" w:fill="FFFFFF"/>
        <w:spacing w:beforeAutospacing="0" w:afterAutospacing="0" w:line="360" w:lineRule="auto"/>
        <w:ind w:firstLine="0"/>
        <w:rPr>
          <w:rFonts w:hint="default" w:eastAsia="宋体" w:cs="宋体"/>
          <w:highlight w:val="none"/>
          <w:lang w:val="en-US" w:eastAsia="zh-CN"/>
        </w:rPr>
      </w:pPr>
      <w:r>
        <w:rPr>
          <w:rFonts w:hint="eastAsia" w:cs="宋体"/>
          <w:highlight w:val="none"/>
          <w:shd w:val="clear" w:color="auto" w:fill="FFFFFF"/>
        </w:rPr>
        <w:t>质疑联系人：石</w:t>
      </w:r>
      <w:r>
        <w:rPr>
          <w:rFonts w:hint="eastAsia" w:cs="宋体"/>
          <w:highlight w:val="none"/>
          <w:shd w:val="clear" w:color="auto" w:fill="FFFFFF"/>
          <w:lang w:val="en-US" w:eastAsia="zh-CN"/>
        </w:rPr>
        <w:t>先生</w:t>
      </w:r>
      <w:r>
        <w:rPr>
          <w:rFonts w:hint="eastAsia" w:cs="宋体"/>
          <w:highlight w:val="none"/>
          <w:shd w:val="clear" w:color="auto" w:fill="FFFFFF"/>
        </w:rPr>
        <w:t xml:space="preserve"> 0575-86120330</w:t>
      </w:r>
    </w:p>
    <w:p w14:paraId="0B374B7F">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2、采购代理机构名称：新昌县鸿翔工程咨询有限公司</w:t>
      </w:r>
    </w:p>
    <w:p w14:paraId="7E4B149D">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采购代理机构地址：新昌县七星街道海洋城南区公寓楼21楼</w:t>
      </w:r>
    </w:p>
    <w:p w14:paraId="290D918E">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操作执行人：  王小姐   17758196696</w:t>
      </w:r>
    </w:p>
    <w:p w14:paraId="08D0E6A6">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质疑答复人： 方先生   14757587804</w:t>
      </w:r>
    </w:p>
    <w:p w14:paraId="001B7ADC">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采购代理机构传真：0575-86270111</w:t>
      </w:r>
    </w:p>
    <w:p w14:paraId="691BDE65">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3、同级政府采购监督管理部门名称：新昌县财政局</w:t>
      </w:r>
    </w:p>
    <w:p w14:paraId="01F98F5D">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联系人：任先生</w:t>
      </w:r>
    </w:p>
    <w:p w14:paraId="548E4E92">
      <w:pPr>
        <w:pStyle w:val="17"/>
        <w:shd w:val="clear" w:color="auto" w:fill="FFFFFF"/>
        <w:spacing w:beforeAutospacing="0" w:afterAutospacing="0" w:line="360" w:lineRule="auto"/>
        <w:ind w:firstLine="0"/>
        <w:rPr>
          <w:rFonts w:hint="eastAsia" w:cs="宋体"/>
          <w:highlight w:val="none"/>
        </w:rPr>
      </w:pPr>
      <w:r>
        <w:rPr>
          <w:rFonts w:hint="eastAsia" w:cs="宋体"/>
          <w:highlight w:val="none"/>
          <w:shd w:val="clear" w:color="auto" w:fill="FFFFFF"/>
        </w:rPr>
        <w:t>监督投诉电话：0575-86621309</w:t>
      </w:r>
    </w:p>
    <w:p w14:paraId="123C2BDB">
      <w:pPr>
        <w:pStyle w:val="17"/>
        <w:shd w:val="clear" w:color="auto" w:fill="FFFFFF"/>
        <w:spacing w:beforeAutospacing="0" w:afterAutospacing="0" w:line="360" w:lineRule="auto"/>
        <w:ind w:firstLine="0"/>
        <w:rPr>
          <w:rFonts w:hint="eastAsia" w:cs="宋体"/>
          <w:highlight w:val="none"/>
          <w:shd w:val="clear" w:color="auto" w:fill="FFFFFF"/>
        </w:rPr>
      </w:pPr>
      <w:r>
        <w:rPr>
          <w:rFonts w:hint="eastAsia" w:cs="宋体"/>
          <w:highlight w:val="none"/>
          <w:shd w:val="clear" w:color="auto" w:fill="FFFFFF"/>
        </w:rPr>
        <w:t>地址：新昌县鼓山中路118号</w:t>
      </w:r>
    </w:p>
    <w:p w14:paraId="2D889709">
      <w:pPr>
        <w:pStyle w:val="17"/>
        <w:shd w:val="clear" w:color="auto" w:fill="FFFFFF"/>
        <w:spacing w:beforeAutospacing="0" w:afterAutospacing="0" w:line="360" w:lineRule="auto"/>
        <w:ind w:firstLine="0"/>
        <w:rPr>
          <w:rFonts w:hint="eastAsia" w:cs="宋体"/>
          <w:highlight w:val="none"/>
          <w:shd w:val="clear" w:color="auto" w:fill="FFFFFF"/>
        </w:rPr>
      </w:pPr>
    </w:p>
    <w:p w14:paraId="1D7F0ED6">
      <w:pPr>
        <w:pStyle w:val="17"/>
        <w:shd w:val="clear" w:color="auto" w:fill="FFFFFF"/>
        <w:spacing w:beforeAutospacing="0" w:afterAutospacing="0" w:line="360" w:lineRule="auto"/>
        <w:ind w:firstLine="0"/>
        <w:rPr>
          <w:rFonts w:hint="eastAsia" w:cs="宋体"/>
          <w:highlight w:val="none"/>
          <w:shd w:val="clear" w:color="auto" w:fill="FFFFFF"/>
        </w:rPr>
      </w:pPr>
    </w:p>
    <w:p w14:paraId="78188C7D">
      <w:pPr>
        <w:spacing w:line="360" w:lineRule="auto"/>
        <w:ind w:firstLine="3360" w:firstLineChars="14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采购单位</w:t>
      </w:r>
      <w:r>
        <w:rPr>
          <w:rFonts w:hint="eastAsia" w:ascii="宋体" w:hAnsi="宋体" w:cs="宋体"/>
          <w:color w:val="auto"/>
          <w:spacing w:val="20"/>
          <w:sz w:val="24"/>
          <w:highlight w:val="none"/>
        </w:rPr>
        <w:t>：</w:t>
      </w:r>
      <w:r>
        <w:rPr>
          <w:rFonts w:hint="eastAsia" w:ascii="宋体" w:hAnsi="宋体" w:cs="宋体"/>
          <w:color w:val="auto"/>
          <w:sz w:val="24"/>
          <w:highlight w:val="none"/>
          <w:lang w:eastAsia="zh-CN"/>
        </w:rPr>
        <w:t>新昌高新技术产业园区管理委员会</w:t>
      </w:r>
    </w:p>
    <w:p w14:paraId="5811E11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代理机构：新昌县鸿翔工程咨询有限公司</w:t>
      </w:r>
    </w:p>
    <w:p w14:paraId="4274EE8F">
      <w:pPr>
        <w:spacing w:line="360" w:lineRule="auto"/>
        <w:ind w:right="84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2025年</w:t>
      </w:r>
      <w:r>
        <w:rPr>
          <w:rFonts w:hint="eastAsia" w:ascii="宋体" w:hAnsi="宋体" w:cs="宋体"/>
          <w:color w:val="auto"/>
          <w:sz w:val="24"/>
          <w:highlight w:val="none"/>
          <w:lang w:val="en-US" w:eastAsia="zh-CN"/>
        </w:rPr>
        <w:t xml:space="preserve"> 3 月 24 日</w:t>
      </w:r>
    </w:p>
    <w:p w14:paraId="747AE3D6">
      <w:pPr>
        <w:pStyle w:val="18"/>
        <w:spacing w:line="360" w:lineRule="auto"/>
        <w:rPr>
          <w:rFonts w:hint="eastAsia" w:ascii="宋体" w:hAnsi="宋体" w:cs="宋体"/>
          <w:color w:val="auto"/>
          <w:sz w:val="36"/>
          <w:szCs w:val="36"/>
          <w:highlight w:val="none"/>
        </w:rPr>
      </w:pPr>
    </w:p>
    <w:p w14:paraId="570E3776">
      <w:pPr>
        <w:pStyle w:val="18"/>
        <w:spacing w:line="360" w:lineRule="auto"/>
        <w:rPr>
          <w:rFonts w:hint="eastAsia" w:ascii="宋体" w:hAnsi="宋体" w:cs="宋体"/>
          <w:color w:val="auto"/>
          <w:sz w:val="24"/>
          <w:szCs w:val="24"/>
          <w:highlight w:val="none"/>
        </w:rPr>
      </w:pPr>
      <w:r>
        <w:rPr>
          <w:rFonts w:hint="eastAsia" w:ascii="宋体" w:hAnsi="宋体" w:cs="宋体"/>
          <w:color w:val="auto"/>
          <w:sz w:val="36"/>
          <w:szCs w:val="36"/>
          <w:highlight w:val="none"/>
        </w:rPr>
        <w:br w:type="page"/>
      </w:r>
      <w:r>
        <w:rPr>
          <w:rFonts w:hint="eastAsia" w:ascii="宋体" w:hAnsi="宋体" w:cs="宋体"/>
          <w:color w:val="auto"/>
          <w:sz w:val="36"/>
          <w:szCs w:val="36"/>
          <w:highlight w:val="none"/>
        </w:rPr>
        <w:t>第一章  采购需求</w:t>
      </w:r>
      <w:bookmarkStart w:id="2" w:name="_Toc454374910"/>
      <w:bookmarkStart w:id="3" w:name="_Toc125344503"/>
    </w:p>
    <w:bookmarkEnd w:id="2"/>
    <w:p w14:paraId="030400C9">
      <w:pPr>
        <w:spacing w:before="68" w:line="221"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1"/>
          <w:sz w:val="24"/>
          <w:szCs w:val="24"/>
          <w:highlight w:val="none"/>
        </w:rPr>
        <w:t>一、项目需求及技</w:t>
      </w:r>
      <w:r>
        <w:rPr>
          <w:rFonts w:hint="eastAsia" w:ascii="宋体" w:hAnsi="宋体" w:eastAsia="宋体" w:cs="宋体"/>
          <w:b/>
          <w:bCs/>
          <w:color w:val="auto"/>
          <w:sz w:val="24"/>
          <w:szCs w:val="24"/>
          <w:highlight w:val="none"/>
        </w:rPr>
        <w:t>术要求</w:t>
      </w:r>
    </w:p>
    <w:p w14:paraId="1A9B090A">
      <w:pPr>
        <w:spacing w:before="236" w:line="219" w:lineRule="auto"/>
        <w:ind w:left="460"/>
        <w:rPr>
          <w:rFonts w:hint="eastAsia" w:ascii="宋体" w:hAnsi="宋体" w:eastAsia="宋体" w:cs="宋体"/>
          <w:b/>
          <w:bCs/>
          <w:color w:val="auto"/>
          <w:sz w:val="24"/>
          <w:szCs w:val="24"/>
          <w:highlight w:val="none"/>
        </w:rPr>
      </w:pPr>
      <w:r>
        <w:rPr>
          <w:rFonts w:hint="eastAsia" w:ascii="宋体" w:hAnsi="宋体" w:eastAsia="宋体" w:cs="宋体"/>
          <w:b/>
          <w:bCs/>
          <w:color w:val="auto"/>
          <w:spacing w:val="-2"/>
          <w:sz w:val="24"/>
          <w:szCs w:val="24"/>
          <w:highlight w:val="none"/>
        </w:rPr>
        <w:t>1、《</w:t>
      </w:r>
      <w:r>
        <w:rPr>
          <w:rFonts w:hint="eastAsia" w:ascii="宋体" w:hAnsi="宋体" w:eastAsia="宋体" w:cs="宋体"/>
          <w:b/>
          <w:bCs/>
          <w:color w:val="auto"/>
          <w:spacing w:val="-2"/>
          <w:sz w:val="24"/>
          <w:szCs w:val="24"/>
          <w:highlight w:val="none"/>
          <w:lang w:eastAsia="zh-CN"/>
        </w:rPr>
        <w:t>新昌高新技术产业园区</w:t>
      </w:r>
      <w:r>
        <w:rPr>
          <w:rFonts w:hint="eastAsia" w:ascii="宋体" w:hAnsi="宋体" w:eastAsia="宋体" w:cs="宋体"/>
          <w:b/>
          <w:bCs/>
          <w:color w:val="auto"/>
          <w:spacing w:val="-1"/>
          <w:sz w:val="24"/>
          <w:szCs w:val="24"/>
          <w:highlight w:val="none"/>
          <w:lang w:eastAsia="zh-CN"/>
        </w:rPr>
        <w:t>化工园区整体性安全风险评估报告</w:t>
      </w:r>
      <w:r>
        <w:rPr>
          <w:rFonts w:hint="eastAsia" w:ascii="宋体" w:hAnsi="宋体" w:eastAsia="宋体" w:cs="宋体"/>
          <w:b/>
          <w:bCs/>
          <w:color w:val="auto"/>
          <w:spacing w:val="-1"/>
          <w:sz w:val="24"/>
          <w:szCs w:val="24"/>
          <w:highlight w:val="none"/>
        </w:rPr>
        <w:t>》</w:t>
      </w:r>
      <w:r>
        <w:rPr>
          <w:rFonts w:hint="eastAsia" w:ascii="宋体" w:hAnsi="宋体" w:eastAsia="宋体" w:cs="宋体"/>
          <w:b/>
          <w:bCs/>
          <w:color w:val="auto"/>
          <w:spacing w:val="-1"/>
          <w:sz w:val="24"/>
          <w:szCs w:val="24"/>
          <w:highlight w:val="none"/>
          <w:lang w:val="en-US" w:eastAsia="zh-CN"/>
        </w:rPr>
        <w:t>主要</w:t>
      </w:r>
      <w:r>
        <w:rPr>
          <w:rFonts w:hint="eastAsia" w:ascii="宋体" w:hAnsi="宋体" w:eastAsia="宋体" w:cs="宋体"/>
          <w:b/>
          <w:bCs/>
          <w:color w:val="auto"/>
          <w:spacing w:val="-1"/>
          <w:sz w:val="24"/>
          <w:szCs w:val="24"/>
          <w:highlight w:val="none"/>
        </w:rPr>
        <w:t>内容</w:t>
      </w:r>
    </w:p>
    <w:p w14:paraId="3E820145">
      <w:pPr>
        <w:spacing w:before="237" w:line="429" w:lineRule="auto"/>
        <w:ind w:left="26" w:firstLine="455"/>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(一)园区危险辨</w:t>
      </w:r>
      <w:r>
        <w:rPr>
          <w:rFonts w:hint="eastAsia" w:ascii="宋体" w:hAnsi="宋体" w:eastAsia="宋体" w:cs="宋体"/>
          <w:color w:val="auto"/>
          <w:spacing w:val="-3"/>
          <w:sz w:val="24"/>
          <w:szCs w:val="24"/>
          <w:highlight w:val="none"/>
        </w:rPr>
        <w:t>识、分析，以及危险化学品“两重点一重大”的辨识分析。危险物质状</w:t>
      </w:r>
      <w:r>
        <w:rPr>
          <w:rFonts w:hint="eastAsia" w:ascii="宋体" w:hAnsi="宋体" w:eastAsia="宋体" w:cs="宋体"/>
          <w:color w:val="auto"/>
          <w:spacing w:val="-6"/>
          <w:sz w:val="24"/>
          <w:szCs w:val="24"/>
          <w:highlight w:val="none"/>
        </w:rPr>
        <w:t>况统计分析、物质危险有害性分析、工艺过程危险性分析、化工装置风险分析、剧毒化学品</w:t>
      </w:r>
      <w:r>
        <w:rPr>
          <w:rFonts w:hint="eastAsia" w:ascii="宋体" w:hAnsi="宋体" w:eastAsia="宋体" w:cs="宋体"/>
          <w:color w:val="auto"/>
          <w:spacing w:val="-3"/>
          <w:sz w:val="24"/>
          <w:szCs w:val="24"/>
          <w:highlight w:val="none"/>
        </w:rPr>
        <w:t>、</w:t>
      </w:r>
      <w:r>
        <w:rPr>
          <w:rFonts w:hint="eastAsia" w:ascii="宋体" w:hAnsi="宋体" w:eastAsia="宋体" w:cs="宋体"/>
          <w:color w:val="auto"/>
          <w:spacing w:val="-4"/>
          <w:sz w:val="24"/>
          <w:szCs w:val="24"/>
          <w:highlight w:val="none"/>
        </w:rPr>
        <w:t>易制毒化学品及监控化学品</w:t>
      </w:r>
      <w:r>
        <w:rPr>
          <w:rFonts w:hint="eastAsia" w:ascii="宋体" w:hAnsi="宋体" w:eastAsia="宋体" w:cs="宋体"/>
          <w:color w:val="auto"/>
          <w:spacing w:val="-3"/>
          <w:sz w:val="24"/>
          <w:szCs w:val="24"/>
          <w:highlight w:val="none"/>
        </w:rPr>
        <w:t>辨</w:t>
      </w:r>
      <w:r>
        <w:rPr>
          <w:rFonts w:hint="eastAsia" w:ascii="宋体" w:hAnsi="宋体" w:eastAsia="宋体" w:cs="宋体"/>
          <w:color w:val="auto"/>
          <w:spacing w:val="-2"/>
          <w:sz w:val="24"/>
          <w:szCs w:val="24"/>
          <w:highlight w:val="none"/>
        </w:rPr>
        <w:t>识、危险化学品重大危险源辨识、分级、园区选址及布局安全</w:t>
      </w:r>
      <w:r>
        <w:rPr>
          <w:rFonts w:hint="eastAsia" w:ascii="宋体" w:hAnsi="宋体" w:eastAsia="宋体" w:cs="宋体"/>
          <w:color w:val="auto"/>
          <w:spacing w:val="-4"/>
          <w:sz w:val="24"/>
          <w:szCs w:val="24"/>
          <w:highlight w:val="none"/>
        </w:rPr>
        <w:t>性</w:t>
      </w:r>
      <w:r>
        <w:rPr>
          <w:rFonts w:hint="eastAsia" w:ascii="宋体" w:hAnsi="宋体" w:eastAsia="宋体" w:cs="宋体"/>
          <w:color w:val="auto"/>
          <w:spacing w:val="-3"/>
          <w:sz w:val="24"/>
          <w:szCs w:val="24"/>
          <w:highlight w:val="none"/>
        </w:rPr>
        <w:t>风险评估等。</w:t>
      </w:r>
    </w:p>
    <w:p w14:paraId="6D1891ED">
      <w:pPr>
        <w:spacing w:before="1" w:line="428" w:lineRule="auto"/>
        <w:ind w:left="26" w:right="72" w:firstLine="456"/>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(二)危险源事故</w:t>
      </w:r>
      <w:r>
        <w:rPr>
          <w:rFonts w:hint="eastAsia" w:ascii="宋体" w:hAnsi="宋体" w:eastAsia="宋体" w:cs="宋体"/>
          <w:color w:val="auto"/>
          <w:spacing w:val="-3"/>
          <w:sz w:val="24"/>
          <w:szCs w:val="24"/>
          <w:highlight w:val="none"/>
        </w:rPr>
        <w:t>后果分析。确定可能引发安全生产事故的风险种类，重点分析危险源之</w:t>
      </w:r>
      <w:r>
        <w:rPr>
          <w:rFonts w:hint="eastAsia" w:ascii="宋体" w:hAnsi="宋体" w:eastAsia="宋体" w:cs="宋体"/>
          <w:color w:val="auto"/>
          <w:spacing w:val="-9"/>
          <w:sz w:val="24"/>
          <w:szCs w:val="24"/>
          <w:highlight w:val="none"/>
        </w:rPr>
        <w:t>间</w:t>
      </w:r>
      <w:r>
        <w:rPr>
          <w:rFonts w:hint="eastAsia" w:ascii="宋体" w:hAnsi="宋体" w:eastAsia="宋体" w:cs="宋体"/>
          <w:color w:val="auto"/>
          <w:spacing w:val="-5"/>
          <w:sz w:val="24"/>
          <w:szCs w:val="24"/>
          <w:highlight w:val="none"/>
        </w:rPr>
        <w:t>及危险源与环境之间的相互影响，自然条件对危险源的影响，预测发生事故的可能性及其</w:t>
      </w:r>
      <w:r>
        <w:rPr>
          <w:rFonts w:hint="eastAsia" w:ascii="宋体" w:hAnsi="宋体" w:eastAsia="宋体" w:cs="宋体"/>
          <w:color w:val="auto"/>
          <w:spacing w:val="-4"/>
          <w:sz w:val="24"/>
          <w:szCs w:val="24"/>
          <w:highlight w:val="none"/>
        </w:rPr>
        <w:t>严重程度，提出科学、合理、可行的安全对策措施及建议。</w:t>
      </w:r>
    </w:p>
    <w:p w14:paraId="3F76D0FC">
      <w:pPr>
        <w:spacing w:before="1" w:line="428" w:lineRule="auto"/>
        <w:ind w:left="27" w:right="71" w:firstLine="454"/>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(三)园区安全生</w:t>
      </w:r>
      <w:r>
        <w:rPr>
          <w:rFonts w:hint="eastAsia" w:ascii="宋体" w:hAnsi="宋体" w:eastAsia="宋体" w:cs="宋体"/>
          <w:color w:val="auto"/>
          <w:spacing w:val="-3"/>
          <w:sz w:val="24"/>
          <w:szCs w:val="24"/>
          <w:highlight w:val="none"/>
        </w:rPr>
        <w:t>产及管理现状分析。</w:t>
      </w:r>
      <w:r>
        <w:rPr>
          <w:rFonts w:hint="eastAsia" w:ascii="宋体" w:hAnsi="宋体" w:eastAsia="宋体" w:cs="宋体"/>
          <w:color w:val="auto"/>
          <w:spacing w:val="-3"/>
          <w:sz w:val="24"/>
          <w:szCs w:val="24"/>
          <w:highlight w:val="none"/>
          <w:lang w:val="en-US" w:eastAsia="zh-CN"/>
        </w:rPr>
        <w:t>根据《化工园区安全风险治理排查导则》，结合提供资料和现场勘察情况，对化工园区的</w:t>
      </w:r>
      <w:r>
        <w:rPr>
          <w:rFonts w:hint="eastAsia" w:ascii="宋体" w:hAnsi="宋体" w:eastAsia="宋体" w:cs="宋体"/>
          <w:color w:val="auto"/>
          <w:spacing w:val="-6"/>
          <w:sz w:val="24"/>
          <w:szCs w:val="24"/>
          <w:highlight w:val="none"/>
        </w:rPr>
        <w:t>安全生</w:t>
      </w:r>
      <w:r>
        <w:rPr>
          <w:rFonts w:hint="eastAsia" w:ascii="宋体" w:hAnsi="宋体" w:eastAsia="宋体" w:cs="宋体"/>
          <w:color w:val="auto"/>
          <w:spacing w:val="-3"/>
          <w:sz w:val="24"/>
          <w:szCs w:val="24"/>
          <w:highlight w:val="none"/>
        </w:rPr>
        <w:t>产及管理现状</w:t>
      </w:r>
      <w:r>
        <w:rPr>
          <w:rFonts w:hint="eastAsia" w:ascii="宋体" w:hAnsi="宋体" w:eastAsia="宋体" w:cs="宋体"/>
          <w:color w:val="auto"/>
          <w:spacing w:val="-3"/>
          <w:sz w:val="24"/>
          <w:szCs w:val="24"/>
          <w:highlight w:val="none"/>
          <w:lang w:val="en-US" w:eastAsia="zh-CN"/>
        </w:rPr>
        <w:t>进行</w:t>
      </w:r>
      <w:r>
        <w:rPr>
          <w:rFonts w:hint="eastAsia" w:ascii="宋体" w:hAnsi="宋体" w:eastAsia="宋体" w:cs="宋体"/>
          <w:color w:val="auto"/>
          <w:spacing w:val="-3"/>
          <w:sz w:val="24"/>
          <w:szCs w:val="24"/>
          <w:highlight w:val="none"/>
        </w:rPr>
        <w:t>分析</w:t>
      </w: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针对发现的问题提出安全对策和建议。</w:t>
      </w:r>
    </w:p>
    <w:p w14:paraId="4B75EF73">
      <w:pPr>
        <w:spacing w:before="1" w:line="429" w:lineRule="auto"/>
        <w:ind w:left="29" w:right="72" w:firstLine="452"/>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(四)园区公共配</w:t>
      </w:r>
      <w:r>
        <w:rPr>
          <w:rFonts w:hint="eastAsia" w:ascii="宋体" w:hAnsi="宋体" w:eastAsia="宋体" w:cs="宋体"/>
          <w:color w:val="auto"/>
          <w:spacing w:val="-3"/>
          <w:sz w:val="24"/>
          <w:szCs w:val="24"/>
          <w:highlight w:val="none"/>
        </w:rPr>
        <w:t>套工程分析。对化工园区公用工程和基础设施安全进行分析；对园区</w:t>
      </w:r>
      <w:r>
        <w:rPr>
          <w:rFonts w:hint="eastAsia" w:ascii="宋体" w:hAnsi="宋体" w:eastAsia="宋体" w:cs="宋体"/>
          <w:color w:val="auto"/>
          <w:spacing w:val="-6"/>
          <w:sz w:val="24"/>
          <w:szCs w:val="24"/>
          <w:highlight w:val="none"/>
        </w:rPr>
        <w:t>公共配</w:t>
      </w:r>
      <w:r>
        <w:rPr>
          <w:rFonts w:hint="eastAsia" w:ascii="宋体" w:hAnsi="宋体" w:eastAsia="宋体" w:cs="宋体"/>
          <w:color w:val="auto"/>
          <w:spacing w:val="-3"/>
          <w:sz w:val="24"/>
          <w:szCs w:val="24"/>
          <w:highlight w:val="none"/>
        </w:rPr>
        <w:t>套工程</w:t>
      </w:r>
      <w:r>
        <w:rPr>
          <w:rFonts w:hint="eastAsia" w:ascii="宋体" w:hAnsi="宋体" w:eastAsia="宋体" w:cs="宋体"/>
          <w:color w:val="auto"/>
          <w:spacing w:val="-6"/>
          <w:sz w:val="24"/>
          <w:szCs w:val="24"/>
          <w:highlight w:val="none"/>
        </w:rPr>
        <w:t>与外部的安全</w:t>
      </w:r>
      <w:r>
        <w:rPr>
          <w:rFonts w:hint="eastAsia" w:ascii="宋体" w:hAnsi="宋体" w:eastAsia="宋体" w:cs="宋体"/>
          <w:color w:val="auto"/>
          <w:spacing w:val="-3"/>
          <w:sz w:val="24"/>
          <w:szCs w:val="24"/>
          <w:highlight w:val="none"/>
        </w:rPr>
        <w:t>防护距离进行核查。</w:t>
      </w:r>
    </w:p>
    <w:p w14:paraId="07F4BEA4">
      <w:pPr>
        <w:spacing w:before="3" w:line="428" w:lineRule="auto"/>
        <w:ind w:left="25" w:right="18" w:firstLine="457"/>
        <w:rPr>
          <w:rFonts w:hint="eastAsia" w:ascii="宋体" w:hAnsi="宋体" w:eastAsia="宋体" w:cs="宋体"/>
          <w:strike/>
          <w:dstrike w:val="0"/>
          <w:color w:val="auto"/>
          <w:sz w:val="24"/>
          <w:szCs w:val="24"/>
          <w:highlight w:val="none"/>
        </w:rPr>
      </w:pPr>
      <w:r>
        <w:rPr>
          <w:rFonts w:hint="eastAsia" w:ascii="宋体" w:hAnsi="宋体" w:eastAsia="宋体" w:cs="宋体"/>
          <w:color w:val="auto"/>
          <w:spacing w:val="-8"/>
          <w:sz w:val="24"/>
          <w:szCs w:val="24"/>
          <w:highlight w:val="none"/>
        </w:rPr>
        <w:t>(五)</w:t>
      </w:r>
      <w:r>
        <w:rPr>
          <w:rFonts w:hint="eastAsia" w:ascii="宋体" w:hAnsi="宋体" w:eastAsia="宋体" w:cs="宋体"/>
          <w:color w:val="auto"/>
          <w:spacing w:val="-8"/>
          <w:sz w:val="24"/>
          <w:szCs w:val="24"/>
          <w:highlight w:val="none"/>
          <w:lang w:val="en-US" w:eastAsia="zh-CN"/>
        </w:rPr>
        <w:t>整体性安全</w:t>
      </w:r>
      <w:r>
        <w:rPr>
          <w:rFonts w:hint="eastAsia" w:ascii="宋体" w:hAnsi="宋体" w:eastAsia="宋体" w:cs="宋体"/>
          <w:color w:val="auto"/>
          <w:spacing w:val="-8"/>
          <w:sz w:val="24"/>
          <w:szCs w:val="24"/>
          <w:highlight w:val="none"/>
        </w:rPr>
        <w:t>风</w:t>
      </w:r>
      <w:r>
        <w:rPr>
          <w:rFonts w:hint="eastAsia" w:ascii="宋体" w:hAnsi="宋体" w:eastAsia="宋体" w:cs="宋体"/>
          <w:color w:val="auto"/>
          <w:spacing w:val="-4"/>
          <w:sz w:val="24"/>
          <w:szCs w:val="24"/>
          <w:highlight w:val="none"/>
        </w:rPr>
        <w:t>险</w:t>
      </w:r>
      <w:r>
        <w:rPr>
          <w:rFonts w:hint="eastAsia" w:ascii="宋体" w:hAnsi="宋体" w:eastAsia="宋体" w:cs="宋体"/>
          <w:color w:val="auto"/>
          <w:spacing w:val="-4"/>
          <w:sz w:val="24"/>
          <w:szCs w:val="24"/>
          <w:highlight w:val="none"/>
          <w:lang w:val="en-US" w:eastAsia="zh-CN"/>
        </w:rPr>
        <w:t>定量评估</w:t>
      </w:r>
      <w:r>
        <w:rPr>
          <w:rFonts w:hint="eastAsia" w:ascii="宋体" w:hAnsi="宋体" w:eastAsia="宋体" w:cs="宋体"/>
          <w:color w:val="auto"/>
          <w:spacing w:val="-4"/>
          <w:sz w:val="24"/>
          <w:szCs w:val="24"/>
          <w:highlight w:val="none"/>
        </w:rPr>
        <w:t>。园区重大事故模拟，区域定量风险评价，</w:t>
      </w:r>
      <w:r>
        <w:rPr>
          <w:rFonts w:hint="eastAsia" w:ascii="宋体" w:hAnsi="宋体" w:eastAsia="宋体" w:cs="宋体"/>
          <w:color w:val="auto"/>
          <w:spacing w:val="1"/>
          <w:sz w:val="24"/>
          <w:szCs w:val="24"/>
          <w:highlight w:val="none"/>
        </w:rPr>
        <w:t>个</w:t>
      </w:r>
      <w:r>
        <w:rPr>
          <w:rFonts w:hint="eastAsia" w:ascii="宋体" w:hAnsi="宋体" w:eastAsia="宋体" w:cs="宋体"/>
          <w:color w:val="auto"/>
          <w:sz w:val="24"/>
          <w:szCs w:val="24"/>
          <w:highlight w:val="none"/>
        </w:rPr>
        <w:t>人风险、社会风险计算(由国际认可或国内认可的风险计算软件计算得出结果) 。通过科</w:t>
      </w:r>
      <w:r>
        <w:rPr>
          <w:rFonts w:hint="eastAsia" w:ascii="宋体" w:hAnsi="宋体" w:eastAsia="宋体" w:cs="宋体"/>
          <w:color w:val="auto"/>
          <w:spacing w:val="-18"/>
          <w:sz w:val="24"/>
          <w:szCs w:val="24"/>
          <w:highlight w:val="none"/>
        </w:rPr>
        <w:t>学方法</w:t>
      </w:r>
      <w:r>
        <w:rPr>
          <w:rFonts w:hint="eastAsia" w:ascii="宋体" w:hAnsi="宋体" w:eastAsia="宋体" w:cs="宋体"/>
          <w:color w:val="auto"/>
          <w:spacing w:val="-13"/>
          <w:sz w:val="24"/>
          <w:szCs w:val="24"/>
          <w:highlight w:val="none"/>
        </w:rPr>
        <w:t>计</w:t>
      </w:r>
      <w:r>
        <w:rPr>
          <w:rFonts w:hint="eastAsia" w:ascii="宋体" w:hAnsi="宋体" w:eastAsia="宋体" w:cs="宋体"/>
          <w:color w:val="auto"/>
          <w:spacing w:val="-9"/>
          <w:sz w:val="24"/>
          <w:szCs w:val="24"/>
          <w:highlight w:val="none"/>
        </w:rPr>
        <w:t>算个人风险和社会风险值，标明区域风险图，判定风险的可接受程度； 通过园区的</w:t>
      </w:r>
      <w:r>
        <w:rPr>
          <w:rFonts w:hint="eastAsia" w:ascii="宋体" w:hAnsi="宋体" w:eastAsia="宋体" w:cs="宋体"/>
          <w:color w:val="auto"/>
          <w:spacing w:val="-4"/>
          <w:sz w:val="24"/>
          <w:szCs w:val="24"/>
          <w:highlight w:val="none"/>
        </w:rPr>
        <w:t>安全容量分析对园区的合</w:t>
      </w:r>
      <w:r>
        <w:rPr>
          <w:rFonts w:hint="eastAsia" w:ascii="宋体" w:hAnsi="宋体" w:eastAsia="宋体" w:cs="宋体"/>
          <w:color w:val="auto"/>
          <w:spacing w:val="-3"/>
          <w:sz w:val="24"/>
          <w:szCs w:val="24"/>
          <w:highlight w:val="none"/>
        </w:rPr>
        <w:t>理</w:t>
      </w:r>
      <w:r>
        <w:rPr>
          <w:rFonts w:hint="eastAsia" w:ascii="宋体" w:hAnsi="宋体" w:eastAsia="宋体" w:cs="宋体"/>
          <w:color w:val="auto"/>
          <w:spacing w:val="-2"/>
          <w:sz w:val="24"/>
          <w:szCs w:val="24"/>
          <w:highlight w:val="none"/>
        </w:rPr>
        <w:t>发展、发展规模、发展方式提供参考建议；</w:t>
      </w:r>
    </w:p>
    <w:p w14:paraId="20A14FF2">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52"/>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(六)园</w:t>
      </w:r>
      <w:r>
        <w:rPr>
          <w:rFonts w:hint="eastAsia" w:ascii="宋体" w:hAnsi="宋体" w:eastAsia="宋体" w:cs="宋体"/>
          <w:color w:val="auto"/>
          <w:spacing w:val="-4"/>
          <w:sz w:val="24"/>
          <w:szCs w:val="24"/>
          <w:highlight w:val="none"/>
        </w:rPr>
        <w:t>区应急救援能力综合分析与现状评价。从监管力量和应急资源层面，评估安全、消防、医疗、人力、应急物资</w:t>
      </w:r>
      <w:r>
        <w:rPr>
          <w:rFonts w:hint="eastAsia" w:ascii="宋体" w:hAnsi="宋体" w:eastAsia="宋体" w:cs="宋体"/>
          <w:color w:val="auto"/>
          <w:spacing w:val="-3"/>
          <w:sz w:val="24"/>
          <w:szCs w:val="24"/>
          <w:highlight w:val="none"/>
        </w:rPr>
        <w:t>装</w:t>
      </w:r>
      <w:r>
        <w:rPr>
          <w:rFonts w:hint="eastAsia" w:ascii="宋体" w:hAnsi="宋体" w:eastAsia="宋体" w:cs="宋体"/>
          <w:color w:val="auto"/>
          <w:spacing w:val="-2"/>
          <w:sz w:val="24"/>
          <w:szCs w:val="24"/>
          <w:highlight w:val="none"/>
        </w:rPr>
        <w:t>备、公辅配套工程等资源是否满足安全要求，</w:t>
      </w:r>
      <w:r>
        <w:rPr>
          <w:rFonts w:hint="eastAsia" w:ascii="宋体" w:hAnsi="宋体" w:eastAsia="宋体" w:cs="宋体"/>
          <w:color w:val="auto"/>
          <w:spacing w:val="-5"/>
          <w:sz w:val="24"/>
          <w:szCs w:val="24"/>
          <w:highlight w:val="none"/>
        </w:rPr>
        <w:t>为建</w:t>
      </w:r>
      <w:r>
        <w:rPr>
          <w:rFonts w:hint="eastAsia" w:ascii="宋体" w:hAnsi="宋体" w:eastAsia="宋体" w:cs="宋体"/>
          <w:color w:val="auto"/>
          <w:spacing w:val="-1"/>
          <w:sz w:val="24"/>
          <w:szCs w:val="24"/>
          <w:highlight w:val="none"/>
          <w:lang w:val="en-US" w:eastAsia="zh-CN"/>
        </w:rPr>
        <w:t>新昌高新技术产业园区</w:t>
      </w:r>
      <w:r>
        <w:rPr>
          <w:rFonts w:hint="eastAsia" w:ascii="宋体" w:hAnsi="宋体" w:eastAsia="宋体" w:cs="宋体"/>
          <w:color w:val="auto"/>
          <w:spacing w:val="-5"/>
          <w:sz w:val="24"/>
          <w:szCs w:val="24"/>
          <w:highlight w:val="none"/>
          <w:lang w:eastAsia="zh-CN"/>
        </w:rPr>
        <w:t>化工园区</w:t>
      </w:r>
      <w:r>
        <w:rPr>
          <w:rFonts w:hint="eastAsia" w:ascii="宋体" w:hAnsi="宋体" w:eastAsia="宋体" w:cs="宋体"/>
          <w:color w:val="auto"/>
          <w:spacing w:val="3"/>
          <w:sz w:val="24"/>
          <w:szCs w:val="24"/>
          <w:highlight w:val="none"/>
        </w:rPr>
        <w:t>安全监控应急管理系统提供科学依据。</w:t>
      </w:r>
    </w:p>
    <w:p w14:paraId="23B7F12F">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57"/>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(七)从保护园区</w:t>
      </w:r>
      <w:r>
        <w:rPr>
          <w:rFonts w:hint="eastAsia" w:ascii="宋体" w:hAnsi="宋体" w:eastAsia="宋体" w:cs="宋体"/>
          <w:color w:val="auto"/>
          <w:spacing w:val="-3"/>
          <w:sz w:val="24"/>
          <w:szCs w:val="24"/>
          <w:highlight w:val="none"/>
        </w:rPr>
        <w:t>安全、环保、可持续发展，控制和降低运行风险的角度，提出详细的安</w:t>
      </w:r>
      <w:r>
        <w:rPr>
          <w:rFonts w:hint="eastAsia" w:ascii="宋体" w:hAnsi="宋体" w:eastAsia="宋体" w:cs="宋体"/>
          <w:color w:val="auto"/>
          <w:spacing w:val="-4"/>
          <w:sz w:val="24"/>
          <w:szCs w:val="24"/>
          <w:highlight w:val="none"/>
        </w:rPr>
        <w:t>全</w:t>
      </w:r>
      <w:r>
        <w:rPr>
          <w:rFonts w:hint="eastAsia" w:ascii="宋体" w:hAnsi="宋体" w:eastAsia="宋体" w:cs="宋体"/>
          <w:color w:val="auto"/>
          <w:spacing w:val="-3"/>
          <w:sz w:val="24"/>
          <w:szCs w:val="24"/>
          <w:highlight w:val="none"/>
        </w:rPr>
        <w:t>对</w:t>
      </w:r>
      <w:r>
        <w:rPr>
          <w:rFonts w:hint="eastAsia" w:ascii="宋体" w:hAnsi="宋体" w:eastAsia="宋体" w:cs="宋体"/>
          <w:color w:val="auto"/>
          <w:spacing w:val="-2"/>
          <w:sz w:val="24"/>
          <w:szCs w:val="24"/>
          <w:highlight w:val="none"/>
        </w:rPr>
        <w:t>策建议及措施。</w:t>
      </w:r>
    </w:p>
    <w:p w14:paraId="313EF4B0">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8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(八)</w:t>
      </w:r>
      <w:r>
        <w:rPr>
          <w:rFonts w:hint="eastAsia" w:ascii="宋体" w:hAnsi="宋体" w:eastAsia="宋体" w:cs="宋体"/>
          <w:color w:val="auto"/>
          <w:spacing w:val="-1"/>
          <w:sz w:val="24"/>
          <w:szCs w:val="24"/>
          <w:highlight w:val="none"/>
          <w:lang w:val="en-US" w:eastAsia="zh-CN"/>
        </w:rPr>
        <w:t>新昌高新技术产业园区</w:t>
      </w:r>
      <w:r>
        <w:rPr>
          <w:rFonts w:hint="eastAsia" w:ascii="宋体" w:hAnsi="宋体" w:eastAsia="宋体" w:cs="宋体"/>
          <w:color w:val="auto"/>
          <w:spacing w:val="-5"/>
          <w:sz w:val="24"/>
          <w:szCs w:val="24"/>
          <w:highlight w:val="none"/>
          <w:lang w:eastAsia="zh-CN"/>
        </w:rPr>
        <w:t>化工园区</w:t>
      </w:r>
      <w:r>
        <w:rPr>
          <w:rFonts w:hint="eastAsia" w:ascii="宋体" w:hAnsi="宋体" w:eastAsia="宋体" w:cs="宋体"/>
          <w:color w:val="auto"/>
          <w:spacing w:val="2"/>
          <w:sz w:val="24"/>
          <w:szCs w:val="24"/>
          <w:highlight w:val="none"/>
        </w:rPr>
        <w:t>管控一体化实施效果综合评价</w:t>
      </w:r>
      <w:r>
        <w:rPr>
          <w:rFonts w:hint="eastAsia" w:ascii="宋体" w:hAnsi="宋体" w:eastAsia="宋体" w:cs="宋体"/>
          <w:color w:val="auto"/>
          <w:sz w:val="24"/>
          <w:szCs w:val="24"/>
          <w:highlight w:val="none"/>
        </w:rPr>
        <w:t>。</w:t>
      </w:r>
    </w:p>
    <w:p w14:paraId="66F15976">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94"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3"/>
          <w:sz w:val="24"/>
          <w:szCs w:val="24"/>
          <w:highlight w:val="none"/>
        </w:rPr>
        <w:t>2、《</w:t>
      </w:r>
      <w:r>
        <w:rPr>
          <w:rFonts w:hint="eastAsia" w:ascii="宋体" w:hAnsi="宋体" w:eastAsia="宋体" w:cs="宋体"/>
          <w:b/>
          <w:bCs/>
          <w:color w:val="auto"/>
          <w:spacing w:val="-1"/>
          <w:sz w:val="24"/>
          <w:szCs w:val="24"/>
          <w:highlight w:val="none"/>
          <w:lang w:val="en-US" w:eastAsia="zh-CN"/>
        </w:rPr>
        <w:t>新昌高新技术产业园区化工园区安全风险叠加动态评估</w:t>
      </w:r>
      <w:r>
        <w:rPr>
          <w:rFonts w:hint="eastAsia" w:ascii="宋体" w:hAnsi="宋体" w:eastAsia="宋体" w:cs="宋体"/>
          <w:b/>
          <w:bCs/>
          <w:color w:val="auto"/>
          <w:spacing w:val="3"/>
          <w:sz w:val="24"/>
          <w:szCs w:val="24"/>
          <w:highlight w:val="none"/>
        </w:rPr>
        <w:t>》</w:t>
      </w:r>
      <w:r>
        <w:rPr>
          <w:rFonts w:hint="eastAsia" w:ascii="宋体" w:hAnsi="宋体" w:eastAsia="宋体" w:cs="宋体"/>
          <w:b/>
          <w:bCs/>
          <w:color w:val="auto"/>
          <w:spacing w:val="3"/>
          <w:sz w:val="24"/>
          <w:szCs w:val="24"/>
          <w:highlight w:val="none"/>
          <w:lang w:val="en-US" w:eastAsia="zh-CN"/>
        </w:rPr>
        <w:t>主要</w:t>
      </w:r>
      <w:r>
        <w:rPr>
          <w:rFonts w:hint="eastAsia" w:ascii="宋体" w:hAnsi="宋体" w:eastAsia="宋体" w:cs="宋体"/>
          <w:b/>
          <w:bCs/>
          <w:color w:val="auto"/>
          <w:spacing w:val="2"/>
          <w:sz w:val="24"/>
          <w:szCs w:val="24"/>
          <w:highlight w:val="none"/>
        </w:rPr>
        <w:t>内</w:t>
      </w:r>
      <w:r>
        <w:rPr>
          <w:rFonts w:hint="eastAsia" w:ascii="宋体" w:hAnsi="宋体" w:eastAsia="宋体" w:cs="宋体"/>
          <w:b/>
          <w:bCs/>
          <w:color w:val="auto"/>
          <w:sz w:val="24"/>
          <w:szCs w:val="24"/>
          <w:highlight w:val="none"/>
        </w:rPr>
        <w:t>容</w:t>
      </w:r>
    </w:p>
    <w:p w14:paraId="615C9C82">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rPr>
        <w:t>在对</w:t>
      </w:r>
      <w:r>
        <w:rPr>
          <w:rFonts w:hint="eastAsia" w:ascii="宋体" w:hAnsi="宋体" w:eastAsia="宋体" w:cs="宋体"/>
          <w:color w:val="auto"/>
          <w:spacing w:val="-1"/>
          <w:sz w:val="24"/>
          <w:szCs w:val="24"/>
          <w:highlight w:val="none"/>
          <w:lang w:val="en-US" w:eastAsia="zh-CN"/>
        </w:rPr>
        <w:t>园区</w:t>
      </w:r>
      <w:r>
        <w:rPr>
          <w:rFonts w:hint="eastAsia" w:ascii="宋体" w:hAnsi="宋体" w:eastAsia="宋体" w:cs="宋体"/>
          <w:color w:val="auto"/>
          <w:spacing w:val="-1"/>
          <w:sz w:val="24"/>
          <w:szCs w:val="24"/>
          <w:highlight w:val="none"/>
        </w:rPr>
        <w:t>所有已评估的危险化学品生产装置和储存设施单元的基础上，叠加建设项目新增、变更的危险化学品生产装置和储存设施单元，通过进行定量风险评估和多米诺效应模拟计算，输出叠加建设项目前后化工园区个人风险、社会风险和多米诺效应变化结果</w:t>
      </w:r>
      <w:r>
        <w:rPr>
          <w:rFonts w:hint="eastAsia" w:ascii="宋体" w:hAnsi="宋体" w:eastAsia="宋体" w:cs="宋体"/>
          <w:color w:val="auto"/>
          <w:spacing w:val="-1"/>
          <w:sz w:val="24"/>
          <w:szCs w:val="24"/>
          <w:highlight w:val="none"/>
          <w:lang w:val="en-US" w:eastAsia="zh-CN"/>
        </w:rPr>
        <w:t>，并编制成报告（若园区未发生重大变更，该项目可不输出报告）。</w:t>
      </w:r>
    </w:p>
    <w:p w14:paraId="69BC7543">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8" w:firstLineChars="200"/>
        <w:textAlignment w:val="auto"/>
        <w:rPr>
          <w:rFonts w:hint="eastAsia" w:ascii="宋体" w:hAnsi="宋体" w:eastAsia="宋体" w:cs="宋体"/>
          <w:b/>
          <w:bCs/>
          <w:color w:val="auto"/>
          <w:spacing w:val="-1"/>
          <w:sz w:val="24"/>
          <w:szCs w:val="24"/>
          <w:highlight w:val="none"/>
          <w:lang w:val="en-US" w:eastAsia="zh-CN"/>
        </w:rPr>
      </w:pPr>
      <w:r>
        <w:rPr>
          <w:rFonts w:hint="eastAsia" w:ascii="宋体" w:hAnsi="宋体" w:eastAsia="宋体" w:cs="宋体"/>
          <w:b/>
          <w:bCs/>
          <w:color w:val="auto"/>
          <w:spacing w:val="-1"/>
          <w:sz w:val="24"/>
          <w:szCs w:val="24"/>
          <w:highlight w:val="none"/>
          <w:lang w:val="en-US" w:eastAsia="zh-CN"/>
        </w:rPr>
        <w:t>3、《新昌高新技术产业园区化工园区建设项目入园安全条件咨询》主要内容</w:t>
      </w:r>
    </w:p>
    <w:p w14:paraId="5E726826">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每年入园项目提供入园安全条件咨询，并出具报告。</w:t>
      </w:r>
    </w:p>
    <w:p w14:paraId="2A9623CF">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8" w:firstLineChars="200"/>
        <w:textAlignment w:val="auto"/>
        <w:rPr>
          <w:rFonts w:hint="eastAsia" w:ascii="宋体" w:hAnsi="宋体" w:eastAsia="宋体" w:cs="宋体"/>
          <w:b/>
          <w:bCs/>
          <w:color w:val="auto"/>
          <w:spacing w:val="-1"/>
          <w:sz w:val="24"/>
          <w:szCs w:val="24"/>
          <w:highlight w:val="none"/>
          <w:lang w:val="en-US" w:eastAsia="zh-CN"/>
        </w:rPr>
      </w:pPr>
      <w:r>
        <w:rPr>
          <w:rFonts w:hint="eastAsia" w:ascii="宋体" w:hAnsi="宋体" w:eastAsia="宋体" w:cs="宋体"/>
          <w:b/>
          <w:bCs/>
          <w:color w:val="auto"/>
          <w:spacing w:val="-1"/>
          <w:sz w:val="24"/>
          <w:szCs w:val="24"/>
          <w:highlight w:val="none"/>
          <w:lang w:val="en-US" w:eastAsia="zh-CN"/>
        </w:rPr>
        <w:t>4、《新昌高新技术产业园区化工园区安全风险排查治理提升整治技术服务》主要内容</w:t>
      </w:r>
    </w:p>
    <w:p w14:paraId="2DBF56D3">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（一）每年提供至少1次整治提升技术服务；</w:t>
      </w:r>
    </w:p>
    <w:p w14:paraId="792E111E">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6"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（二）提供3年内化工园区可持续安全发展辅助决策咨询技术服务。</w:t>
      </w:r>
    </w:p>
    <w:p w14:paraId="2EF6BC50">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4"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2"/>
          <w:sz w:val="24"/>
          <w:szCs w:val="24"/>
          <w:highlight w:val="none"/>
          <w:lang w:val="en-US" w:eastAsia="zh-CN"/>
        </w:rPr>
        <w:t>5</w:t>
      </w:r>
      <w:r>
        <w:rPr>
          <w:rFonts w:hint="eastAsia" w:ascii="宋体" w:hAnsi="宋体" w:eastAsia="宋体" w:cs="宋体"/>
          <w:b/>
          <w:bCs/>
          <w:color w:val="auto"/>
          <w:spacing w:val="-2"/>
          <w:sz w:val="24"/>
          <w:szCs w:val="24"/>
          <w:highlight w:val="none"/>
        </w:rPr>
        <w:t>、相关</w:t>
      </w:r>
      <w:r>
        <w:rPr>
          <w:rFonts w:hint="eastAsia" w:ascii="宋体" w:hAnsi="宋体" w:eastAsia="宋体" w:cs="宋体"/>
          <w:b/>
          <w:bCs/>
          <w:color w:val="auto"/>
          <w:spacing w:val="-1"/>
          <w:sz w:val="24"/>
          <w:szCs w:val="24"/>
          <w:highlight w:val="none"/>
        </w:rPr>
        <w:t>要求</w:t>
      </w:r>
    </w:p>
    <w:p w14:paraId="6A33205E">
      <w:pPr>
        <w:keepNext w:val="0"/>
        <w:keepLines w:val="0"/>
        <w:pageBreakBefore w:val="0"/>
        <w:widowControl w:val="0"/>
        <w:kinsoku/>
        <w:wordWrap/>
        <w:overflowPunct/>
        <w:topLinePunct w:val="0"/>
        <w:autoSpaceDE w:val="0"/>
        <w:autoSpaceDN w:val="0"/>
        <w:bidi w:val="0"/>
        <w:adjustRightInd w:val="0"/>
        <w:snapToGrid w:val="0"/>
        <w:spacing w:line="360" w:lineRule="auto"/>
        <w:ind w:left="0" w:right="0" w:firstLine="47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(一)评价要依据国家有关法律、法规以及现</w:t>
      </w:r>
      <w:r>
        <w:rPr>
          <w:rFonts w:hint="eastAsia" w:ascii="宋体" w:hAnsi="宋体" w:eastAsia="宋体" w:cs="宋体"/>
          <w:color w:val="auto"/>
          <w:spacing w:val="-1"/>
          <w:sz w:val="24"/>
          <w:szCs w:val="24"/>
          <w:highlight w:val="none"/>
        </w:rPr>
        <w:t>行有效的国家标准和行业标准。</w:t>
      </w:r>
    </w:p>
    <w:p w14:paraId="2CC2D271">
      <w:pPr>
        <w:spacing w:before="232" w:line="429" w:lineRule="auto"/>
        <w:ind w:left="24" w:right="72" w:firstLine="457"/>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(二)评价机构要</w:t>
      </w:r>
      <w:r>
        <w:rPr>
          <w:rFonts w:hint="eastAsia" w:ascii="宋体" w:hAnsi="宋体" w:eastAsia="宋体" w:cs="宋体"/>
          <w:color w:val="auto"/>
          <w:spacing w:val="-3"/>
          <w:sz w:val="24"/>
          <w:szCs w:val="24"/>
          <w:highlight w:val="none"/>
        </w:rPr>
        <w:t>积极配合监管部门现场审查工作，对评价进度和发现的重大安全隐患应</w:t>
      </w:r>
      <w:r>
        <w:rPr>
          <w:rFonts w:hint="eastAsia" w:ascii="宋体" w:hAnsi="宋体" w:eastAsia="宋体" w:cs="宋体"/>
          <w:color w:val="auto"/>
          <w:spacing w:val="-1"/>
          <w:sz w:val="24"/>
          <w:szCs w:val="24"/>
          <w:highlight w:val="none"/>
        </w:rPr>
        <w:t>及时与监</w:t>
      </w:r>
      <w:r>
        <w:rPr>
          <w:rFonts w:hint="eastAsia" w:ascii="宋体" w:hAnsi="宋体" w:eastAsia="宋体" w:cs="宋体"/>
          <w:color w:val="auto"/>
          <w:sz w:val="24"/>
          <w:szCs w:val="24"/>
          <w:highlight w:val="none"/>
        </w:rPr>
        <w:t>管部门沟通。</w:t>
      </w:r>
    </w:p>
    <w:p w14:paraId="79274C63">
      <w:pPr>
        <w:spacing w:before="1" w:line="428" w:lineRule="auto"/>
        <w:ind w:left="24" w:right="72" w:firstLine="457"/>
        <w:rPr>
          <w:rFonts w:hint="eastAsia" w:ascii="宋体" w:hAnsi="宋体" w:eastAsia="宋体" w:cs="宋体"/>
          <w:color w:val="auto"/>
          <w:spacing w:val="-7"/>
          <w:sz w:val="24"/>
          <w:szCs w:val="24"/>
          <w:highlight w:val="none"/>
        </w:rPr>
      </w:pPr>
      <w:r>
        <w:rPr>
          <w:rFonts w:hint="eastAsia" w:ascii="宋体" w:hAnsi="宋体" w:eastAsia="宋体" w:cs="宋体"/>
          <w:color w:val="auto"/>
          <w:spacing w:val="-1"/>
          <w:sz w:val="24"/>
          <w:szCs w:val="24"/>
          <w:highlight w:val="none"/>
        </w:rPr>
        <w:t>(三)自合同签订之日起，需在</w:t>
      </w:r>
      <w:r>
        <w:rPr>
          <w:rFonts w:hint="eastAsia" w:ascii="宋体" w:hAnsi="宋体" w:eastAsia="宋体" w:cs="宋体"/>
          <w:color w:val="auto"/>
          <w:spacing w:val="-1"/>
          <w:sz w:val="24"/>
          <w:szCs w:val="24"/>
          <w:highlight w:val="none"/>
          <w:lang w:val="en-US" w:eastAsia="zh-CN"/>
        </w:rPr>
        <w:t>90</w:t>
      </w:r>
      <w:r>
        <w:rPr>
          <w:rFonts w:hint="eastAsia" w:ascii="宋体" w:hAnsi="宋体" w:eastAsia="宋体" w:cs="宋体"/>
          <w:color w:val="auto"/>
          <w:spacing w:val="-1"/>
          <w:sz w:val="24"/>
          <w:szCs w:val="24"/>
          <w:highlight w:val="none"/>
        </w:rPr>
        <w:t>个</w:t>
      </w:r>
      <w:r>
        <w:rPr>
          <w:rFonts w:hint="eastAsia" w:ascii="宋体" w:hAnsi="宋体" w:eastAsia="宋体" w:cs="宋体"/>
          <w:color w:val="auto"/>
          <w:spacing w:val="-1"/>
          <w:sz w:val="24"/>
          <w:szCs w:val="24"/>
          <w:highlight w:val="none"/>
          <w:lang w:val="en-US" w:eastAsia="zh-CN"/>
        </w:rPr>
        <w:t>工作日</w:t>
      </w:r>
      <w:r>
        <w:rPr>
          <w:rFonts w:hint="eastAsia" w:ascii="宋体" w:hAnsi="宋体" w:eastAsia="宋体" w:cs="宋体"/>
          <w:color w:val="auto"/>
          <w:spacing w:val="-1"/>
          <w:sz w:val="24"/>
          <w:szCs w:val="24"/>
          <w:highlight w:val="none"/>
        </w:rPr>
        <w:t>内完成</w:t>
      </w:r>
      <w:r>
        <w:rPr>
          <w:rFonts w:hint="eastAsia" w:ascii="宋体" w:hAnsi="宋体" w:eastAsia="宋体" w:cs="宋体"/>
          <w:color w:val="auto"/>
          <w:sz w:val="24"/>
          <w:szCs w:val="24"/>
          <w:highlight w:val="none"/>
          <w:lang w:val="en-US" w:eastAsia="zh-CN"/>
        </w:rPr>
        <w:t>2025年</w:t>
      </w:r>
      <w:r>
        <w:rPr>
          <w:rFonts w:hint="eastAsia" w:ascii="宋体" w:hAnsi="宋体" w:eastAsia="宋体" w:cs="宋体"/>
          <w:color w:val="auto"/>
          <w:sz w:val="24"/>
          <w:szCs w:val="24"/>
          <w:highlight w:val="none"/>
          <w:lang w:eastAsia="zh-CN"/>
        </w:rPr>
        <w:t>新昌高新技术产业园区化工园区</w:t>
      </w:r>
      <w:r>
        <w:rPr>
          <w:rFonts w:hint="eastAsia" w:ascii="宋体" w:hAnsi="宋体" w:eastAsia="宋体" w:cs="宋体"/>
          <w:color w:val="auto"/>
          <w:sz w:val="24"/>
          <w:szCs w:val="24"/>
          <w:highlight w:val="none"/>
        </w:rPr>
        <w:t>风险</w:t>
      </w:r>
      <w:r>
        <w:rPr>
          <w:rFonts w:hint="eastAsia" w:ascii="宋体" w:hAnsi="宋体" w:eastAsia="宋体" w:cs="宋体"/>
          <w:color w:val="auto"/>
          <w:spacing w:val="-14"/>
          <w:sz w:val="24"/>
          <w:szCs w:val="24"/>
          <w:highlight w:val="none"/>
          <w:lang w:val="en-US" w:eastAsia="zh-CN"/>
        </w:rPr>
        <w:t>评估</w:t>
      </w:r>
      <w:r>
        <w:rPr>
          <w:rFonts w:hint="eastAsia" w:ascii="宋体" w:hAnsi="宋体" w:eastAsia="宋体" w:cs="宋体"/>
          <w:color w:val="auto"/>
          <w:spacing w:val="-11"/>
          <w:sz w:val="24"/>
          <w:szCs w:val="24"/>
          <w:highlight w:val="none"/>
        </w:rPr>
        <w:t>工</w:t>
      </w:r>
      <w:r>
        <w:rPr>
          <w:rFonts w:hint="eastAsia" w:ascii="宋体" w:hAnsi="宋体" w:eastAsia="宋体" w:cs="宋体"/>
          <w:color w:val="auto"/>
          <w:spacing w:val="-7"/>
          <w:sz w:val="24"/>
          <w:szCs w:val="24"/>
          <w:highlight w:val="none"/>
        </w:rPr>
        <w:t>作，并提交全部评价报告。中标单位负责组织专家对评价报告进行评审， 需配合评审</w:t>
      </w:r>
      <w:r>
        <w:rPr>
          <w:rFonts w:hint="eastAsia" w:ascii="宋体" w:hAnsi="宋体" w:eastAsia="宋体" w:cs="宋体"/>
          <w:color w:val="auto"/>
          <w:spacing w:val="-11"/>
          <w:sz w:val="24"/>
          <w:szCs w:val="24"/>
          <w:highlight w:val="none"/>
        </w:rPr>
        <w:t>工</w:t>
      </w:r>
      <w:r>
        <w:rPr>
          <w:rFonts w:hint="eastAsia" w:ascii="宋体" w:hAnsi="宋体" w:eastAsia="宋体" w:cs="宋体"/>
          <w:color w:val="auto"/>
          <w:spacing w:val="-7"/>
          <w:sz w:val="24"/>
          <w:szCs w:val="24"/>
          <w:highlight w:val="none"/>
        </w:rPr>
        <w:t>作，对专家提出的意见及时整改。</w:t>
      </w:r>
    </w:p>
    <w:p w14:paraId="5D64D1DA">
      <w:pPr>
        <w:pStyle w:val="2"/>
        <w:ind w:left="0" w:leftChars="0" w:firstLine="236" w:firstLineChars="100"/>
        <w:rPr>
          <w:rFonts w:hint="eastAsia" w:ascii="宋体" w:hAnsi="宋体" w:eastAsia="宋体" w:cs="宋体"/>
          <w:b w:val="0"/>
          <w:bCs w:val="0"/>
          <w:color w:val="auto"/>
          <w:spacing w:val="-2"/>
          <w:sz w:val="24"/>
          <w:szCs w:val="24"/>
          <w:highlight w:val="none"/>
          <w:lang w:val="en-US" w:eastAsia="zh-CN" w:bidi="ar-SA"/>
        </w:rPr>
      </w:pPr>
      <w:r>
        <w:rPr>
          <w:rFonts w:hint="eastAsia" w:ascii="宋体" w:hAnsi="宋体" w:eastAsia="宋体" w:cs="宋体"/>
          <w:b w:val="0"/>
          <w:bCs w:val="0"/>
          <w:color w:val="auto"/>
          <w:spacing w:val="-2"/>
          <w:sz w:val="24"/>
          <w:szCs w:val="24"/>
          <w:highlight w:val="none"/>
          <w:lang w:val="en-US" w:eastAsia="zh-CN" w:bidi="ar-SA"/>
        </w:rPr>
        <w:t>6、验收要求：符合省应急厅文件要求，通过专家评审。</w:t>
      </w:r>
    </w:p>
    <w:p w14:paraId="12A31EA3">
      <w:pPr>
        <w:spacing w:before="68" w:line="221" w:lineRule="auto"/>
        <w:rPr>
          <w:rFonts w:hint="eastAsia" w:ascii="宋体" w:hAnsi="宋体" w:eastAsia="宋体" w:cs="宋体"/>
          <w:b/>
          <w:bCs/>
          <w:color w:val="auto"/>
          <w:spacing w:val="-1"/>
          <w:sz w:val="24"/>
          <w:szCs w:val="24"/>
          <w:highlight w:val="none"/>
        </w:rPr>
      </w:pPr>
      <w:r>
        <w:rPr>
          <w:rFonts w:hint="eastAsia" w:ascii="宋体" w:hAnsi="宋体" w:eastAsia="宋体" w:cs="宋体"/>
          <w:b/>
          <w:bCs/>
          <w:color w:val="auto"/>
          <w:spacing w:val="-1"/>
          <w:sz w:val="24"/>
          <w:szCs w:val="24"/>
          <w:highlight w:val="none"/>
        </w:rPr>
        <w:t>二、成果提交</w:t>
      </w:r>
    </w:p>
    <w:p w14:paraId="5764A717">
      <w:pPr>
        <w:spacing w:before="240" w:line="428" w:lineRule="auto"/>
        <w:ind w:left="24" w:right="72" w:firstLine="436"/>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6"/>
          <w:sz w:val="24"/>
          <w:szCs w:val="24"/>
          <w:highlight w:val="none"/>
        </w:rPr>
        <w:t>1、</w:t>
      </w:r>
      <w:r>
        <w:rPr>
          <w:rFonts w:hint="eastAsia" w:ascii="宋体" w:hAnsi="宋体" w:eastAsia="宋体" w:cs="宋体"/>
          <w:color w:val="auto"/>
          <w:spacing w:val="-3"/>
          <w:sz w:val="24"/>
          <w:szCs w:val="24"/>
          <w:highlight w:val="none"/>
        </w:rPr>
        <w:t>主要成果</w:t>
      </w:r>
      <w:r>
        <w:rPr>
          <w:rFonts w:hint="eastAsia" w:ascii="宋体" w:hAnsi="宋体" w:eastAsia="宋体" w:cs="宋体"/>
          <w:color w:val="auto"/>
          <w:spacing w:val="-3"/>
          <w:sz w:val="24"/>
          <w:szCs w:val="24"/>
          <w:highlight w:val="none"/>
          <w:lang w:val="en-US" w:eastAsia="zh-CN"/>
        </w:rPr>
        <w:t>如下表：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6"/>
        <w:gridCol w:w="3908"/>
        <w:gridCol w:w="2860"/>
      </w:tblGrid>
      <w:tr w14:paraId="41271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706" w:type="dxa"/>
            <w:vAlign w:val="center"/>
          </w:tcPr>
          <w:p w14:paraId="037017E2">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3908" w:type="dxa"/>
            <w:vAlign w:val="center"/>
          </w:tcPr>
          <w:p w14:paraId="3BD1A057">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成果名称</w:t>
            </w:r>
          </w:p>
        </w:tc>
        <w:tc>
          <w:tcPr>
            <w:tcW w:w="2860" w:type="dxa"/>
            <w:vAlign w:val="center"/>
          </w:tcPr>
          <w:p w14:paraId="6A544465">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服务期限</w:t>
            </w:r>
          </w:p>
        </w:tc>
      </w:tr>
      <w:tr w14:paraId="1FA83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0B75059A">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3908" w:type="dxa"/>
            <w:vAlign w:val="center"/>
          </w:tcPr>
          <w:p w14:paraId="7038A4BE">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《新昌高新技术产业园区化工园区整体性安全风险评估报告》</w:t>
            </w:r>
          </w:p>
        </w:tc>
        <w:tc>
          <w:tcPr>
            <w:tcW w:w="2860" w:type="dxa"/>
            <w:vAlign w:val="center"/>
          </w:tcPr>
          <w:p w14:paraId="66F15BD8">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w:t>
            </w:r>
          </w:p>
        </w:tc>
      </w:tr>
      <w:tr w14:paraId="405A4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768A860E">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3908" w:type="dxa"/>
            <w:vAlign w:val="center"/>
          </w:tcPr>
          <w:p w14:paraId="5434A334">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新昌高新技术产业园区化工园区安全风险叠加动态评估成果</w:t>
            </w:r>
            <w:r>
              <w:rPr>
                <w:rFonts w:hint="eastAsia" w:ascii="宋体" w:hAnsi="宋体" w:eastAsia="宋体" w:cs="宋体"/>
                <w:color w:val="auto"/>
                <w:sz w:val="24"/>
                <w:szCs w:val="24"/>
                <w:highlight w:val="none"/>
                <w:lang w:eastAsia="zh-CN"/>
              </w:rPr>
              <w:t>》</w:t>
            </w:r>
          </w:p>
        </w:tc>
        <w:tc>
          <w:tcPr>
            <w:tcW w:w="2860" w:type="dxa"/>
            <w:vAlign w:val="center"/>
          </w:tcPr>
          <w:p w14:paraId="54D4ED4E">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2025年-2027年</w:t>
            </w:r>
          </w:p>
        </w:tc>
      </w:tr>
      <w:tr w14:paraId="224E7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62D85EDC">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3908" w:type="dxa"/>
            <w:vAlign w:val="center"/>
          </w:tcPr>
          <w:p w14:paraId="7746FFEB">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《新昌高新技术产业园区化工园区建设项目入园安全条件咨询书》</w:t>
            </w:r>
          </w:p>
        </w:tc>
        <w:tc>
          <w:tcPr>
            <w:tcW w:w="2860" w:type="dxa"/>
            <w:vAlign w:val="center"/>
          </w:tcPr>
          <w:p w14:paraId="0DD015C5">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2025年-2027年</w:t>
            </w:r>
          </w:p>
        </w:tc>
      </w:tr>
      <w:tr w14:paraId="1215E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6" w:type="dxa"/>
            <w:vAlign w:val="center"/>
          </w:tcPr>
          <w:p w14:paraId="1A1CF322">
            <w:pPr>
              <w:autoSpaceDE/>
              <w:autoSpaceDN/>
              <w:snapToGrid w:val="0"/>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3908" w:type="dxa"/>
            <w:vAlign w:val="center"/>
          </w:tcPr>
          <w:p w14:paraId="7EEC4A95">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《新昌高新技术产业园区化工园区安全风险排查治理提升整治技术服务检查表》</w:t>
            </w:r>
          </w:p>
        </w:tc>
        <w:tc>
          <w:tcPr>
            <w:tcW w:w="2860" w:type="dxa"/>
            <w:vAlign w:val="center"/>
          </w:tcPr>
          <w:p w14:paraId="33FDB21C">
            <w:pPr>
              <w:autoSpaceDE/>
              <w:autoSpaceDN/>
              <w:snapToGrid w:val="0"/>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2025年-2027年</w:t>
            </w:r>
          </w:p>
        </w:tc>
      </w:tr>
    </w:tbl>
    <w:p w14:paraId="233A8A98">
      <w:pPr>
        <w:spacing w:before="1" w:line="214" w:lineRule="auto"/>
        <w:ind w:left="447"/>
        <w:rPr>
          <w:rFonts w:hint="eastAsia" w:ascii="宋体" w:hAnsi="宋体" w:eastAsia="宋体" w:cs="宋体"/>
          <w:color w:val="auto"/>
          <w:spacing w:val="-7"/>
          <w:sz w:val="24"/>
          <w:szCs w:val="24"/>
          <w:highlight w:val="none"/>
        </w:rPr>
      </w:pPr>
    </w:p>
    <w:p w14:paraId="5239E501">
      <w:pPr>
        <w:spacing w:before="1" w:line="214" w:lineRule="auto"/>
        <w:ind w:left="447"/>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2、电子文件格式要求： 文本、附件等为word、pd</w:t>
      </w:r>
      <w:r>
        <w:rPr>
          <w:rFonts w:hint="eastAsia" w:ascii="宋体" w:hAnsi="宋体" w:eastAsia="宋体" w:cs="宋体"/>
          <w:color w:val="auto"/>
          <w:spacing w:val="-6"/>
          <w:sz w:val="24"/>
          <w:szCs w:val="24"/>
          <w:highlight w:val="none"/>
        </w:rPr>
        <w:t>f</w:t>
      </w:r>
      <w:r>
        <w:rPr>
          <w:rFonts w:hint="eastAsia" w:ascii="宋体" w:hAnsi="宋体" w:eastAsia="宋体" w:cs="宋体"/>
          <w:color w:val="auto"/>
          <w:spacing w:val="-7"/>
          <w:sz w:val="24"/>
          <w:szCs w:val="24"/>
          <w:highlight w:val="none"/>
        </w:rPr>
        <w:t xml:space="preserve"> 格式。</w:t>
      </w:r>
    </w:p>
    <w:p w14:paraId="42E36E2C">
      <w:pPr>
        <w:spacing w:before="243" w:line="221" w:lineRule="auto"/>
        <w:ind w:left="449"/>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3、乙</w:t>
      </w:r>
      <w:r>
        <w:rPr>
          <w:rFonts w:hint="eastAsia" w:ascii="宋体" w:hAnsi="宋体" w:eastAsia="宋体" w:cs="宋体"/>
          <w:color w:val="auto"/>
          <w:spacing w:val="-6"/>
          <w:sz w:val="24"/>
          <w:szCs w:val="24"/>
          <w:highlight w:val="none"/>
        </w:rPr>
        <w:t>方</w:t>
      </w:r>
      <w:r>
        <w:rPr>
          <w:rFonts w:hint="eastAsia" w:ascii="宋体" w:hAnsi="宋体" w:eastAsia="宋体" w:cs="宋体"/>
          <w:color w:val="auto"/>
          <w:spacing w:val="-4"/>
          <w:sz w:val="24"/>
          <w:szCs w:val="24"/>
          <w:highlight w:val="none"/>
        </w:rPr>
        <w:t>根据甲方实际需要提供文件，费用不再调整。</w:t>
      </w:r>
    </w:p>
    <w:p w14:paraId="279AEE5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三、其他要求：</w:t>
      </w:r>
    </w:p>
    <w:p w14:paraId="606368B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（1）本次项目技术团队人员不得少于 5 人。</w:t>
      </w:r>
    </w:p>
    <w:p w14:paraId="5FADC5E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（2）中标人在履行合同义务期间，应遵守国家有关法律、法规、维护委托单位的合法权益。按照工作范围和内容完成各项工作，并按约定向委托单位汇报工作进展。</w:t>
      </w:r>
    </w:p>
    <w:p w14:paraId="662684B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（3）中标人应自行承担项目实施过程中安全生产责任，采购人任何情况下均不承担因此产生的任何法律责任和经济责任。</w:t>
      </w:r>
    </w:p>
    <w:p w14:paraId="1EF2D5A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（4）中标人负有保密责任，与采购人签订保密协议。未经采购人同意，关于本项目的任何情况均不得私自对外发布或散播，否则，自行承担所有责任。</w:t>
      </w:r>
    </w:p>
    <w:p w14:paraId="374131D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58" w:right="420" w:rightChars="0" w:firstLine="480" w:firstLineChars="200"/>
        <w:textAlignment w:val="auto"/>
        <w:outlineLvl w:val="1"/>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（5）在项目成果通过验收并实施过程中，按照项目实际需求，配合采购人进一步完善成果细节，以满足建设要求。</w:t>
      </w:r>
    </w:p>
    <w:p w14:paraId="392CE087">
      <w:pPr>
        <w:keepNext w:val="0"/>
        <w:keepLines w:val="0"/>
        <w:pageBreakBefore w:val="0"/>
        <w:kinsoku/>
        <w:wordWrap/>
        <w:overflowPunct/>
        <w:topLinePunct w:val="0"/>
        <w:bidi w:val="0"/>
        <w:snapToGri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w:t>
      </w:r>
      <w:r>
        <w:rPr>
          <w:rFonts w:hint="eastAsia" w:ascii="宋体" w:hAnsi="宋体" w:eastAsia="宋体" w:cs="宋体"/>
          <w:b/>
          <w:color w:val="auto"/>
          <w:sz w:val="24"/>
          <w:szCs w:val="24"/>
          <w:highlight w:val="none"/>
        </w:rPr>
        <w:t xml:space="preserve">商务资信要求 </w:t>
      </w:r>
    </w:p>
    <w:tbl>
      <w:tblPr>
        <w:tblStyle w:val="20"/>
        <w:tblW w:w="9463" w:type="dxa"/>
        <w:tblInd w:w="108" w:type="dxa"/>
        <w:tblLayout w:type="fixed"/>
        <w:tblCellMar>
          <w:top w:w="0" w:type="dxa"/>
          <w:left w:w="108" w:type="dxa"/>
          <w:bottom w:w="0" w:type="dxa"/>
          <w:right w:w="108" w:type="dxa"/>
        </w:tblCellMar>
      </w:tblPr>
      <w:tblGrid>
        <w:gridCol w:w="709"/>
        <w:gridCol w:w="8754"/>
      </w:tblGrid>
      <w:tr w14:paraId="6F58D55D">
        <w:tblPrEx>
          <w:tblCellMar>
            <w:top w:w="0" w:type="dxa"/>
            <w:left w:w="108" w:type="dxa"/>
            <w:bottom w:w="0" w:type="dxa"/>
            <w:right w:w="108" w:type="dxa"/>
          </w:tblCellMar>
        </w:tblPrEx>
        <w:trPr>
          <w:trHeight w:val="289" w:hRule="atLeast"/>
        </w:trPr>
        <w:tc>
          <w:tcPr>
            <w:tcW w:w="709" w:type="dxa"/>
            <w:tcBorders>
              <w:top w:val="single" w:color="auto" w:sz="4" w:space="0"/>
              <w:left w:val="single" w:color="auto" w:sz="4" w:space="0"/>
              <w:bottom w:val="single" w:color="000000" w:sz="6" w:space="0"/>
              <w:right w:val="single" w:color="000000" w:sz="6" w:space="0"/>
            </w:tcBorders>
            <w:noWrap w:val="0"/>
            <w:vAlign w:val="center"/>
          </w:tcPr>
          <w:p w14:paraId="066A2F96">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8754" w:type="dxa"/>
            <w:tcBorders>
              <w:top w:val="single" w:color="auto" w:sz="4" w:space="0"/>
              <w:left w:val="nil"/>
              <w:bottom w:val="single" w:color="000000" w:sz="6" w:space="0"/>
              <w:right w:val="single" w:color="auto" w:sz="4" w:space="0"/>
            </w:tcBorders>
            <w:noWrap w:val="0"/>
            <w:vAlign w:val="center"/>
          </w:tcPr>
          <w:p w14:paraId="4D3F91C4">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2AFFCDCD">
        <w:tblPrEx>
          <w:tblCellMar>
            <w:top w:w="0" w:type="dxa"/>
            <w:left w:w="108" w:type="dxa"/>
            <w:bottom w:w="0" w:type="dxa"/>
            <w:right w:w="108" w:type="dxa"/>
          </w:tblCellMar>
        </w:tblPrEx>
        <w:trPr>
          <w:trHeight w:val="289"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409A49C7">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8754" w:type="dxa"/>
            <w:tcBorders>
              <w:top w:val="single" w:color="000000" w:sz="6" w:space="0"/>
              <w:left w:val="nil"/>
              <w:bottom w:val="single" w:color="000000" w:sz="6" w:space="0"/>
              <w:right w:val="single" w:color="auto" w:sz="4" w:space="0"/>
            </w:tcBorders>
            <w:noWrap w:val="0"/>
            <w:vAlign w:val="center"/>
          </w:tcPr>
          <w:p w14:paraId="64EE3207">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服务期</w:t>
            </w:r>
            <w:r>
              <w:rPr>
                <w:rFonts w:hint="eastAsia" w:ascii="宋体" w:hAnsi="宋体" w:eastAsia="宋体" w:cs="宋体"/>
                <w:color w:val="auto"/>
                <w:sz w:val="24"/>
                <w:szCs w:val="24"/>
                <w:highlight w:val="none"/>
              </w:rPr>
              <w:t>：三年（2025年-2027年，自合同签订之日起计算）</w:t>
            </w:r>
            <w:r>
              <w:rPr>
                <w:rFonts w:hint="eastAsia" w:ascii="宋体" w:hAnsi="宋体" w:eastAsia="宋体" w:cs="宋体"/>
                <w:color w:val="auto"/>
                <w:sz w:val="24"/>
                <w:szCs w:val="24"/>
                <w:highlight w:val="none"/>
                <w:lang w:val="en-US" w:eastAsia="zh-CN"/>
              </w:rPr>
              <w:t>。</w:t>
            </w:r>
          </w:p>
        </w:tc>
      </w:tr>
      <w:tr w14:paraId="22643341">
        <w:tblPrEx>
          <w:tblCellMar>
            <w:top w:w="0" w:type="dxa"/>
            <w:left w:w="108" w:type="dxa"/>
            <w:bottom w:w="0" w:type="dxa"/>
            <w:right w:w="108" w:type="dxa"/>
          </w:tblCellMar>
        </w:tblPrEx>
        <w:trPr>
          <w:trHeight w:val="90"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0F496E15">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8754" w:type="dxa"/>
            <w:tcBorders>
              <w:top w:val="single" w:color="000000" w:sz="6" w:space="0"/>
              <w:left w:val="nil"/>
              <w:bottom w:val="single" w:color="000000" w:sz="6" w:space="0"/>
              <w:right w:val="single" w:color="auto" w:sz="4" w:space="0"/>
            </w:tcBorders>
            <w:noWrap w:val="0"/>
            <w:vAlign w:val="center"/>
          </w:tcPr>
          <w:p w14:paraId="67D16344">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付款方法和条件：</w:t>
            </w:r>
            <w:r>
              <w:rPr>
                <w:rFonts w:hint="eastAsia" w:ascii="宋体" w:hAnsi="宋体" w:eastAsia="宋体" w:cs="宋体"/>
                <w:color w:val="auto"/>
                <w:sz w:val="24"/>
                <w:szCs w:val="24"/>
                <w:highlight w:val="none"/>
                <w:lang w:val="en-US" w:eastAsia="zh-CN"/>
              </w:rPr>
              <w:t>合同签订并具备实施条件后7个工作日内支付合同额50%的预付款，第二年年末支付合同价款的40%，第三年支付合同价款的10%。</w:t>
            </w:r>
          </w:p>
        </w:tc>
      </w:tr>
      <w:tr w14:paraId="2699ACBD">
        <w:tblPrEx>
          <w:tblCellMar>
            <w:top w:w="0" w:type="dxa"/>
            <w:left w:w="108" w:type="dxa"/>
            <w:bottom w:w="0" w:type="dxa"/>
            <w:right w:w="108" w:type="dxa"/>
          </w:tblCellMar>
        </w:tblPrEx>
        <w:trPr>
          <w:trHeight w:val="318"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5B1164D6">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8754" w:type="dxa"/>
            <w:tcBorders>
              <w:top w:val="single" w:color="000000" w:sz="6" w:space="0"/>
              <w:left w:val="nil"/>
              <w:bottom w:val="single" w:color="000000" w:sz="6" w:space="0"/>
              <w:right w:val="single" w:color="auto" w:sz="4" w:space="0"/>
            </w:tcBorders>
            <w:noWrap w:val="0"/>
            <w:vAlign w:val="center"/>
          </w:tcPr>
          <w:p w14:paraId="30484EDE">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信息保密</w:t>
            </w:r>
            <w:r>
              <w:rPr>
                <w:rFonts w:hint="eastAsia" w:ascii="宋体" w:hAnsi="宋体" w:eastAsia="宋体" w:cs="宋体"/>
                <w:color w:val="auto"/>
                <w:kern w:val="0"/>
                <w:sz w:val="24"/>
                <w:szCs w:val="24"/>
                <w:highlight w:val="none"/>
              </w:rPr>
              <w:t>：</w:t>
            </w:r>
          </w:p>
          <w:p w14:paraId="1D32DD02">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应采取手段防止任何不承担本项目保密义务的第三方知晓和使用本项目</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涉及的机密、敏感信息；</w:t>
            </w:r>
          </w:p>
          <w:p w14:paraId="3DAA6565">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2.不得以不正当手段(包括计算机搜索、浏览、复制等)窥探或获取与本项目相关的机密、敏感信息；</w:t>
            </w:r>
          </w:p>
          <w:p w14:paraId="47728663">
            <w:pPr>
              <w:keepNext w:val="0"/>
              <w:keepLines w:val="0"/>
              <w:pageBreakBefore w:val="0"/>
              <w:kinsoku/>
              <w:wordWrap/>
              <w:overflowPunct/>
              <w:topLinePunct w:val="0"/>
              <w:bidi w:val="0"/>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3.不允许(包括出借、赠送、出租、转让等)或协助任何不承担相同保密义务的第三方使用本项目产生的有关机密、敏感信息；</w:t>
            </w:r>
          </w:p>
          <w:p w14:paraId="5374C507">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如果发现有关项目的机密、敏感信息被泄露或由于自身的错误被泄露，应采取有效措施防止泄露进一步扩大，并及时上报情况。</w:t>
            </w:r>
          </w:p>
        </w:tc>
      </w:tr>
      <w:tr w14:paraId="6DA2B0B9">
        <w:tblPrEx>
          <w:tblCellMar>
            <w:top w:w="0" w:type="dxa"/>
            <w:left w:w="108" w:type="dxa"/>
            <w:bottom w:w="0" w:type="dxa"/>
            <w:right w:w="108" w:type="dxa"/>
          </w:tblCellMar>
        </w:tblPrEx>
        <w:trPr>
          <w:trHeight w:val="65"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154DCFFD">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8754" w:type="dxa"/>
            <w:tcBorders>
              <w:top w:val="single" w:color="000000" w:sz="6" w:space="0"/>
              <w:left w:val="nil"/>
              <w:bottom w:val="single" w:color="000000" w:sz="6" w:space="0"/>
              <w:right w:val="single" w:color="auto" w:sz="4" w:space="0"/>
            </w:tcBorders>
            <w:noWrap w:val="0"/>
            <w:vAlign w:val="center"/>
          </w:tcPr>
          <w:p w14:paraId="2BF735EF">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服务成果：</w:t>
            </w:r>
          </w:p>
          <w:p w14:paraId="50B8E909">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采购涉及的所有标的的知识产权属于采购人，中标人在服务过程中产生的知识产权归采购人所有，中标人要提供服务过程中产生的运维服务记录、报告和运维服务总结。</w:t>
            </w:r>
          </w:p>
        </w:tc>
      </w:tr>
      <w:tr w14:paraId="3F8C16F3">
        <w:tblPrEx>
          <w:tblCellMar>
            <w:top w:w="0" w:type="dxa"/>
            <w:left w:w="108" w:type="dxa"/>
            <w:bottom w:w="0" w:type="dxa"/>
            <w:right w:w="108" w:type="dxa"/>
          </w:tblCellMar>
        </w:tblPrEx>
        <w:trPr>
          <w:trHeight w:val="65"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3009B875">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8754" w:type="dxa"/>
            <w:tcBorders>
              <w:top w:val="single" w:color="000000" w:sz="6" w:space="0"/>
              <w:left w:val="nil"/>
              <w:bottom w:val="single" w:color="000000" w:sz="6" w:space="0"/>
              <w:right w:val="single" w:color="auto" w:sz="4" w:space="0"/>
            </w:tcBorders>
            <w:noWrap w:val="0"/>
            <w:vAlign w:val="center"/>
          </w:tcPr>
          <w:p w14:paraId="4269C5E0">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spacing w:val="-5"/>
                <w:sz w:val="24"/>
                <w:szCs w:val="24"/>
                <w:highlight w:val="none"/>
                <w:lang w:eastAsia="zh-CN"/>
              </w:rPr>
            </w:pPr>
            <w:r>
              <w:rPr>
                <w:rFonts w:hint="eastAsia" w:ascii="宋体" w:hAnsi="宋体" w:eastAsia="宋体" w:cs="宋体"/>
                <w:color w:val="auto"/>
                <w:spacing w:val="-5"/>
                <w:sz w:val="24"/>
                <w:szCs w:val="24"/>
                <w:highlight w:val="none"/>
              </w:rPr>
              <w:t>响应报价</w:t>
            </w:r>
            <w:r>
              <w:rPr>
                <w:rFonts w:hint="eastAsia" w:ascii="宋体" w:hAnsi="宋体" w:eastAsia="宋体" w:cs="宋体"/>
                <w:color w:val="auto"/>
                <w:spacing w:val="-5"/>
                <w:sz w:val="24"/>
                <w:szCs w:val="24"/>
                <w:highlight w:val="none"/>
                <w:lang w:eastAsia="zh-CN"/>
              </w:rPr>
              <w:t>：</w:t>
            </w:r>
          </w:p>
          <w:p w14:paraId="491DABDA">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报价是履行合同的最终价格，应包括人员费用、材料费、技术服务费、交通住宿费、验收费、利润、税金等完成本项目的所有费用。</w:t>
            </w:r>
          </w:p>
        </w:tc>
      </w:tr>
      <w:tr w14:paraId="76DA671C">
        <w:tblPrEx>
          <w:tblCellMar>
            <w:top w:w="0" w:type="dxa"/>
            <w:left w:w="108" w:type="dxa"/>
            <w:bottom w:w="0" w:type="dxa"/>
            <w:right w:w="108" w:type="dxa"/>
          </w:tblCellMar>
        </w:tblPrEx>
        <w:trPr>
          <w:trHeight w:val="65" w:hRule="atLeast"/>
        </w:trPr>
        <w:tc>
          <w:tcPr>
            <w:tcW w:w="709" w:type="dxa"/>
            <w:tcBorders>
              <w:top w:val="single" w:color="000000" w:sz="6" w:space="0"/>
              <w:left w:val="single" w:color="auto" w:sz="4" w:space="0"/>
              <w:bottom w:val="single" w:color="000000" w:sz="6" w:space="0"/>
              <w:right w:val="single" w:color="000000" w:sz="6" w:space="0"/>
            </w:tcBorders>
            <w:noWrap w:val="0"/>
            <w:vAlign w:val="center"/>
          </w:tcPr>
          <w:p w14:paraId="0021C57E">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8754" w:type="dxa"/>
            <w:tcBorders>
              <w:top w:val="single" w:color="000000" w:sz="6" w:space="0"/>
              <w:left w:val="nil"/>
              <w:bottom w:val="single" w:color="000000" w:sz="6" w:space="0"/>
              <w:right w:val="single" w:color="auto" w:sz="4" w:space="0"/>
            </w:tcBorders>
            <w:noWrap w:val="0"/>
            <w:vAlign w:val="center"/>
          </w:tcPr>
          <w:p w14:paraId="1B9ED70B">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其他要求：</w:t>
            </w:r>
          </w:p>
          <w:p w14:paraId="658862F2">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1.安全责任</w:t>
            </w:r>
          </w:p>
          <w:p w14:paraId="5558C8FA">
            <w:pPr>
              <w:keepNext w:val="0"/>
              <w:keepLines w:val="0"/>
              <w:pageBreakBefore w:val="0"/>
              <w:widowControl/>
              <w:kinsoku/>
              <w:wordWrap/>
              <w:overflowPunct/>
              <w:topLinePunct w:val="0"/>
              <w:bidi w:val="0"/>
              <w:snapToGrid/>
              <w:spacing w:line="40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投标人在项目过程中发生的一切人身意外事故由其自行负责，与采购人无关。</w:t>
            </w:r>
          </w:p>
          <w:p w14:paraId="5819615D">
            <w:pPr>
              <w:keepNext w:val="0"/>
              <w:keepLines w:val="0"/>
              <w:pageBreakBefore w:val="0"/>
              <w:widowControl/>
              <w:numPr>
                <w:ilvl w:val="0"/>
                <w:numId w:val="0"/>
              </w:numPr>
              <w:kinsoku/>
              <w:wordWrap/>
              <w:overflowPunct/>
              <w:topLinePunct w:val="0"/>
              <w:bidi w:val="0"/>
              <w:snapToGrid/>
              <w:spacing w:line="400" w:lineRule="exact"/>
              <w:ind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2.投标人在履行合同过程中，应自觉遵守国家法律、法规及相关规定，加强自身安全管理，如发生任何违、法违规事件或安全事故，均由投标人负全部责任，采购人不承担任</w:t>
            </w:r>
            <w:r>
              <w:rPr>
                <w:rFonts w:hint="eastAsia" w:ascii="宋体" w:hAnsi="宋体" w:eastAsia="宋体" w:cs="宋体"/>
                <w:color w:val="auto"/>
                <w:sz w:val="24"/>
                <w:szCs w:val="24"/>
                <w:highlight w:val="none"/>
              </w:rPr>
              <w:t>何责任。</w:t>
            </w:r>
          </w:p>
          <w:p w14:paraId="68D57771">
            <w:pPr>
              <w:widowControl/>
              <w:numPr>
                <w:ilvl w:val="0"/>
                <w:numId w:val="0"/>
              </w:numPr>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3.未经招标单位书面同意中标人不得将合同项目转包给第三方。</w:t>
            </w:r>
          </w:p>
        </w:tc>
      </w:tr>
    </w:tbl>
    <w:p w14:paraId="2A3EF568">
      <w:pPr>
        <w:pStyle w:val="19"/>
        <w:keepNext w:val="0"/>
        <w:keepLines w:val="0"/>
        <w:pageBreakBefore w:val="0"/>
        <w:widowControl w:val="0"/>
        <w:numPr>
          <w:ilvl w:val="0"/>
          <w:numId w:val="0"/>
        </w:numPr>
        <w:kinsoku/>
        <w:wordWrap/>
        <w:overflowPunct/>
        <w:topLinePunct w:val="0"/>
        <w:bidi w:val="0"/>
        <w:snapToGrid/>
        <w:spacing w:line="360" w:lineRule="auto"/>
        <w:textAlignment w:val="auto"/>
        <w:rPr>
          <w:rFonts w:hint="eastAsia" w:ascii="宋体" w:hAnsi="宋体" w:eastAsia="宋体" w:cs="宋体"/>
          <w:sz w:val="24"/>
          <w:szCs w:val="24"/>
          <w:highlight w:val="none"/>
          <w:lang w:val="en-US" w:eastAsia="zh-CN"/>
        </w:rPr>
      </w:pPr>
    </w:p>
    <w:p w14:paraId="6F3F9733">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08CBC505">
      <w:pPr>
        <w:jc w:val="center"/>
        <w:rPr>
          <w:rFonts w:ascii="宋体" w:hAnsi="宋体" w:cs="宋体"/>
          <w:b/>
          <w:color w:val="auto"/>
          <w:sz w:val="36"/>
          <w:szCs w:val="36"/>
          <w:highlight w:val="none"/>
        </w:rPr>
      </w:pPr>
      <w:r>
        <w:rPr>
          <w:rFonts w:hint="eastAsia" w:ascii="宋体" w:hAnsi="宋体" w:cs="宋体"/>
          <w:b/>
          <w:color w:val="auto"/>
          <w:sz w:val="36"/>
          <w:szCs w:val="36"/>
          <w:highlight w:val="none"/>
        </w:rPr>
        <w:t>前  附  表</w:t>
      </w:r>
    </w:p>
    <w:tbl>
      <w:tblPr>
        <w:tblStyle w:val="20"/>
        <w:tblW w:w="102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7"/>
        <w:gridCol w:w="1540"/>
        <w:gridCol w:w="8016"/>
      </w:tblGrid>
      <w:tr w14:paraId="1C8A2E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674D7C75">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序号</w:t>
            </w:r>
          </w:p>
        </w:tc>
        <w:tc>
          <w:tcPr>
            <w:tcW w:w="1540" w:type="dxa"/>
            <w:tcBorders>
              <w:top w:val="single" w:color="auto" w:sz="4" w:space="0"/>
              <w:left w:val="single" w:color="auto" w:sz="4" w:space="0"/>
              <w:bottom w:val="single" w:color="auto" w:sz="4" w:space="0"/>
              <w:right w:val="single" w:color="auto" w:sz="4" w:space="0"/>
            </w:tcBorders>
            <w:noWrap/>
            <w:vAlign w:val="center"/>
          </w:tcPr>
          <w:p w14:paraId="463614C4">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内容</w:t>
            </w:r>
          </w:p>
        </w:tc>
        <w:tc>
          <w:tcPr>
            <w:tcW w:w="8016" w:type="dxa"/>
            <w:tcBorders>
              <w:top w:val="single" w:color="auto" w:sz="4" w:space="0"/>
              <w:left w:val="single" w:color="auto" w:sz="4" w:space="0"/>
              <w:bottom w:val="single" w:color="auto" w:sz="4" w:space="0"/>
              <w:right w:val="single" w:color="auto" w:sz="4" w:space="0"/>
            </w:tcBorders>
            <w:noWrap/>
            <w:vAlign w:val="center"/>
          </w:tcPr>
          <w:p w14:paraId="425E8D4F">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说明与要求</w:t>
            </w:r>
          </w:p>
        </w:tc>
      </w:tr>
      <w:tr w14:paraId="66D430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981866">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w:t>
            </w:r>
          </w:p>
        </w:tc>
        <w:tc>
          <w:tcPr>
            <w:tcW w:w="1540" w:type="dxa"/>
            <w:tcBorders>
              <w:top w:val="single" w:color="auto" w:sz="4" w:space="0"/>
              <w:left w:val="single" w:color="auto" w:sz="4" w:space="0"/>
              <w:bottom w:val="single" w:color="auto" w:sz="4" w:space="0"/>
              <w:right w:val="single" w:color="auto" w:sz="4" w:space="0"/>
            </w:tcBorders>
            <w:noWrap/>
            <w:vAlign w:val="center"/>
          </w:tcPr>
          <w:p w14:paraId="28F8CAB7">
            <w:pPr>
              <w:pStyle w:val="12"/>
              <w:jc w:val="center"/>
              <w:rPr>
                <w:rFonts w:ascii="宋体" w:hAnsi="宋体" w:cs="宋体"/>
                <w:b/>
                <w:kern w:val="2"/>
                <w:szCs w:val="24"/>
                <w:highlight w:val="none"/>
              </w:rPr>
            </w:pPr>
            <w:r>
              <w:rPr>
                <w:rFonts w:hint="eastAsia" w:ascii="宋体" w:hAnsi="宋体" w:cs="宋体"/>
                <w:kern w:val="2"/>
                <w:szCs w:val="24"/>
                <w:highlight w:val="none"/>
              </w:rPr>
              <w:t>项目名称</w:t>
            </w:r>
          </w:p>
        </w:tc>
        <w:tc>
          <w:tcPr>
            <w:tcW w:w="8016" w:type="dxa"/>
            <w:tcBorders>
              <w:top w:val="single" w:color="auto" w:sz="4" w:space="0"/>
              <w:left w:val="single" w:color="auto" w:sz="4" w:space="0"/>
              <w:bottom w:val="single" w:color="auto" w:sz="4" w:space="0"/>
              <w:right w:val="single" w:color="auto" w:sz="4" w:space="0"/>
            </w:tcBorders>
            <w:noWrap/>
            <w:vAlign w:val="center"/>
          </w:tcPr>
          <w:p w14:paraId="135E4BDA">
            <w:pPr>
              <w:pStyle w:val="12"/>
              <w:ind w:right="-107" w:rightChars="-51"/>
              <w:rPr>
                <w:rFonts w:ascii="宋体" w:hAnsi="宋体" w:cs="宋体"/>
                <w:kern w:val="2"/>
                <w:szCs w:val="24"/>
                <w:highlight w:val="none"/>
              </w:rPr>
            </w:pPr>
            <w:r>
              <w:rPr>
                <w:rFonts w:hint="eastAsia" w:ascii="宋体" w:hAnsi="宋体" w:cs="宋体"/>
                <w:kern w:val="28"/>
                <w:highlight w:val="none"/>
                <w:lang w:eastAsia="zh-CN"/>
              </w:rPr>
              <w:t xml:space="preserve">新昌高新技术产业园区安全风险整治提升指导服务 </w:t>
            </w:r>
            <w:r>
              <w:rPr>
                <w:rFonts w:hint="eastAsia" w:ascii="宋体" w:hAnsi="宋体" w:cs="宋体"/>
                <w:kern w:val="28"/>
                <w:highlight w:val="none"/>
              </w:rPr>
              <w:t xml:space="preserve">   </w:t>
            </w:r>
          </w:p>
        </w:tc>
      </w:tr>
      <w:tr w14:paraId="5D739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0907478C">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2</w:t>
            </w:r>
          </w:p>
        </w:tc>
        <w:tc>
          <w:tcPr>
            <w:tcW w:w="1540" w:type="dxa"/>
            <w:tcBorders>
              <w:top w:val="single" w:color="auto" w:sz="4" w:space="0"/>
              <w:left w:val="single" w:color="auto" w:sz="4" w:space="0"/>
              <w:bottom w:val="single" w:color="auto" w:sz="4" w:space="0"/>
              <w:right w:val="single" w:color="auto" w:sz="4" w:space="0"/>
            </w:tcBorders>
            <w:noWrap/>
            <w:vAlign w:val="center"/>
          </w:tcPr>
          <w:p w14:paraId="7279C137">
            <w:pPr>
              <w:pStyle w:val="12"/>
              <w:jc w:val="center"/>
              <w:rPr>
                <w:rFonts w:ascii="宋体" w:hAnsi="宋体" w:cs="宋体"/>
                <w:b/>
                <w:kern w:val="2"/>
                <w:szCs w:val="24"/>
                <w:highlight w:val="none"/>
              </w:rPr>
            </w:pPr>
            <w:r>
              <w:rPr>
                <w:rFonts w:hint="eastAsia" w:ascii="宋体" w:hAnsi="宋体" w:cs="宋体"/>
                <w:kern w:val="2"/>
                <w:szCs w:val="24"/>
                <w:highlight w:val="none"/>
              </w:rPr>
              <w:t>采购方式</w:t>
            </w:r>
          </w:p>
        </w:tc>
        <w:tc>
          <w:tcPr>
            <w:tcW w:w="8016" w:type="dxa"/>
            <w:tcBorders>
              <w:top w:val="single" w:color="auto" w:sz="4" w:space="0"/>
              <w:left w:val="single" w:color="auto" w:sz="4" w:space="0"/>
              <w:bottom w:val="single" w:color="auto" w:sz="4" w:space="0"/>
              <w:right w:val="single" w:color="auto" w:sz="4" w:space="0"/>
            </w:tcBorders>
            <w:noWrap/>
            <w:vAlign w:val="center"/>
          </w:tcPr>
          <w:p w14:paraId="37C73A66">
            <w:pPr>
              <w:pStyle w:val="12"/>
              <w:ind w:right="-107" w:rightChars="-51"/>
              <w:rPr>
                <w:rFonts w:ascii="宋体" w:hAnsi="宋体" w:cs="宋体"/>
                <w:kern w:val="2"/>
                <w:szCs w:val="24"/>
                <w:highlight w:val="none"/>
              </w:rPr>
            </w:pPr>
            <w:r>
              <w:rPr>
                <w:rFonts w:hint="eastAsia" w:ascii="宋体" w:hAnsi="宋体" w:cs="宋体"/>
                <w:kern w:val="2"/>
                <w:szCs w:val="24"/>
                <w:highlight w:val="none"/>
              </w:rPr>
              <w:t>公开招标</w:t>
            </w:r>
          </w:p>
        </w:tc>
      </w:tr>
      <w:tr w14:paraId="4CB110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297C41A0">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3</w:t>
            </w:r>
          </w:p>
        </w:tc>
        <w:tc>
          <w:tcPr>
            <w:tcW w:w="1540" w:type="dxa"/>
            <w:tcBorders>
              <w:top w:val="single" w:color="auto" w:sz="4" w:space="0"/>
              <w:left w:val="single" w:color="auto" w:sz="4" w:space="0"/>
              <w:bottom w:val="single" w:color="auto" w:sz="4" w:space="0"/>
              <w:right w:val="single" w:color="auto" w:sz="4" w:space="0"/>
            </w:tcBorders>
            <w:noWrap/>
            <w:vAlign w:val="center"/>
          </w:tcPr>
          <w:p w14:paraId="54B526B4">
            <w:pPr>
              <w:pStyle w:val="12"/>
              <w:jc w:val="center"/>
              <w:rPr>
                <w:rFonts w:ascii="宋体" w:hAnsi="宋体" w:cs="宋体"/>
                <w:b/>
                <w:kern w:val="2"/>
                <w:szCs w:val="24"/>
                <w:highlight w:val="none"/>
              </w:rPr>
            </w:pPr>
            <w:r>
              <w:rPr>
                <w:rFonts w:hint="eastAsia" w:ascii="宋体" w:hAnsi="宋体" w:cs="宋体"/>
                <w:kern w:val="2"/>
                <w:szCs w:val="24"/>
                <w:highlight w:val="none"/>
              </w:rPr>
              <w:t>评标办法</w:t>
            </w:r>
          </w:p>
        </w:tc>
        <w:tc>
          <w:tcPr>
            <w:tcW w:w="8016" w:type="dxa"/>
            <w:tcBorders>
              <w:top w:val="single" w:color="auto" w:sz="4" w:space="0"/>
              <w:left w:val="single" w:color="auto" w:sz="4" w:space="0"/>
              <w:bottom w:val="single" w:color="auto" w:sz="4" w:space="0"/>
              <w:right w:val="single" w:color="auto" w:sz="4" w:space="0"/>
            </w:tcBorders>
            <w:noWrap/>
            <w:vAlign w:val="center"/>
          </w:tcPr>
          <w:p w14:paraId="2F311E11">
            <w:pPr>
              <w:pStyle w:val="12"/>
              <w:ind w:right="-107" w:rightChars="-51"/>
              <w:rPr>
                <w:rFonts w:ascii="宋体" w:hAnsi="宋体" w:cs="宋体"/>
                <w:kern w:val="2"/>
                <w:szCs w:val="24"/>
                <w:highlight w:val="none"/>
              </w:rPr>
            </w:pPr>
            <w:r>
              <w:rPr>
                <w:rFonts w:hint="eastAsia" w:ascii="宋体" w:hAnsi="宋体" w:cs="宋体"/>
                <w:kern w:val="2"/>
                <w:szCs w:val="24"/>
                <w:highlight w:val="none"/>
              </w:rPr>
              <w:t>综合评标法</w:t>
            </w:r>
          </w:p>
        </w:tc>
      </w:tr>
      <w:tr w14:paraId="3ADE69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8"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661B4DF2">
            <w:pPr>
              <w:pStyle w:val="12"/>
              <w:spacing w:line="440" w:lineRule="exact"/>
              <w:jc w:val="center"/>
              <w:rPr>
                <w:rFonts w:ascii="宋体" w:hAnsi="宋体" w:cs="宋体"/>
                <w:kern w:val="2"/>
                <w:szCs w:val="24"/>
                <w:highlight w:val="none"/>
              </w:rPr>
            </w:pPr>
            <w:r>
              <w:rPr>
                <w:rFonts w:hint="eastAsia" w:ascii="宋体" w:hAnsi="宋体" w:cs="宋体"/>
                <w:b/>
                <w:bCs/>
                <w:kern w:val="2"/>
                <w:szCs w:val="24"/>
                <w:highlight w:val="none"/>
              </w:rPr>
              <w:t>4</w:t>
            </w:r>
          </w:p>
        </w:tc>
        <w:tc>
          <w:tcPr>
            <w:tcW w:w="1540" w:type="dxa"/>
            <w:tcBorders>
              <w:top w:val="single" w:color="auto" w:sz="4" w:space="0"/>
              <w:left w:val="single" w:color="auto" w:sz="4" w:space="0"/>
              <w:bottom w:val="single" w:color="auto" w:sz="4" w:space="0"/>
              <w:right w:val="single" w:color="auto" w:sz="4" w:space="0"/>
            </w:tcBorders>
            <w:noWrap/>
            <w:vAlign w:val="center"/>
          </w:tcPr>
          <w:p w14:paraId="37ACB5C8">
            <w:pPr>
              <w:pStyle w:val="12"/>
              <w:jc w:val="center"/>
              <w:rPr>
                <w:rFonts w:ascii="宋体" w:hAnsi="宋体" w:cs="宋体"/>
                <w:kern w:val="2"/>
                <w:szCs w:val="24"/>
                <w:highlight w:val="none"/>
              </w:rPr>
            </w:pPr>
            <w:r>
              <w:rPr>
                <w:rFonts w:hint="eastAsia" w:ascii="宋体" w:hAnsi="宋体" w:cs="宋体"/>
                <w:kern w:val="2"/>
                <w:szCs w:val="24"/>
                <w:highlight w:val="none"/>
              </w:rPr>
              <w:t>最高限价</w:t>
            </w:r>
          </w:p>
        </w:tc>
        <w:tc>
          <w:tcPr>
            <w:tcW w:w="8016" w:type="dxa"/>
            <w:tcBorders>
              <w:top w:val="single" w:color="auto" w:sz="4" w:space="0"/>
              <w:left w:val="single" w:color="auto" w:sz="4" w:space="0"/>
              <w:bottom w:val="single" w:color="auto" w:sz="4" w:space="0"/>
              <w:right w:val="single" w:color="auto" w:sz="4" w:space="0"/>
            </w:tcBorders>
            <w:noWrap/>
            <w:vAlign w:val="center"/>
          </w:tcPr>
          <w:p w14:paraId="6734A15F">
            <w:pPr>
              <w:pStyle w:val="12"/>
              <w:rPr>
                <w:rFonts w:ascii="宋体" w:hAnsi="宋体" w:cs="宋体"/>
                <w:bCs/>
                <w:kern w:val="2"/>
                <w:szCs w:val="24"/>
                <w:highlight w:val="none"/>
              </w:rPr>
            </w:pPr>
            <w:r>
              <w:rPr>
                <w:rFonts w:hint="eastAsia" w:ascii="宋体" w:hAnsi="宋体" w:cs="宋体"/>
                <w:bCs/>
                <w:kern w:val="2"/>
                <w:szCs w:val="24"/>
                <w:highlight w:val="none"/>
              </w:rPr>
              <w:t>本次最高总限价：</w:t>
            </w:r>
            <w:r>
              <w:rPr>
                <w:rFonts w:hint="eastAsia" w:ascii="宋体" w:hAnsi="宋体" w:cs="宋体"/>
                <w:bCs/>
                <w:kern w:val="2"/>
                <w:szCs w:val="24"/>
                <w:highlight w:val="none"/>
                <w:lang w:val="en-US" w:eastAsia="zh-CN"/>
              </w:rPr>
              <w:t>700000</w:t>
            </w:r>
            <w:r>
              <w:rPr>
                <w:rFonts w:hint="eastAsia" w:ascii="宋体" w:hAnsi="宋体" w:cs="宋体"/>
                <w:bCs/>
                <w:kern w:val="2"/>
                <w:szCs w:val="24"/>
                <w:highlight w:val="none"/>
              </w:rPr>
              <w:t xml:space="preserve">元；    </w:t>
            </w:r>
          </w:p>
          <w:p w14:paraId="4DE7FCF7">
            <w:pPr>
              <w:pStyle w:val="12"/>
              <w:rPr>
                <w:rFonts w:ascii="宋体" w:hAnsi="宋体" w:cs="宋体"/>
                <w:bCs/>
                <w:kern w:val="2"/>
                <w:szCs w:val="24"/>
                <w:highlight w:val="none"/>
              </w:rPr>
            </w:pPr>
            <w:r>
              <w:rPr>
                <w:rFonts w:hint="eastAsia" w:ascii="宋体" w:hAnsi="宋体" w:cs="宋体"/>
                <w:bCs/>
                <w:kern w:val="2"/>
                <w:szCs w:val="24"/>
                <w:highlight w:val="none"/>
              </w:rPr>
              <w:t>任何超过最高限价的报价将被认定为无效报价。</w:t>
            </w:r>
          </w:p>
        </w:tc>
      </w:tr>
      <w:tr w14:paraId="64042B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1DC73981">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5</w:t>
            </w:r>
          </w:p>
        </w:tc>
        <w:tc>
          <w:tcPr>
            <w:tcW w:w="1540" w:type="dxa"/>
            <w:tcBorders>
              <w:top w:val="single" w:color="auto" w:sz="4" w:space="0"/>
              <w:left w:val="single" w:color="auto" w:sz="4" w:space="0"/>
              <w:bottom w:val="single" w:color="auto" w:sz="4" w:space="0"/>
              <w:right w:val="single" w:color="auto" w:sz="4" w:space="0"/>
            </w:tcBorders>
            <w:noWrap/>
            <w:vAlign w:val="center"/>
          </w:tcPr>
          <w:p w14:paraId="42487CE2">
            <w:pPr>
              <w:pStyle w:val="12"/>
              <w:jc w:val="center"/>
              <w:rPr>
                <w:rFonts w:ascii="宋体" w:hAnsi="宋体" w:cs="宋体"/>
                <w:kern w:val="2"/>
                <w:szCs w:val="24"/>
                <w:highlight w:val="none"/>
              </w:rPr>
            </w:pPr>
            <w:r>
              <w:rPr>
                <w:rFonts w:hint="eastAsia" w:ascii="宋体" w:hAnsi="宋体" w:cs="宋体"/>
                <w:kern w:val="2"/>
                <w:szCs w:val="24"/>
                <w:highlight w:val="none"/>
              </w:rPr>
              <w:t>投标人（供应商）资格要求</w:t>
            </w:r>
          </w:p>
        </w:tc>
        <w:tc>
          <w:tcPr>
            <w:tcW w:w="8016" w:type="dxa"/>
            <w:tcBorders>
              <w:top w:val="single" w:color="auto" w:sz="4" w:space="0"/>
              <w:left w:val="single" w:color="auto" w:sz="4" w:space="0"/>
              <w:bottom w:val="single" w:color="auto" w:sz="4" w:space="0"/>
              <w:right w:val="single" w:color="auto" w:sz="4" w:space="0"/>
            </w:tcBorders>
            <w:noWrap/>
            <w:vAlign w:val="center"/>
          </w:tcPr>
          <w:p w14:paraId="31B249F1">
            <w:pPr>
              <w:autoSpaceDE/>
              <w:autoSpaceDN/>
              <w:adjustRightInd/>
              <w:snapToGrid w:val="0"/>
              <w:spacing w:line="360" w:lineRule="auto"/>
              <w:rPr>
                <w:rFonts w:ascii="宋体" w:hAnsi="宋体" w:cs="宋体"/>
                <w:color w:val="auto"/>
                <w:highlight w:val="none"/>
              </w:rPr>
            </w:pPr>
            <w:r>
              <w:rPr>
                <w:rFonts w:hint="eastAsia" w:ascii="宋体" w:hAnsi="宋体" w:cs="Arial"/>
                <w:bCs/>
                <w:color w:val="auto"/>
                <w:sz w:val="24"/>
                <w:szCs w:val="24"/>
                <w:highlight w:val="none"/>
              </w:rPr>
              <w:t>详见招标公告</w:t>
            </w:r>
          </w:p>
        </w:tc>
      </w:tr>
      <w:tr w14:paraId="62706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0D7DE8">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6</w:t>
            </w:r>
          </w:p>
        </w:tc>
        <w:tc>
          <w:tcPr>
            <w:tcW w:w="1540" w:type="dxa"/>
            <w:tcBorders>
              <w:top w:val="single" w:color="auto" w:sz="4" w:space="0"/>
              <w:left w:val="single" w:color="auto" w:sz="4" w:space="0"/>
              <w:bottom w:val="single" w:color="auto" w:sz="4" w:space="0"/>
              <w:right w:val="single" w:color="auto" w:sz="4" w:space="0"/>
            </w:tcBorders>
            <w:noWrap/>
            <w:vAlign w:val="center"/>
          </w:tcPr>
          <w:p w14:paraId="344C6DFA">
            <w:pPr>
              <w:pStyle w:val="12"/>
              <w:jc w:val="center"/>
              <w:rPr>
                <w:rFonts w:ascii="宋体" w:hAnsi="宋体" w:cs="宋体"/>
                <w:b/>
                <w:kern w:val="2"/>
                <w:szCs w:val="24"/>
                <w:highlight w:val="none"/>
              </w:rPr>
            </w:pPr>
            <w:r>
              <w:rPr>
                <w:rFonts w:hint="eastAsia" w:ascii="宋体" w:hAnsi="宋体" w:cs="宋体"/>
                <w:szCs w:val="24"/>
                <w:highlight w:val="none"/>
              </w:rPr>
              <w:t>投标保证金</w:t>
            </w:r>
          </w:p>
        </w:tc>
        <w:tc>
          <w:tcPr>
            <w:tcW w:w="8016" w:type="dxa"/>
            <w:tcBorders>
              <w:top w:val="single" w:color="auto" w:sz="4" w:space="0"/>
              <w:left w:val="single" w:color="auto" w:sz="4" w:space="0"/>
              <w:bottom w:val="single" w:color="auto" w:sz="4" w:space="0"/>
              <w:right w:val="single" w:color="auto" w:sz="4" w:space="0"/>
            </w:tcBorders>
            <w:noWrap/>
            <w:vAlign w:val="center"/>
          </w:tcPr>
          <w:p w14:paraId="53E560A2">
            <w:pPr>
              <w:pStyle w:val="12"/>
              <w:rPr>
                <w:rFonts w:ascii="宋体" w:hAnsi="宋体" w:cs="宋体"/>
                <w:szCs w:val="24"/>
                <w:highlight w:val="none"/>
              </w:rPr>
            </w:pPr>
            <w:r>
              <w:rPr>
                <w:rFonts w:hint="eastAsia" w:ascii="宋体" w:hAnsi="宋体" w:cs="宋体"/>
                <w:b/>
                <w:highlight w:val="none"/>
              </w:rPr>
              <w:t>根据浙江省财政厅浙财采监[2019]5号文件《浙江省财政厅关于明确政府采购保证金管理工作的通知》的规定</w:t>
            </w:r>
          </w:p>
        </w:tc>
      </w:tr>
      <w:tr w14:paraId="102B7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9"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24638F8A">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7</w:t>
            </w:r>
          </w:p>
        </w:tc>
        <w:tc>
          <w:tcPr>
            <w:tcW w:w="1540" w:type="dxa"/>
            <w:tcBorders>
              <w:top w:val="single" w:color="auto" w:sz="4" w:space="0"/>
              <w:left w:val="single" w:color="auto" w:sz="4" w:space="0"/>
              <w:bottom w:val="single" w:color="auto" w:sz="4" w:space="0"/>
              <w:right w:val="single" w:color="auto" w:sz="4" w:space="0"/>
            </w:tcBorders>
            <w:noWrap/>
            <w:vAlign w:val="center"/>
          </w:tcPr>
          <w:p w14:paraId="77519BA6">
            <w:pPr>
              <w:pStyle w:val="17"/>
              <w:snapToGrid w:val="0"/>
              <w:spacing w:beforeAutospacing="0" w:afterAutospacing="0" w:line="400" w:lineRule="exact"/>
              <w:jc w:val="center"/>
              <w:rPr>
                <w:rFonts w:cs="宋体"/>
                <w:color w:val="auto"/>
                <w:kern w:val="2"/>
                <w:highlight w:val="none"/>
              </w:rPr>
            </w:pPr>
            <w:r>
              <w:rPr>
                <w:rFonts w:hint="eastAsia" w:cs="宋体"/>
                <w:b/>
                <w:color w:val="auto"/>
                <w:highlight w:val="none"/>
              </w:rPr>
              <w:t>投标文件份数</w:t>
            </w:r>
          </w:p>
        </w:tc>
        <w:tc>
          <w:tcPr>
            <w:tcW w:w="8016" w:type="dxa"/>
            <w:tcBorders>
              <w:top w:val="single" w:color="auto" w:sz="4" w:space="0"/>
              <w:left w:val="single" w:color="auto" w:sz="4" w:space="0"/>
              <w:bottom w:val="single" w:color="auto" w:sz="4" w:space="0"/>
              <w:right w:val="single" w:color="auto" w:sz="4" w:space="0"/>
            </w:tcBorders>
            <w:noWrap/>
            <w:vAlign w:val="center"/>
          </w:tcPr>
          <w:p w14:paraId="403B7AED">
            <w:pPr>
              <w:widowControl/>
              <w:jc w:val="left"/>
              <w:rPr>
                <w:rFonts w:ascii="宋体" w:hAnsi="宋体" w:cs="宋体"/>
                <w:color w:val="auto"/>
                <w:sz w:val="24"/>
                <w:highlight w:val="none"/>
              </w:rPr>
            </w:pPr>
            <w:r>
              <w:rPr>
                <w:rFonts w:hint="eastAsia" w:ascii="宋体" w:hAnsi="宋体" w:cs="宋体"/>
                <w:color w:val="auto"/>
                <w:sz w:val="24"/>
                <w:highlight w:val="none"/>
              </w:rPr>
              <w:t>在开标截至时间前须在政采云系统里上传加密的电子版投标文件。同时还须邮寄一份未加密的电子版投标文件，该电子投标文件应为政采云投标客户端生成的电子标书（后缀名为.bfbs）,投标人解密异常或未按时解密时应急使用），介质可以是U盘或DVD光盘。</w:t>
            </w:r>
          </w:p>
          <w:p w14:paraId="51F7FE2C">
            <w:pPr>
              <w:widowControl/>
              <w:jc w:val="left"/>
              <w:rPr>
                <w:rFonts w:ascii="宋体" w:hAnsi="宋体" w:cs="宋体"/>
                <w:color w:val="auto"/>
                <w:sz w:val="24"/>
                <w:highlight w:val="none"/>
              </w:rPr>
            </w:pPr>
            <w:r>
              <w:rPr>
                <w:rFonts w:hint="eastAsia" w:ascii="宋体" w:hAnsi="宋体" w:cs="宋体"/>
                <w:color w:val="auto"/>
                <w:sz w:val="24"/>
                <w:highlight w:val="none"/>
              </w:rPr>
              <w:t>投标人递交备份投标文件时，如出现下列情况之一的，将被拒收：</w:t>
            </w:r>
          </w:p>
          <w:p w14:paraId="3F8B8557">
            <w:pPr>
              <w:widowControl/>
              <w:jc w:val="left"/>
              <w:rPr>
                <w:rFonts w:ascii="宋体" w:hAnsi="宋体" w:cs="宋体"/>
                <w:color w:val="auto"/>
                <w:sz w:val="24"/>
                <w:highlight w:val="none"/>
              </w:rPr>
            </w:pPr>
            <w:r>
              <w:rPr>
                <w:rFonts w:hint="eastAsia" w:ascii="宋体" w:hAnsi="宋体" w:cs="宋体"/>
                <w:color w:val="auto"/>
                <w:sz w:val="24"/>
                <w:highlight w:val="none"/>
              </w:rPr>
              <w:t>1、未按规定密封或标记的投标文件；</w:t>
            </w:r>
          </w:p>
          <w:p w14:paraId="42B48759">
            <w:pPr>
              <w:widowControl/>
              <w:jc w:val="left"/>
              <w:rPr>
                <w:rFonts w:ascii="宋体" w:hAnsi="宋体" w:cs="宋体"/>
                <w:color w:val="auto"/>
                <w:sz w:val="24"/>
                <w:highlight w:val="none"/>
              </w:rPr>
            </w:pPr>
            <w:r>
              <w:rPr>
                <w:rFonts w:hint="eastAsia" w:ascii="宋体" w:hAnsi="宋体" w:cs="宋体"/>
                <w:color w:val="auto"/>
                <w:sz w:val="24"/>
                <w:highlight w:val="none"/>
              </w:rPr>
              <w:t>2、由于包装不妥，在送交途中严重损坏的；</w:t>
            </w:r>
          </w:p>
          <w:p w14:paraId="1549658A">
            <w:pPr>
              <w:widowControl/>
              <w:jc w:val="left"/>
              <w:rPr>
                <w:rFonts w:ascii="宋体" w:hAnsi="宋体" w:cs="宋体"/>
                <w:color w:val="auto"/>
                <w:sz w:val="24"/>
                <w:highlight w:val="none"/>
              </w:rPr>
            </w:pPr>
            <w:r>
              <w:rPr>
                <w:rFonts w:hint="eastAsia" w:ascii="宋体" w:hAnsi="宋体" w:cs="宋体"/>
                <w:color w:val="auto"/>
                <w:sz w:val="24"/>
                <w:highlight w:val="none"/>
              </w:rPr>
              <w:t>3、超过规定时间送达的；</w:t>
            </w:r>
          </w:p>
          <w:p w14:paraId="51437ADB">
            <w:pPr>
              <w:widowControl/>
              <w:jc w:val="left"/>
              <w:rPr>
                <w:rFonts w:ascii="宋体" w:hAnsi="宋体" w:cs="宋体"/>
                <w:color w:val="auto"/>
                <w:sz w:val="24"/>
                <w:highlight w:val="none"/>
              </w:rPr>
            </w:pPr>
            <w:r>
              <w:rPr>
                <w:rFonts w:hint="eastAsia" w:ascii="宋体" w:hAnsi="宋体" w:cs="宋体"/>
                <w:color w:val="auto"/>
                <w:sz w:val="24"/>
                <w:highlight w:val="none"/>
              </w:rPr>
              <w:t>4、仅提供备份投标文件的，投标无效。</w:t>
            </w:r>
          </w:p>
          <w:p w14:paraId="78AD0398">
            <w:pPr>
              <w:widowControl/>
              <w:jc w:val="left"/>
              <w:rPr>
                <w:rFonts w:ascii="宋体" w:hAnsi="宋体" w:cs="宋体"/>
                <w:color w:val="auto"/>
                <w:sz w:val="24"/>
                <w:szCs w:val="24"/>
                <w:highlight w:val="none"/>
              </w:rPr>
            </w:pPr>
            <w:r>
              <w:rPr>
                <w:rFonts w:hint="eastAsia" w:ascii="宋体" w:hAnsi="宋体" w:cs="宋体"/>
                <w:color w:val="auto"/>
                <w:sz w:val="24"/>
                <w:highlight w:val="none"/>
              </w:rPr>
              <w:t>当发生解密失败或未按时解密的，如投标人未按要求提交备份电子投标文件的，造成项目开评标活动无法进行下去的，投标无效，相关风险由投标人自行承担。</w:t>
            </w:r>
          </w:p>
        </w:tc>
      </w:tr>
      <w:tr w14:paraId="74EE8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AF8CC6">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8</w:t>
            </w:r>
          </w:p>
        </w:tc>
        <w:tc>
          <w:tcPr>
            <w:tcW w:w="1540" w:type="dxa"/>
            <w:tcBorders>
              <w:top w:val="single" w:color="auto" w:sz="4" w:space="0"/>
              <w:left w:val="single" w:color="auto" w:sz="4" w:space="0"/>
              <w:bottom w:val="single" w:color="auto" w:sz="4" w:space="0"/>
              <w:right w:val="single" w:color="auto" w:sz="4" w:space="0"/>
            </w:tcBorders>
            <w:noWrap/>
            <w:vAlign w:val="center"/>
          </w:tcPr>
          <w:p w14:paraId="03C083F1">
            <w:pPr>
              <w:pStyle w:val="12"/>
              <w:jc w:val="center"/>
              <w:rPr>
                <w:rFonts w:ascii="宋体" w:hAnsi="宋体" w:cs="宋体"/>
                <w:kern w:val="2"/>
                <w:szCs w:val="24"/>
                <w:highlight w:val="none"/>
              </w:rPr>
            </w:pPr>
            <w:r>
              <w:rPr>
                <w:rFonts w:hint="eastAsia" w:ascii="宋体" w:hAnsi="宋体" w:cs="宋体"/>
                <w:kern w:val="2"/>
                <w:szCs w:val="24"/>
                <w:highlight w:val="none"/>
              </w:rPr>
              <w:t>投标有效期</w:t>
            </w:r>
          </w:p>
        </w:tc>
        <w:tc>
          <w:tcPr>
            <w:tcW w:w="8016" w:type="dxa"/>
            <w:tcBorders>
              <w:top w:val="single" w:color="auto" w:sz="4" w:space="0"/>
              <w:left w:val="single" w:color="auto" w:sz="4" w:space="0"/>
              <w:bottom w:val="single" w:color="auto" w:sz="4" w:space="0"/>
              <w:right w:val="single" w:color="auto" w:sz="4" w:space="0"/>
            </w:tcBorders>
            <w:noWrap/>
            <w:vAlign w:val="center"/>
          </w:tcPr>
          <w:p w14:paraId="1B14C358">
            <w:pPr>
              <w:pStyle w:val="12"/>
              <w:rPr>
                <w:rFonts w:ascii="宋体" w:hAnsi="宋体" w:cs="宋体"/>
                <w:kern w:val="2"/>
                <w:szCs w:val="24"/>
                <w:highlight w:val="none"/>
              </w:rPr>
            </w:pPr>
            <w:r>
              <w:rPr>
                <w:rFonts w:hint="eastAsia" w:ascii="宋体" w:hAnsi="宋体" w:cs="宋体"/>
                <w:kern w:val="2"/>
                <w:szCs w:val="24"/>
                <w:highlight w:val="none"/>
              </w:rPr>
              <w:t>自投标截止日起</w:t>
            </w:r>
            <w:r>
              <w:rPr>
                <w:rFonts w:hint="eastAsia" w:ascii="宋体" w:hAnsi="宋体" w:cs="宋体"/>
                <w:szCs w:val="24"/>
                <w:highlight w:val="none"/>
              </w:rPr>
              <w:t>90天</w:t>
            </w:r>
            <w:r>
              <w:rPr>
                <w:rFonts w:hint="eastAsia" w:ascii="宋体" w:hAnsi="宋体" w:cs="宋体"/>
                <w:kern w:val="2"/>
                <w:szCs w:val="24"/>
                <w:highlight w:val="none"/>
              </w:rPr>
              <w:t>。</w:t>
            </w:r>
          </w:p>
        </w:tc>
      </w:tr>
      <w:tr w14:paraId="255F03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158DB874">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9</w:t>
            </w:r>
          </w:p>
        </w:tc>
        <w:tc>
          <w:tcPr>
            <w:tcW w:w="1540" w:type="dxa"/>
            <w:tcBorders>
              <w:top w:val="single" w:color="auto" w:sz="4" w:space="0"/>
              <w:left w:val="single" w:color="auto" w:sz="4" w:space="0"/>
              <w:bottom w:val="single" w:color="auto" w:sz="4" w:space="0"/>
              <w:right w:val="single" w:color="auto" w:sz="4" w:space="0"/>
            </w:tcBorders>
            <w:noWrap/>
            <w:vAlign w:val="center"/>
          </w:tcPr>
          <w:p w14:paraId="35271C95">
            <w:pPr>
              <w:pStyle w:val="12"/>
              <w:jc w:val="center"/>
              <w:rPr>
                <w:rFonts w:hint="eastAsia" w:ascii="宋体" w:hAnsi="宋体" w:cs="宋体"/>
                <w:bCs/>
                <w:szCs w:val="24"/>
                <w:highlight w:val="none"/>
              </w:rPr>
            </w:pPr>
            <w:r>
              <w:rPr>
                <w:rFonts w:hint="eastAsia" w:ascii="宋体" w:hAnsi="宋体" w:cs="宋体"/>
                <w:bCs/>
                <w:szCs w:val="24"/>
                <w:highlight w:val="none"/>
              </w:rPr>
              <w:t>付款方式</w:t>
            </w:r>
          </w:p>
        </w:tc>
        <w:tc>
          <w:tcPr>
            <w:tcW w:w="8016" w:type="dxa"/>
            <w:tcBorders>
              <w:top w:val="single" w:color="auto" w:sz="4" w:space="0"/>
              <w:left w:val="single" w:color="auto" w:sz="4" w:space="0"/>
              <w:bottom w:val="single" w:color="auto" w:sz="4" w:space="0"/>
              <w:right w:val="single" w:color="auto" w:sz="4" w:space="0"/>
            </w:tcBorders>
            <w:noWrap/>
            <w:vAlign w:val="center"/>
          </w:tcPr>
          <w:p w14:paraId="0ACAE836">
            <w:pPr>
              <w:pStyle w:val="24"/>
              <w:ind w:left="0" w:leftChars="0" w:firstLine="0" w:firstLineChars="0"/>
              <w:rPr>
                <w:rFonts w:hint="eastAsia" w:ascii="宋体" w:hAnsi="Times New Roman" w:cs="Times New Roman"/>
                <w:bCs w:val="0"/>
                <w:color w:val="auto"/>
                <w:sz w:val="34"/>
                <w:szCs w:val="22"/>
                <w:highlight w:val="none"/>
              </w:rPr>
            </w:pPr>
            <w:r>
              <w:rPr>
                <w:rFonts w:hint="eastAsia" w:ascii="宋体" w:hAnsi="宋体" w:eastAsia="宋体" w:cs="宋体"/>
                <w:color w:val="auto"/>
                <w:kern w:val="2"/>
                <w:sz w:val="24"/>
                <w:szCs w:val="24"/>
                <w:highlight w:val="none"/>
                <w:lang w:val="en-US" w:eastAsia="zh-CN" w:bidi="ar-SA"/>
              </w:rPr>
              <w:t>合同签订并具备实施条件后7个工作日内支付合同额50%的预付款，第二年年末支付合同价款的40%，第三年支付合同价款的10%。</w:t>
            </w:r>
          </w:p>
        </w:tc>
      </w:tr>
      <w:tr w14:paraId="4759F2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83"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FBB9114">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11</w:t>
            </w:r>
          </w:p>
        </w:tc>
        <w:tc>
          <w:tcPr>
            <w:tcW w:w="1540" w:type="dxa"/>
            <w:tcBorders>
              <w:top w:val="single" w:color="auto" w:sz="4" w:space="0"/>
              <w:left w:val="single" w:color="auto" w:sz="4" w:space="0"/>
              <w:bottom w:val="single" w:color="auto" w:sz="4" w:space="0"/>
              <w:right w:val="single" w:color="auto" w:sz="4" w:space="0"/>
            </w:tcBorders>
            <w:noWrap/>
            <w:vAlign w:val="center"/>
          </w:tcPr>
          <w:p w14:paraId="1D6C3005">
            <w:pPr>
              <w:spacing w:before="48" w:after="48" w:line="360" w:lineRule="exact"/>
              <w:rPr>
                <w:rFonts w:ascii="宋体" w:hAnsi="宋体" w:cs="宋体"/>
                <w:color w:val="auto"/>
                <w:kern w:val="2"/>
                <w:szCs w:val="24"/>
                <w:highlight w:val="none"/>
              </w:rPr>
            </w:pPr>
            <w:r>
              <w:rPr>
                <w:rFonts w:hint="eastAsia" w:ascii="宋体" w:hAnsi="宋体" w:cs="宋体"/>
                <w:color w:val="auto"/>
                <w:sz w:val="24"/>
                <w:szCs w:val="24"/>
                <w:highlight w:val="none"/>
              </w:rPr>
              <w:t>信用记录</w:t>
            </w:r>
          </w:p>
        </w:tc>
        <w:tc>
          <w:tcPr>
            <w:tcW w:w="8016" w:type="dxa"/>
            <w:tcBorders>
              <w:top w:val="single" w:color="auto" w:sz="4" w:space="0"/>
              <w:left w:val="single" w:color="auto" w:sz="4" w:space="0"/>
              <w:bottom w:val="single" w:color="auto" w:sz="4" w:space="0"/>
              <w:right w:val="single" w:color="auto" w:sz="4" w:space="0"/>
            </w:tcBorders>
            <w:noWrap/>
            <w:vAlign w:val="center"/>
          </w:tcPr>
          <w:p w14:paraId="4DE330D3">
            <w:pPr>
              <w:spacing w:before="48" w:after="48" w:line="360" w:lineRule="exact"/>
              <w:rPr>
                <w:rFonts w:ascii="宋体" w:hAnsi="宋体" w:cs="宋体"/>
                <w:color w:val="auto"/>
                <w:sz w:val="24"/>
                <w:szCs w:val="24"/>
                <w:highlight w:val="none"/>
              </w:rPr>
            </w:pPr>
            <w:r>
              <w:rPr>
                <w:rFonts w:hint="eastAsia" w:ascii="宋体" w:hAnsi="宋体" w:cs="宋体"/>
                <w:color w:val="auto"/>
                <w:sz w:val="24"/>
                <w:szCs w:val="24"/>
                <w:highlight w:val="none"/>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p w14:paraId="43EBC843">
            <w:pPr>
              <w:spacing w:before="48" w:after="48" w:line="360" w:lineRule="exact"/>
              <w:rPr>
                <w:rFonts w:ascii="宋体" w:hAnsi="宋体" w:cs="宋体"/>
                <w:color w:val="auto"/>
                <w:sz w:val="24"/>
                <w:highlight w:val="none"/>
              </w:rPr>
            </w:pPr>
            <w:r>
              <w:rPr>
                <w:rFonts w:hint="eastAsia" w:ascii="宋体" w:hAnsi="宋体" w:cs="宋体"/>
                <w:color w:val="auto"/>
                <w:sz w:val="24"/>
                <w:szCs w:val="24"/>
                <w:highlight w:val="none"/>
              </w:rPr>
              <w:t>查询记录和证据的留存：信用信息查询记录和证据以网页截图等方式留存。</w:t>
            </w:r>
          </w:p>
        </w:tc>
      </w:tr>
      <w:tr w14:paraId="6C272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6"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75FAB34F">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12</w:t>
            </w:r>
          </w:p>
        </w:tc>
        <w:tc>
          <w:tcPr>
            <w:tcW w:w="1540" w:type="dxa"/>
            <w:tcBorders>
              <w:top w:val="single" w:color="auto" w:sz="4" w:space="0"/>
              <w:left w:val="single" w:color="auto" w:sz="4" w:space="0"/>
              <w:bottom w:val="single" w:color="auto" w:sz="4" w:space="0"/>
              <w:right w:val="single" w:color="auto" w:sz="4" w:space="0"/>
            </w:tcBorders>
            <w:noWrap/>
            <w:vAlign w:val="center"/>
          </w:tcPr>
          <w:p w14:paraId="713A49ED">
            <w:pPr>
              <w:tabs>
                <w:tab w:val="right" w:leader="dot" w:pos="8820"/>
              </w:tabs>
              <w:spacing w:before="48" w:after="48" w:line="360" w:lineRule="exact"/>
              <w:rPr>
                <w:rFonts w:ascii="宋体" w:hAnsi="宋体" w:cs="宋体"/>
                <w:color w:val="auto"/>
                <w:kern w:val="2"/>
                <w:szCs w:val="24"/>
                <w:highlight w:val="none"/>
              </w:rPr>
            </w:pPr>
            <w:r>
              <w:rPr>
                <w:rFonts w:hint="eastAsia" w:ascii="宋体" w:hAnsi="宋体"/>
                <w:color w:val="auto"/>
                <w:sz w:val="24"/>
                <w:szCs w:val="24"/>
                <w:highlight w:val="none"/>
              </w:rPr>
              <w:t>小微企业有关政策</w:t>
            </w:r>
          </w:p>
        </w:tc>
        <w:tc>
          <w:tcPr>
            <w:tcW w:w="8016" w:type="dxa"/>
            <w:tcBorders>
              <w:top w:val="single" w:color="auto" w:sz="4" w:space="0"/>
              <w:left w:val="single" w:color="auto" w:sz="4" w:space="0"/>
              <w:bottom w:val="single" w:color="auto" w:sz="4" w:space="0"/>
              <w:right w:val="single" w:color="auto" w:sz="4" w:space="0"/>
            </w:tcBorders>
            <w:noWrap/>
            <w:vAlign w:val="center"/>
          </w:tcPr>
          <w:p w14:paraId="707E7B84">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 小微企业价格扣除。</w:t>
            </w:r>
          </w:p>
          <w:p w14:paraId="56F8A4D8">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1.1本项目</w:t>
            </w:r>
            <w:r>
              <w:rPr>
                <w:rFonts w:hint="eastAsia" w:ascii="宋体" w:hAnsi="宋体" w:eastAsia="宋体" w:cs="宋体"/>
                <w:b/>
                <w:bCs/>
                <w:color w:val="auto"/>
                <w:sz w:val="24"/>
                <w:highlight w:val="none"/>
                <w:lang w:eastAsia="zh-CN"/>
              </w:rPr>
              <w:t>非</w:t>
            </w:r>
            <w:r>
              <w:rPr>
                <w:rFonts w:hint="eastAsia" w:ascii="宋体" w:hAnsi="宋体" w:cs="宋体"/>
                <w:b/>
                <w:bCs/>
                <w:color w:val="auto"/>
                <w:sz w:val="24"/>
                <w:highlight w:val="none"/>
              </w:rPr>
              <w:t>专门</w:t>
            </w:r>
            <w:r>
              <w:rPr>
                <w:rFonts w:hint="eastAsia" w:ascii="宋体" w:hAnsi="宋体" w:cs="宋体"/>
                <w:color w:val="auto"/>
                <w:sz w:val="24"/>
                <w:highlight w:val="none"/>
              </w:rPr>
              <w:t>面向中小企业采购。</w:t>
            </w:r>
          </w:p>
          <w:p w14:paraId="532F418E">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1.2本项目对应的中小企业划分标准所属行业：</w:t>
            </w:r>
            <w:r>
              <w:rPr>
                <w:rFonts w:hint="eastAsia" w:ascii="宋体" w:hAnsi="宋体" w:cs="宋体"/>
                <w:color w:val="auto"/>
                <w:sz w:val="24"/>
                <w:highlight w:val="none"/>
                <w:lang w:val="en-US" w:eastAsia="zh-CN"/>
              </w:rPr>
              <w:t>技术服务业</w:t>
            </w:r>
            <w:r>
              <w:rPr>
                <w:rFonts w:hint="eastAsia" w:ascii="宋体" w:hAnsi="宋体" w:cs="宋体"/>
                <w:color w:val="auto"/>
                <w:sz w:val="24"/>
                <w:highlight w:val="none"/>
              </w:rPr>
              <w:t xml:space="preserve"> </w:t>
            </w:r>
          </w:p>
          <w:p w14:paraId="58B4C8F1">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1.3小微企业是指在中华人民共和国境内依法设立，依据国务院批准的中小企业划分标准确定的小型企业和微型企业，但与大企业的负责人为同一人，或者与大企业存在直接控股、管理关系的除外。</w:t>
            </w:r>
          </w:p>
          <w:p w14:paraId="27002CB5">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1.4在货物采购项目中，货物由小微企业制造，即货物由小微企业生产且使用该小微企业商号或者注册商标。供应商提供的货物既有中小企业制造货物，也有大型企业制造货物的，不享受中小企业扶持政策。</w:t>
            </w:r>
          </w:p>
          <w:p w14:paraId="45F2139A">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1.5在服务采购项目中，服务由小微企业承接，即提供服务的人员为小微企业依照《中华人民共和国劳动合同法》订立劳动合同的从业人员。</w:t>
            </w:r>
          </w:p>
          <w:p w14:paraId="2864F177">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1.6小微企业应按照招标文件格式要求提供《中小企业声明函》。</w:t>
            </w:r>
          </w:p>
          <w:p w14:paraId="21F4329C">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1.7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53610ABE">
            <w:pPr>
              <w:snapToGrid w:val="0"/>
              <w:spacing w:line="440" w:lineRule="exact"/>
              <w:jc w:val="left"/>
              <w:rPr>
                <w:rFonts w:hint="eastAsia" w:ascii="宋体" w:hAnsi="宋体" w:cs="宋体"/>
                <w:color w:val="auto"/>
                <w:sz w:val="24"/>
                <w:highlight w:val="none"/>
              </w:rPr>
            </w:pPr>
            <w:r>
              <w:rPr>
                <w:rFonts w:hint="eastAsia" w:ascii="宋体" w:hAnsi="宋体" w:cs="宋体"/>
                <w:color w:val="auto"/>
                <w:sz w:val="24"/>
                <w:highlight w:val="none"/>
              </w:rPr>
              <w:t>1.8符合《关于促进残疾人就业政府采购政策的通知》（财库〔2017〕141号）规定的条件并提供《残疾人福利性单位声明函》（附件1）的残疾人福利性单位视同小微企业。</w:t>
            </w:r>
          </w:p>
          <w:p w14:paraId="7D95458C">
            <w:pPr>
              <w:snapToGrid w:val="0"/>
              <w:spacing w:line="440" w:lineRule="exact"/>
              <w:jc w:val="left"/>
              <w:rPr>
                <w:rFonts w:ascii="宋体" w:hAnsi="宋体" w:cs="宋体"/>
                <w:b/>
                <w:snapToGrid w:val="0"/>
                <w:color w:val="auto"/>
                <w:sz w:val="24"/>
                <w:szCs w:val="24"/>
                <w:highlight w:val="none"/>
              </w:rPr>
            </w:pPr>
            <w:r>
              <w:rPr>
                <w:rFonts w:hint="eastAsia" w:ascii="宋体" w:hAnsi="宋体" w:cs="宋体"/>
                <w:color w:val="auto"/>
                <w:sz w:val="24"/>
                <w:highlight w:val="none"/>
              </w:rPr>
              <w:t>1.9符合《关于政府采购支持监狱企业发展有关问题的通知》（财库[2014]68号）规定的监狱企业并提供由省级以上监狱管理局、戒毒管理局（含新疆生产建设兵团）出具的属于监狱企业证明文件的，视同为小微企业。</w:t>
            </w:r>
          </w:p>
        </w:tc>
      </w:tr>
      <w:tr w14:paraId="3C0998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4"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130A2EC7">
            <w:pPr>
              <w:pStyle w:val="12"/>
              <w:spacing w:line="440" w:lineRule="exact"/>
              <w:jc w:val="center"/>
              <w:rPr>
                <w:rFonts w:ascii="宋体" w:hAnsi="宋体" w:cs="宋体"/>
                <w:b/>
                <w:kern w:val="2"/>
                <w:szCs w:val="24"/>
                <w:highlight w:val="none"/>
              </w:rPr>
            </w:pPr>
            <w:r>
              <w:rPr>
                <w:rFonts w:hint="eastAsia" w:ascii="宋体" w:hAnsi="宋体" w:cs="宋体"/>
                <w:b/>
                <w:kern w:val="2"/>
                <w:szCs w:val="24"/>
                <w:highlight w:val="none"/>
              </w:rPr>
              <w:t>13</w:t>
            </w:r>
          </w:p>
        </w:tc>
        <w:tc>
          <w:tcPr>
            <w:tcW w:w="1540" w:type="dxa"/>
            <w:tcBorders>
              <w:top w:val="single" w:color="auto" w:sz="4" w:space="0"/>
              <w:left w:val="single" w:color="auto" w:sz="4" w:space="0"/>
              <w:bottom w:val="single" w:color="auto" w:sz="4" w:space="0"/>
              <w:right w:val="single" w:color="auto" w:sz="4" w:space="0"/>
            </w:tcBorders>
            <w:noWrap/>
            <w:vAlign w:val="center"/>
          </w:tcPr>
          <w:p w14:paraId="0CD53434">
            <w:pPr>
              <w:snapToGrid w:val="0"/>
              <w:spacing w:line="400" w:lineRule="exact"/>
              <w:rPr>
                <w:rFonts w:ascii="宋体" w:hAnsi="宋体" w:cs="宋体"/>
                <w:b/>
                <w:color w:val="auto"/>
                <w:kern w:val="2"/>
                <w:szCs w:val="24"/>
                <w:highlight w:val="none"/>
              </w:rPr>
            </w:pPr>
            <w:r>
              <w:rPr>
                <w:rFonts w:hint="eastAsia" w:ascii="宋体" w:hAnsi="宋体"/>
                <w:bCs/>
                <w:color w:val="auto"/>
                <w:sz w:val="24"/>
                <w:highlight w:val="none"/>
              </w:rPr>
              <w:t>政府采购节能环保产品</w:t>
            </w:r>
          </w:p>
        </w:tc>
        <w:tc>
          <w:tcPr>
            <w:tcW w:w="8016" w:type="dxa"/>
            <w:tcBorders>
              <w:top w:val="single" w:color="auto" w:sz="4" w:space="0"/>
              <w:left w:val="single" w:color="auto" w:sz="4" w:space="0"/>
              <w:bottom w:val="single" w:color="auto" w:sz="4" w:space="0"/>
              <w:right w:val="single" w:color="auto" w:sz="4" w:space="0"/>
            </w:tcBorders>
            <w:noWrap/>
            <w:vAlign w:val="center"/>
          </w:tcPr>
          <w:p w14:paraId="0ECD96E7">
            <w:pPr>
              <w:snapToGrid w:val="0"/>
              <w:spacing w:line="400" w:lineRule="exact"/>
              <w:rPr>
                <w:rFonts w:ascii="宋体" w:hAnsi="宋体"/>
                <w:color w:val="auto"/>
                <w:sz w:val="24"/>
                <w:highlight w:val="none"/>
              </w:rPr>
            </w:pPr>
            <w:r>
              <w:rPr>
                <w:rFonts w:hint="eastAsia" w:ascii="宋体" w:hAnsi="宋体"/>
                <w:color w:val="auto"/>
                <w:sz w:val="24"/>
                <w:highlight w:val="none"/>
              </w:rPr>
              <w:t>投标产品若属于节能环保产品的，请提供财政部、环境保护保部发布有效期内环境标志产品政府采购清单以及财政部、发改委联合发布有效期内节能产品政府采购清单。</w:t>
            </w:r>
          </w:p>
          <w:p w14:paraId="21B1FF14">
            <w:pPr>
              <w:snapToGrid w:val="0"/>
              <w:spacing w:line="400" w:lineRule="exact"/>
              <w:rPr>
                <w:rFonts w:ascii="宋体" w:hAnsi="宋体" w:cs="宋体"/>
                <w:color w:val="auto"/>
                <w:kern w:val="2"/>
                <w:highlight w:val="none"/>
              </w:rPr>
            </w:pPr>
            <w:r>
              <w:rPr>
                <w:rFonts w:hint="eastAsia" w:ascii="宋体" w:hAnsi="宋体"/>
                <w:color w:val="auto"/>
                <w:sz w:val="24"/>
                <w:highlight w:val="none"/>
              </w:rPr>
              <w:t>招标需求中要求提供的产品属于节能清单中政府强制采购节能产品品目的，供应商须提供该清单内产品，</w:t>
            </w:r>
            <w:r>
              <w:rPr>
                <w:rFonts w:hint="eastAsia" w:ascii="宋体" w:hAnsi="宋体"/>
                <w:b/>
                <w:color w:val="auto"/>
                <w:sz w:val="24"/>
                <w:highlight w:val="none"/>
              </w:rPr>
              <w:t>否则其投标将作为无效标处理。</w:t>
            </w:r>
          </w:p>
        </w:tc>
      </w:tr>
      <w:tr w14:paraId="172349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4D12C624">
            <w:pPr>
              <w:pStyle w:val="12"/>
              <w:spacing w:line="440" w:lineRule="exact"/>
              <w:jc w:val="center"/>
              <w:rPr>
                <w:rFonts w:ascii="宋体" w:hAnsi="宋体" w:cs="宋体"/>
                <w:b/>
                <w:szCs w:val="24"/>
                <w:highlight w:val="none"/>
              </w:rPr>
            </w:pPr>
            <w:r>
              <w:rPr>
                <w:rFonts w:hint="eastAsia" w:ascii="宋体" w:hAnsi="宋体" w:cs="宋体"/>
                <w:b/>
                <w:kern w:val="2"/>
                <w:szCs w:val="24"/>
                <w:highlight w:val="none"/>
              </w:rPr>
              <w:t>14</w:t>
            </w:r>
          </w:p>
        </w:tc>
        <w:tc>
          <w:tcPr>
            <w:tcW w:w="1540" w:type="dxa"/>
            <w:tcBorders>
              <w:top w:val="single" w:color="auto" w:sz="4" w:space="0"/>
              <w:left w:val="single" w:color="auto" w:sz="4" w:space="0"/>
              <w:bottom w:val="single" w:color="auto" w:sz="4" w:space="0"/>
              <w:right w:val="single" w:color="auto" w:sz="4" w:space="0"/>
            </w:tcBorders>
            <w:noWrap/>
            <w:vAlign w:val="center"/>
          </w:tcPr>
          <w:p w14:paraId="4E8A5B5C">
            <w:pPr>
              <w:pStyle w:val="12"/>
              <w:jc w:val="center"/>
              <w:rPr>
                <w:rFonts w:ascii="宋体" w:hAnsi="宋体" w:cs="宋体"/>
                <w:kern w:val="2"/>
                <w:highlight w:val="none"/>
              </w:rPr>
            </w:pPr>
            <w:r>
              <w:rPr>
                <w:rFonts w:hint="eastAsia" w:ascii="宋体" w:hAnsi="宋体" w:cs="宋体"/>
                <w:kern w:val="2"/>
                <w:szCs w:val="24"/>
                <w:highlight w:val="none"/>
              </w:rPr>
              <w:t>质疑与答疑时间</w:t>
            </w:r>
          </w:p>
        </w:tc>
        <w:tc>
          <w:tcPr>
            <w:tcW w:w="8016" w:type="dxa"/>
            <w:tcBorders>
              <w:top w:val="single" w:color="auto" w:sz="4" w:space="0"/>
              <w:left w:val="single" w:color="auto" w:sz="4" w:space="0"/>
              <w:bottom w:val="single" w:color="auto" w:sz="4" w:space="0"/>
              <w:right w:val="single" w:color="auto" w:sz="4" w:space="0"/>
            </w:tcBorders>
            <w:noWrap/>
            <w:vAlign w:val="center"/>
          </w:tcPr>
          <w:p w14:paraId="05BCAC9A">
            <w:pPr>
              <w:pStyle w:val="12"/>
              <w:rPr>
                <w:rFonts w:ascii="宋体" w:hAnsi="宋体" w:cs="宋体"/>
                <w:kern w:val="2"/>
                <w:highlight w:val="none"/>
              </w:rPr>
            </w:pPr>
            <w:r>
              <w:rPr>
                <w:rFonts w:hint="eastAsia" w:ascii="宋体" w:hAnsi="宋体" w:cs="宋体"/>
                <w:kern w:val="2"/>
                <w:highlight w:val="none"/>
              </w:rPr>
              <w:t>投标人应在</w:t>
            </w:r>
            <w:r>
              <w:rPr>
                <w:rFonts w:hint="eastAsia" w:ascii="宋体" w:hAnsi="宋体" w:cs="宋体"/>
                <w:kern w:val="2"/>
                <w:szCs w:val="24"/>
                <w:highlight w:val="none"/>
              </w:rPr>
              <w:t>投标截止时间七个工作日前</w:t>
            </w:r>
            <w:r>
              <w:rPr>
                <w:rFonts w:hint="eastAsia" w:ascii="宋体" w:hAnsi="宋体" w:cs="宋体"/>
                <w:kern w:val="2"/>
                <w:highlight w:val="none"/>
              </w:rPr>
              <w:t>以书面形式向采购代理机构提出质疑，逾期提出的，采购代理机构不予受理。</w:t>
            </w:r>
          </w:p>
        </w:tc>
      </w:tr>
      <w:tr w14:paraId="71D25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8"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05919C85">
            <w:pPr>
              <w:pStyle w:val="12"/>
              <w:tabs>
                <w:tab w:val="left" w:pos="205"/>
              </w:tabs>
              <w:spacing w:line="440" w:lineRule="exact"/>
              <w:jc w:val="center"/>
              <w:rPr>
                <w:rFonts w:ascii="宋体" w:hAnsi="宋体" w:cs="宋体"/>
                <w:b/>
                <w:kern w:val="2"/>
                <w:szCs w:val="24"/>
                <w:highlight w:val="none"/>
              </w:rPr>
            </w:pPr>
            <w:r>
              <w:rPr>
                <w:rFonts w:hint="eastAsia" w:ascii="宋体" w:hAnsi="宋体" w:cs="宋体"/>
                <w:b/>
                <w:szCs w:val="24"/>
                <w:highlight w:val="none"/>
              </w:rPr>
              <w:t>15</w:t>
            </w:r>
          </w:p>
        </w:tc>
        <w:tc>
          <w:tcPr>
            <w:tcW w:w="1540" w:type="dxa"/>
            <w:tcBorders>
              <w:top w:val="single" w:color="auto" w:sz="4" w:space="0"/>
              <w:left w:val="single" w:color="auto" w:sz="4" w:space="0"/>
              <w:bottom w:val="single" w:color="auto" w:sz="4" w:space="0"/>
              <w:right w:val="single" w:color="auto" w:sz="4" w:space="0"/>
            </w:tcBorders>
            <w:noWrap/>
            <w:vAlign w:val="center"/>
          </w:tcPr>
          <w:p w14:paraId="281647CC">
            <w:pPr>
              <w:snapToGrid w:val="0"/>
              <w:jc w:val="center"/>
              <w:rPr>
                <w:rFonts w:ascii="宋体" w:hAnsi="宋体" w:cs="宋体"/>
                <w:color w:val="auto"/>
                <w:highlight w:val="none"/>
              </w:rPr>
            </w:pPr>
            <w:r>
              <w:rPr>
                <w:rFonts w:hint="eastAsia" w:ascii="宋体" w:hAnsi="宋体"/>
                <w:color w:val="auto"/>
                <w:sz w:val="24"/>
                <w:szCs w:val="24"/>
                <w:highlight w:val="none"/>
              </w:rPr>
              <w:t>代理服务费</w:t>
            </w:r>
          </w:p>
        </w:tc>
        <w:tc>
          <w:tcPr>
            <w:tcW w:w="8016" w:type="dxa"/>
            <w:tcBorders>
              <w:top w:val="single" w:color="auto" w:sz="4" w:space="0"/>
              <w:left w:val="single" w:color="auto" w:sz="4" w:space="0"/>
              <w:bottom w:val="single" w:color="auto" w:sz="4" w:space="0"/>
              <w:right w:val="single" w:color="auto" w:sz="4" w:space="0"/>
            </w:tcBorders>
            <w:noWrap/>
            <w:vAlign w:val="center"/>
          </w:tcPr>
          <w:p w14:paraId="1EDB94B1">
            <w:pPr>
              <w:pStyle w:val="17"/>
              <w:wordWrap w:val="0"/>
              <w:spacing w:beforeAutospacing="0" w:afterAutospacing="0" w:line="400" w:lineRule="exact"/>
              <w:rPr>
                <w:rFonts w:hint="eastAsia" w:ascii="Calibri" w:hAnsi="Calibri"/>
                <w:color w:val="auto"/>
                <w:kern w:val="2"/>
                <w:highlight w:val="none"/>
              </w:rPr>
            </w:pPr>
            <w:r>
              <w:rPr>
                <w:rFonts w:hint="eastAsia" w:ascii="Calibri" w:hAnsi="Calibri"/>
                <w:color w:val="auto"/>
                <w:kern w:val="2"/>
                <w:highlight w:val="none"/>
              </w:rPr>
              <w:t>①代理服务费以中标通知书中确定的中标金额作为服务费的计算基数，收费</w:t>
            </w:r>
            <w:r>
              <w:rPr>
                <w:rFonts w:hint="eastAsia" w:ascii="宋体" w:hAnsi="宋体"/>
                <w:color w:val="auto"/>
                <w:sz w:val="24"/>
                <w:highlight w:val="none"/>
                <w:lang w:val="en-US" w:eastAsia="zh-CN"/>
              </w:rPr>
              <w:t>收费比例按照如下标准的</w:t>
            </w:r>
            <w:r>
              <w:rPr>
                <w:rFonts w:hint="eastAsia"/>
                <w:color w:val="auto"/>
                <w:sz w:val="24"/>
                <w:highlight w:val="none"/>
                <w:lang w:val="en-US" w:eastAsia="zh-CN"/>
              </w:rPr>
              <w:t>60</w:t>
            </w:r>
            <w:r>
              <w:rPr>
                <w:rFonts w:hint="eastAsia" w:ascii="宋体" w:hAnsi="宋体"/>
                <w:color w:val="auto"/>
                <w:sz w:val="24"/>
                <w:highlight w:val="none"/>
                <w:lang w:val="en-US" w:eastAsia="zh-CN"/>
              </w:rPr>
              <w:t>%计取</w:t>
            </w:r>
            <w:r>
              <w:rPr>
                <w:rFonts w:hint="eastAsia" w:ascii="Calibri" w:hAnsi="Calibri"/>
                <w:color w:val="auto"/>
                <w:kern w:val="2"/>
                <w:highlight w:val="none"/>
              </w:rPr>
              <w:t>：中标金额在100万以下部分为</w:t>
            </w:r>
            <w:r>
              <w:rPr>
                <w:rFonts w:hint="eastAsia"/>
                <w:color w:val="auto"/>
                <w:kern w:val="2"/>
                <w:highlight w:val="none"/>
              </w:rPr>
              <w:t>中标价的</w:t>
            </w:r>
            <w:r>
              <w:rPr>
                <w:rFonts w:hint="eastAsia" w:ascii="Calibri" w:hAnsi="Calibri"/>
                <w:color w:val="auto"/>
                <w:kern w:val="2"/>
                <w:highlight w:val="none"/>
              </w:rPr>
              <w:t>1.5%</w:t>
            </w:r>
            <w:r>
              <w:rPr>
                <w:rFonts w:hint="eastAsia" w:ascii="Calibri" w:hAnsi="Calibri"/>
                <w:color w:val="auto"/>
                <w:kern w:val="2"/>
                <w:highlight w:val="none"/>
                <w:lang w:eastAsia="zh-CN"/>
              </w:rPr>
              <w:t>，</w:t>
            </w:r>
            <w:r>
              <w:rPr>
                <w:rFonts w:hint="eastAsia" w:ascii="Calibri" w:hAnsi="Calibri"/>
                <w:color w:val="auto"/>
                <w:kern w:val="2"/>
                <w:highlight w:val="none"/>
              </w:rPr>
              <w:t>由中标供应商按中标价在领取中标通知书时支付</w:t>
            </w:r>
            <w:r>
              <w:rPr>
                <w:rFonts w:hint="eastAsia"/>
                <w:color w:val="auto"/>
                <w:kern w:val="2"/>
                <w:highlight w:val="none"/>
              </w:rPr>
              <w:t>完成</w:t>
            </w:r>
            <w:r>
              <w:rPr>
                <w:rFonts w:hint="eastAsia" w:ascii="Calibri" w:hAnsi="Calibri"/>
                <w:color w:val="auto"/>
                <w:kern w:val="2"/>
                <w:highlight w:val="none"/>
              </w:rPr>
              <w:t>；</w:t>
            </w:r>
          </w:p>
          <w:p w14:paraId="7830BDDA">
            <w:pPr>
              <w:jc w:val="left"/>
              <w:rPr>
                <w:rFonts w:ascii="宋体" w:hAnsi="宋体" w:cs="宋体"/>
                <w:color w:val="auto"/>
                <w:highlight w:val="none"/>
              </w:rPr>
            </w:pPr>
            <w:r>
              <w:rPr>
                <w:rFonts w:hint="eastAsia"/>
                <w:color w:val="auto"/>
                <w:sz w:val="24"/>
                <w:szCs w:val="24"/>
                <w:highlight w:val="none"/>
              </w:rPr>
              <w:t>支付方式：银行支票、电汇、现金等。</w:t>
            </w:r>
          </w:p>
        </w:tc>
      </w:tr>
      <w:tr w14:paraId="68EE1B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1"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4A86C376">
            <w:pPr>
              <w:pStyle w:val="12"/>
              <w:tabs>
                <w:tab w:val="left" w:pos="205"/>
              </w:tabs>
              <w:spacing w:line="440" w:lineRule="exact"/>
              <w:jc w:val="center"/>
              <w:rPr>
                <w:rFonts w:ascii="宋体" w:hAnsi="宋体" w:cs="宋体"/>
                <w:b/>
                <w:szCs w:val="24"/>
                <w:highlight w:val="none"/>
              </w:rPr>
            </w:pPr>
            <w:bookmarkStart w:id="4" w:name="_Toc454374911"/>
            <w:r>
              <w:rPr>
                <w:rFonts w:hint="eastAsia" w:ascii="宋体" w:hAnsi="宋体" w:cs="宋体"/>
                <w:b/>
                <w:szCs w:val="24"/>
                <w:highlight w:val="none"/>
              </w:rPr>
              <w:t>16</w:t>
            </w:r>
          </w:p>
        </w:tc>
        <w:tc>
          <w:tcPr>
            <w:tcW w:w="1540" w:type="dxa"/>
            <w:tcBorders>
              <w:top w:val="single" w:color="auto" w:sz="4" w:space="0"/>
              <w:left w:val="single" w:color="auto" w:sz="4" w:space="0"/>
              <w:bottom w:val="single" w:color="auto" w:sz="4" w:space="0"/>
              <w:right w:val="single" w:color="auto" w:sz="4" w:space="0"/>
            </w:tcBorders>
            <w:noWrap/>
            <w:vAlign w:val="center"/>
          </w:tcPr>
          <w:p w14:paraId="793A1947">
            <w:pPr>
              <w:snapToGrid w:val="0"/>
              <w:spacing w:line="360" w:lineRule="auto"/>
              <w:jc w:val="center"/>
              <w:textAlignment w:val="bottom"/>
              <w:rPr>
                <w:rFonts w:ascii="宋体" w:hAnsi="宋体" w:cs="宋体"/>
                <w:color w:val="auto"/>
                <w:kern w:val="2"/>
                <w:sz w:val="24"/>
                <w:szCs w:val="20"/>
                <w:highlight w:val="none"/>
              </w:rPr>
            </w:pPr>
            <w:r>
              <w:rPr>
                <w:rFonts w:hint="eastAsia" w:ascii="宋体" w:hAnsi="宋体" w:cs="宋体"/>
                <w:color w:val="auto"/>
                <w:kern w:val="2"/>
                <w:sz w:val="24"/>
                <w:szCs w:val="20"/>
                <w:highlight w:val="none"/>
              </w:rPr>
              <w:t>履约保证金</w:t>
            </w:r>
          </w:p>
        </w:tc>
        <w:tc>
          <w:tcPr>
            <w:tcW w:w="8016" w:type="dxa"/>
            <w:tcBorders>
              <w:top w:val="single" w:color="auto" w:sz="4" w:space="0"/>
              <w:left w:val="single" w:color="auto" w:sz="4" w:space="0"/>
              <w:bottom w:val="single" w:color="auto" w:sz="4" w:space="0"/>
              <w:right w:val="single" w:color="auto" w:sz="4" w:space="0"/>
            </w:tcBorders>
            <w:noWrap/>
            <w:vAlign w:val="center"/>
          </w:tcPr>
          <w:p w14:paraId="5D833668">
            <w:pPr>
              <w:snapToGrid w:val="0"/>
              <w:spacing w:line="360" w:lineRule="auto"/>
              <w:textAlignment w:val="bottom"/>
              <w:rPr>
                <w:rFonts w:hint="eastAsia" w:ascii="宋体" w:hAnsi="宋体" w:eastAsia="宋体" w:cs="宋体"/>
                <w:color w:val="auto"/>
                <w:kern w:val="2"/>
                <w:sz w:val="24"/>
                <w:szCs w:val="20"/>
                <w:highlight w:val="none"/>
                <w:lang w:eastAsia="zh-CN"/>
              </w:rPr>
            </w:pPr>
            <w:r>
              <w:rPr>
                <w:rFonts w:hint="eastAsia" w:ascii="宋体" w:hAnsi="宋体" w:cs="宋体"/>
                <w:color w:val="auto"/>
                <w:kern w:val="2"/>
                <w:sz w:val="24"/>
                <w:szCs w:val="20"/>
                <w:highlight w:val="none"/>
                <w:lang w:val="en-US" w:eastAsia="zh-CN"/>
              </w:rPr>
              <w:t>无</w:t>
            </w:r>
          </w:p>
        </w:tc>
      </w:tr>
      <w:tr w14:paraId="1F09F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1" w:hRule="atLeast"/>
          <w:jc w:val="center"/>
        </w:trPr>
        <w:tc>
          <w:tcPr>
            <w:tcW w:w="727" w:type="dxa"/>
            <w:tcBorders>
              <w:top w:val="single" w:color="auto" w:sz="4" w:space="0"/>
              <w:left w:val="single" w:color="auto" w:sz="4" w:space="0"/>
              <w:bottom w:val="single" w:color="auto" w:sz="4" w:space="0"/>
              <w:right w:val="single" w:color="auto" w:sz="4" w:space="0"/>
            </w:tcBorders>
            <w:noWrap/>
            <w:vAlign w:val="center"/>
          </w:tcPr>
          <w:p w14:paraId="436BF881">
            <w:pPr>
              <w:pStyle w:val="12"/>
              <w:tabs>
                <w:tab w:val="left" w:pos="205"/>
              </w:tabs>
              <w:spacing w:line="440" w:lineRule="exact"/>
              <w:jc w:val="center"/>
              <w:rPr>
                <w:rFonts w:hint="eastAsia" w:ascii="宋体" w:hAnsi="宋体" w:cs="宋体"/>
                <w:b/>
                <w:szCs w:val="24"/>
                <w:highlight w:val="none"/>
              </w:rPr>
            </w:pPr>
            <w:r>
              <w:rPr>
                <w:rFonts w:hint="eastAsia" w:ascii="宋体" w:hAnsi="宋体" w:cs="宋体"/>
                <w:b/>
                <w:szCs w:val="24"/>
                <w:highlight w:val="none"/>
              </w:rPr>
              <w:t>17</w:t>
            </w:r>
          </w:p>
        </w:tc>
        <w:tc>
          <w:tcPr>
            <w:tcW w:w="1540" w:type="dxa"/>
            <w:tcBorders>
              <w:top w:val="single" w:color="auto" w:sz="4" w:space="0"/>
              <w:left w:val="single" w:color="auto" w:sz="4" w:space="0"/>
              <w:bottom w:val="single" w:color="auto" w:sz="4" w:space="0"/>
              <w:right w:val="single" w:color="auto" w:sz="4" w:space="0"/>
            </w:tcBorders>
            <w:noWrap/>
            <w:vAlign w:val="center"/>
          </w:tcPr>
          <w:p w14:paraId="5B16D00F">
            <w:pPr>
              <w:snapToGrid w:val="0"/>
              <w:spacing w:line="360" w:lineRule="auto"/>
              <w:jc w:val="center"/>
              <w:textAlignment w:val="bottom"/>
              <w:rPr>
                <w:rFonts w:ascii="宋体" w:hAnsi="宋体" w:cs="宋体"/>
                <w:color w:val="auto"/>
                <w:kern w:val="2"/>
                <w:sz w:val="24"/>
                <w:szCs w:val="20"/>
                <w:highlight w:val="none"/>
              </w:rPr>
            </w:pPr>
            <w:r>
              <w:rPr>
                <w:rFonts w:hint="eastAsia" w:ascii="宋体" w:hAnsi="宋体" w:cs="宋体"/>
                <w:color w:val="auto"/>
                <w:kern w:val="2"/>
                <w:sz w:val="24"/>
                <w:szCs w:val="20"/>
                <w:highlight w:val="none"/>
              </w:rPr>
              <w:t>解释</w:t>
            </w:r>
          </w:p>
        </w:tc>
        <w:tc>
          <w:tcPr>
            <w:tcW w:w="8016" w:type="dxa"/>
            <w:tcBorders>
              <w:top w:val="single" w:color="auto" w:sz="4" w:space="0"/>
              <w:left w:val="single" w:color="auto" w:sz="4" w:space="0"/>
              <w:bottom w:val="single" w:color="auto" w:sz="4" w:space="0"/>
              <w:right w:val="single" w:color="auto" w:sz="4" w:space="0"/>
            </w:tcBorders>
            <w:noWrap/>
            <w:vAlign w:val="center"/>
          </w:tcPr>
          <w:p w14:paraId="08463797">
            <w:pPr>
              <w:snapToGrid w:val="0"/>
              <w:spacing w:line="360" w:lineRule="auto"/>
              <w:textAlignment w:val="bottom"/>
              <w:rPr>
                <w:rFonts w:ascii="宋体" w:hAnsi="宋体" w:cs="宋体"/>
                <w:color w:val="auto"/>
                <w:kern w:val="2"/>
                <w:sz w:val="24"/>
                <w:szCs w:val="20"/>
                <w:highlight w:val="none"/>
              </w:rPr>
            </w:pPr>
            <w:r>
              <w:rPr>
                <w:rFonts w:hint="eastAsia" w:ascii="宋体" w:hAnsi="宋体" w:cs="宋体"/>
                <w:color w:val="auto"/>
                <w:kern w:val="2"/>
                <w:sz w:val="24"/>
                <w:szCs w:val="20"/>
                <w:highlight w:val="none"/>
              </w:rPr>
              <w:t>本采购文件的解释权属于招标采购单位</w:t>
            </w:r>
          </w:p>
        </w:tc>
      </w:tr>
    </w:tbl>
    <w:p w14:paraId="427645F1">
      <w:pPr>
        <w:rPr>
          <w:rFonts w:ascii="宋体" w:hAnsi="宋体" w:cs="宋体"/>
          <w:bCs/>
          <w:color w:val="auto"/>
          <w:sz w:val="24"/>
          <w:highlight w:val="none"/>
        </w:rPr>
      </w:pPr>
    </w:p>
    <w:p w14:paraId="60DDD5F2">
      <w:pPr>
        <w:rPr>
          <w:rFonts w:ascii="宋体" w:hAnsi="宋体" w:cs="宋体"/>
          <w:bCs/>
          <w:color w:val="auto"/>
          <w:sz w:val="24"/>
          <w:highlight w:val="none"/>
        </w:rPr>
      </w:pPr>
    </w:p>
    <w:p w14:paraId="30B1F5B5">
      <w:pPr>
        <w:rPr>
          <w:rFonts w:ascii="宋体" w:hAnsi="宋体" w:cs="宋体"/>
          <w:bCs/>
          <w:color w:val="auto"/>
          <w:sz w:val="24"/>
          <w:highlight w:val="none"/>
        </w:rPr>
      </w:pPr>
    </w:p>
    <w:p w14:paraId="4D4498C8">
      <w:pPr>
        <w:rPr>
          <w:rFonts w:ascii="宋体" w:hAnsi="宋体" w:cs="宋体"/>
          <w:bCs/>
          <w:color w:val="auto"/>
          <w:sz w:val="24"/>
          <w:highlight w:val="none"/>
        </w:rPr>
        <w:sectPr>
          <w:footerReference r:id="rId3" w:type="default"/>
          <w:pgSz w:w="11850" w:h="16783"/>
          <w:pgMar w:top="1304" w:right="1565" w:bottom="1247" w:left="1344" w:header="851" w:footer="992" w:gutter="0"/>
          <w:cols w:space="720" w:num="1"/>
          <w:docGrid w:linePitch="312" w:charSpace="0"/>
        </w:sectPr>
      </w:pPr>
    </w:p>
    <w:p w14:paraId="18E338CF">
      <w:pPr>
        <w:pStyle w:val="19"/>
        <w:ind w:firstLine="480"/>
        <w:rPr>
          <w:color w:val="auto"/>
          <w:highlight w:val="none"/>
        </w:rPr>
      </w:pPr>
    </w:p>
    <w:p w14:paraId="665BDA64">
      <w:pPr>
        <w:spacing w:line="360" w:lineRule="auto"/>
        <w:rPr>
          <w:rFonts w:ascii="宋体" w:hAnsi="宋体" w:cs="宋体"/>
          <w:b/>
          <w:bCs/>
          <w:color w:val="auto"/>
          <w:sz w:val="44"/>
          <w:szCs w:val="44"/>
          <w:highlight w:val="none"/>
        </w:rPr>
      </w:pPr>
      <w:r>
        <w:rPr>
          <w:rFonts w:hint="eastAsia" w:ascii="宋体" w:hAnsi="宋体" w:cs="宋体"/>
          <w:bCs/>
          <w:color w:val="auto"/>
          <w:sz w:val="24"/>
          <w:highlight w:val="none"/>
        </w:rPr>
        <w:t>附件1：</w:t>
      </w:r>
    </w:p>
    <w:p w14:paraId="582483F8">
      <w:pPr>
        <w:spacing w:line="360" w:lineRule="auto"/>
        <w:jc w:val="center"/>
        <w:rPr>
          <w:rFonts w:ascii="宋体" w:hAnsi="宋体" w:cs="宋体"/>
          <w:color w:val="auto"/>
          <w:sz w:val="32"/>
          <w:szCs w:val="32"/>
          <w:highlight w:val="none"/>
        </w:rPr>
      </w:pPr>
      <w:r>
        <w:rPr>
          <w:rFonts w:hint="eastAsia" w:ascii="宋体" w:hAnsi="宋体" w:cs="宋体"/>
          <w:b/>
          <w:bCs/>
          <w:color w:val="auto"/>
          <w:sz w:val="44"/>
          <w:szCs w:val="44"/>
          <w:highlight w:val="none"/>
        </w:rPr>
        <w:t xml:space="preserve"> 评标办法及标准</w:t>
      </w:r>
    </w:p>
    <w:p w14:paraId="743EA17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szCs w:val="24"/>
          <w:highlight w:val="none"/>
        </w:rPr>
        <w:t>采购人将依法组建评标委员会，通过评审给推荐一家供应商。</w:t>
      </w:r>
      <w:r>
        <w:rPr>
          <w:rFonts w:hint="eastAsia" w:ascii="宋体" w:hAnsi="宋体" w:cs="宋体"/>
          <w:color w:val="auto"/>
          <w:sz w:val="24"/>
          <w:highlight w:val="none"/>
        </w:rPr>
        <w:t>评标委员会将对各投标人的投标报价、</w:t>
      </w:r>
      <w:r>
        <w:rPr>
          <w:rFonts w:hint="eastAsia" w:ascii="宋体" w:hAnsi="宋体" w:cs="宋体"/>
          <w:bCs/>
          <w:color w:val="auto"/>
          <w:sz w:val="24"/>
          <w:highlight w:val="none"/>
        </w:rPr>
        <w:t>技术和服务方案</w:t>
      </w:r>
      <w:r>
        <w:rPr>
          <w:rFonts w:hint="eastAsia" w:ascii="宋体" w:hAnsi="宋体" w:cs="宋体"/>
          <w:color w:val="auto"/>
          <w:sz w:val="24"/>
          <w:highlight w:val="none"/>
        </w:rPr>
        <w:t>、投标人的资质和业绩等方面进行综合评审。评标委员会各成员应当独立对每个有效投标人的投标文件进行评价、打分。经统计，得出各投标人的最终评审分,按最终评审分由高到低顺序排列,以得分前1名者为中标候选人。如第1名得分有并列，按投标价格由高到低顺序排列,如投标价格也相同的</w:t>
      </w:r>
      <w:r>
        <w:rPr>
          <w:rFonts w:hint="eastAsia" w:ascii="宋体" w:hAnsi="宋体" w:cs="宋体"/>
          <w:color w:val="auto"/>
          <w:sz w:val="24"/>
          <w:szCs w:val="24"/>
          <w:highlight w:val="none"/>
        </w:rPr>
        <w:t>，</w:t>
      </w:r>
      <w:r>
        <w:rPr>
          <w:rFonts w:hint="eastAsia" w:ascii="宋体" w:hAnsi="宋体" w:cs="宋体"/>
          <w:color w:val="auto"/>
          <w:sz w:val="24"/>
          <w:highlight w:val="none"/>
        </w:rPr>
        <w:t>则抽签产生供应商，并形成评标意见。</w:t>
      </w:r>
    </w:p>
    <w:p w14:paraId="363E37B8">
      <w:pPr>
        <w:numPr>
          <w:ilvl w:val="0"/>
          <w:numId w:val="1"/>
        </w:numPr>
        <w:snapToGrid w:val="0"/>
        <w:spacing w:line="360" w:lineRule="auto"/>
        <w:jc w:val="left"/>
        <w:textAlignment w:val="baseline"/>
        <w:rPr>
          <w:rFonts w:ascii="宋体" w:hAnsi="宋体" w:cs="宋体"/>
          <w:b/>
          <w:bCs/>
          <w:color w:val="auto"/>
          <w:sz w:val="24"/>
          <w:szCs w:val="24"/>
          <w:highlight w:val="none"/>
        </w:rPr>
      </w:pPr>
      <w:r>
        <w:rPr>
          <w:rFonts w:hint="eastAsia" w:ascii="宋体" w:hAnsi="宋体" w:cs="宋体"/>
          <w:b/>
          <w:bCs/>
          <w:color w:val="auto"/>
          <w:sz w:val="24"/>
          <w:szCs w:val="24"/>
          <w:highlight w:val="none"/>
        </w:rPr>
        <w:t>本项目评标内容共分二部分，即商务技术部分和报价部分。总分为100分，其中商务技术部分为</w:t>
      </w:r>
      <w:r>
        <w:rPr>
          <w:rFonts w:hint="eastAsia" w:ascii="宋体" w:hAnsi="宋体" w:cs="宋体"/>
          <w:b/>
          <w:bCs/>
          <w:color w:val="auto"/>
          <w:sz w:val="24"/>
          <w:szCs w:val="24"/>
          <w:highlight w:val="none"/>
          <w:u w:val="single"/>
          <w:lang w:val="en-US" w:eastAsia="zh-CN"/>
        </w:rPr>
        <w:t>9</w:t>
      </w:r>
      <w:r>
        <w:rPr>
          <w:rFonts w:hint="eastAsia" w:ascii="宋体" w:hAnsi="宋体" w:cs="宋体"/>
          <w:b/>
          <w:bCs/>
          <w:color w:val="auto"/>
          <w:sz w:val="24"/>
          <w:szCs w:val="24"/>
          <w:highlight w:val="none"/>
          <w:u w:val="single"/>
        </w:rPr>
        <w:t>0</w:t>
      </w:r>
      <w:r>
        <w:rPr>
          <w:rFonts w:hint="eastAsia" w:ascii="宋体" w:hAnsi="宋体" w:cs="宋体"/>
          <w:b/>
          <w:bCs/>
          <w:color w:val="auto"/>
          <w:sz w:val="24"/>
          <w:szCs w:val="24"/>
          <w:highlight w:val="none"/>
        </w:rPr>
        <w:t>分，报价部分为</w:t>
      </w:r>
      <w:r>
        <w:rPr>
          <w:rFonts w:hint="eastAsia" w:ascii="宋体" w:hAnsi="宋体" w:cs="宋体"/>
          <w:b/>
          <w:bCs/>
          <w:color w:val="auto"/>
          <w:sz w:val="24"/>
          <w:szCs w:val="24"/>
          <w:highlight w:val="none"/>
          <w:u w:val="single"/>
          <w:lang w:val="en-US" w:eastAsia="zh-CN"/>
        </w:rPr>
        <w:t>1</w:t>
      </w:r>
      <w:r>
        <w:rPr>
          <w:rFonts w:hint="eastAsia" w:ascii="宋体" w:hAnsi="宋体" w:cs="宋体"/>
          <w:b/>
          <w:bCs/>
          <w:color w:val="auto"/>
          <w:sz w:val="24"/>
          <w:szCs w:val="24"/>
          <w:highlight w:val="none"/>
          <w:u w:val="single"/>
        </w:rPr>
        <w:t>0</w:t>
      </w:r>
      <w:r>
        <w:rPr>
          <w:rFonts w:hint="eastAsia" w:ascii="宋体" w:hAnsi="宋体" w:cs="宋体"/>
          <w:b/>
          <w:bCs/>
          <w:color w:val="auto"/>
          <w:sz w:val="24"/>
          <w:szCs w:val="24"/>
          <w:highlight w:val="none"/>
        </w:rPr>
        <w:t>分。各部分的实际得分与总分都保留2位小数。</w:t>
      </w:r>
    </w:p>
    <w:p w14:paraId="1B75F6DA">
      <w:pPr>
        <w:numPr>
          <w:ilvl w:val="0"/>
          <w:numId w:val="1"/>
        </w:numPr>
        <w:spacing w:line="440" w:lineRule="exact"/>
        <w:rPr>
          <w:rFonts w:hint="eastAsia"/>
          <w:b/>
          <w:bCs/>
          <w:color w:val="auto"/>
          <w:sz w:val="24"/>
          <w:szCs w:val="24"/>
          <w:highlight w:val="none"/>
        </w:rPr>
      </w:pPr>
      <w:r>
        <w:rPr>
          <w:rFonts w:hint="eastAsia"/>
          <w:b/>
          <w:bCs/>
          <w:color w:val="auto"/>
          <w:sz w:val="24"/>
          <w:szCs w:val="24"/>
          <w:highlight w:val="none"/>
        </w:rPr>
        <w:t>商务技术部分（</w:t>
      </w:r>
      <w:r>
        <w:rPr>
          <w:rFonts w:hint="eastAsia"/>
          <w:b/>
          <w:bCs/>
          <w:color w:val="auto"/>
          <w:sz w:val="24"/>
          <w:szCs w:val="24"/>
          <w:highlight w:val="none"/>
          <w:lang w:val="en-US" w:eastAsia="zh-CN"/>
        </w:rPr>
        <w:t>90</w:t>
      </w:r>
      <w:r>
        <w:rPr>
          <w:rFonts w:hint="eastAsia"/>
          <w:b/>
          <w:bCs/>
          <w:color w:val="auto"/>
          <w:sz w:val="24"/>
          <w:szCs w:val="24"/>
          <w:highlight w:val="none"/>
        </w:rPr>
        <w:t>分）</w:t>
      </w:r>
    </w:p>
    <w:tbl>
      <w:tblPr>
        <w:tblStyle w:val="20"/>
        <w:tblW w:w="9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217"/>
        <w:gridCol w:w="7243"/>
        <w:gridCol w:w="852"/>
      </w:tblGrid>
      <w:tr w14:paraId="12952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626" w:type="dxa"/>
            <w:noWrap w:val="0"/>
            <w:vAlign w:val="center"/>
          </w:tcPr>
          <w:p w14:paraId="09992D57">
            <w:pPr>
              <w:snapToGrid w:val="0"/>
              <w:spacing w:line="320" w:lineRule="exact"/>
              <w:jc w:val="center"/>
              <w:rPr>
                <w:rFonts w:ascii="宋体" w:hAnsi="宋体"/>
                <w:b/>
                <w:color w:val="auto"/>
                <w:sz w:val="21"/>
                <w:szCs w:val="21"/>
                <w:highlight w:val="none"/>
              </w:rPr>
            </w:pPr>
            <w:bookmarkStart w:id="5" w:name="_Toc306901461"/>
            <w:r>
              <w:rPr>
                <w:rFonts w:hint="eastAsia" w:ascii="宋体" w:hAnsi="宋体"/>
                <w:b/>
                <w:color w:val="auto"/>
                <w:sz w:val="21"/>
                <w:szCs w:val="21"/>
                <w:highlight w:val="none"/>
              </w:rPr>
              <w:t>序号</w:t>
            </w:r>
          </w:p>
        </w:tc>
        <w:tc>
          <w:tcPr>
            <w:tcW w:w="1217" w:type="dxa"/>
            <w:noWrap w:val="0"/>
            <w:vAlign w:val="center"/>
          </w:tcPr>
          <w:p w14:paraId="3E580AC1">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评分内容</w:t>
            </w:r>
          </w:p>
        </w:tc>
        <w:tc>
          <w:tcPr>
            <w:tcW w:w="7243" w:type="dxa"/>
            <w:noWrap w:val="0"/>
            <w:vAlign w:val="center"/>
          </w:tcPr>
          <w:p w14:paraId="457F6E4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评分标准</w:t>
            </w:r>
          </w:p>
        </w:tc>
        <w:tc>
          <w:tcPr>
            <w:tcW w:w="852" w:type="dxa"/>
            <w:noWrap w:val="0"/>
            <w:vAlign w:val="center"/>
          </w:tcPr>
          <w:p w14:paraId="398217F9">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分值</w:t>
            </w:r>
          </w:p>
        </w:tc>
      </w:tr>
      <w:tr w14:paraId="0354F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626" w:type="dxa"/>
            <w:noWrap w:val="0"/>
            <w:vAlign w:val="center"/>
          </w:tcPr>
          <w:p w14:paraId="106D7CD2">
            <w:pPr>
              <w:snapToGrid w:val="0"/>
              <w:spacing w:line="40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1</w:t>
            </w:r>
          </w:p>
        </w:tc>
        <w:tc>
          <w:tcPr>
            <w:tcW w:w="1217" w:type="dxa"/>
            <w:noWrap w:val="0"/>
            <w:vAlign w:val="center"/>
          </w:tcPr>
          <w:p w14:paraId="25BEAB78">
            <w:pPr>
              <w:snapToGrid w:val="0"/>
              <w:spacing w:line="40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rPr>
              <w:t>体系认证</w:t>
            </w:r>
          </w:p>
        </w:tc>
        <w:tc>
          <w:tcPr>
            <w:tcW w:w="7243" w:type="dxa"/>
            <w:noWrap w:val="0"/>
            <w:vAlign w:val="center"/>
          </w:tcPr>
          <w:p w14:paraId="3D5DBC86">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投标人通过质量管理体系认证、环境管理体系认证、职业健康安全管理体系认证的，提供认证证书复印件，每项得1分，最高得3分。</w:t>
            </w:r>
          </w:p>
          <w:p w14:paraId="51AAF416">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注：须提供有效期证书</w:t>
            </w:r>
            <w:r>
              <w:rPr>
                <w:rFonts w:hint="eastAsia" w:ascii="宋体" w:hAnsi="宋体" w:cs="宋体"/>
                <w:bCs/>
                <w:color w:val="auto"/>
                <w:kern w:val="0"/>
                <w:sz w:val="21"/>
                <w:szCs w:val="21"/>
                <w:highlight w:val="none"/>
                <w:lang w:val="en-US" w:eastAsia="zh-CN"/>
              </w:rPr>
              <w:t>扫描件并加盖CA签章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792D1D78">
            <w:pPr>
              <w:snapToGrid w:val="0"/>
              <w:spacing w:line="28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r>
      <w:tr w14:paraId="621B2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6" w:type="dxa"/>
            <w:noWrap w:val="0"/>
            <w:vAlign w:val="center"/>
          </w:tcPr>
          <w:p w14:paraId="73FFECF5">
            <w:pPr>
              <w:snapToGrid w:val="0"/>
              <w:spacing w:line="40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2</w:t>
            </w:r>
          </w:p>
        </w:tc>
        <w:tc>
          <w:tcPr>
            <w:tcW w:w="1217" w:type="dxa"/>
            <w:noWrap w:val="0"/>
            <w:vAlign w:val="center"/>
          </w:tcPr>
          <w:p w14:paraId="0BF29316">
            <w:pPr>
              <w:snapToGrid w:val="0"/>
              <w:spacing w:line="40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rPr>
              <w:t>供应商</w:t>
            </w:r>
            <w:r>
              <w:rPr>
                <w:rFonts w:hint="eastAsia" w:ascii="宋体" w:hAnsi="宋体"/>
                <w:bCs/>
                <w:color w:val="auto"/>
                <w:sz w:val="21"/>
                <w:szCs w:val="21"/>
                <w:highlight w:val="none"/>
                <w:shd w:val="clear" w:color="000000" w:fill="FFFFFF"/>
                <w:lang w:val="zh-CN"/>
              </w:rPr>
              <w:t>评价</w:t>
            </w:r>
            <w:r>
              <w:rPr>
                <w:rFonts w:hint="eastAsia" w:ascii="宋体" w:hAnsi="宋体"/>
                <w:bCs/>
                <w:color w:val="auto"/>
                <w:sz w:val="21"/>
                <w:szCs w:val="21"/>
                <w:highlight w:val="none"/>
                <w:shd w:val="clear" w:color="000000" w:fill="FFFFFF"/>
              </w:rPr>
              <w:t>-技术支撑能力</w:t>
            </w:r>
          </w:p>
        </w:tc>
        <w:tc>
          <w:tcPr>
            <w:tcW w:w="7243" w:type="dxa"/>
            <w:noWrap w:val="0"/>
            <w:vAlign w:val="center"/>
          </w:tcPr>
          <w:p w14:paraId="70AF9719">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1.具有市级及以上政府部门安全生产技术研究相关成果或课题，每个得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分，最高得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45145DAC">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2.具有市级及以上科技主管部门认可的安全生产技术研究实验室的，每个得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分，最高得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7556439D">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3.与县</w:t>
            </w:r>
            <w:r>
              <w:rPr>
                <w:rFonts w:hint="eastAsia" w:ascii="宋体" w:hAnsi="宋体" w:cs="宋体"/>
                <w:bCs/>
                <w:color w:val="auto"/>
                <w:kern w:val="0"/>
                <w:sz w:val="21"/>
                <w:szCs w:val="21"/>
                <w:highlight w:val="none"/>
                <w:lang w:val="en-US" w:eastAsia="zh-CN"/>
              </w:rPr>
              <w:t>级</w:t>
            </w:r>
            <w:r>
              <w:rPr>
                <w:rFonts w:hint="eastAsia" w:ascii="宋体" w:hAnsi="宋体" w:cs="宋体"/>
                <w:bCs/>
                <w:color w:val="auto"/>
                <w:kern w:val="0"/>
                <w:sz w:val="21"/>
                <w:szCs w:val="21"/>
                <w:highlight w:val="none"/>
              </w:rPr>
              <w:t>及以上政府签订安全生产相关的战略合作协议，每个得0.5分，最高得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2B462CF2">
            <w:pPr>
              <w:pStyle w:val="2"/>
              <w:ind w:left="0" w:leftChars="0" w:firstLine="0"/>
              <w:rPr>
                <w:rFonts w:ascii="宋体" w:hAnsi="宋体"/>
                <w:bCs/>
                <w:color w:val="auto"/>
                <w:kern w:val="0"/>
                <w:highlight w:val="none"/>
              </w:rPr>
            </w:pPr>
            <w:r>
              <w:rPr>
                <w:rFonts w:hint="eastAsia" w:ascii="宋体" w:hAnsi="宋体"/>
                <w:bCs/>
                <w:color w:val="auto"/>
                <w:kern w:val="0"/>
                <w:highlight w:val="none"/>
              </w:rPr>
              <w:t>注：须提供相关证明材料</w:t>
            </w:r>
            <w:r>
              <w:rPr>
                <w:rFonts w:hint="eastAsia" w:ascii="宋体" w:hAnsi="宋体" w:cs="宋体"/>
                <w:bCs/>
                <w:color w:val="auto"/>
                <w:kern w:val="0"/>
                <w:sz w:val="21"/>
                <w:szCs w:val="21"/>
                <w:highlight w:val="none"/>
                <w:lang w:val="en-US" w:eastAsia="zh-CN"/>
              </w:rPr>
              <w:t>扫描件并</w:t>
            </w:r>
            <w:r>
              <w:rPr>
                <w:rFonts w:hint="eastAsia" w:cs="宋体"/>
                <w:bCs/>
                <w:color w:val="auto"/>
                <w:kern w:val="0"/>
                <w:sz w:val="21"/>
                <w:szCs w:val="21"/>
                <w:highlight w:val="none"/>
                <w:lang w:val="en-US" w:eastAsia="zh-CN"/>
              </w:rPr>
              <w:t>加盖CA签章</w:t>
            </w:r>
            <w:r>
              <w:rPr>
                <w:rFonts w:hint="eastAsia" w:ascii="宋体" w:hAnsi="宋体"/>
                <w:bCs/>
                <w:color w:val="auto"/>
                <w:kern w:val="0"/>
                <w:highlight w:val="none"/>
              </w:rPr>
              <w:t>，材料有效性由评标委员会认定。</w:t>
            </w:r>
          </w:p>
        </w:tc>
        <w:tc>
          <w:tcPr>
            <w:tcW w:w="852" w:type="dxa"/>
            <w:noWrap w:val="0"/>
            <w:vAlign w:val="center"/>
          </w:tcPr>
          <w:p w14:paraId="096E505C">
            <w:pPr>
              <w:snapToGrid w:val="0"/>
              <w:spacing w:line="28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57332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26" w:type="dxa"/>
            <w:vMerge w:val="restart"/>
            <w:noWrap w:val="0"/>
            <w:vAlign w:val="center"/>
          </w:tcPr>
          <w:p w14:paraId="117369FB">
            <w:pPr>
              <w:snapToGrid w:val="0"/>
              <w:spacing w:line="40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3</w:t>
            </w:r>
          </w:p>
        </w:tc>
        <w:tc>
          <w:tcPr>
            <w:tcW w:w="1217" w:type="dxa"/>
            <w:vMerge w:val="restart"/>
            <w:noWrap w:val="0"/>
            <w:vAlign w:val="center"/>
          </w:tcPr>
          <w:p w14:paraId="37D7369D">
            <w:pPr>
              <w:snapToGrid w:val="0"/>
              <w:spacing w:line="40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rPr>
              <w:t>项目成员配备情况</w:t>
            </w:r>
          </w:p>
        </w:tc>
        <w:tc>
          <w:tcPr>
            <w:tcW w:w="7243" w:type="dxa"/>
            <w:noWrap w:val="0"/>
            <w:vAlign w:val="center"/>
          </w:tcPr>
          <w:p w14:paraId="2C1F4FD0">
            <w:pPr>
              <w:pStyle w:val="8"/>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①拟派项目负责人具备国家一级安全评价师资质的，得2分</w:t>
            </w:r>
            <w:r>
              <w:rPr>
                <w:rFonts w:hint="eastAsia" w:ascii="宋体" w:hAnsi="宋体" w:cs="宋体"/>
                <w:bCs/>
                <w:color w:val="auto"/>
                <w:kern w:val="0"/>
                <w:sz w:val="21"/>
                <w:szCs w:val="21"/>
                <w:highlight w:val="none"/>
                <w:lang w:eastAsia="zh-CN"/>
              </w:rPr>
              <w:t>，</w:t>
            </w:r>
            <w:r>
              <w:rPr>
                <w:rFonts w:hint="eastAsia" w:ascii="宋体" w:hAnsi="宋体" w:cs="宋体"/>
                <w:bCs/>
                <w:color w:val="auto"/>
                <w:kern w:val="0"/>
                <w:sz w:val="21"/>
                <w:szCs w:val="21"/>
                <w:highlight w:val="none"/>
              </w:rPr>
              <w:t>具备国家</w:t>
            </w:r>
            <w:r>
              <w:rPr>
                <w:rFonts w:hint="eastAsia" w:ascii="宋体" w:hAnsi="宋体" w:cs="宋体"/>
                <w:bCs/>
                <w:color w:val="auto"/>
                <w:kern w:val="0"/>
                <w:sz w:val="21"/>
                <w:szCs w:val="21"/>
                <w:highlight w:val="none"/>
                <w:lang w:val="en-US" w:eastAsia="zh-CN"/>
              </w:rPr>
              <w:t>二</w:t>
            </w:r>
            <w:r>
              <w:rPr>
                <w:rFonts w:hint="eastAsia" w:ascii="宋体" w:hAnsi="宋体" w:cs="宋体"/>
                <w:bCs/>
                <w:color w:val="auto"/>
                <w:kern w:val="0"/>
                <w:sz w:val="21"/>
                <w:szCs w:val="21"/>
                <w:highlight w:val="none"/>
              </w:rPr>
              <w:t>级安全评价师资质的，得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分；具有</w:t>
            </w:r>
            <w:r>
              <w:rPr>
                <w:rFonts w:hint="eastAsia" w:ascii="宋体" w:hAnsi="宋体" w:cs="宋体"/>
                <w:bCs/>
                <w:color w:val="auto"/>
                <w:kern w:val="0"/>
                <w:sz w:val="21"/>
                <w:szCs w:val="21"/>
                <w:highlight w:val="none"/>
                <w:lang w:val="en-US" w:eastAsia="zh-CN"/>
              </w:rPr>
              <w:t>安全工程专业高级职称</w:t>
            </w:r>
            <w:r>
              <w:rPr>
                <w:rFonts w:hint="eastAsia" w:ascii="宋体" w:hAnsi="宋体" w:cs="宋体"/>
                <w:bCs/>
                <w:color w:val="auto"/>
                <w:kern w:val="0"/>
                <w:sz w:val="21"/>
                <w:szCs w:val="21"/>
                <w:highlight w:val="none"/>
              </w:rPr>
              <w:t>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r>
              <w:rPr>
                <w:rFonts w:hint="eastAsia" w:ascii="宋体" w:hAnsi="宋体" w:cs="宋体"/>
                <w:bCs/>
                <w:color w:val="auto"/>
                <w:kern w:val="0"/>
                <w:sz w:val="21"/>
                <w:szCs w:val="21"/>
                <w:highlight w:val="none"/>
                <w:lang w:eastAsia="zh-CN"/>
              </w:rPr>
              <w:t>列入最新</w:t>
            </w:r>
            <w:r>
              <w:rPr>
                <w:rFonts w:hint="eastAsia" w:ascii="宋体" w:hAnsi="宋体" w:cs="宋体"/>
                <w:bCs/>
                <w:color w:val="auto"/>
                <w:kern w:val="0"/>
                <w:sz w:val="21"/>
                <w:szCs w:val="21"/>
                <w:highlight w:val="none"/>
              </w:rPr>
              <w:t>省级应急管理</w:t>
            </w:r>
            <w:r>
              <w:rPr>
                <w:rFonts w:hint="eastAsia" w:ascii="宋体" w:hAnsi="宋体" w:cs="宋体"/>
                <w:bCs/>
                <w:color w:val="auto"/>
                <w:kern w:val="0"/>
                <w:sz w:val="21"/>
                <w:szCs w:val="21"/>
                <w:highlight w:val="none"/>
                <w:lang w:eastAsia="zh-CN"/>
              </w:rPr>
              <w:t>专家库危化专业名单的</w:t>
            </w:r>
            <w:r>
              <w:rPr>
                <w:rFonts w:hint="eastAsia" w:ascii="宋体" w:hAnsi="宋体" w:cs="宋体"/>
                <w:bCs/>
                <w:color w:val="auto"/>
                <w:kern w:val="0"/>
                <w:sz w:val="21"/>
                <w:szCs w:val="21"/>
                <w:highlight w:val="none"/>
              </w:rPr>
              <w:t>，得1分。本项最高得4分。</w:t>
            </w:r>
          </w:p>
          <w:p w14:paraId="763A9335">
            <w:pPr>
              <w:snapToGrid w:val="0"/>
              <w:spacing w:line="300" w:lineRule="exact"/>
              <w:rPr>
                <w:rFonts w:hint="eastAsia" w:ascii="宋体" w:hAnsi="宋体" w:eastAsia="宋体" w:cs="宋体"/>
                <w:bCs/>
                <w:color w:val="auto"/>
                <w:kern w:val="0"/>
                <w:sz w:val="21"/>
                <w:szCs w:val="21"/>
                <w:highlight w:val="none"/>
                <w:lang w:eastAsia="zh-CN"/>
              </w:rPr>
            </w:pPr>
            <w:r>
              <w:rPr>
                <w:rFonts w:hint="eastAsia" w:ascii="宋体" w:hAnsi="宋体" w:cs="宋体"/>
                <w:bCs/>
                <w:color w:val="auto"/>
                <w:kern w:val="0"/>
                <w:sz w:val="21"/>
                <w:szCs w:val="21"/>
                <w:highlight w:val="none"/>
              </w:rPr>
              <w:t>②拟派项目负责人取得与本项目采购内容相关学历的，得1分。</w:t>
            </w:r>
            <w:r>
              <w:rPr>
                <w:rFonts w:hint="eastAsia" w:ascii="宋体" w:hAnsi="宋体" w:cs="宋体"/>
                <w:bCs/>
                <w:color w:val="auto"/>
                <w:kern w:val="0"/>
                <w:sz w:val="21"/>
                <w:szCs w:val="21"/>
                <w:highlight w:val="none"/>
                <w:lang w:eastAsia="zh-CN"/>
              </w:rPr>
              <w:t>（</w:t>
            </w:r>
            <w:r>
              <w:rPr>
                <w:rFonts w:hint="eastAsia" w:ascii="宋体" w:hAnsi="宋体" w:cs="宋体"/>
                <w:bCs/>
                <w:color w:val="auto"/>
                <w:kern w:val="0"/>
                <w:sz w:val="21"/>
                <w:szCs w:val="21"/>
                <w:highlight w:val="none"/>
                <w:lang w:val="en-US" w:eastAsia="zh-CN"/>
              </w:rPr>
              <w:t>提供学历证书复印件</w:t>
            </w:r>
            <w:r>
              <w:rPr>
                <w:rFonts w:hint="eastAsia" w:ascii="宋体" w:hAnsi="宋体" w:cs="宋体"/>
                <w:bCs/>
                <w:color w:val="auto"/>
                <w:kern w:val="0"/>
                <w:sz w:val="21"/>
                <w:szCs w:val="21"/>
                <w:highlight w:val="none"/>
                <w:lang w:eastAsia="zh-CN"/>
              </w:rPr>
              <w:t>）</w:t>
            </w:r>
          </w:p>
          <w:p w14:paraId="753BD758">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注：须提供相关证书</w:t>
            </w:r>
            <w:r>
              <w:rPr>
                <w:rFonts w:hint="eastAsia" w:ascii="宋体" w:hAnsi="宋体" w:cs="宋体"/>
                <w:bCs/>
                <w:color w:val="auto"/>
                <w:kern w:val="0"/>
                <w:sz w:val="21"/>
                <w:szCs w:val="21"/>
                <w:highlight w:val="none"/>
                <w:lang w:val="en-US" w:eastAsia="zh-CN"/>
              </w:rPr>
              <w:t>扫描件、相关省级应急管理专家库危化专业名单证明材料扫描件</w:t>
            </w:r>
            <w:r>
              <w:rPr>
                <w:rFonts w:hint="eastAsia" w:ascii="宋体" w:hAnsi="宋体" w:cs="宋体"/>
                <w:bCs/>
                <w:color w:val="auto"/>
                <w:kern w:val="0"/>
                <w:sz w:val="21"/>
                <w:szCs w:val="21"/>
                <w:highlight w:val="none"/>
              </w:rPr>
              <w:t>及开标前近三个月单位社保证明</w:t>
            </w:r>
            <w:r>
              <w:rPr>
                <w:rFonts w:hint="eastAsia" w:ascii="宋体" w:hAnsi="宋体" w:cs="宋体"/>
                <w:bCs/>
                <w:color w:val="auto"/>
                <w:kern w:val="0"/>
                <w:sz w:val="21"/>
                <w:szCs w:val="21"/>
                <w:highlight w:val="none"/>
                <w:lang w:val="en-US" w:eastAsia="zh-CN"/>
              </w:rPr>
              <w:t>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73321F5F">
            <w:pPr>
              <w:snapToGrid w:val="0"/>
              <w:spacing w:line="280" w:lineRule="exact"/>
              <w:jc w:val="center"/>
              <w:rPr>
                <w:rFonts w:ascii="宋体" w:hAnsi="宋体"/>
                <w:color w:val="auto"/>
                <w:sz w:val="21"/>
                <w:szCs w:val="21"/>
                <w:highlight w:val="none"/>
              </w:rPr>
            </w:pPr>
            <w:r>
              <w:rPr>
                <w:rFonts w:hint="eastAsia" w:ascii="宋体" w:hAnsi="宋体"/>
                <w:color w:val="auto"/>
                <w:sz w:val="21"/>
                <w:szCs w:val="21"/>
                <w:highlight w:val="none"/>
              </w:rPr>
              <w:t>5</w:t>
            </w:r>
          </w:p>
        </w:tc>
      </w:tr>
      <w:tr w14:paraId="37CAB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26" w:type="dxa"/>
            <w:vMerge w:val="continue"/>
            <w:noWrap w:val="0"/>
            <w:vAlign w:val="center"/>
          </w:tcPr>
          <w:p w14:paraId="4346F785">
            <w:pPr>
              <w:snapToGrid w:val="0"/>
              <w:spacing w:line="32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0E49ABB7">
            <w:pPr>
              <w:snapToGrid w:val="0"/>
              <w:spacing w:line="400" w:lineRule="exact"/>
              <w:jc w:val="center"/>
              <w:rPr>
                <w:rFonts w:ascii="宋体" w:hAnsi="宋体"/>
                <w:bCs/>
                <w:color w:val="auto"/>
                <w:sz w:val="21"/>
                <w:szCs w:val="21"/>
                <w:highlight w:val="none"/>
                <w:shd w:val="clear" w:color="000000" w:fill="FFFFFF"/>
              </w:rPr>
            </w:pPr>
          </w:p>
        </w:tc>
        <w:tc>
          <w:tcPr>
            <w:tcW w:w="7243" w:type="dxa"/>
            <w:noWrap w:val="0"/>
            <w:vAlign w:val="center"/>
          </w:tcPr>
          <w:p w14:paraId="615A0E4E">
            <w:pPr>
              <w:snapToGrid w:val="0"/>
              <w:spacing w:line="300" w:lineRule="exact"/>
              <w:rPr>
                <w:rFonts w:hint="eastAsia" w:ascii="宋体" w:hAnsi="宋体" w:eastAsia="宋体" w:cs="宋体"/>
                <w:bCs/>
                <w:color w:val="auto"/>
                <w:kern w:val="0"/>
                <w:sz w:val="21"/>
                <w:szCs w:val="21"/>
                <w:highlight w:val="none"/>
              </w:rPr>
            </w:pPr>
            <w:r>
              <w:rPr>
                <w:rFonts w:hint="eastAsia" w:ascii="宋体" w:hAnsi="宋体" w:cs="宋体"/>
                <w:bCs/>
                <w:color w:val="auto"/>
                <w:kern w:val="0"/>
                <w:sz w:val="21"/>
                <w:szCs w:val="21"/>
                <w:highlight w:val="none"/>
              </w:rPr>
              <w:t>拟派工作小组人员（不含项目负责人）须满足招标文件要求5人以上，5人以下（含5人）不得分</w:t>
            </w:r>
            <w:r>
              <w:rPr>
                <w:rFonts w:hint="eastAsia" w:ascii="宋体" w:hAnsi="宋体" w:eastAsia="宋体" w:cs="宋体"/>
                <w:bCs/>
                <w:color w:val="auto"/>
                <w:kern w:val="0"/>
                <w:sz w:val="21"/>
                <w:szCs w:val="21"/>
                <w:highlight w:val="none"/>
              </w:rPr>
              <w:t>，</w:t>
            </w:r>
            <w:r>
              <w:rPr>
                <w:rFonts w:hint="eastAsia" w:ascii="宋体" w:hAnsi="宋体" w:eastAsia="宋体" w:cs="宋体"/>
                <w:bCs/>
                <w:color w:val="auto"/>
                <w:kern w:val="0"/>
                <w:sz w:val="21"/>
                <w:szCs w:val="21"/>
                <w:highlight w:val="none"/>
                <w:lang w:val="en-US" w:eastAsia="zh-CN"/>
              </w:rPr>
              <w:t>每额外增加一人加0.5分。最高</w:t>
            </w:r>
            <w:r>
              <w:rPr>
                <w:rFonts w:hint="eastAsia" w:ascii="宋体" w:hAnsi="宋体" w:cs="宋体"/>
                <w:bCs/>
                <w:color w:val="auto"/>
                <w:kern w:val="0"/>
                <w:sz w:val="21"/>
                <w:szCs w:val="21"/>
                <w:highlight w:val="none"/>
                <w:lang w:val="en-US" w:eastAsia="zh-CN"/>
              </w:rPr>
              <w:t>3</w:t>
            </w:r>
            <w:r>
              <w:rPr>
                <w:rFonts w:hint="eastAsia" w:ascii="宋体" w:hAnsi="宋体" w:eastAsia="宋体" w:cs="宋体"/>
                <w:bCs/>
                <w:color w:val="auto"/>
                <w:kern w:val="0"/>
                <w:sz w:val="21"/>
                <w:szCs w:val="21"/>
                <w:highlight w:val="none"/>
                <w:lang w:val="en-US" w:eastAsia="zh-CN"/>
              </w:rPr>
              <w:t>分。</w:t>
            </w:r>
          </w:p>
          <w:p w14:paraId="6C715CCF">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注：须提供开标前近三个月单位社保证明</w:t>
            </w:r>
            <w:r>
              <w:rPr>
                <w:rFonts w:hint="eastAsia" w:ascii="宋体" w:hAnsi="宋体" w:cs="宋体"/>
                <w:bCs/>
                <w:color w:val="auto"/>
                <w:kern w:val="0"/>
                <w:sz w:val="21"/>
                <w:szCs w:val="21"/>
                <w:highlight w:val="none"/>
                <w:lang w:val="en-US" w:eastAsia="zh-CN"/>
              </w:rPr>
              <w:t>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267B1A3D">
            <w:pPr>
              <w:snapToGrid w:val="0"/>
              <w:spacing w:line="28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3</w:t>
            </w:r>
          </w:p>
        </w:tc>
      </w:tr>
      <w:tr w14:paraId="7E0E1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26" w:type="dxa"/>
            <w:vMerge w:val="continue"/>
            <w:noWrap w:val="0"/>
            <w:vAlign w:val="center"/>
          </w:tcPr>
          <w:p w14:paraId="7B20A11D">
            <w:pPr>
              <w:snapToGrid w:val="0"/>
              <w:spacing w:line="32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48E7665B">
            <w:pPr>
              <w:snapToGrid w:val="0"/>
              <w:spacing w:line="400" w:lineRule="exact"/>
              <w:jc w:val="center"/>
              <w:rPr>
                <w:rFonts w:ascii="宋体" w:hAnsi="宋体"/>
                <w:bCs/>
                <w:color w:val="auto"/>
                <w:sz w:val="21"/>
                <w:szCs w:val="21"/>
                <w:highlight w:val="none"/>
                <w:shd w:val="clear" w:color="000000" w:fill="FFFFFF"/>
              </w:rPr>
            </w:pPr>
          </w:p>
        </w:tc>
        <w:tc>
          <w:tcPr>
            <w:tcW w:w="7243" w:type="dxa"/>
            <w:noWrap w:val="0"/>
            <w:vAlign w:val="center"/>
          </w:tcPr>
          <w:p w14:paraId="657A50D1">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①拟派本项目工作小组人员（不含项目负责人）中具备国家一级安全</w:t>
            </w:r>
            <w:r>
              <w:rPr>
                <w:rFonts w:hint="eastAsia" w:ascii="宋体" w:hAnsi="宋体" w:cs="宋体"/>
                <w:bCs/>
                <w:color w:val="auto"/>
                <w:kern w:val="0"/>
                <w:sz w:val="21"/>
                <w:szCs w:val="21"/>
                <w:highlight w:val="none"/>
                <w:lang w:val="en-US" w:eastAsia="zh-CN"/>
              </w:rPr>
              <w:t>评价</w:t>
            </w:r>
            <w:r>
              <w:rPr>
                <w:rFonts w:hint="eastAsia" w:ascii="宋体" w:hAnsi="宋体" w:cs="宋体"/>
                <w:bCs/>
                <w:color w:val="auto"/>
                <w:kern w:val="0"/>
                <w:sz w:val="21"/>
                <w:szCs w:val="21"/>
                <w:highlight w:val="none"/>
              </w:rPr>
              <w:t>师资质的每一人得1分，具备国家二级安全</w:t>
            </w:r>
            <w:r>
              <w:rPr>
                <w:rFonts w:hint="eastAsia" w:ascii="宋体" w:hAnsi="宋体" w:cs="宋体"/>
                <w:bCs/>
                <w:color w:val="auto"/>
                <w:kern w:val="0"/>
                <w:sz w:val="21"/>
                <w:szCs w:val="21"/>
                <w:highlight w:val="none"/>
                <w:lang w:val="en-US" w:eastAsia="zh-CN"/>
              </w:rPr>
              <w:t>评价</w:t>
            </w:r>
            <w:r>
              <w:rPr>
                <w:rFonts w:hint="eastAsia" w:ascii="宋体" w:hAnsi="宋体" w:cs="宋体"/>
                <w:bCs/>
                <w:color w:val="auto"/>
                <w:kern w:val="0"/>
                <w:sz w:val="21"/>
                <w:szCs w:val="21"/>
                <w:highlight w:val="none"/>
              </w:rPr>
              <w:t>师资质的每一人得0.5分。本项最高得6分。</w:t>
            </w:r>
          </w:p>
          <w:p w14:paraId="6622760E">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②拟派本项目工作小组人员（不含项目负责人）中具有高级及以上职称的每一人得1</w:t>
            </w:r>
            <w:r>
              <w:rPr>
                <w:rFonts w:hint="eastAsia" w:ascii="宋体" w:hAnsi="宋体" w:cs="宋体"/>
                <w:bCs/>
                <w:color w:val="auto"/>
                <w:kern w:val="0"/>
                <w:sz w:val="21"/>
                <w:szCs w:val="21"/>
                <w:highlight w:val="none"/>
                <w:lang w:val="en-US" w:eastAsia="zh-CN"/>
              </w:rPr>
              <w:t>.5</w:t>
            </w:r>
            <w:r>
              <w:rPr>
                <w:rFonts w:hint="eastAsia" w:ascii="宋体" w:hAnsi="宋体" w:cs="宋体"/>
                <w:bCs/>
                <w:color w:val="auto"/>
                <w:kern w:val="0"/>
                <w:sz w:val="21"/>
                <w:szCs w:val="21"/>
                <w:highlight w:val="none"/>
              </w:rPr>
              <w:t>分，最高得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2E8CC791">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注：须提供相关证书</w:t>
            </w:r>
            <w:r>
              <w:rPr>
                <w:rFonts w:hint="eastAsia" w:ascii="宋体" w:hAnsi="宋体" w:cs="宋体"/>
                <w:bCs/>
                <w:color w:val="auto"/>
                <w:kern w:val="0"/>
                <w:sz w:val="21"/>
                <w:szCs w:val="21"/>
                <w:highlight w:val="none"/>
                <w:lang w:val="en-US" w:eastAsia="zh-CN"/>
              </w:rPr>
              <w:t>扫描件</w:t>
            </w:r>
            <w:r>
              <w:rPr>
                <w:rFonts w:hint="eastAsia" w:ascii="宋体" w:hAnsi="宋体" w:cs="宋体"/>
                <w:bCs/>
                <w:color w:val="auto"/>
                <w:kern w:val="0"/>
                <w:sz w:val="21"/>
                <w:szCs w:val="21"/>
                <w:highlight w:val="none"/>
              </w:rPr>
              <w:t>及开标前近三个月单位社保证明</w:t>
            </w:r>
            <w:r>
              <w:rPr>
                <w:rFonts w:hint="eastAsia" w:ascii="宋体" w:hAnsi="宋体" w:cs="宋体"/>
                <w:bCs/>
                <w:color w:val="auto"/>
                <w:kern w:val="0"/>
                <w:sz w:val="21"/>
                <w:szCs w:val="21"/>
                <w:highlight w:val="none"/>
                <w:lang w:val="en-US" w:eastAsia="zh-CN"/>
              </w:rPr>
              <w:t>并加盖CA签章</w:t>
            </w:r>
            <w:r>
              <w:rPr>
                <w:rFonts w:hint="eastAsia" w:ascii="宋体" w:hAnsi="宋体" w:cs="宋体"/>
                <w:bCs/>
                <w:color w:val="auto"/>
                <w:kern w:val="0"/>
                <w:sz w:val="21"/>
                <w:szCs w:val="21"/>
                <w:highlight w:val="none"/>
              </w:rPr>
              <w:t>，否则不得分。</w:t>
            </w:r>
          </w:p>
        </w:tc>
        <w:tc>
          <w:tcPr>
            <w:tcW w:w="852" w:type="dxa"/>
            <w:noWrap w:val="0"/>
            <w:vAlign w:val="center"/>
          </w:tcPr>
          <w:p w14:paraId="2B7CE504">
            <w:pPr>
              <w:snapToGrid w:val="0"/>
              <w:spacing w:line="28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9</w:t>
            </w:r>
          </w:p>
        </w:tc>
      </w:tr>
      <w:tr w14:paraId="357A3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jc w:val="center"/>
        </w:trPr>
        <w:tc>
          <w:tcPr>
            <w:tcW w:w="626" w:type="dxa"/>
            <w:noWrap w:val="0"/>
            <w:vAlign w:val="center"/>
          </w:tcPr>
          <w:p w14:paraId="2A32C485">
            <w:pPr>
              <w:snapToGrid w:val="0"/>
              <w:spacing w:line="320" w:lineRule="exact"/>
              <w:jc w:val="center"/>
              <w:rPr>
                <w:rFonts w:hint="eastAsia" w:ascii="宋体" w:hAnsi="宋体" w:eastAsia="宋体"/>
                <w:bCs/>
                <w:color w:val="auto"/>
                <w:sz w:val="21"/>
                <w:szCs w:val="21"/>
                <w:highlight w:val="none"/>
                <w:lang w:eastAsia="zh-CN"/>
              </w:rPr>
            </w:pPr>
            <w:r>
              <w:rPr>
                <w:rFonts w:hint="eastAsia" w:ascii="宋体" w:hAnsi="宋体"/>
                <w:bCs/>
                <w:color w:val="auto"/>
                <w:sz w:val="21"/>
                <w:szCs w:val="21"/>
                <w:highlight w:val="none"/>
                <w:lang w:val="en-US" w:eastAsia="zh-CN"/>
              </w:rPr>
              <w:t>4</w:t>
            </w:r>
          </w:p>
        </w:tc>
        <w:tc>
          <w:tcPr>
            <w:tcW w:w="1217" w:type="dxa"/>
            <w:noWrap w:val="0"/>
            <w:vAlign w:val="center"/>
          </w:tcPr>
          <w:p w14:paraId="3925FA1C">
            <w:pPr>
              <w:snapToGrid w:val="0"/>
              <w:spacing w:line="320" w:lineRule="exact"/>
              <w:jc w:val="center"/>
              <w:rPr>
                <w:rFonts w:ascii="宋体" w:hAnsi="宋体"/>
                <w:bCs/>
                <w:color w:val="auto"/>
                <w:sz w:val="21"/>
                <w:szCs w:val="21"/>
                <w:highlight w:val="none"/>
                <w:shd w:val="clear" w:color="000000" w:fill="FFFFFF"/>
              </w:rPr>
            </w:pPr>
            <w:r>
              <w:rPr>
                <w:rFonts w:hint="eastAsia" w:ascii="宋体" w:hAnsi="宋体"/>
                <w:bCs/>
                <w:color w:val="auto"/>
                <w:sz w:val="21"/>
                <w:szCs w:val="21"/>
                <w:highlight w:val="none"/>
                <w:shd w:val="clear" w:color="000000" w:fill="FFFFFF"/>
                <w:lang w:val="en-US" w:eastAsia="zh-CN"/>
              </w:rPr>
              <w:t>同类</w:t>
            </w:r>
            <w:r>
              <w:rPr>
                <w:rFonts w:hint="eastAsia" w:ascii="宋体" w:hAnsi="宋体"/>
                <w:bCs/>
                <w:color w:val="auto"/>
                <w:sz w:val="21"/>
                <w:szCs w:val="21"/>
                <w:highlight w:val="none"/>
                <w:shd w:val="clear" w:color="000000" w:fill="FFFFFF"/>
              </w:rPr>
              <w:t>业绩</w:t>
            </w:r>
          </w:p>
        </w:tc>
        <w:tc>
          <w:tcPr>
            <w:tcW w:w="7243" w:type="dxa"/>
            <w:noWrap w:val="0"/>
            <w:vAlign w:val="center"/>
          </w:tcPr>
          <w:p w14:paraId="3BE2961A">
            <w:pPr>
              <w:snapToGrid w:val="0"/>
              <w:spacing w:line="300" w:lineRule="exact"/>
              <w:rPr>
                <w:rFonts w:ascii="宋体" w:hAnsi="宋体"/>
                <w:color w:val="auto"/>
                <w:sz w:val="21"/>
                <w:szCs w:val="21"/>
                <w:highlight w:val="none"/>
              </w:rPr>
            </w:pPr>
            <w:r>
              <w:rPr>
                <w:rFonts w:hint="eastAsia" w:ascii="宋体" w:hAnsi="宋体" w:cs="宋体"/>
                <w:color w:val="auto"/>
                <w:sz w:val="21"/>
                <w:szCs w:val="21"/>
                <w:highlight w:val="none"/>
              </w:rPr>
              <w:t>自20</w:t>
            </w:r>
            <w:r>
              <w:rPr>
                <w:rFonts w:hint="eastAsia" w:ascii="宋体" w:hAnsi="宋体" w:cs="宋体"/>
                <w:color w:val="auto"/>
                <w:sz w:val="21"/>
                <w:szCs w:val="21"/>
                <w:highlight w:val="none"/>
                <w:lang w:val="en-US" w:eastAsia="zh-CN"/>
              </w:rPr>
              <w:t>22</w:t>
            </w:r>
            <w:r>
              <w:rPr>
                <w:rFonts w:hint="eastAsia" w:ascii="宋体" w:hAnsi="宋体" w:cs="宋体"/>
                <w:color w:val="auto"/>
                <w:sz w:val="21"/>
                <w:szCs w:val="21"/>
                <w:highlight w:val="none"/>
              </w:rPr>
              <w:t>年1月1日至今</w:t>
            </w:r>
            <w:r>
              <w:rPr>
                <w:rFonts w:hint="eastAsia" w:ascii="宋体" w:hAnsi="宋体"/>
                <w:color w:val="auto"/>
                <w:sz w:val="21"/>
                <w:szCs w:val="21"/>
                <w:highlight w:val="none"/>
              </w:rPr>
              <w:t>（以合同签订时间为准），根据投标单位提供</w:t>
            </w:r>
            <w:r>
              <w:rPr>
                <w:rFonts w:hint="eastAsia" w:ascii="宋体" w:hAnsi="宋体"/>
                <w:color w:val="auto"/>
                <w:sz w:val="21"/>
                <w:szCs w:val="21"/>
                <w:highlight w:val="none"/>
                <w:lang w:eastAsia="zh-CN"/>
              </w:rPr>
              <w:t>的</w:t>
            </w:r>
            <w:r>
              <w:rPr>
                <w:rFonts w:hint="eastAsia" w:ascii="宋体" w:hAnsi="宋体"/>
                <w:color w:val="auto"/>
                <w:sz w:val="21"/>
                <w:szCs w:val="21"/>
                <w:highlight w:val="none"/>
                <w:lang w:val="en-US" w:eastAsia="zh-CN"/>
              </w:rPr>
              <w:t>同类</w:t>
            </w:r>
            <w:r>
              <w:rPr>
                <w:rFonts w:hint="eastAsia" w:ascii="宋体" w:hAnsi="宋体"/>
                <w:color w:val="auto"/>
                <w:sz w:val="21"/>
                <w:szCs w:val="21"/>
                <w:highlight w:val="none"/>
              </w:rPr>
              <w:t>成功案例，</w:t>
            </w:r>
            <w:r>
              <w:rPr>
                <w:rFonts w:hint="eastAsia" w:ascii="宋体" w:hAnsi="宋体"/>
                <w:color w:val="auto"/>
                <w:sz w:val="21"/>
                <w:szCs w:val="21"/>
                <w:highlight w:val="none"/>
                <w:lang w:val="en-US" w:eastAsia="zh-CN"/>
              </w:rPr>
              <w:t>每提供</w:t>
            </w:r>
            <w:r>
              <w:rPr>
                <w:rFonts w:hint="eastAsia" w:ascii="宋体" w:hAnsi="宋体"/>
                <w:color w:val="auto"/>
                <w:sz w:val="21"/>
                <w:szCs w:val="21"/>
                <w:highlight w:val="none"/>
              </w:rPr>
              <w:t>1个得</w:t>
            </w:r>
            <w:r>
              <w:rPr>
                <w:rFonts w:hint="eastAsia" w:ascii="宋体" w:hAnsi="宋体"/>
                <w:color w:val="auto"/>
                <w:sz w:val="21"/>
                <w:szCs w:val="21"/>
                <w:highlight w:val="none"/>
                <w:lang w:val="en-US" w:eastAsia="zh-CN"/>
              </w:rPr>
              <w:t>0.5</w:t>
            </w:r>
            <w:r>
              <w:rPr>
                <w:rFonts w:hint="eastAsia" w:ascii="宋体" w:hAnsi="宋体"/>
                <w:color w:val="auto"/>
                <w:sz w:val="21"/>
                <w:szCs w:val="21"/>
                <w:highlight w:val="none"/>
              </w:rPr>
              <w:t>分，最高得</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分。</w:t>
            </w:r>
          </w:p>
          <w:p w14:paraId="38CE42BD">
            <w:pPr>
              <w:snapToGrid w:val="0"/>
              <w:spacing w:line="300" w:lineRule="exact"/>
              <w:rPr>
                <w:rFonts w:ascii="宋体" w:hAnsi="宋体"/>
                <w:color w:val="auto"/>
                <w:sz w:val="21"/>
                <w:szCs w:val="21"/>
                <w:highlight w:val="none"/>
              </w:rPr>
            </w:pPr>
            <w:r>
              <w:rPr>
                <w:rFonts w:hint="eastAsia" w:ascii="宋体" w:hAnsi="宋体"/>
                <w:b/>
                <w:bCs/>
                <w:color w:val="auto"/>
                <w:sz w:val="21"/>
                <w:szCs w:val="21"/>
                <w:highlight w:val="none"/>
              </w:rPr>
              <w:t>注：提供中标通知书</w:t>
            </w:r>
            <w:r>
              <w:rPr>
                <w:rFonts w:hint="eastAsia" w:ascii="宋体" w:hAnsi="宋体"/>
                <w:b/>
                <w:bCs/>
                <w:color w:val="auto"/>
                <w:sz w:val="21"/>
                <w:szCs w:val="21"/>
                <w:highlight w:val="none"/>
                <w:lang w:eastAsia="zh-CN"/>
              </w:rPr>
              <w:t>、</w:t>
            </w:r>
            <w:r>
              <w:rPr>
                <w:rFonts w:hint="eastAsia" w:ascii="宋体" w:hAnsi="宋体"/>
                <w:b/>
                <w:bCs/>
                <w:color w:val="auto"/>
                <w:sz w:val="21"/>
                <w:szCs w:val="21"/>
                <w:highlight w:val="none"/>
              </w:rPr>
              <w:t>合同</w:t>
            </w:r>
            <w:r>
              <w:rPr>
                <w:rFonts w:hint="eastAsia"/>
                <w:b/>
                <w:bCs/>
                <w:color w:val="auto"/>
                <w:sz w:val="21"/>
                <w:szCs w:val="21"/>
                <w:highlight w:val="none"/>
              </w:rPr>
              <w:t>扫描件</w:t>
            </w:r>
            <w:r>
              <w:rPr>
                <w:rFonts w:hint="eastAsia" w:ascii="宋体" w:hAnsi="宋体" w:cs="宋体"/>
                <w:bCs/>
                <w:color w:val="auto"/>
                <w:kern w:val="0"/>
                <w:sz w:val="21"/>
                <w:szCs w:val="21"/>
                <w:highlight w:val="none"/>
                <w:lang w:val="en-US" w:eastAsia="zh-CN"/>
              </w:rPr>
              <w:t>并加盖CA签章</w:t>
            </w:r>
            <w:r>
              <w:rPr>
                <w:rFonts w:hint="eastAsia" w:ascii="宋体" w:hAnsi="宋体"/>
                <w:b/>
                <w:bCs/>
                <w:color w:val="auto"/>
                <w:sz w:val="21"/>
                <w:szCs w:val="21"/>
                <w:highlight w:val="none"/>
              </w:rPr>
              <w:t>，否则不得分。</w:t>
            </w:r>
          </w:p>
        </w:tc>
        <w:tc>
          <w:tcPr>
            <w:tcW w:w="852" w:type="dxa"/>
            <w:noWrap w:val="0"/>
            <w:vAlign w:val="center"/>
          </w:tcPr>
          <w:p w14:paraId="341A6E74">
            <w:pPr>
              <w:snapToGrid w:val="0"/>
              <w:spacing w:line="32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1</w:t>
            </w:r>
          </w:p>
        </w:tc>
      </w:tr>
      <w:tr w14:paraId="54924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626" w:type="dxa"/>
            <w:vMerge w:val="restart"/>
            <w:noWrap w:val="0"/>
            <w:vAlign w:val="center"/>
          </w:tcPr>
          <w:p w14:paraId="06892CB9">
            <w:pPr>
              <w:spacing w:line="400" w:lineRule="exact"/>
              <w:jc w:val="center"/>
              <w:rPr>
                <w:rFonts w:hint="eastAsia" w:ascii="宋体" w:hAnsi="宋体"/>
                <w:bCs/>
                <w:color w:val="auto"/>
                <w:sz w:val="21"/>
                <w:szCs w:val="21"/>
                <w:highlight w:val="none"/>
                <w:lang w:val="en-US" w:eastAsia="zh-CN"/>
              </w:rPr>
            </w:pPr>
          </w:p>
          <w:p w14:paraId="440BB379">
            <w:pPr>
              <w:spacing w:line="400" w:lineRule="exact"/>
              <w:jc w:val="center"/>
              <w:rPr>
                <w:rFonts w:hint="eastAsia" w:ascii="宋体" w:hAnsi="宋体"/>
                <w:bCs/>
                <w:color w:val="auto"/>
                <w:sz w:val="21"/>
                <w:szCs w:val="21"/>
                <w:highlight w:val="none"/>
                <w:lang w:val="en-US" w:eastAsia="zh-CN"/>
              </w:rPr>
            </w:pPr>
          </w:p>
          <w:p w14:paraId="086EBF36">
            <w:pPr>
              <w:spacing w:line="400" w:lineRule="exact"/>
              <w:jc w:val="center"/>
              <w:rPr>
                <w:rFonts w:hint="eastAsia" w:ascii="宋体" w:hAnsi="宋体"/>
                <w:bCs/>
                <w:color w:val="auto"/>
                <w:sz w:val="21"/>
                <w:szCs w:val="21"/>
                <w:highlight w:val="none"/>
                <w:lang w:val="en-US" w:eastAsia="zh-CN"/>
              </w:rPr>
            </w:pPr>
          </w:p>
          <w:p w14:paraId="60025C78">
            <w:pPr>
              <w:spacing w:line="400" w:lineRule="exact"/>
              <w:jc w:val="center"/>
              <w:rPr>
                <w:rFonts w:hint="eastAsia" w:ascii="宋体" w:hAnsi="宋体"/>
                <w:bCs/>
                <w:color w:val="auto"/>
                <w:sz w:val="21"/>
                <w:szCs w:val="21"/>
                <w:highlight w:val="none"/>
                <w:lang w:val="en-US" w:eastAsia="zh-CN"/>
              </w:rPr>
            </w:pPr>
          </w:p>
          <w:p w14:paraId="6E46220B">
            <w:pPr>
              <w:spacing w:line="400" w:lineRule="exact"/>
              <w:jc w:val="center"/>
              <w:rPr>
                <w:rFonts w:hint="eastAsia" w:ascii="宋体" w:hAnsi="宋体"/>
                <w:bCs/>
                <w:color w:val="auto"/>
                <w:sz w:val="21"/>
                <w:szCs w:val="21"/>
                <w:highlight w:val="none"/>
                <w:lang w:val="en-US" w:eastAsia="zh-CN"/>
              </w:rPr>
            </w:pPr>
          </w:p>
          <w:p w14:paraId="36EB697E">
            <w:pPr>
              <w:spacing w:line="400" w:lineRule="exact"/>
              <w:jc w:val="center"/>
              <w:rPr>
                <w:rFonts w:hint="eastAsia" w:ascii="宋体" w:hAnsi="宋体"/>
                <w:bCs/>
                <w:color w:val="auto"/>
                <w:sz w:val="21"/>
                <w:szCs w:val="21"/>
                <w:highlight w:val="none"/>
                <w:lang w:val="en-US" w:eastAsia="zh-CN"/>
              </w:rPr>
            </w:pPr>
          </w:p>
          <w:p w14:paraId="19145774">
            <w:pPr>
              <w:spacing w:line="400" w:lineRule="exact"/>
              <w:jc w:val="center"/>
              <w:rPr>
                <w:rFonts w:hint="eastAsia" w:ascii="宋体" w:hAnsi="宋体"/>
                <w:bCs/>
                <w:color w:val="auto"/>
                <w:sz w:val="21"/>
                <w:szCs w:val="21"/>
                <w:highlight w:val="none"/>
                <w:lang w:val="en-US" w:eastAsia="zh-CN"/>
              </w:rPr>
            </w:pPr>
          </w:p>
          <w:p w14:paraId="0AF80C5D">
            <w:pPr>
              <w:spacing w:line="400" w:lineRule="exact"/>
              <w:jc w:val="center"/>
              <w:rPr>
                <w:rFonts w:hint="eastAsia" w:ascii="宋体" w:hAnsi="宋体"/>
                <w:bCs/>
                <w:color w:val="auto"/>
                <w:sz w:val="21"/>
                <w:szCs w:val="21"/>
                <w:highlight w:val="none"/>
                <w:lang w:val="en-US" w:eastAsia="zh-CN"/>
              </w:rPr>
            </w:pPr>
          </w:p>
          <w:p w14:paraId="7E9593B0">
            <w:pPr>
              <w:spacing w:line="400" w:lineRule="exact"/>
              <w:jc w:val="center"/>
              <w:rPr>
                <w:rFonts w:hint="eastAsia" w:ascii="宋体" w:hAnsi="宋体"/>
                <w:bCs/>
                <w:color w:val="auto"/>
                <w:sz w:val="21"/>
                <w:szCs w:val="21"/>
                <w:highlight w:val="none"/>
                <w:lang w:val="en-US" w:eastAsia="zh-CN"/>
              </w:rPr>
            </w:pPr>
          </w:p>
          <w:p w14:paraId="1CB4422A">
            <w:pPr>
              <w:spacing w:line="400" w:lineRule="exact"/>
              <w:jc w:val="center"/>
              <w:rPr>
                <w:rFonts w:hint="eastAsia" w:ascii="宋体" w:hAnsi="宋体"/>
                <w:bCs/>
                <w:color w:val="auto"/>
                <w:sz w:val="21"/>
                <w:szCs w:val="21"/>
                <w:highlight w:val="none"/>
                <w:lang w:val="en-US" w:eastAsia="zh-CN"/>
              </w:rPr>
            </w:pPr>
          </w:p>
          <w:p w14:paraId="5F25C370">
            <w:pPr>
              <w:spacing w:line="400" w:lineRule="exact"/>
              <w:jc w:val="center"/>
              <w:rPr>
                <w:rFonts w:hint="eastAsia" w:ascii="宋体" w:hAnsi="宋体"/>
                <w:bCs/>
                <w:color w:val="auto"/>
                <w:sz w:val="21"/>
                <w:szCs w:val="21"/>
                <w:highlight w:val="none"/>
                <w:lang w:val="en-US" w:eastAsia="zh-CN"/>
              </w:rPr>
            </w:pPr>
          </w:p>
          <w:p w14:paraId="2937BC61">
            <w:pPr>
              <w:spacing w:line="400" w:lineRule="exact"/>
              <w:jc w:val="center"/>
              <w:rPr>
                <w:rFonts w:hint="eastAsia" w:ascii="宋体" w:hAnsi="宋体"/>
                <w:bCs/>
                <w:color w:val="auto"/>
                <w:sz w:val="21"/>
                <w:szCs w:val="21"/>
                <w:highlight w:val="none"/>
                <w:lang w:val="en-US" w:eastAsia="zh-CN"/>
              </w:rPr>
            </w:pPr>
          </w:p>
          <w:p w14:paraId="065C70B2">
            <w:pPr>
              <w:spacing w:line="400" w:lineRule="exact"/>
              <w:jc w:val="center"/>
              <w:rPr>
                <w:rFonts w:hint="eastAsia" w:ascii="宋体" w:hAnsi="宋体"/>
                <w:bCs/>
                <w:color w:val="auto"/>
                <w:sz w:val="21"/>
                <w:szCs w:val="21"/>
                <w:highlight w:val="none"/>
                <w:lang w:val="en-US" w:eastAsia="zh-CN"/>
              </w:rPr>
            </w:pPr>
          </w:p>
          <w:p w14:paraId="43FC5F55">
            <w:pPr>
              <w:spacing w:line="400" w:lineRule="exact"/>
              <w:jc w:val="center"/>
              <w:rPr>
                <w:rFonts w:hint="default" w:ascii="宋体" w:hAnsi="宋体" w:eastAsia="宋体"/>
                <w:bCs/>
                <w:color w:val="auto"/>
                <w:sz w:val="21"/>
                <w:szCs w:val="21"/>
                <w:highlight w:val="none"/>
                <w:lang w:val="en-US" w:eastAsia="zh-CN"/>
              </w:rPr>
            </w:pPr>
            <w:r>
              <w:rPr>
                <w:rFonts w:hint="eastAsia" w:ascii="宋体" w:hAnsi="宋体"/>
                <w:bCs/>
                <w:color w:val="auto"/>
                <w:sz w:val="21"/>
                <w:szCs w:val="21"/>
                <w:highlight w:val="none"/>
                <w:lang w:val="en-US" w:eastAsia="zh-CN"/>
              </w:rPr>
              <w:t>5</w:t>
            </w:r>
          </w:p>
        </w:tc>
        <w:tc>
          <w:tcPr>
            <w:tcW w:w="1217" w:type="dxa"/>
            <w:vMerge w:val="restart"/>
            <w:noWrap w:val="0"/>
            <w:vAlign w:val="center"/>
          </w:tcPr>
          <w:p w14:paraId="606CEA5D">
            <w:pPr>
              <w:snapToGrid w:val="0"/>
              <w:spacing w:line="340" w:lineRule="exact"/>
              <w:jc w:val="center"/>
              <w:rPr>
                <w:rFonts w:hint="eastAsia" w:ascii="宋体" w:hAnsi="宋体"/>
                <w:bCs/>
                <w:color w:val="auto"/>
                <w:sz w:val="21"/>
                <w:szCs w:val="21"/>
                <w:highlight w:val="none"/>
              </w:rPr>
            </w:pPr>
          </w:p>
          <w:p w14:paraId="0140ABBC">
            <w:pPr>
              <w:snapToGrid w:val="0"/>
              <w:spacing w:line="340" w:lineRule="exact"/>
              <w:jc w:val="center"/>
              <w:rPr>
                <w:rFonts w:hint="eastAsia" w:ascii="宋体" w:hAnsi="宋体"/>
                <w:bCs/>
                <w:color w:val="auto"/>
                <w:sz w:val="21"/>
                <w:szCs w:val="21"/>
                <w:highlight w:val="none"/>
              </w:rPr>
            </w:pPr>
          </w:p>
          <w:p w14:paraId="6EB10AAB">
            <w:pPr>
              <w:snapToGrid w:val="0"/>
              <w:spacing w:line="340" w:lineRule="exact"/>
              <w:jc w:val="center"/>
              <w:rPr>
                <w:rFonts w:hint="eastAsia" w:ascii="宋体" w:hAnsi="宋体"/>
                <w:bCs/>
                <w:color w:val="auto"/>
                <w:sz w:val="21"/>
                <w:szCs w:val="21"/>
                <w:highlight w:val="none"/>
              </w:rPr>
            </w:pPr>
          </w:p>
          <w:p w14:paraId="462B7E47">
            <w:pPr>
              <w:snapToGrid w:val="0"/>
              <w:spacing w:line="340" w:lineRule="exact"/>
              <w:jc w:val="center"/>
              <w:rPr>
                <w:rFonts w:hint="eastAsia" w:ascii="宋体" w:hAnsi="宋体"/>
                <w:bCs/>
                <w:color w:val="auto"/>
                <w:sz w:val="21"/>
                <w:szCs w:val="21"/>
                <w:highlight w:val="none"/>
              </w:rPr>
            </w:pPr>
          </w:p>
          <w:p w14:paraId="2CCD1D7C">
            <w:pPr>
              <w:snapToGrid w:val="0"/>
              <w:spacing w:line="340" w:lineRule="exact"/>
              <w:jc w:val="center"/>
              <w:rPr>
                <w:rFonts w:hint="eastAsia" w:ascii="宋体" w:hAnsi="宋体"/>
                <w:bCs/>
                <w:color w:val="auto"/>
                <w:sz w:val="21"/>
                <w:szCs w:val="21"/>
                <w:highlight w:val="none"/>
              </w:rPr>
            </w:pPr>
          </w:p>
          <w:p w14:paraId="00F27A2B">
            <w:pPr>
              <w:snapToGrid w:val="0"/>
              <w:spacing w:line="340" w:lineRule="exact"/>
              <w:jc w:val="center"/>
              <w:rPr>
                <w:rFonts w:hint="eastAsia" w:ascii="宋体" w:hAnsi="宋体"/>
                <w:bCs/>
                <w:color w:val="auto"/>
                <w:sz w:val="21"/>
                <w:szCs w:val="21"/>
                <w:highlight w:val="none"/>
              </w:rPr>
            </w:pPr>
          </w:p>
          <w:p w14:paraId="58E4DDAD">
            <w:pPr>
              <w:snapToGrid w:val="0"/>
              <w:spacing w:line="340" w:lineRule="exact"/>
              <w:jc w:val="center"/>
              <w:rPr>
                <w:rFonts w:hint="eastAsia" w:ascii="宋体" w:hAnsi="宋体"/>
                <w:bCs/>
                <w:color w:val="auto"/>
                <w:sz w:val="21"/>
                <w:szCs w:val="21"/>
                <w:highlight w:val="none"/>
              </w:rPr>
            </w:pPr>
          </w:p>
          <w:p w14:paraId="0182FAA0">
            <w:pPr>
              <w:snapToGrid w:val="0"/>
              <w:spacing w:line="340" w:lineRule="exact"/>
              <w:jc w:val="center"/>
              <w:rPr>
                <w:rFonts w:hint="eastAsia" w:ascii="宋体" w:hAnsi="宋体"/>
                <w:bCs/>
                <w:color w:val="auto"/>
                <w:sz w:val="21"/>
                <w:szCs w:val="21"/>
                <w:highlight w:val="none"/>
              </w:rPr>
            </w:pPr>
          </w:p>
          <w:p w14:paraId="1694E425">
            <w:pPr>
              <w:snapToGrid w:val="0"/>
              <w:spacing w:line="340" w:lineRule="exact"/>
              <w:jc w:val="center"/>
              <w:rPr>
                <w:rFonts w:hint="eastAsia" w:ascii="宋体" w:hAnsi="宋体"/>
                <w:bCs/>
                <w:color w:val="auto"/>
                <w:sz w:val="21"/>
                <w:szCs w:val="21"/>
                <w:highlight w:val="none"/>
              </w:rPr>
            </w:pPr>
          </w:p>
          <w:p w14:paraId="210DFC89">
            <w:pPr>
              <w:snapToGrid w:val="0"/>
              <w:spacing w:line="340" w:lineRule="exact"/>
              <w:jc w:val="center"/>
              <w:rPr>
                <w:rFonts w:hint="eastAsia" w:ascii="宋体" w:hAnsi="宋体"/>
                <w:bCs/>
                <w:color w:val="auto"/>
                <w:sz w:val="21"/>
                <w:szCs w:val="21"/>
                <w:highlight w:val="none"/>
              </w:rPr>
            </w:pPr>
          </w:p>
          <w:p w14:paraId="4C3D6EF4">
            <w:pPr>
              <w:snapToGrid w:val="0"/>
              <w:spacing w:line="340" w:lineRule="exact"/>
              <w:jc w:val="center"/>
              <w:rPr>
                <w:rFonts w:hint="eastAsia" w:ascii="宋体" w:hAnsi="宋体"/>
                <w:bCs/>
                <w:color w:val="auto"/>
                <w:sz w:val="21"/>
                <w:szCs w:val="21"/>
                <w:highlight w:val="none"/>
              </w:rPr>
            </w:pPr>
          </w:p>
          <w:p w14:paraId="250A80B5">
            <w:pPr>
              <w:snapToGrid w:val="0"/>
              <w:spacing w:line="340" w:lineRule="exact"/>
              <w:jc w:val="center"/>
              <w:rPr>
                <w:rFonts w:hint="eastAsia" w:ascii="宋体" w:hAnsi="宋体"/>
                <w:bCs/>
                <w:color w:val="auto"/>
                <w:sz w:val="21"/>
                <w:szCs w:val="21"/>
                <w:highlight w:val="none"/>
              </w:rPr>
            </w:pPr>
          </w:p>
          <w:p w14:paraId="0FBF1409">
            <w:pPr>
              <w:snapToGrid w:val="0"/>
              <w:spacing w:line="340" w:lineRule="exact"/>
              <w:jc w:val="center"/>
              <w:rPr>
                <w:rFonts w:hint="eastAsia" w:ascii="宋体" w:hAnsi="宋体"/>
                <w:bCs/>
                <w:color w:val="auto"/>
                <w:sz w:val="21"/>
                <w:szCs w:val="21"/>
                <w:highlight w:val="none"/>
              </w:rPr>
            </w:pPr>
          </w:p>
          <w:p w14:paraId="4E01DDF1">
            <w:pPr>
              <w:snapToGrid w:val="0"/>
              <w:spacing w:line="340" w:lineRule="exact"/>
              <w:jc w:val="center"/>
              <w:rPr>
                <w:rFonts w:hint="eastAsia" w:ascii="宋体" w:hAnsi="宋体"/>
                <w:bCs/>
                <w:color w:val="auto"/>
                <w:sz w:val="21"/>
                <w:szCs w:val="21"/>
                <w:highlight w:val="none"/>
              </w:rPr>
            </w:pPr>
          </w:p>
          <w:p w14:paraId="5E6E3B72">
            <w:pPr>
              <w:snapToGrid w:val="0"/>
              <w:spacing w:line="340" w:lineRule="exact"/>
              <w:jc w:val="center"/>
              <w:rPr>
                <w:rFonts w:hint="eastAsia" w:ascii="宋体" w:hAnsi="宋体"/>
                <w:bCs/>
                <w:color w:val="auto"/>
                <w:sz w:val="21"/>
                <w:szCs w:val="21"/>
                <w:highlight w:val="none"/>
              </w:rPr>
            </w:pPr>
          </w:p>
          <w:p w14:paraId="43E506E6">
            <w:pPr>
              <w:snapToGrid w:val="0"/>
              <w:spacing w:line="340" w:lineRule="exact"/>
              <w:jc w:val="center"/>
              <w:rPr>
                <w:rFonts w:ascii="宋体" w:hAnsi="宋体"/>
                <w:bCs/>
                <w:color w:val="auto"/>
                <w:sz w:val="21"/>
                <w:szCs w:val="21"/>
                <w:highlight w:val="none"/>
              </w:rPr>
            </w:pPr>
            <w:r>
              <w:rPr>
                <w:rFonts w:hint="eastAsia" w:ascii="宋体" w:hAnsi="宋体"/>
                <w:bCs/>
                <w:color w:val="auto"/>
                <w:sz w:val="21"/>
                <w:szCs w:val="21"/>
                <w:highlight w:val="none"/>
              </w:rPr>
              <w:t>项目实施方案</w:t>
            </w:r>
          </w:p>
        </w:tc>
        <w:tc>
          <w:tcPr>
            <w:tcW w:w="7243" w:type="dxa"/>
            <w:noWrap w:val="0"/>
            <w:vAlign w:val="center"/>
          </w:tcPr>
          <w:p w14:paraId="56CD0252">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对项目总体思路、项目目标的明确性，由评委</w:t>
            </w:r>
            <w:r>
              <w:rPr>
                <w:rFonts w:hint="eastAsia" w:ascii="宋体" w:hAnsi="宋体" w:cs="宋体"/>
                <w:bCs/>
                <w:color w:val="auto"/>
                <w:sz w:val="21"/>
                <w:szCs w:val="21"/>
                <w:highlight w:val="none"/>
              </w:rPr>
              <w:t>进行评分：</w:t>
            </w:r>
          </w:p>
          <w:p w14:paraId="1FC6C1A2">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w:t>
            </w:r>
            <w:r>
              <w:rPr>
                <w:rFonts w:hint="eastAsia" w:ascii="宋体" w:hAnsi="宋体" w:eastAsia="宋体" w:cs="Times New Roman"/>
                <w:bCs/>
                <w:color w:val="auto"/>
                <w:sz w:val="21"/>
                <w:szCs w:val="21"/>
                <w:highlight w:val="none"/>
                <w:lang w:val="en-US" w:eastAsia="zh-CN"/>
              </w:rPr>
              <w:t>合理</w:t>
            </w:r>
            <w:r>
              <w:rPr>
                <w:rFonts w:hint="eastAsia" w:ascii="宋体" w:hAnsi="宋体" w:cs="宋体"/>
                <w:bCs/>
                <w:color w:val="auto"/>
                <w:sz w:val="21"/>
                <w:szCs w:val="21"/>
                <w:highlight w:val="none"/>
              </w:rPr>
              <w:t>，逻辑性、可操作性一般，得</w:t>
            </w:r>
            <w:r>
              <w:rPr>
                <w:rFonts w:hint="eastAsia" w:ascii="宋体" w:hAnsi="宋体" w:cs="宋体"/>
                <w:bCs/>
                <w:color w:val="auto"/>
                <w:sz w:val="21"/>
                <w:szCs w:val="21"/>
                <w:highlight w:val="none"/>
                <w:lang w:val="en-US" w:eastAsia="zh-CN"/>
              </w:rPr>
              <w:t>4.0</w:t>
            </w:r>
            <w:r>
              <w:rPr>
                <w:rFonts w:hint="eastAsia" w:ascii="宋体" w:hAnsi="宋体" w:cs="宋体"/>
                <w:bCs/>
                <w:color w:val="auto"/>
                <w:sz w:val="21"/>
                <w:szCs w:val="21"/>
                <w:highlight w:val="none"/>
              </w:rPr>
              <w:t>-1.1分；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③方案粗糙，逻辑性、可操作性较差，得1-0.1分；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28D6F480">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r>
      <w:tr w14:paraId="3FACE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1" w:hRule="atLeast"/>
          <w:jc w:val="center"/>
        </w:trPr>
        <w:tc>
          <w:tcPr>
            <w:tcW w:w="626" w:type="dxa"/>
            <w:vMerge w:val="continue"/>
            <w:noWrap w:val="0"/>
            <w:vAlign w:val="center"/>
          </w:tcPr>
          <w:p w14:paraId="7481288E">
            <w:pPr>
              <w:spacing w:line="40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4E4B7EBF">
            <w:pPr>
              <w:snapToGrid w:val="0"/>
              <w:jc w:val="center"/>
              <w:rPr>
                <w:rFonts w:hAnsi="宋体" w:cs="宋体"/>
                <w:color w:val="auto"/>
                <w:sz w:val="21"/>
                <w:szCs w:val="21"/>
                <w:highlight w:val="none"/>
              </w:rPr>
            </w:pPr>
          </w:p>
        </w:tc>
        <w:tc>
          <w:tcPr>
            <w:tcW w:w="7243" w:type="dxa"/>
            <w:noWrap w:val="0"/>
            <w:vAlign w:val="center"/>
          </w:tcPr>
          <w:p w14:paraId="0FA4D814">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根据本项目的采购需求，结合实际操作情况，提出本评估项目的重点与难点，根据重点、难点的准确性、针对性，由评委</w:t>
            </w:r>
            <w:r>
              <w:rPr>
                <w:rFonts w:hint="eastAsia" w:ascii="宋体" w:hAnsi="宋体" w:cs="宋体"/>
                <w:bCs/>
                <w:color w:val="auto"/>
                <w:sz w:val="21"/>
                <w:szCs w:val="21"/>
                <w:highlight w:val="none"/>
              </w:rPr>
              <w:t>进行评分：</w:t>
            </w:r>
          </w:p>
          <w:p w14:paraId="61FDF477">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①分析深入，全面、合理且针对性强的得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②分析不够全面、合理且针对性一般的得</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.0-2.1分；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③分析片面，合理性针对性较差的得2.0-0.1分；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④未做分析的得0分。</w:t>
            </w:r>
          </w:p>
        </w:tc>
        <w:tc>
          <w:tcPr>
            <w:tcW w:w="852" w:type="dxa"/>
            <w:noWrap w:val="0"/>
            <w:vAlign w:val="center"/>
          </w:tcPr>
          <w:p w14:paraId="1679CF43">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r>
      <w:tr w14:paraId="14486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626" w:type="dxa"/>
            <w:vMerge w:val="continue"/>
            <w:noWrap w:val="0"/>
            <w:vAlign w:val="center"/>
          </w:tcPr>
          <w:p w14:paraId="139C51CE">
            <w:pPr>
              <w:spacing w:line="400" w:lineRule="exact"/>
              <w:jc w:val="center"/>
              <w:rPr>
                <w:rFonts w:hint="eastAsia" w:ascii="宋体" w:hAnsi="宋体" w:eastAsia="宋体"/>
                <w:bCs/>
                <w:color w:val="auto"/>
                <w:sz w:val="21"/>
                <w:szCs w:val="21"/>
                <w:highlight w:val="none"/>
                <w:lang w:eastAsia="zh-CN"/>
              </w:rPr>
            </w:pPr>
          </w:p>
        </w:tc>
        <w:tc>
          <w:tcPr>
            <w:tcW w:w="1217" w:type="dxa"/>
            <w:vMerge w:val="continue"/>
            <w:noWrap w:val="0"/>
            <w:vAlign w:val="center"/>
          </w:tcPr>
          <w:p w14:paraId="5FAA0558">
            <w:pPr>
              <w:snapToGrid w:val="0"/>
              <w:jc w:val="center"/>
              <w:rPr>
                <w:rFonts w:ascii="宋体"/>
                <w:bCs/>
                <w:color w:val="auto"/>
                <w:sz w:val="21"/>
                <w:szCs w:val="21"/>
                <w:highlight w:val="none"/>
              </w:rPr>
            </w:pPr>
          </w:p>
        </w:tc>
        <w:tc>
          <w:tcPr>
            <w:tcW w:w="7243" w:type="dxa"/>
            <w:noWrap w:val="0"/>
            <w:vAlign w:val="center"/>
          </w:tcPr>
          <w:p w14:paraId="729A8CBE">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根据对本项目重点和难点的解决问题及安全对策措施的合理性和可操作性，由评委</w:t>
            </w:r>
            <w:r>
              <w:rPr>
                <w:rFonts w:hint="eastAsia" w:ascii="宋体" w:hAnsi="宋体" w:cs="宋体"/>
                <w:bCs/>
                <w:color w:val="auto"/>
                <w:sz w:val="21"/>
                <w:szCs w:val="21"/>
                <w:highlight w:val="none"/>
              </w:rPr>
              <w:t>进行评分：</w:t>
            </w:r>
          </w:p>
          <w:p w14:paraId="08F92178">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①分析深入，全面、合理且针对性强的得</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②分析不够全面、合理且针对性一般的得</w:t>
            </w:r>
            <w:r>
              <w:rPr>
                <w:rFonts w:hint="eastAsia" w:ascii="宋体" w:hAnsi="宋体" w:cs="宋体"/>
                <w:bCs/>
                <w:color w:val="auto"/>
                <w:sz w:val="21"/>
                <w:szCs w:val="21"/>
                <w:highlight w:val="none"/>
                <w:lang w:val="en-US" w:eastAsia="zh-CN"/>
              </w:rPr>
              <w:t>4</w:t>
            </w:r>
            <w:r>
              <w:rPr>
                <w:rFonts w:hint="eastAsia" w:ascii="宋体" w:hAnsi="宋体" w:cs="宋体"/>
                <w:bCs/>
                <w:color w:val="auto"/>
                <w:sz w:val="21"/>
                <w:szCs w:val="21"/>
                <w:highlight w:val="none"/>
              </w:rPr>
              <w:t>.0-2.1分；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③分析片面，合理性针对性较差的得2.0-0.1分；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④未做分析的得0分。</w:t>
            </w:r>
          </w:p>
        </w:tc>
        <w:tc>
          <w:tcPr>
            <w:tcW w:w="852" w:type="dxa"/>
            <w:noWrap w:val="0"/>
            <w:vAlign w:val="center"/>
          </w:tcPr>
          <w:p w14:paraId="73C81238">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r>
      <w:tr w14:paraId="098E8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626" w:type="dxa"/>
            <w:vMerge w:val="continue"/>
            <w:noWrap w:val="0"/>
            <w:vAlign w:val="center"/>
          </w:tcPr>
          <w:p w14:paraId="69C741CE">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1AFD011E">
            <w:pPr>
              <w:snapToGrid w:val="0"/>
              <w:jc w:val="center"/>
              <w:rPr>
                <w:rFonts w:ascii="宋体"/>
                <w:bCs/>
                <w:color w:val="auto"/>
                <w:sz w:val="21"/>
                <w:szCs w:val="21"/>
                <w:highlight w:val="none"/>
              </w:rPr>
            </w:pPr>
          </w:p>
        </w:tc>
        <w:tc>
          <w:tcPr>
            <w:tcW w:w="7243" w:type="dxa"/>
            <w:noWrap w:val="0"/>
            <w:vAlign w:val="center"/>
          </w:tcPr>
          <w:p w14:paraId="4CD9071C">
            <w:pPr>
              <w:snapToGrid w:val="0"/>
              <w:spacing w:line="300" w:lineRule="exact"/>
              <w:rPr>
                <w:rFonts w:ascii="宋体" w:hAnsi="宋体" w:cs="宋体"/>
                <w:bCs/>
                <w:color w:val="auto"/>
                <w:sz w:val="21"/>
                <w:szCs w:val="21"/>
                <w:highlight w:val="none"/>
              </w:rPr>
            </w:pPr>
            <w:r>
              <w:rPr>
                <w:rFonts w:hint="eastAsia" w:ascii="宋体" w:hAnsi="宋体" w:cs="宋体"/>
                <w:bCs/>
                <w:color w:val="auto"/>
                <w:kern w:val="0"/>
                <w:sz w:val="21"/>
                <w:szCs w:val="21"/>
                <w:highlight w:val="none"/>
              </w:rPr>
              <w:t>根据对化工园区内主要危险因素（如危险物质、危险工艺）的分析及应对措施的全面性、可行性，由评委</w:t>
            </w:r>
            <w:r>
              <w:rPr>
                <w:rFonts w:hint="eastAsia" w:ascii="宋体" w:hAnsi="宋体" w:cs="宋体"/>
                <w:bCs/>
                <w:color w:val="auto"/>
                <w:sz w:val="21"/>
                <w:szCs w:val="21"/>
                <w:highlight w:val="none"/>
              </w:rPr>
              <w:t>进行评分：</w:t>
            </w:r>
          </w:p>
          <w:p w14:paraId="11A39639">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-3.1分；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②方案较完整合理，逻辑性、可操作性一般，得3-2.1分；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③方案粗糙，逻辑性、可操作性较差，得2-0.1分；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4CE01AE8">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04E88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center"/>
        </w:trPr>
        <w:tc>
          <w:tcPr>
            <w:tcW w:w="626" w:type="dxa"/>
            <w:vMerge w:val="continue"/>
            <w:noWrap w:val="0"/>
            <w:vAlign w:val="center"/>
          </w:tcPr>
          <w:p w14:paraId="5C48DB42">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30DD3B14">
            <w:pPr>
              <w:snapToGrid w:val="0"/>
              <w:jc w:val="center"/>
              <w:rPr>
                <w:rFonts w:ascii="宋体"/>
                <w:bCs/>
                <w:color w:val="auto"/>
                <w:sz w:val="21"/>
                <w:szCs w:val="21"/>
                <w:highlight w:val="none"/>
              </w:rPr>
            </w:pPr>
          </w:p>
        </w:tc>
        <w:tc>
          <w:tcPr>
            <w:tcW w:w="7243" w:type="dxa"/>
            <w:noWrap w:val="0"/>
            <w:vAlign w:val="center"/>
          </w:tcPr>
          <w:p w14:paraId="0437F879">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根据对化工园区安全管理体系的建议措施以及应急救援预案的科学性、可行性，由评委</w:t>
            </w:r>
            <w:r>
              <w:rPr>
                <w:rFonts w:hint="eastAsia" w:ascii="宋体" w:hAnsi="宋体" w:cs="宋体"/>
                <w:bCs/>
                <w:color w:val="auto"/>
                <w:sz w:val="21"/>
                <w:szCs w:val="21"/>
                <w:highlight w:val="none"/>
              </w:rPr>
              <w:t>进行评分：</w:t>
            </w:r>
          </w:p>
          <w:p w14:paraId="06BAF1BA">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-3.1分；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②方案较完整合理，逻辑性、可操作性一般，得3-2.1分；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③方案粗糙，逻辑性、可操作性较差，得2-0.1分；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0EE3C2A4">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7A7C8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626" w:type="dxa"/>
            <w:vMerge w:val="continue"/>
            <w:noWrap w:val="0"/>
            <w:vAlign w:val="center"/>
          </w:tcPr>
          <w:p w14:paraId="4B1A93EC">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76B65A7F">
            <w:pPr>
              <w:snapToGrid w:val="0"/>
              <w:jc w:val="center"/>
              <w:rPr>
                <w:rFonts w:ascii="宋体"/>
                <w:bCs/>
                <w:color w:val="auto"/>
                <w:sz w:val="21"/>
                <w:szCs w:val="21"/>
                <w:highlight w:val="none"/>
              </w:rPr>
            </w:pPr>
          </w:p>
        </w:tc>
        <w:tc>
          <w:tcPr>
            <w:tcW w:w="7243" w:type="dxa"/>
            <w:noWrap w:val="0"/>
            <w:vAlign w:val="center"/>
          </w:tcPr>
          <w:p w14:paraId="0AA6620E">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投标人按照采购单位的要求，提供详实的进度计划，根据进度的合理性、可行性，由评委</w:t>
            </w:r>
            <w:r>
              <w:rPr>
                <w:rFonts w:hint="eastAsia" w:ascii="宋体" w:hAnsi="宋体" w:cs="宋体"/>
                <w:bCs/>
                <w:color w:val="auto"/>
                <w:sz w:val="21"/>
                <w:szCs w:val="21"/>
                <w:highlight w:val="none"/>
              </w:rPr>
              <w:t>进行评分：</w:t>
            </w:r>
          </w:p>
          <w:p w14:paraId="34407D94">
            <w:pPr>
              <w:snapToGrid w:val="0"/>
              <w:spacing w:line="300" w:lineRule="exact"/>
              <w:rPr>
                <w:rFonts w:ascii="宋体" w:hAnsi="宋体" w:cs="宋体"/>
                <w:bCs/>
                <w:color w:val="auto"/>
                <w:kern w:val="0"/>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-3.1分；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②方案较完整合理，逻辑性、可操作性一般，得3-2.1分；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③方案粗糙，逻辑性、可操作性较差，得2-0.1分；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59EB1B3C">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4D7FA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626" w:type="dxa"/>
            <w:noWrap w:val="0"/>
            <w:vAlign w:val="center"/>
          </w:tcPr>
          <w:p w14:paraId="010F97A1">
            <w:pPr>
              <w:spacing w:line="400" w:lineRule="exact"/>
              <w:jc w:val="center"/>
              <w:rPr>
                <w:rFonts w:hint="default" w:ascii="宋体" w:hAnsi="宋体" w:eastAsia="宋体"/>
                <w:bCs/>
                <w:color w:val="auto"/>
                <w:sz w:val="21"/>
                <w:szCs w:val="21"/>
                <w:highlight w:val="none"/>
                <w:lang w:val="en-US" w:eastAsia="zh-CN"/>
              </w:rPr>
            </w:pPr>
            <w:r>
              <w:rPr>
                <w:rFonts w:hint="eastAsia" w:ascii="宋体" w:hAnsi="宋体"/>
                <w:bCs/>
                <w:color w:val="auto"/>
                <w:sz w:val="21"/>
                <w:szCs w:val="21"/>
                <w:highlight w:val="none"/>
                <w:lang w:val="en-US" w:eastAsia="zh-CN"/>
              </w:rPr>
              <w:t>6</w:t>
            </w:r>
          </w:p>
        </w:tc>
        <w:tc>
          <w:tcPr>
            <w:tcW w:w="1217" w:type="dxa"/>
            <w:noWrap w:val="0"/>
            <w:vAlign w:val="center"/>
          </w:tcPr>
          <w:p w14:paraId="0C4CA0B2">
            <w:pPr>
              <w:snapToGrid w:val="0"/>
              <w:spacing w:line="340" w:lineRule="exact"/>
              <w:jc w:val="center"/>
              <w:rPr>
                <w:rFonts w:ascii="宋体" w:hAnsi="宋体"/>
                <w:bCs/>
                <w:color w:val="auto"/>
                <w:sz w:val="21"/>
                <w:szCs w:val="21"/>
                <w:highlight w:val="none"/>
              </w:rPr>
            </w:pPr>
            <w:r>
              <w:rPr>
                <w:rFonts w:hint="eastAsia" w:ascii="宋体" w:hAnsi="宋体"/>
                <w:bCs/>
                <w:color w:val="auto"/>
                <w:sz w:val="21"/>
                <w:szCs w:val="21"/>
                <w:highlight w:val="none"/>
              </w:rPr>
              <w:t>风险计算软件</w:t>
            </w:r>
          </w:p>
        </w:tc>
        <w:tc>
          <w:tcPr>
            <w:tcW w:w="7243" w:type="dxa"/>
            <w:noWrap w:val="0"/>
            <w:vAlign w:val="center"/>
          </w:tcPr>
          <w:p w14:paraId="3359D187">
            <w:pPr>
              <w:snapToGrid w:val="0"/>
              <w:spacing w:line="300" w:lineRule="exact"/>
              <w:rPr>
                <w:rFonts w:ascii="宋体" w:hAnsi="宋体" w:cs="宋体"/>
                <w:bCs/>
                <w:color w:val="auto"/>
                <w:sz w:val="21"/>
                <w:szCs w:val="21"/>
                <w:highlight w:val="none"/>
              </w:rPr>
            </w:pPr>
            <w:r>
              <w:rPr>
                <w:rFonts w:hint="eastAsia" w:ascii="宋体" w:hAnsi="宋体" w:cs="宋体"/>
                <w:bCs/>
                <w:color w:val="auto"/>
                <w:sz w:val="21"/>
                <w:szCs w:val="21"/>
                <w:highlight w:val="none"/>
              </w:rPr>
              <w:t>具有二维风险评估软件得1分，具有三维风险评估软件得2分，最高得3分。</w:t>
            </w:r>
          </w:p>
          <w:p w14:paraId="5B2BEC62">
            <w:pPr>
              <w:snapToGrid w:val="0"/>
              <w:spacing w:line="300" w:lineRule="exact"/>
              <w:rPr>
                <w:color w:val="auto"/>
                <w:highlight w:val="none"/>
              </w:rPr>
            </w:pPr>
            <w:r>
              <w:rPr>
                <w:rFonts w:hint="eastAsia" w:ascii="宋体" w:hAnsi="宋体" w:cs="宋体"/>
                <w:bCs/>
                <w:color w:val="auto"/>
                <w:sz w:val="21"/>
                <w:szCs w:val="21"/>
                <w:highlight w:val="none"/>
              </w:rPr>
              <w:t>注：提供软件著作权证书扫描件或软件购买（租赁）合同扫描件。</w:t>
            </w:r>
          </w:p>
        </w:tc>
        <w:tc>
          <w:tcPr>
            <w:tcW w:w="852" w:type="dxa"/>
            <w:noWrap w:val="0"/>
            <w:vAlign w:val="center"/>
          </w:tcPr>
          <w:p w14:paraId="6401A1C7">
            <w:pPr>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r>
      <w:tr w14:paraId="145B8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626" w:type="dxa"/>
            <w:vMerge w:val="restart"/>
            <w:noWrap w:val="0"/>
            <w:vAlign w:val="center"/>
          </w:tcPr>
          <w:p w14:paraId="007C554A">
            <w:pPr>
              <w:spacing w:line="400" w:lineRule="exact"/>
              <w:jc w:val="center"/>
              <w:rPr>
                <w:rFonts w:hint="default" w:ascii="宋体" w:hAnsi="宋体" w:eastAsia="宋体"/>
                <w:bCs/>
                <w:color w:val="auto"/>
                <w:sz w:val="21"/>
                <w:szCs w:val="21"/>
                <w:highlight w:val="none"/>
                <w:lang w:val="en-US" w:eastAsia="zh-CN"/>
              </w:rPr>
            </w:pPr>
            <w:r>
              <w:rPr>
                <w:rFonts w:hint="eastAsia" w:ascii="宋体" w:hAnsi="宋体" w:eastAsia="宋体"/>
                <w:bCs/>
                <w:color w:val="auto"/>
                <w:sz w:val="21"/>
                <w:szCs w:val="21"/>
                <w:highlight w:val="none"/>
                <w:lang w:val="en-US" w:eastAsia="zh-CN"/>
              </w:rPr>
              <w:t>7</w:t>
            </w:r>
          </w:p>
        </w:tc>
        <w:tc>
          <w:tcPr>
            <w:tcW w:w="1217" w:type="dxa"/>
            <w:vMerge w:val="restart"/>
            <w:noWrap w:val="0"/>
            <w:vAlign w:val="center"/>
          </w:tcPr>
          <w:p w14:paraId="3C2FDBB8">
            <w:pPr>
              <w:snapToGrid w:val="0"/>
              <w:spacing w:line="340" w:lineRule="exact"/>
              <w:jc w:val="center"/>
              <w:rPr>
                <w:rFonts w:ascii="宋体" w:hAnsi="宋体"/>
                <w:bCs/>
                <w:color w:val="auto"/>
                <w:sz w:val="21"/>
                <w:szCs w:val="21"/>
                <w:highlight w:val="none"/>
              </w:rPr>
            </w:pPr>
            <w:r>
              <w:rPr>
                <w:rFonts w:hint="eastAsia" w:ascii="宋体" w:hAnsi="宋体"/>
                <w:bCs/>
                <w:color w:val="auto"/>
                <w:sz w:val="21"/>
                <w:szCs w:val="21"/>
                <w:highlight w:val="none"/>
              </w:rPr>
              <w:t>保障措施</w:t>
            </w:r>
          </w:p>
        </w:tc>
        <w:tc>
          <w:tcPr>
            <w:tcW w:w="7243" w:type="dxa"/>
            <w:noWrap w:val="0"/>
            <w:vAlign w:val="center"/>
          </w:tcPr>
          <w:p w14:paraId="7C0C2793">
            <w:pPr>
              <w:snapToGrid w:val="0"/>
              <w:spacing w:line="300" w:lineRule="exact"/>
              <w:rPr>
                <w:rFonts w:ascii="宋体" w:hAnsi="宋体" w:cs="宋体"/>
                <w:bCs/>
                <w:color w:val="auto"/>
                <w:sz w:val="21"/>
                <w:szCs w:val="21"/>
                <w:highlight w:val="none"/>
              </w:rPr>
            </w:pPr>
            <w:r>
              <w:rPr>
                <w:rFonts w:hint="eastAsia" w:ascii="宋体" w:hAnsi="宋体" w:cs="宋体"/>
                <w:bCs/>
                <w:color w:val="auto"/>
                <w:sz w:val="21"/>
                <w:szCs w:val="21"/>
                <w:highlight w:val="none"/>
              </w:rPr>
              <w:t>根据投标人针对本项目制定的质量保障措施内容的完整性、实施的可操作情况，由评委横向对比酌情打分。</w:t>
            </w:r>
          </w:p>
          <w:p w14:paraId="31C0E357">
            <w:pPr>
              <w:snapToGrid w:val="0"/>
              <w:spacing w:line="300" w:lineRule="exact"/>
              <w:rPr>
                <w:rFonts w:ascii="宋体" w:hAnsi="宋体" w:cs="宋体"/>
                <w:bCs/>
                <w:color w:val="auto"/>
                <w:sz w:val="21"/>
                <w:szCs w:val="21"/>
                <w:highlight w:val="none"/>
              </w:rPr>
            </w:pPr>
            <w:r>
              <w:rPr>
                <w:rFonts w:hint="eastAsia" w:ascii="宋体" w:hAnsi="宋体" w:cs="宋体"/>
                <w:bCs/>
                <w:color w:val="auto"/>
                <w:sz w:val="21"/>
                <w:szCs w:val="21"/>
                <w:highlight w:val="none"/>
              </w:rPr>
              <w:t>①方案完整合理，逻辑性、可操作性强，得</w:t>
            </w:r>
            <w:r>
              <w:rPr>
                <w:rFonts w:hint="eastAsia" w:ascii="宋体" w:hAnsi="宋体" w:cs="宋体"/>
                <w:bCs/>
                <w:color w:val="auto"/>
                <w:sz w:val="21"/>
                <w:szCs w:val="21"/>
                <w:highlight w:val="none"/>
                <w:lang w:val="en-US" w:eastAsia="zh-CN"/>
              </w:rPr>
              <w:t>6</w:t>
            </w:r>
            <w:r>
              <w:rPr>
                <w:rFonts w:hint="eastAsia" w:ascii="宋体" w:hAnsi="宋体" w:cs="宋体"/>
                <w:bCs/>
                <w:color w:val="auto"/>
                <w:sz w:val="21"/>
                <w:szCs w:val="21"/>
                <w:highlight w:val="none"/>
              </w:rPr>
              <w:t>-</w:t>
            </w:r>
            <w:r>
              <w:rPr>
                <w:rFonts w:hint="eastAsia" w:ascii="宋体" w:hAnsi="宋体" w:cs="宋体"/>
                <w:bCs/>
                <w:color w:val="auto"/>
                <w:sz w:val="21"/>
                <w:szCs w:val="21"/>
                <w:highlight w:val="none"/>
                <w:lang w:val="en-US" w:eastAsia="zh-CN"/>
              </w:rPr>
              <w:t>3</w:t>
            </w:r>
            <w:r>
              <w:rPr>
                <w:rFonts w:hint="eastAsia" w:ascii="宋体" w:hAnsi="宋体" w:cs="宋体"/>
                <w:bCs/>
                <w:color w:val="auto"/>
                <w:sz w:val="21"/>
                <w:szCs w:val="21"/>
                <w:highlight w:val="none"/>
              </w:rPr>
              <w:t>.1分；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②方案较完整合理，逻辑性、可操作性一般，得</w:t>
            </w:r>
            <w:r>
              <w:rPr>
                <w:rFonts w:hint="eastAsia" w:ascii="宋体" w:hAnsi="宋体" w:cs="宋体"/>
                <w:bCs/>
                <w:color w:val="auto"/>
                <w:sz w:val="21"/>
                <w:szCs w:val="21"/>
                <w:highlight w:val="none"/>
                <w:lang w:val="en-US" w:eastAsia="zh-CN"/>
              </w:rPr>
              <w:t>3</w:t>
            </w:r>
            <w:r>
              <w:rPr>
                <w:rFonts w:hint="eastAsia" w:ascii="宋体" w:hAnsi="宋体" w:cs="宋体"/>
                <w:bCs/>
                <w:color w:val="auto"/>
                <w:sz w:val="21"/>
                <w:szCs w:val="21"/>
                <w:highlight w:val="none"/>
              </w:rPr>
              <w:t>-1.1分；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③方案粗糙，逻辑性、可操作性较差，得1-0.1分；</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④未提供方案不得分。</w:t>
            </w:r>
          </w:p>
        </w:tc>
        <w:tc>
          <w:tcPr>
            <w:tcW w:w="852" w:type="dxa"/>
            <w:noWrap w:val="0"/>
            <w:vAlign w:val="center"/>
          </w:tcPr>
          <w:p w14:paraId="4CCE0B37">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235BA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626" w:type="dxa"/>
            <w:vMerge w:val="continue"/>
            <w:noWrap w:val="0"/>
            <w:vAlign w:val="center"/>
          </w:tcPr>
          <w:p w14:paraId="130626A4">
            <w:pPr>
              <w:spacing w:line="400" w:lineRule="exact"/>
              <w:jc w:val="center"/>
              <w:rPr>
                <w:rFonts w:hint="default" w:ascii="宋体" w:hAnsi="宋体" w:eastAsia="宋体"/>
                <w:bCs/>
                <w:color w:val="auto"/>
                <w:sz w:val="21"/>
                <w:szCs w:val="21"/>
                <w:highlight w:val="none"/>
                <w:lang w:val="en-US" w:eastAsia="zh-CN"/>
              </w:rPr>
            </w:pPr>
          </w:p>
        </w:tc>
        <w:tc>
          <w:tcPr>
            <w:tcW w:w="1217" w:type="dxa"/>
            <w:vMerge w:val="continue"/>
            <w:noWrap w:val="0"/>
            <w:vAlign w:val="center"/>
          </w:tcPr>
          <w:p w14:paraId="3ACEAA21">
            <w:pPr>
              <w:snapToGrid w:val="0"/>
              <w:jc w:val="center"/>
              <w:rPr>
                <w:rFonts w:ascii="宋体" w:hAnsi="宋体"/>
                <w:bCs/>
                <w:color w:val="auto"/>
                <w:sz w:val="21"/>
                <w:szCs w:val="21"/>
                <w:highlight w:val="none"/>
              </w:rPr>
            </w:pPr>
          </w:p>
        </w:tc>
        <w:tc>
          <w:tcPr>
            <w:tcW w:w="7243" w:type="dxa"/>
            <w:noWrap w:val="0"/>
            <w:vAlign w:val="center"/>
          </w:tcPr>
          <w:p w14:paraId="2AD2DAC8">
            <w:pPr>
              <w:snapToGrid w:val="0"/>
              <w:spacing w:line="300" w:lineRule="exac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根据层级管理以及组织架构：是否有管理、调研评估、质量控制专业部门，并有相应的岗位描述等情况，由评委酌情打分。</w:t>
            </w:r>
          </w:p>
          <w:p w14:paraId="2F147ACE">
            <w:pPr>
              <w:snapToGrid w:val="0"/>
              <w:spacing w:line="300" w:lineRule="exac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①</w:t>
            </w:r>
            <w:r>
              <w:rPr>
                <w:rFonts w:hint="eastAsia" w:ascii="宋体" w:hAnsi="宋体" w:eastAsia="宋体" w:cs="宋体"/>
                <w:bCs/>
                <w:color w:val="auto"/>
                <w:sz w:val="21"/>
                <w:szCs w:val="21"/>
                <w:highlight w:val="none"/>
                <w:lang w:val="en-US" w:eastAsia="zh-CN"/>
              </w:rPr>
              <w:t>层级管理及组织架构</w:t>
            </w:r>
            <w:r>
              <w:rPr>
                <w:rFonts w:hint="eastAsia" w:ascii="宋体" w:hAnsi="宋体" w:eastAsia="宋体" w:cs="宋体"/>
                <w:bCs/>
                <w:color w:val="auto"/>
                <w:sz w:val="21"/>
                <w:szCs w:val="21"/>
                <w:highlight w:val="none"/>
              </w:rPr>
              <w:t>完整合理，得</w:t>
            </w:r>
            <w:r>
              <w:rPr>
                <w:rFonts w:hint="eastAsia" w:ascii="宋体"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.1分；</w:t>
            </w:r>
            <w:r>
              <w:rPr>
                <w:rFonts w:hint="eastAsia" w:ascii="宋体" w:hAnsi="宋体" w:eastAsia="宋体" w:cs="宋体"/>
                <w:bCs/>
                <w:color w:val="auto"/>
                <w:sz w:val="21"/>
                <w:szCs w:val="21"/>
                <w:highlight w:val="none"/>
              </w:rPr>
              <w:br w:type="textWrapping"/>
            </w:r>
            <w:r>
              <w:rPr>
                <w:rFonts w:hint="eastAsia" w:ascii="宋体" w:hAnsi="宋体" w:eastAsia="宋体" w:cs="宋体"/>
                <w:bCs/>
                <w:color w:val="auto"/>
                <w:sz w:val="21"/>
                <w:szCs w:val="21"/>
                <w:highlight w:val="none"/>
              </w:rPr>
              <w:t>②</w:t>
            </w:r>
            <w:r>
              <w:rPr>
                <w:rFonts w:hint="eastAsia" w:ascii="宋体" w:hAnsi="宋体" w:eastAsia="宋体" w:cs="宋体"/>
                <w:bCs/>
                <w:color w:val="auto"/>
                <w:sz w:val="21"/>
                <w:szCs w:val="21"/>
                <w:highlight w:val="none"/>
                <w:lang w:val="en-US" w:eastAsia="zh-CN"/>
              </w:rPr>
              <w:t>层级管理及组织架构</w:t>
            </w:r>
            <w:r>
              <w:rPr>
                <w:rFonts w:hint="eastAsia" w:ascii="宋体" w:hAnsi="宋体" w:eastAsia="宋体" w:cs="宋体"/>
                <w:bCs/>
                <w:color w:val="auto"/>
                <w:sz w:val="21"/>
                <w:szCs w:val="21"/>
                <w:highlight w:val="none"/>
              </w:rPr>
              <w:t>较完整合理，得</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.1分；</w:t>
            </w:r>
            <w:r>
              <w:rPr>
                <w:rFonts w:hint="eastAsia" w:ascii="宋体" w:hAnsi="宋体" w:eastAsia="宋体" w:cs="宋体"/>
                <w:bCs/>
                <w:color w:val="auto"/>
                <w:sz w:val="21"/>
                <w:szCs w:val="21"/>
                <w:highlight w:val="none"/>
              </w:rPr>
              <w:br w:type="textWrapping"/>
            </w:r>
            <w:r>
              <w:rPr>
                <w:rFonts w:hint="eastAsia" w:ascii="宋体" w:hAnsi="宋体" w:eastAsia="宋体" w:cs="宋体"/>
                <w:bCs/>
                <w:color w:val="auto"/>
                <w:sz w:val="21"/>
                <w:szCs w:val="21"/>
                <w:highlight w:val="none"/>
              </w:rPr>
              <w:t>③</w:t>
            </w:r>
            <w:r>
              <w:rPr>
                <w:rFonts w:hint="eastAsia" w:ascii="宋体" w:hAnsi="宋体" w:eastAsia="宋体" w:cs="宋体"/>
                <w:bCs/>
                <w:color w:val="auto"/>
                <w:sz w:val="21"/>
                <w:szCs w:val="21"/>
                <w:highlight w:val="none"/>
                <w:lang w:val="en-US" w:eastAsia="zh-CN"/>
              </w:rPr>
              <w:t>层级管理及组织架构较差</w:t>
            </w:r>
            <w:r>
              <w:rPr>
                <w:rFonts w:hint="eastAsia" w:ascii="宋体" w:hAnsi="宋体" w:eastAsia="宋体" w:cs="宋体"/>
                <w:bCs/>
                <w:color w:val="auto"/>
                <w:sz w:val="21"/>
                <w:szCs w:val="21"/>
                <w:highlight w:val="none"/>
              </w:rPr>
              <w:t>，得</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0.1分；</w:t>
            </w:r>
          </w:p>
          <w:p w14:paraId="0631FDFC">
            <w:pPr>
              <w:snapToGrid w:val="0"/>
              <w:spacing w:line="300" w:lineRule="exact"/>
              <w:rPr>
                <w:rFonts w:hint="default" w:eastAsia="宋体"/>
                <w:color w:val="auto"/>
                <w:highlight w:val="none"/>
                <w:lang w:val="en-US" w:eastAsia="zh-CN"/>
              </w:rPr>
            </w:pPr>
            <w:r>
              <w:rPr>
                <w:rFonts w:hint="eastAsia" w:ascii="宋体" w:hAnsi="宋体" w:eastAsia="宋体" w:cs="宋体"/>
                <w:bCs/>
                <w:color w:val="auto"/>
                <w:sz w:val="21"/>
                <w:szCs w:val="21"/>
                <w:highlight w:val="none"/>
              </w:rPr>
              <w:t>④</w:t>
            </w:r>
            <w:r>
              <w:rPr>
                <w:rFonts w:hint="eastAsia" w:ascii="宋体" w:hAnsi="宋体" w:eastAsia="宋体" w:cs="宋体"/>
                <w:bCs/>
                <w:color w:val="auto"/>
                <w:sz w:val="21"/>
                <w:szCs w:val="21"/>
                <w:highlight w:val="none"/>
                <w:lang w:val="en-US" w:eastAsia="zh-CN"/>
              </w:rPr>
              <w:t>未提供或未体现不得分。</w:t>
            </w:r>
          </w:p>
        </w:tc>
        <w:tc>
          <w:tcPr>
            <w:tcW w:w="852" w:type="dxa"/>
            <w:noWrap w:val="0"/>
            <w:vAlign w:val="center"/>
          </w:tcPr>
          <w:p w14:paraId="0F8765C9">
            <w:pPr>
              <w:spacing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6</w:t>
            </w:r>
          </w:p>
        </w:tc>
      </w:tr>
      <w:tr w14:paraId="74523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626" w:type="dxa"/>
            <w:noWrap w:val="0"/>
            <w:vAlign w:val="center"/>
          </w:tcPr>
          <w:p w14:paraId="092E7AA3">
            <w:pPr>
              <w:spacing w:line="400" w:lineRule="exact"/>
              <w:jc w:val="center"/>
              <w:rPr>
                <w:rFonts w:hint="default" w:ascii="宋体" w:hAnsi="宋体"/>
                <w:bCs/>
                <w:color w:val="auto"/>
                <w:sz w:val="21"/>
                <w:szCs w:val="21"/>
                <w:highlight w:val="none"/>
                <w:lang w:val="en-US" w:eastAsia="zh-CN"/>
              </w:rPr>
            </w:pPr>
            <w:r>
              <w:rPr>
                <w:rFonts w:hint="eastAsia" w:ascii="宋体" w:hAnsi="宋体"/>
                <w:bCs/>
                <w:color w:val="auto"/>
                <w:sz w:val="21"/>
                <w:szCs w:val="21"/>
                <w:highlight w:val="none"/>
                <w:lang w:val="en-US" w:eastAsia="zh-CN"/>
              </w:rPr>
              <w:t>8</w:t>
            </w:r>
          </w:p>
        </w:tc>
        <w:tc>
          <w:tcPr>
            <w:tcW w:w="1217" w:type="dxa"/>
            <w:noWrap w:val="0"/>
            <w:vAlign w:val="center"/>
          </w:tcPr>
          <w:p w14:paraId="58C283EA">
            <w:pPr>
              <w:snapToGrid w:val="0"/>
              <w:spacing w:line="340" w:lineRule="exact"/>
              <w:jc w:val="center"/>
              <w:rPr>
                <w:rFonts w:hint="default" w:ascii="宋体" w:hAnsi="宋体" w:eastAsia="宋体" w:cs="Times New Roman"/>
                <w:bCs/>
                <w:color w:val="auto"/>
                <w:sz w:val="21"/>
                <w:szCs w:val="21"/>
                <w:highlight w:val="none"/>
                <w:lang w:val="en-US" w:eastAsia="zh-CN"/>
              </w:rPr>
            </w:pPr>
            <w:r>
              <w:rPr>
                <w:rFonts w:hint="eastAsia" w:ascii="宋体" w:hAnsi="宋体" w:eastAsia="宋体" w:cs="Times New Roman"/>
                <w:bCs/>
                <w:color w:val="auto"/>
                <w:sz w:val="21"/>
                <w:szCs w:val="21"/>
                <w:highlight w:val="none"/>
                <w:lang w:val="en-US" w:eastAsia="zh-CN"/>
              </w:rPr>
              <w:t>售后服务</w:t>
            </w:r>
          </w:p>
        </w:tc>
        <w:tc>
          <w:tcPr>
            <w:tcW w:w="7243" w:type="dxa"/>
            <w:noWrap w:val="0"/>
            <w:vAlign w:val="center"/>
          </w:tcPr>
          <w:p w14:paraId="52A3CCFC">
            <w:pPr>
              <w:pStyle w:val="34"/>
              <w:adjustRightInd w:val="0"/>
              <w:snapToGrid w:val="0"/>
              <w:ind w:firstLine="0" w:firstLineChars="0"/>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根据投标人提供的售后服务方案的详细程度（</w:t>
            </w:r>
            <w:r>
              <w:rPr>
                <w:rFonts w:hint="eastAsia" w:ascii="宋体" w:hAnsi="宋体" w:eastAsia="宋体" w:cs="宋体"/>
                <w:bCs/>
                <w:color w:val="auto"/>
                <w:kern w:val="2"/>
                <w:sz w:val="21"/>
                <w:szCs w:val="21"/>
                <w:highlight w:val="none"/>
                <w:lang w:val="en-US" w:eastAsia="zh-CN" w:bidi="ar-SA"/>
              </w:rPr>
              <w:t>0-</w:t>
            </w:r>
            <w:r>
              <w:rPr>
                <w:rFonts w:hint="eastAsia" w:ascii="宋体" w:hAnsi="宋体" w:cs="宋体"/>
                <w:bCs/>
                <w:color w:val="auto"/>
                <w:kern w:val="2"/>
                <w:sz w:val="21"/>
                <w:szCs w:val="21"/>
                <w:highlight w:val="none"/>
                <w:lang w:val="en-US" w:eastAsia="zh-CN" w:bidi="ar-SA"/>
              </w:rPr>
              <w:t>2</w:t>
            </w:r>
            <w:r>
              <w:rPr>
                <w:rFonts w:hint="eastAsia"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zh-CN" w:eastAsia="zh-CN" w:bidi="ar-SA"/>
              </w:rPr>
              <w:t>、是否满足本项目的实际需要（</w:t>
            </w:r>
            <w:r>
              <w:rPr>
                <w:rFonts w:hint="eastAsia" w:ascii="宋体" w:hAnsi="宋体" w:eastAsia="宋体" w:cs="宋体"/>
                <w:bCs/>
                <w:color w:val="auto"/>
                <w:kern w:val="2"/>
                <w:sz w:val="21"/>
                <w:szCs w:val="21"/>
                <w:highlight w:val="none"/>
                <w:lang w:val="en-US" w:eastAsia="zh-CN" w:bidi="ar-SA"/>
              </w:rPr>
              <w:t>0-2）服务响应时间（0-</w:t>
            </w:r>
            <w:r>
              <w:rPr>
                <w:rFonts w:hint="eastAsia" w:ascii="宋体" w:hAnsi="宋体" w:cs="宋体"/>
                <w:bCs/>
                <w:color w:val="auto"/>
                <w:kern w:val="2"/>
                <w:sz w:val="21"/>
                <w:szCs w:val="21"/>
                <w:highlight w:val="none"/>
                <w:lang w:val="en-US" w:eastAsia="zh-CN" w:bidi="ar-SA"/>
              </w:rPr>
              <w:t>2</w:t>
            </w:r>
            <w:r>
              <w:rPr>
                <w:rFonts w:hint="eastAsia" w:ascii="宋体" w:hAnsi="宋体" w:eastAsia="宋体" w:cs="宋体"/>
                <w:bCs/>
                <w:color w:val="auto"/>
                <w:kern w:val="2"/>
                <w:sz w:val="21"/>
                <w:szCs w:val="21"/>
                <w:highlight w:val="none"/>
                <w:lang w:val="en-US" w:eastAsia="zh-CN" w:bidi="ar-SA"/>
              </w:rPr>
              <w:t>）</w:t>
            </w:r>
            <w:r>
              <w:rPr>
                <w:rFonts w:hint="eastAsia" w:ascii="宋体" w:hAnsi="宋体" w:eastAsia="宋体" w:cs="宋体"/>
                <w:bCs/>
                <w:color w:val="auto"/>
                <w:kern w:val="2"/>
                <w:sz w:val="21"/>
                <w:szCs w:val="21"/>
                <w:highlight w:val="none"/>
                <w:lang w:val="zh-CN" w:eastAsia="zh-CN" w:bidi="ar-SA"/>
              </w:rPr>
              <w:t>等内容由专家酌情打分，满分</w:t>
            </w:r>
            <w:r>
              <w:rPr>
                <w:rFonts w:hint="eastAsia" w:ascii="宋体" w:hAnsi="宋体" w:cs="宋体"/>
                <w:bCs/>
                <w:color w:val="auto"/>
                <w:kern w:val="2"/>
                <w:sz w:val="21"/>
                <w:szCs w:val="21"/>
                <w:highlight w:val="none"/>
                <w:lang w:val="en-US" w:eastAsia="zh-CN" w:bidi="ar-SA"/>
              </w:rPr>
              <w:t>6</w:t>
            </w:r>
            <w:r>
              <w:rPr>
                <w:rFonts w:hint="eastAsia" w:ascii="宋体" w:hAnsi="宋体" w:eastAsia="宋体" w:cs="宋体"/>
                <w:bCs/>
                <w:color w:val="auto"/>
                <w:kern w:val="2"/>
                <w:sz w:val="21"/>
                <w:szCs w:val="21"/>
                <w:highlight w:val="none"/>
                <w:lang w:val="zh-CN" w:eastAsia="zh-CN" w:bidi="ar-SA"/>
              </w:rPr>
              <w:t>分</w:t>
            </w:r>
          </w:p>
        </w:tc>
        <w:tc>
          <w:tcPr>
            <w:tcW w:w="852" w:type="dxa"/>
            <w:noWrap w:val="0"/>
            <w:vAlign w:val="center"/>
          </w:tcPr>
          <w:p w14:paraId="33278330">
            <w:pPr>
              <w:spacing w:line="400" w:lineRule="exact"/>
              <w:jc w:val="center"/>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6</w:t>
            </w:r>
          </w:p>
        </w:tc>
      </w:tr>
      <w:tr w14:paraId="6A9CA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626" w:type="dxa"/>
            <w:noWrap w:val="0"/>
            <w:vAlign w:val="center"/>
          </w:tcPr>
          <w:p w14:paraId="38E689B2">
            <w:pPr>
              <w:spacing w:line="400" w:lineRule="exact"/>
              <w:jc w:val="center"/>
              <w:rPr>
                <w:rFonts w:hint="default" w:ascii="宋体" w:hAnsi="宋体"/>
                <w:bCs/>
                <w:color w:val="auto"/>
                <w:sz w:val="21"/>
                <w:szCs w:val="21"/>
                <w:highlight w:val="none"/>
                <w:lang w:val="en-US" w:eastAsia="zh-CN"/>
              </w:rPr>
            </w:pPr>
            <w:r>
              <w:rPr>
                <w:rFonts w:hint="eastAsia" w:ascii="宋体" w:hAnsi="宋体"/>
                <w:bCs/>
                <w:color w:val="auto"/>
                <w:sz w:val="21"/>
                <w:szCs w:val="21"/>
                <w:highlight w:val="none"/>
                <w:lang w:val="en-US" w:eastAsia="zh-CN"/>
              </w:rPr>
              <w:t>9</w:t>
            </w:r>
          </w:p>
        </w:tc>
        <w:tc>
          <w:tcPr>
            <w:tcW w:w="1217" w:type="dxa"/>
            <w:noWrap w:val="0"/>
            <w:vAlign w:val="center"/>
          </w:tcPr>
          <w:p w14:paraId="71826939">
            <w:pPr>
              <w:pStyle w:val="35"/>
              <w:jc w:val="center"/>
              <w:rPr>
                <w:rFonts w:hint="eastAsia" w:ascii="宋体" w:hAnsi="宋体" w:eastAsia="宋体" w:cs="Times New Roman"/>
                <w:bCs/>
                <w:color w:val="auto"/>
                <w:kern w:val="2"/>
                <w:sz w:val="21"/>
                <w:szCs w:val="21"/>
                <w:highlight w:val="none"/>
                <w:lang w:val="zh-CN" w:eastAsia="zh-CN" w:bidi="ar-SA"/>
              </w:rPr>
            </w:pPr>
            <w:r>
              <w:rPr>
                <w:rFonts w:hint="eastAsia" w:ascii="宋体" w:hAnsi="宋体" w:eastAsia="宋体" w:cs="Times New Roman"/>
                <w:bCs/>
                <w:color w:val="auto"/>
                <w:kern w:val="2"/>
                <w:sz w:val="21"/>
                <w:szCs w:val="21"/>
                <w:highlight w:val="none"/>
                <w:lang w:val="zh-CN" w:eastAsia="zh-CN" w:bidi="ar-SA"/>
              </w:rPr>
              <w:t>保密方案</w:t>
            </w:r>
          </w:p>
          <w:p w14:paraId="249D8B61">
            <w:pPr>
              <w:pStyle w:val="35"/>
              <w:jc w:val="center"/>
              <w:rPr>
                <w:rFonts w:hint="eastAsia" w:ascii="宋体" w:hAnsi="宋体" w:eastAsia="宋体" w:cs="Times New Roman"/>
                <w:bCs/>
                <w:color w:val="auto"/>
                <w:kern w:val="2"/>
                <w:sz w:val="21"/>
                <w:szCs w:val="21"/>
                <w:highlight w:val="none"/>
                <w:lang w:val="en-US" w:eastAsia="zh-CN" w:bidi="ar-SA"/>
              </w:rPr>
            </w:pPr>
          </w:p>
        </w:tc>
        <w:tc>
          <w:tcPr>
            <w:tcW w:w="7243" w:type="dxa"/>
            <w:noWrap w:val="0"/>
            <w:vAlign w:val="center"/>
          </w:tcPr>
          <w:p w14:paraId="46ABFCB5">
            <w:pPr>
              <w:pStyle w:val="6"/>
              <w:ind w:firstLine="0" w:firstLineChars="0"/>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根据投标人提供的保密方案的科学、合理、完善性进行打分，最高得</w:t>
            </w:r>
            <w:r>
              <w:rPr>
                <w:rFonts w:hint="eastAsia" w:ascii="宋体" w:hAnsi="宋体" w:cs="宋体"/>
                <w:bCs/>
                <w:color w:val="auto"/>
                <w:kern w:val="2"/>
                <w:sz w:val="21"/>
                <w:szCs w:val="21"/>
                <w:highlight w:val="none"/>
                <w:lang w:val="en-US" w:eastAsia="zh-CN" w:bidi="ar-SA"/>
              </w:rPr>
              <w:t>3</w:t>
            </w:r>
            <w:r>
              <w:rPr>
                <w:rFonts w:hint="eastAsia" w:ascii="宋体" w:hAnsi="宋体" w:eastAsia="宋体" w:cs="宋体"/>
                <w:bCs/>
                <w:color w:val="auto"/>
                <w:kern w:val="2"/>
                <w:sz w:val="21"/>
                <w:szCs w:val="21"/>
                <w:highlight w:val="none"/>
                <w:lang w:val="en-US" w:eastAsia="zh-CN" w:bidi="ar-SA"/>
              </w:rPr>
              <w:t>分。</w:t>
            </w:r>
          </w:p>
        </w:tc>
        <w:tc>
          <w:tcPr>
            <w:tcW w:w="852" w:type="dxa"/>
            <w:noWrap w:val="0"/>
            <w:vAlign w:val="center"/>
          </w:tcPr>
          <w:p w14:paraId="047DA771">
            <w:pPr>
              <w:pStyle w:val="6"/>
              <w:ind w:firstLine="0" w:firstLineChars="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3</w:t>
            </w:r>
          </w:p>
        </w:tc>
      </w:tr>
      <w:bookmarkEnd w:id="5"/>
    </w:tbl>
    <w:p w14:paraId="6D92DBFB">
      <w:pPr>
        <w:pStyle w:val="19"/>
        <w:rPr>
          <w:rFonts w:hint="eastAsia"/>
          <w:highlight w:val="none"/>
        </w:rPr>
      </w:pPr>
    </w:p>
    <w:p w14:paraId="462E63CA">
      <w:pPr>
        <w:widowControl/>
        <w:snapToGrid w:val="0"/>
        <w:spacing w:line="360" w:lineRule="auto"/>
        <w:rPr>
          <w:rFonts w:ascii="宋体" w:hAnsi="宋体" w:cs="宋体"/>
          <w:b/>
          <w:bCs/>
          <w:color w:val="auto"/>
          <w:sz w:val="24"/>
          <w:szCs w:val="24"/>
          <w:highlight w:val="none"/>
        </w:rPr>
      </w:pPr>
      <w:r>
        <w:rPr>
          <w:rFonts w:hint="eastAsia" w:ascii="宋体" w:hAnsi="宋体" w:cs="宋体"/>
          <w:b/>
          <w:bCs/>
          <w:color w:val="auto"/>
          <w:sz w:val="24"/>
          <w:szCs w:val="24"/>
          <w:highlight w:val="none"/>
        </w:rPr>
        <w:t>注：1.以上证明材料需提供</w:t>
      </w:r>
      <w:r>
        <w:rPr>
          <w:rFonts w:hint="eastAsia" w:ascii="宋体" w:hAnsi="宋体" w:cs="宋体"/>
          <w:b/>
          <w:bCs/>
          <w:color w:val="auto"/>
          <w:sz w:val="24"/>
          <w:szCs w:val="24"/>
          <w:highlight w:val="none"/>
          <w:lang w:eastAsia="zh-CN"/>
        </w:rPr>
        <w:t>加盖CA签章</w:t>
      </w:r>
      <w:r>
        <w:rPr>
          <w:rFonts w:hint="eastAsia" w:ascii="宋体" w:hAnsi="宋体" w:cs="宋体"/>
          <w:b/>
          <w:bCs/>
          <w:color w:val="auto"/>
          <w:sz w:val="24"/>
          <w:szCs w:val="24"/>
          <w:highlight w:val="none"/>
        </w:rPr>
        <w:t>的</w:t>
      </w:r>
      <w:r>
        <w:rPr>
          <w:rFonts w:hint="eastAsia" w:ascii="宋体" w:hAnsi="宋体" w:cs="宋体"/>
          <w:b/>
          <w:bCs/>
          <w:color w:val="auto"/>
          <w:sz w:val="24"/>
          <w:szCs w:val="24"/>
          <w:highlight w:val="none"/>
          <w:lang w:val="en-US" w:eastAsia="zh-CN"/>
        </w:rPr>
        <w:t>扫描</w:t>
      </w:r>
      <w:r>
        <w:rPr>
          <w:rFonts w:hint="eastAsia" w:ascii="宋体" w:hAnsi="宋体" w:cs="宋体"/>
          <w:b/>
          <w:bCs/>
          <w:color w:val="auto"/>
          <w:sz w:val="24"/>
          <w:szCs w:val="24"/>
          <w:highlight w:val="none"/>
        </w:rPr>
        <w:t>件。</w:t>
      </w:r>
    </w:p>
    <w:p w14:paraId="5A055012">
      <w:pPr>
        <w:pStyle w:val="25"/>
        <w:numPr>
          <w:ilvl w:val="0"/>
          <w:numId w:val="2"/>
        </w:numPr>
        <w:ind w:firstLineChars="0"/>
        <w:rPr>
          <w:rFonts w:ascii="宋体" w:hAnsi="宋体" w:cs="宋体"/>
          <w:b/>
          <w:bCs/>
          <w:color w:val="auto"/>
          <w:szCs w:val="24"/>
          <w:highlight w:val="none"/>
        </w:rPr>
      </w:pPr>
      <w:r>
        <w:rPr>
          <w:rFonts w:hint="eastAsia" w:ascii="宋体" w:hAnsi="宋体" w:cs="宋体"/>
          <w:b/>
          <w:bCs/>
          <w:color w:val="auto"/>
          <w:szCs w:val="24"/>
          <w:highlight w:val="none"/>
        </w:rPr>
        <w:t>采购机构有权对评标委员会各成员的评分情况和评审意见进行合理性和合规性审查，如发现评标委员会成员的评审意见带有明显倾向性，或不按规定程序和标准评审、计分的，评标委员会成员应进行书面澄清和说明；评标委员会成员拒不接受采购机构审查的，采购机构将向同级政府采购监督管理部门报告并予以处理。</w:t>
      </w:r>
    </w:p>
    <w:p w14:paraId="03DBAC01">
      <w:pPr>
        <w:snapToGrid w:val="0"/>
        <w:spacing w:line="360" w:lineRule="auto"/>
        <w:ind w:firstLine="482" w:firstLineChars="200"/>
        <w:jc w:val="left"/>
        <w:textAlignment w:val="baseline"/>
        <w:outlineLvl w:val="0"/>
        <w:rPr>
          <w:rFonts w:ascii="宋体" w:hAnsi="宋体" w:cs="宋体"/>
          <w:b/>
          <w:color w:val="auto"/>
          <w:sz w:val="24"/>
          <w:szCs w:val="24"/>
          <w:highlight w:val="none"/>
        </w:rPr>
      </w:pPr>
      <w:r>
        <w:rPr>
          <w:rFonts w:hint="eastAsia" w:ascii="宋体" w:hAnsi="宋体" w:cs="宋体"/>
          <w:b/>
          <w:bCs/>
          <w:color w:val="auto"/>
          <w:sz w:val="24"/>
          <w:szCs w:val="24"/>
          <w:highlight w:val="none"/>
        </w:rPr>
        <w:t xml:space="preserve">第三条  </w:t>
      </w:r>
      <w:r>
        <w:rPr>
          <w:rFonts w:hint="eastAsia" w:ascii="宋体" w:hAnsi="宋体" w:cs="宋体"/>
          <w:b/>
          <w:color w:val="auto"/>
          <w:sz w:val="24"/>
          <w:szCs w:val="24"/>
          <w:highlight w:val="none"/>
        </w:rPr>
        <w:t>报价部分评审的标准和方法（</w:t>
      </w:r>
      <w:r>
        <w:rPr>
          <w:rFonts w:hint="eastAsia" w:ascii="宋体" w:hAnsi="宋体" w:cs="宋体"/>
          <w:b/>
          <w:color w:val="auto"/>
          <w:sz w:val="24"/>
          <w:szCs w:val="24"/>
          <w:highlight w:val="none"/>
          <w:lang w:val="en-US" w:eastAsia="zh-CN"/>
        </w:rPr>
        <w:t>10</w:t>
      </w:r>
      <w:r>
        <w:rPr>
          <w:rFonts w:hint="eastAsia" w:ascii="宋体" w:hAnsi="宋体" w:cs="宋体"/>
          <w:b/>
          <w:color w:val="auto"/>
          <w:sz w:val="24"/>
          <w:szCs w:val="24"/>
          <w:highlight w:val="none"/>
        </w:rPr>
        <w:t>分）</w:t>
      </w:r>
    </w:p>
    <w:p w14:paraId="128D0F3C">
      <w:pPr>
        <w:widowControl/>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低价优先法计算:满足招标文件要求最低报价为评标基准价,其价格分为满分。其他投标人的价格分统一按照下列公式计算:</w:t>
      </w:r>
    </w:p>
    <w:p w14:paraId="26A66929">
      <w:pPr>
        <w:widowControl/>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投标报价得分=( 评标基准价/投标报价)×</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0（保留2位小数）。</w:t>
      </w:r>
    </w:p>
    <w:p w14:paraId="6F7466D0">
      <w:pPr>
        <w:spacing w:line="360" w:lineRule="auto"/>
        <w:ind w:firstLine="480" w:firstLineChars="200"/>
        <w:rPr>
          <w:rFonts w:ascii="宋体" w:hAnsi="宋体" w:cs="宋体"/>
          <w:b/>
          <w:bCs/>
          <w:color w:val="auto"/>
          <w:sz w:val="24"/>
          <w:szCs w:val="24"/>
          <w:highlight w:val="none"/>
        </w:rPr>
      </w:pPr>
      <w:r>
        <w:rPr>
          <w:rFonts w:hint="eastAsia" w:ascii="宋体" w:hAnsi="宋体" w:cs="宋体"/>
          <w:color w:val="auto"/>
          <w:sz w:val="24"/>
          <w:szCs w:val="24"/>
          <w:highlight w:val="none"/>
        </w:rPr>
        <w:t>总得分=资信技术部分+报价得分</w:t>
      </w:r>
      <w:r>
        <w:rPr>
          <w:rFonts w:hint="eastAsia" w:ascii="宋体" w:hAnsi="宋体" w:cs="宋体"/>
          <w:color w:val="auto"/>
          <w:sz w:val="24"/>
          <w:szCs w:val="24"/>
          <w:highlight w:val="none"/>
        </w:rPr>
        <w:tab/>
      </w:r>
    </w:p>
    <w:p w14:paraId="32D58ABF">
      <w:pPr>
        <w:widowControl/>
        <w:spacing w:line="480" w:lineRule="auto"/>
        <w:jc w:val="left"/>
        <w:rPr>
          <w:rFonts w:ascii="宋体" w:hAnsi="宋体" w:cs="宋体"/>
          <w:b/>
          <w:bCs/>
          <w:color w:val="auto"/>
          <w:sz w:val="24"/>
          <w:highlight w:val="none"/>
        </w:rPr>
      </w:pPr>
      <w:r>
        <w:rPr>
          <w:rFonts w:hint="eastAsia" w:ascii="宋体" w:hAnsi="宋体" w:cs="宋体"/>
          <w:b/>
          <w:bCs/>
          <w:color w:val="auto"/>
          <w:sz w:val="24"/>
          <w:highlight w:val="none"/>
        </w:rPr>
        <w:t>其他事项：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C8B363B">
      <w:pPr>
        <w:widowControl/>
        <w:spacing w:line="440" w:lineRule="exact"/>
        <w:ind w:firstLine="360" w:firstLineChars="150"/>
        <w:jc w:val="left"/>
        <w:rPr>
          <w:rFonts w:ascii="宋体" w:hAnsi="宋体" w:cs="宋体"/>
          <w:color w:val="auto"/>
          <w:sz w:val="24"/>
          <w:highlight w:val="none"/>
        </w:rPr>
      </w:pPr>
      <w:r>
        <w:rPr>
          <w:rFonts w:hint="eastAsia" w:ascii="宋体" w:hAnsi="宋体" w:cs="宋体"/>
          <w:color w:val="auto"/>
          <w:sz w:val="24"/>
          <w:szCs w:val="24"/>
          <w:highlight w:val="none"/>
        </w:rPr>
        <w:br w:type="page"/>
      </w:r>
    </w:p>
    <w:p w14:paraId="30D50598">
      <w:pPr>
        <w:pStyle w:val="26"/>
        <w:keepNext w:val="0"/>
        <w:tabs>
          <w:tab w:val="left" w:pos="0"/>
          <w:tab w:val="left" w:pos="360"/>
        </w:tabs>
        <w:spacing w:line="360" w:lineRule="auto"/>
        <w:ind w:firstLine="643" w:firstLineChars="200"/>
        <w:jc w:val="left"/>
        <w:rPr>
          <w:rFonts w:ascii="宋体" w:hAnsi="宋体" w:cs="宋体"/>
          <w:b/>
          <w:color w:val="auto"/>
          <w:sz w:val="32"/>
          <w:szCs w:val="32"/>
          <w:highlight w:val="none"/>
        </w:rPr>
      </w:pPr>
      <w:r>
        <w:rPr>
          <w:rFonts w:hint="eastAsia" w:ascii="宋体" w:hAnsi="宋体" w:cs="宋体"/>
          <w:b/>
          <w:color w:val="auto"/>
          <w:sz w:val="32"/>
          <w:szCs w:val="32"/>
          <w:highlight w:val="none"/>
        </w:rPr>
        <w:t xml:space="preserve">                   二、投标须知</w:t>
      </w:r>
    </w:p>
    <w:p w14:paraId="047AEB8A">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（一）总则</w:t>
      </w:r>
    </w:p>
    <w:p w14:paraId="08D952C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1、招标说明</w:t>
      </w:r>
    </w:p>
    <w:p w14:paraId="71F200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本次招标采购项目具体要求详见采购需求。</w:t>
      </w:r>
    </w:p>
    <w:p w14:paraId="427088A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 本招标采购项目按照《中华人民共和国政府采购法》、《中华人民共和国政府采购实施条例》等有关规定，通过公开招标方式选定供应商。</w:t>
      </w:r>
    </w:p>
    <w:p w14:paraId="74FB26B1">
      <w:pPr>
        <w:spacing w:line="360" w:lineRule="auto"/>
        <w:ind w:left="420" w:leftChars="200"/>
        <w:rPr>
          <w:rFonts w:hint="eastAsia" w:ascii="宋体" w:hAnsi="宋体" w:cs="宋体"/>
          <w:b/>
          <w:bCs/>
          <w:color w:val="auto"/>
          <w:sz w:val="24"/>
          <w:highlight w:val="none"/>
        </w:rPr>
      </w:pPr>
      <w:r>
        <w:rPr>
          <w:rFonts w:hint="eastAsia" w:ascii="宋体" w:hAnsi="宋体" w:cs="宋体"/>
          <w:b/>
          <w:bCs/>
          <w:color w:val="auto"/>
          <w:sz w:val="24"/>
          <w:highlight w:val="none"/>
        </w:rPr>
        <w:t>2、合格的投标人</w:t>
      </w:r>
    </w:p>
    <w:p w14:paraId="6D3CF467">
      <w:pPr>
        <w:spacing w:line="360" w:lineRule="auto"/>
        <w:ind w:firstLine="480" w:firstLineChars="200"/>
        <w:rPr>
          <w:rFonts w:hint="eastAsia" w:ascii="宋体" w:hAnsi="宋体" w:cs="Arial"/>
          <w:bCs/>
          <w:color w:val="auto"/>
          <w:sz w:val="24"/>
          <w:szCs w:val="24"/>
          <w:highlight w:val="none"/>
        </w:rPr>
      </w:pPr>
      <w:r>
        <w:rPr>
          <w:rFonts w:hint="eastAsia" w:ascii="宋体" w:hAnsi="宋体" w:cs="Arial"/>
          <w:bCs/>
          <w:color w:val="auto"/>
          <w:sz w:val="24"/>
          <w:szCs w:val="24"/>
          <w:highlight w:val="none"/>
        </w:rPr>
        <w:t>详见招标公告</w:t>
      </w:r>
    </w:p>
    <w:p w14:paraId="7E4E13F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3、投标费用</w:t>
      </w:r>
    </w:p>
    <w:p w14:paraId="1D5F71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3.1无论投标过程和结果如何，投标人自行承担与投标有关的全部费用。</w:t>
      </w:r>
    </w:p>
    <w:p w14:paraId="44F5858F">
      <w:pPr>
        <w:snapToGrid w:val="0"/>
        <w:spacing w:line="400" w:lineRule="exact"/>
        <w:ind w:firstLine="482"/>
        <w:jc w:val="left"/>
        <w:outlineLvl w:val="2"/>
        <w:rPr>
          <w:rFonts w:ascii="宋体" w:hAnsi="宋体" w:cs="宋体"/>
          <w:color w:val="auto"/>
          <w:sz w:val="24"/>
          <w:highlight w:val="none"/>
        </w:rPr>
      </w:pPr>
      <w:r>
        <w:rPr>
          <w:rFonts w:hint="eastAsia" w:ascii="宋体" w:hAnsi="宋体" w:cs="宋体"/>
          <w:b/>
          <w:color w:val="auto"/>
          <w:sz w:val="24"/>
          <w:highlight w:val="none"/>
        </w:rPr>
        <w:t>4、投标人及委托有关说明</w:t>
      </w:r>
    </w:p>
    <w:p w14:paraId="1229C679">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4.1.本项目为电子投标项目，授权代表不需要参加现场投标和开标。</w:t>
      </w:r>
    </w:p>
    <w:p w14:paraId="7A904FFB">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4.2.投标人投标所使用的资格、信誉、荣誉、业绩与企业认证必须为本法人所拥有。</w:t>
      </w:r>
    </w:p>
    <w:p w14:paraId="14719FC9">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4.3.单位负责人为同一人或者存在直接控股、管理关系的不同供应商，不得参加同一合同项下的政府采购活动。</w:t>
      </w:r>
    </w:p>
    <w:p w14:paraId="4957642D">
      <w:pPr>
        <w:snapToGrid w:val="0"/>
        <w:spacing w:line="400" w:lineRule="exact"/>
        <w:ind w:firstLine="480"/>
        <w:jc w:val="left"/>
        <w:outlineLvl w:val="2"/>
        <w:rPr>
          <w:rFonts w:ascii="宋体" w:hAnsi="宋体" w:cs="宋体"/>
          <w:color w:val="auto"/>
          <w:sz w:val="24"/>
          <w:highlight w:val="none"/>
        </w:rPr>
      </w:pPr>
      <w:r>
        <w:rPr>
          <w:rFonts w:hint="eastAsia" w:ascii="宋体" w:hAnsi="宋体" w:cs="宋体"/>
          <w:color w:val="auto"/>
          <w:sz w:val="24"/>
          <w:highlight w:val="none"/>
        </w:rPr>
        <w:t>4.4.投标人应仔细阅读招标文件的所有内容，按照招标文件的要求提交投标文件，并对所提供的全部资料的真实性承担法律责任。</w:t>
      </w:r>
    </w:p>
    <w:p w14:paraId="14FCCC6D">
      <w:pPr>
        <w:spacing w:line="360" w:lineRule="auto"/>
        <w:rPr>
          <w:rFonts w:ascii="宋体" w:hAnsi="宋体"/>
          <w:color w:val="auto"/>
          <w:sz w:val="24"/>
          <w:highlight w:val="none"/>
        </w:rPr>
      </w:pPr>
      <w:r>
        <w:rPr>
          <w:rFonts w:hint="eastAsia" w:ascii="宋体" w:hAnsi="宋体"/>
          <w:color w:val="auto"/>
          <w:sz w:val="24"/>
          <w:highlight w:val="none"/>
        </w:rPr>
        <w:t xml:space="preserve">    5、</w:t>
      </w:r>
      <w:r>
        <w:rPr>
          <w:rFonts w:hint="eastAsia" w:ascii="宋体" w:hAnsi="宋体"/>
          <w:b/>
          <w:bCs/>
          <w:color w:val="auto"/>
          <w:sz w:val="24"/>
          <w:highlight w:val="none"/>
        </w:rPr>
        <w:t>采购项目需要落实的政府采购政策</w:t>
      </w:r>
    </w:p>
    <w:p w14:paraId="370509BE">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5.1 本项目原则上采购本国生产的货物、工程和服务。</w:t>
      </w:r>
    </w:p>
    <w:p w14:paraId="361FC39D">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5.2根据《政府采购促进中小企业发展管理办法》财库[2020]46号文件的规定，本项目预留份额专门面向中小企业采购。</w:t>
      </w:r>
    </w:p>
    <w:p w14:paraId="26810CA4">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5.3 节能环保要求</w:t>
      </w:r>
    </w:p>
    <w:p w14:paraId="50C5B639">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5.3.1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61E9ACC">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5.3.2采购人拟采购的产品属于政府强制采购的节能产品品目清单范围的，投标人未按招标文件要求提供国家确定的认证机构出具的、处于有效期之内的节能产品认证证书，投标无效。</w:t>
      </w:r>
    </w:p>
    <w:p w14:paraId="6A40A498">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5.4小微企业价格扣除。</w:t>
      </w:r>
    </w:p>
    <w:p w14:paraId="006BFA1F">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5.4.1本项目</w:t>
      </w:r>
      <w:r>
        <w:rPr>
          <w:rFonts w:hint="eastAsia" w:ascii="宋体" w:hAnsi="宋体"/>
          <w:color w:val="auto"/>
          <w:sz w:val="24"/>
          <w:highlight w:val="none"/>
          <w:lang w:val="en-US" w:eastAsia="zh-CN"/>
        </w:rPr>
        <w:t>非</w:t>
      </w:r>
      <w:r>
        <w:rPr>
          <w:rFonts w:hint="eastAsia" w:ascii="宋体" w:hAnsi="宋体"/>
          <w:b w:val="0"/>
          <w:bCs w:val="0"/>
          <w:color w:val="auto"/>
          <w:sz w:val="24"/>
          <w:highlight w:val="none"/>
        </w:rPr>
        <w:t>专门</w:t>
      </w:r>
      <w:r>
        <w:rPr>
          <w:rFonts w:hint="eastAsia" w:ascii="宋体" w:hAnsi="宋体"/>
          <w:color w:val="auto"/>
          <w:sz w:val="24"/>
          <w:highlight w:val="none"/>
        </w:rPr>
        <w:t>面向中小企业采购。</w:t>
      </w:r>
    </w:p>
    <w:p w14:paraId="23180389">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5.4.2本项目对应的中小企业划分标准所属行业：</w:t>
      </w:r>
      <w:r>
        <w:rPr>
          <w:rFonts w:hint="eastAsia" w:ascii="宋体" w:hAnsi="宋体" w:cs="宋体"/>
          <w:color w:val="auto"/>
          <w:sz w:val="24"/>
          <w:highlight w:val="none"/>
          <w:lang w:val="en-US" w:eastAsia="zh-CN"/>
        </w:rPr>
        <w:t>技术服务业</w:t>
      </w:r>
      <w:r>
        <w:rPr>
          <w:rFonts w:hint="eastAsia" w:ascii="宋体" w:hAnsi="宋体"/>
          <w:color w:val="auto"/>
          <w:sz w:val="24"/>
          <w:highlight w:val="none"/>
        </w:rPr>
        <w:t>。</w:t>
      </w:r>
    </w:p>
    <w:p w14:paraId="27A870C6">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5.4.3小微企业是指在中华人民共和国境内依法设立，依据国务院批准的中小企业划分标准确定的小型企业和微型企业，但与大企业的负责人为同一人，或者与大企业存在直接控股、管理关系的除外。</w:t>
      </w:r>
    </w:p>
    <w:p w14:paraId="706D1E4E">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5.4.4在货物采购项目中，货物由小微企业制造，即货物由小微企业生产且使用该小微企业商号或者注册商标。供应商提供的货物既有中小企业制造货物，也有大型企业制造货物的，不享受中小企业扶持政策。</w:t>
      </w:r>
    </w:p>
    <w:p w14:paraId="4B4DCCCE">
      <w:pPr>
        <w:pStyle w:val="10"/>
        <w:ind w:firstLine="480" w:firstLineChars="200"/>
        <w:rPr>
          <w:color w:val="auto"/>
          <w:highlight w:val="none"/>
        </w:rPr>
      </w:pPr>
      <w:r>
        <w:rPr>
          <w:rFonts w:hint="eastAsia" w:hAnsi="宋体"/>
          <w:color w:val="auto"/>
          <w:kern w:val="2"/>
          <w:sz w:val="24"/>
          <w:szCs w:val="24"/>
          <w:highlight w:val="none"/>
        </w:rPr>
        <w:t>5.4.5在服务采购项目中，服务由小微企业承接，即提供服务的人员为小微企业依照《中华人民共和国劳动合同法》订立劳动合同的从业人员。</w:t>
      </w:r>
    </w:p>
    <w:p w14:paraId="336779BD">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5.4.6小微企业应按照招标文件格式要求提供《中小企业声明函》。</w:t>
      </w:r>
    </w:p>
    <w:p w14:paraId="4F1859A0">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5.4.7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0B49E7A3">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5.4.8符合《关于促进残疾人就业政府采购政策的通知》（财库〔2017〕141号）规定的条件并提供《残疾人福利性单位声明函》（附件1）的残疾人福利性单位视同小微企业；</w:t>
      </w:r>
    </w:p>
    <w:p w14:paraId="2692396D">
      <w:pPr>
        <w:autoSpaceDE/>
        <w:autoSpaceDN/>
        <w:adjustRightInd/>
        <w:spacing w:line="360" w:lineRule="auto"/>
        <w:ind w:firstLine="480" w:firstLineChars="200"/>
        <w:rPr>
          <w:rFonts w:ascii="宋体" w:hAnsi="宋体"/>
          <w:color w:val="auto"/>
          <w:sz w:val="24"/>
          <w:highlight w:val="none"/>
        </w:rPr>
      </w:pPr>
      <w:r>
        <w:rPr>
          <w:rFonts w:hint="eastAsia" w:ascii="宋体" w:hAnsi="宋体"/>
          <w:color w:val="auto"/>
          <w:sz w:val="24"/>
          <w:highlight w:val="none"/>
        </w:rPr>
        <w:t>5.4.9 符合《关于政府采购支持监狱企业发展有关问题的通知》（财库[2014]68号）规定的监狱企业并提供由省级以上监狱管理局、戒毒管理局（含新疆生产建设兵团）出具的属于监狱企业证明文件的，视同为小微企业。</w:t>
      </w:r>
    </w:p>
    <w:p w14:paraId="34B13CB8">
      <w:pPr>
        <w:spacing w:line="360" w:lineRule="auto"/>
        <w:rPr>
          <w:rFonts w:ascii="宋体" w:hAnsi="宋体" w:cs="宋体"/>
          <w:color w:val="auto"/>
          <w:sz w:val="24"/>
          <w:highlight w:val="none"/>
        </w:rPr>
      </w:pPr>
    </w:p>
    <w:p w14:paraId="3D5F6C30">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（二）招标文件</w:t>
      </w:r>
    </w:p>
    <w:p w14:paraId="1ED42F3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1、招标文件的组成</w:t>
      </w:r>
    </w:p>
    <w:p w14:paraId="327B61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1.1招标文件由招标公告、采购需求、投标须知及其前附表、合同主要条款、投标文件格式五部分内容组成。</w:t>
      </w:r>
    </w:p>
    <w:p w14:paraId="137962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1.2除4.1内容外，招标人在提交投标文件截止时间前，以公告形式发出的对招标文件的澄清或修改内容，均为招标文件的组成部分，对招标人和投标人起约束作用。</w:t>
      </w:r>
    </w:p>
    <w:p w14:paraId="26C45ED5">
      <w:pPr>
        <w:snapToGrid w:val="0"/>
        <w:spacing w:line="400" w:lineRule="exact"/>
        <w:ind w:firstLine="482"/>
        <w:jc w:val="left"/>
        <w:outlineLvl w:val="2"/>
        <w:rPr>
          <w:rFonts w:ascii="宋体" w:hAnsi="宋体" w:cs="宋体"/>
          <w:b/>
          <w:color w:val="auto"/>
          <w:sz w:val="24"/>
          <w:highlight w:val="none"/>
        </w:rPr>
      </w:pPr>
      <w:r>
        <w:rPr>
          <w:rFonts w:hint="eastAsia" w:ascii="宋体" w:hAnsi="宋体" w:cs="宋体"/>
          <w:b/>
          <w:bCs/>
          <w:color w:val="auto"/>
          <w:sz w:val="24"/>
          <w:highlight w:val="none"/>
        </w:rPr>
        <w:t>2、</w:t>
      </w:r>
      <w:r>
        <w:rPr>
          <w:rFonts w:hint="eastAsia" w:ascii="宋体" w:hAnsi="宋体" w:cs="宋体"/>
          <w:b/>
          <w:color w:val="auto"/>
          <w:sz w:val="24"/>
          <w:highlight w:val="none"/>
        </w:rPr>
        <w:t xml:space="preserve">招标文件的澄清与修改 </w:t>
      </w:r>
    </w:p>
    <w:p w14:paraId="431FA39E">
      <w:pPr>
        <w:snapToGrid w:val="0"/>
        <w:spacing w:line="400" w:lineRule="exact"/>
        <w:ind w:firstLine="480"/>
        <w:jc w:val="left"/>
        <w:rPr>
          <w:rFonts w:ascii="宋体" w:hAnsi="宋体" w:cs="宋体"/>
          <w:color w:val="auto"/>
          <w:sz w:val="24"/>
          <w:highlight w:val="none"/>
        </w:rPr>
      </w:pPr>
      <w:bookmarkStart w:id="6" w:name="OLE_LINK5"/>
      <w:r>
        <w:rPr>
          <w:rFonts w:hint="eastAsia" w:ascii="宋体" w:hAnsi="宋体" w:cs="宋体"/>
          <w:color w:val="auto"/>
          <w:sz w:val="24"/>
          <w:highlight w:val="none"/>
        </w:rPr>
        <w:t>2.1.投标人应认真阅读本招标文件，发现其中有误或有要求不合理的，投标人必须在投标须知前附表规定的招标文件答疑与澄清截止时间前以书面形式要求招标采购单位澄清。</w:t>
      </w:r>
    </w:p>
    <w:p w14:paraId="24604548">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2.2.招标采购单位必须以书面形式答复投标人要求澄清的问题，并将不包含问题来源的答复书面通知所有购买招标文件的投标人。</w:t>
      </w:r>
    </w:p>
    <w:p w14:paraId="7A76DD65">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2.3.招标采购单位对已发出的招标文件进行必要澄清、答复、修改或补充的，应在招标文件要求提交投标文件截止时间3日前，在浙江政府采购网（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23"/>
          <w:rFonts w:hint="eastAsia" w:ascii="宋体" w:hAnsi="宋体" w:cs="宋体"/>
          <w:color w:val="auto"/>
          <w:sz w:val="24"/>
          <w:highlight w:val="none"/>
        </w:rPr>
        <w:t>http://www.zjzfcg.gov.cn</w:t>
      </w:r>
      <w:r>
        <w:rPr>
          <w:rFonts w:hint="eastAsia" w:ascii="宋体" w:hAnsi="宋体" w:cs="宋体"/>
          <w:color w:val="auto"/>
          <w:sz w:val="24"/>
          <w:highlight w:val="none"/>
        </w:rPr>
        <w:fldChar w:fldCharType="end"/>
      </w:r>
      <w:r>
        <w:rPr>
          <w:rFonts w:hint="eastAsia" w:ascii="宋体" w:hAnsi="宋体" w:cs="宋体"/>
          <w:color w:val="auto"/>
          <w:sz w:val="24"/>
          <w:highlight w:val="none"/>
        </w:rPr>
        <w:t>）、</w:t>
      </w:r>
      <w:r>
        <w:rPr>
          <w:rFonts w:hint="eastAsia" w:ascii="宋体" w:hAnsi="宋体" w:cs="宋体"/>
          <w:bCs/>
          <w:color w:val="auto"/>
          <w:sz w:val="24"/>
          <w:highlight w:val="none"/>
        </w:rPr>
        <w:t>和新昌县公共资源交易平台http://www.zjxc.gov.cn/col/col1634736/index.html</w:t>
      </w:r>
      <w:r>
        <w:rPr>
          <w:rFonts w:hint="eastAsia" w:ascii="宋体" w:hAnsi="宋体" w:cs="宋体"/>
          <w:color w:val="auto"/>
          <w:sz w:val="24"/>
          <w:highlight w:val="none"/>
        </w:rPr>
        <w:t>上发布更正公告，并以书面形式通知所有招标文件收受人。</w:t>
      </w:r>
    </w:p>
    <w:p w14:paraId="2FE74980">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2.4.为保证投标人有足够的时间按修改、补充后的招标文件的要求编制和修正其投标文件，招标采购单位可酌情推迟投标截止时间和开标时间，并在招标文件要求提交投标文件截止时间3日前，将变更后的时间书面通知所有招标文件收受人，同时在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23"/>
          <w:rFonts w:hint="eastAsia" w:ascii="宋体" w:hAnsi="宋体" w:cs="宋体"/>
          <w:color w:val="auto"/>
          <w:sz w:val="24"/>
          <w:highlight w:val="none"/>
        </w:rPr>
        <w:t>http://www.zjzfcg.gov.cn</w:t>
      </w:r>
      <w:r>
        <w:rPr>
          <w:rFonts w:hint="eastAsia" w:ascii="宋体" w:hAnsi="宋体" w:cs="宋体"/>
          <w:color w:val="auto"/>
          <w:sz w:val="24"/>
          <w:highlight w:val="none"/>
        </w:rPr>
        <w:fldChar w:fldCharType="end"/>
      </w:r>
      <w:r>
        <w:rPr>
          <w:rFonts w:hint="eastAsia" w:ascii="宋体" w:hAnsi="宋体" w:cs="宋体"/>
          <w:color w:val="auto"/>
          <w:sz w:val="24"/>
          <w:highlight w:val="none"/>
        </w:rPr>
        <w:t>）、</w:t>
      </w:r>
      <w:r>
        <w:rPr>
          <w:rFonts w:hint="eastAsia" w:ascii="宋体" w:hAnsi="宋体" w:cs="宋体"/>
          <w:bCs/>
          <w:color w:val="auto"/>
          <w:sz w:val="24"/>
          <w:highlight w:val="none"/>
        </w:rPr>
        <w:t>和新昌县公共资源交易平台http://www.zjxc.gov.cn/col/col1634736/index.html</w:t>
      </w:r>
      <w:r>
        <w:rPr>
          <w:rFonts w:hint="eastAsia" w:ascii="宋体" w:hAnsi="宋体" w:cs="宋体"/>
          <w:color w:val="auto"/>
          <w:sz w:val="24"/>
          <w:highlight w:val="none"/>
        </w:rPr>
        <w:t>上发布变更公告。</w:t>
      </w:r>
    </w:p>
    <w:p w14:paraId="3955D30F">
      <w:pPr>
        <w:snapToGrid w:val="0"/>
        <w:spacing w:line="400" w:lineRule="exact"/>
        <w:ind w:firstLine="480"/>
        <w:jc w:val="left"/>
        <w:rPr>
          <w:rFonts w:ascii="宋体" w:hAnsi="宋体" w:cs="宋体"/>
          <w:color w:val="auto"/>
          <w:sz w:val="24"/>
          <w:highlight w:val="none"/>
        </w:rPr>
      </w:pPr>
      <w:r>
        <w:rPr>
          <w:rFonts w:hint="eastAsia" w:ascii="宋体" w:hAnsi="宋体" w:cs="宋体"/>
          <w:color w:val="auto"/>
          <w:sz w:val="24"/>
          <w:highlight w:val="none"/>
        </w:rPr>
        <w:t>2.5.招标文件澄清、答复、修改、补充的内容为招标文件的组成部分。当招标文件与招标文件的答复、澄清、修改、补充通知就同一内容的表述不一致时，以最后发出的书面文件为准。</w:t>
      </w:r>
    </w:p>
    <w:bookmarkEnd w:id="6"/>
    <w:p w14:paraId="15D2ACF7">
      <w:pPr>
        <w:tabs>
          <w:tab w:val="left" w:pos="9540"/>
        </w:tabs>
        <w:spacing w:line="312" w:lineRule="auto"/>
        <w:ind w:right="40" w:rightChars="19" w:firstLine="540" w:firstLineChars="225"/>
        <w:rPr>
          <w:rFonts w:ascii="宋体" w:hAnsi="宋体" w:cs="宋体"/>
          <w:color w:val="auto"/>
          <w:sz w:val="24"/>
          <w:highlight w:val="none"/>
        </w:rPr>
      </w:pPr>
    </w:p>
    <w:p w14:paraId="136C7693">
      <w:pPr>
        <w:numPr>
          <w:ilvl w:val="0"/>
          <w:numId w:val="3"/>
        </w:num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投标文件的编制</w:t>
      </w:r>
    </w:p>
    <w:p w14:paraId="1BAD42CE">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1、投标文件的形式和效力</w:t>
      </w:r>
    </w:p>
    <w:p w14:paraId="05DD678E">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投标文件分为电子投标文件以及备份投标文件，备份文件分为以介质存储的数据电文形式的备份投标文件。</w:t>
      </w:r>
    </w:p>
    <w:p w14:paraId="6F31657D">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1.1.电子投标文件，按“政采云供应商项目采购-电子招投标操作指南”及本招标文件要求制作、加密并递交。</w:t>
      </w:r>
    </w:p>
    <w:p w14:paraId="7EC6F7B8">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1.2.以介质存储的数据电文形式的备份投标文件，即电子投标文件按“政采云供应商项目采购-电子招投标操作指南”制作的备份文件。</w:t>
      </w:r>
    </w:p>
    <w:p w14:paraId="55E615B1">
      <w:pPr>
        <w:snapToGrid w:val="0"/>
        <w:spacing w:line="400" w:lineRule="exact"/>
        <w:ind w:firstLine="482"/>
        <w:jc w:val="left"/>
        <w:rPr>
          <w:rFonts w:ascii="宋体" w:hAnsi="宋体" w:cs="宋体"/>
          <w:color w:val="auto"/>
          <w:sz w:val="24"/>
          <w:highlight w:val="none"/>
        </w:rPr>
      </w:pPr>
      <w:r>
        <w:rPr>
          <w:rFonts w:hint="eastAsia" w:ascii="宋体" w:hAnsi="宋体" w:cs="宋体"/>
          <w:color w:val="auto"/>
          <w:sz w:val="24"/>
          <w:highlight w:val="none"/>
        </w:rPr>
        <w:t>1.4.投标文件的效力</w:t>
      </w:r>
    </w:p>
    <w:p w14:paraId="19DC0B36">
      <w:pPr>
        <w:snapToGrid w:val="0"/>
        <w:spacing w:line="400" w:lineRule="exact"/>
        <w:ind w:firstLine="482"/>
        <w:jc w:val="left"/>
        <w:outlineLvl w:val="2"/>
        <w:rPr>
          <w:rFonts w:ascii="宋体" w:hAnsi="宋体" w:cs="宋体"/>
          <w:color w:val="auto"/>
          <w:sz w:val="24"/>
          <w:highlight w:val="none"/>
        </w:rPr>
      </w:pPr>
      <w:r>
        <w:rPr>
          <w:rFonts w:hint="eastAsia" w:ascii="宋体" w:hAnsi="宋体" w:cs="宋体"/>
          <w:color w:val="auto"/>
          <w:sz w:val="24"/>
          <w:highlight w:val="none"/>
        </w:rPr>
        <w:t>（1）投标文件的启用，按先后顺位分别为电子投标文件、以介质存储的数据电文形式的备份投标文件。在下一顺位的投标文件启用时，前一顺位的投标文件自动失效。</w:t>
      </w:r>
    </w:p>
    <w:p w14:paraId="06233E6C">
      <w:pPr>
        <w:snapToGrid w:val="0"/>
        <w:spacing w:line="400" w:lineRule="exact"/>
        <w:ind w:firstLine="482"/>
        <w:jc w:val="left"/>
        <w:outlineLvl w:val="2"/>
        <w:rPr>
          <w:rFonts w:ascii="宋体" w:hAnsi="宋体" w:cs="宋体"/>
          <w:color w:val="auto"/>
          <w:sz w:val="24"/>
          <w:highlight w:val="none"/>
        </w:rPr>
      </w:pPr>
      <w:r>
        <w:rPr>
          <w:rFonts w:hint="eastAsia" w:ascii="宋体" w:hAnsi="宋体" w:cs="宋体"/>
          <w:color w:val="auto"/>
          <w:sz w:val="24"/>
          <w:highlight w:val="none"/>
        </w:rPr>
        <w:t>（2） 投标、响应文件未按时解密，供应商提供了备份投标、响应文件的，以备份投标、响应文件作为依据，否则视为投标、响应文件撤回。投标、响应文件已按时解密的，备份投标、响应文件自动失效。</w:t>
      </w:r>
    </w:p>
    <w:p w14:paraId="6C3348A6">
      <w:pPr>
        <w:snapToGrid w:val="0"/>
        <w:spacing w:line="400" w:lineRule="exact"/>
        <w:ind w:firstLine="482"/>
        <w:jc w:val="left"/>
        <w:rPr>
          <w:rFonts w:ascii="宋体" w:hAnsi="宋体" w:cs="宋体"/>
          <w:b/>
          <w:color w:val="auto"/>
          <w:sz w:val="24"/>
          <w:highlight w:val="none"/>
        </w:rPr>
      </w:pPr>
      <w:r>
        <w:rPr>
          <w:rFonts w:hint="eastAsia" w:ascii="宋体" w:hAnsi="宋体" w:cs="宋体"/>
          <w:b/>
          <w:color w:val="auto"/>
          <w:sz w:val="24"/>
          <w:highlight w:val="none"/>
        </w:rPr>
        <w:t>2、投标文件的组成</w:t>
      </w:r>
    </w:p>
    <w:p w14:paraId="7808ECDA">
      <w:pPr>
        <w:snapToGrid w:val="0"/>
        <w:spacing w:line="400" w:lineRule="exact"/>
        <w:ind w:firstLine="482"/>
        <w:jc w:val="left"/>
        <w:rPr>
          <w:rFonts w:ascii="宋体" w:hAnsi="宋体" w:cs="宋体"/>
          <w:b/>
          <w:bCs/>
          <w:color w:val="auto"/>
          <w:sz w:val="24"/>
          <w:highlight w:val="none"/>
        </w:rPr>
      </w:pPr>
      <w:r>
        <w:rPr>
          <w:rFonts w:hint="eastAsia" w:ascii="宋体" w:hAnsi="宋体" w:cs="宋体"/>
          <w:b/>
          <w:bCs/>
          <w:color w:val="auto"/>
          <w:sz w:val="24"/>
          <w:highlight w:val="none"/>
        </w:rPr>
        <w:t>投标文件组成均为资格证明文件、商务技术文件、报价文件三部份组成。其中电子投标文件中所须</w:t>
      </w:r>
      <w:r>
        <w:rPr>
          <w:rFonts w:hint="eastAsia" w:ascii="宋体" w:hAnsi="宋体" w:cs="宋体"/>
          <w:b/>
          <w:bCs/>
          <w:color w:val="auto"/>
          <w:sz w:val="24"/>
          <w:highlight w:val="none"/>
          <w:lang w:eastAsia="zh-CN"/>
        </w:rPr>
        <w:t>加盖CA签章</w:t>
      </w:r>
      <w:r>
        <w:rPr>
          <w:rFonts w:hint="eastAsia" w:ascii="宋体" w:hAnsi="宋体" w:cs="宋体"/>
          <w:b/>
          <w:bCs/>
          <w:color w:val="auto"/>
          <w:sz w:val="24"/>
          <w:highlight w:val="none"/>
        </w:rPr>
        <w:t>部分均采用CA签章。</w:t>
      </w:r>
    </w:p>
    <w:p w14:paraId="791969C7">
      <w:pPr>
        <w:snapToGrid w:val="0"/>
        <w:spacing w:line="400" w:lineRule="exact"/>
        <w:ind w:firstLine="482"/>
        <w:jc w:val="left"/>
        <w:rPr>
          <w:rFonts w:ascii="宋体" w:hAnsi="宋体" w:cs="宋体"/>
          <w:color w:val="auto"/>
          <w:sz w:val="24"/>
          <w:highlight w:val="none"/>
        </w:rPr>
      </w:pPr>
      <w:r>
        <w:rPr>
          <w:rFonts w:hint="eastAsia" w:ascii="宋体" w:hAnsi="宋体" w:cs="宋体"/>
          <w:b/>
          <w:bCs/>
          <w:color w:val="auto"/>
          <w:sz w:val="24"/>
          <w:highlight w:val="none"/>
        </w:rPr>
        <w:t>2.1.资格证明文件目录</w:t>
      </w:r>
    </w:p>
    <w:p w14:paraId="1A47F0F0">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（1）提供有效的营业执照复印件并加盖公司公章；事业单位的，则提供有效的《事业单位法人证书》副本复印件并加盖单位公章；自然人的，则提供有效的身份证复印件并签字</w:t>
      </w:r>
      <w:r>
        <w:rPr>
          <w:rFonts w:hint="eastAsia" w:ascii="宋体" w:hAnsi="宋体"/>
          <w:color w:val="auto"/>
          <w:sz w:val="24"/>
          <w:highlight w:val="none"/>
          <w:lang w:bidi="ar"/>
        </w:rPr>
        <w:t>；</w:t>
      </w:r>
    </w:p>
    <w:p w14:paraId="13BF586A">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2）提供自招标公告发布之日起至响应截止日内任意时间的“信用中国”网站（www.creditchina.gov.cn）中国政府采购网（www.ccgp.gov.cn）信用查询网页截图。（以开标当日采购人或由采购人委托的评标委员会核实的查询结果为准）</w:t>
      </w:r>
      <w:r>
        <w:rPr>
          <w:rFonts w:hint="eastAsia" w:ascii="宋体" w:hAnsi="宋体"/>
          <w:color w:val="auto"/>
          <w:sz w:val="24"/>
          <w:highlight w:val="none"/>
          <w:lang w:bidi="ar"/>
        </w:rPr>
        <w:t>；</w:t>
      </w:r>
    </w:p>
    <w:p w14:paraId="10D24C8B">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（3）</w:t>
      </w:r>
      <w:r>
        <w:rPr>
          <w:rFonts w:hint="eastAsia" w:ascii="宋体" w:hAnsi="宋体"/>
          <w:color w:val="auto"/>
          <w:sz w:val="24"/>
          <w:highlight w:val="none"/>
          <w:lang w:bidi="ar"/>
        </w:rPr>
        <w:t>法定代表人身份证明书（格式见附件）；</w:t>
      </w:r>
    </w:p>
    <w:p w14:paraId="4979ED6B">
      <w:pPr>
        <w:snapToGrid w:val="0"/>
        <w:spacing w:line="400" w:lineRule="exact"/>
        <w:ind w:firstLine="480" w:firstLineChars="200"/>
        <w:jc w:val="left"/>
        <w:rPr>
          <w:rFonts w:ascii="宋体" w:hAnsi="宋体"/>
          <w:color w:val="auto"/>
          <w:sz w:val="24"/>
          <w:highlight w:val="none"/>
          <w:lang w:bidi="ar"/>
        </w:rPr>
      </w:pPr>
      <w:r>
        <w:rPr>
          <w:rFonts w:hint="eastAsia" w:ascii="宋体" w:hAnsi="宋体"/>
          <w:color w:val="auto"/>
          <w:sz w:val="24"/>
          <w:highlight w:val="none"/>
        </w:rPr>
        <w:t>（4）</w:t>
      </w:r>
      <w:r>
        <w:rPr>
          <w:rFonts w:hint="eastAsia" w:ascii="宋体" w:hAnsi="宋体"/>
          <w:color w:val="auto"/>
          <w:sz w:val="24"/>
          <w:highlight w:val="none"/>
          <w:lang w:bidi="ar"/>
        </w:rPr>
        <w:t>法定代表人授权委托书（格式见附件，</w:t>
      </w:r>
      <w:r>
        <w:rPr>
          <w:rFonts w:hint="eastAsia" w:ascii="宋体" w:hAnsi="宋体" w:cs="宋体"/>
          <w:color w:val="auto"/>
          <w:sz w:val="24"/>
          <w:highlight w:val="none"/>
        </w:rPr>
        <w:t>若委托</w:t>
      </w:r>
      <w:r>
        <w:rPr>
          <w:rFonts w:hint="eastAsia" w:ascii="宋体" w:hAnsi="宋体"/>
          <w:color w:val="auto"/>
          <w:sz w:val="24"/>
          <w:highlight w:val="none"/>
          <w:lang w:bidi="ar"/>
        </w:rPr>
        <w:t>）；</w:t>
      </w:r>
    </w:p>
    <w:p w14:paraId="0EC0E851">
      <w:pPr>
        <w:snapToGrid w:val="0"/>
        <w:spacing w:line="40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（5）供应商参与政府采购活动投标资格声明（格式</w:t>
      </w:r>
      <w:r>
        <w:rPr>
          <w:rFonts w:hint="eastAsia" w:ascii="宋体" w:hAnsi="宋体"/>
          <w:color w:val="auto"/>
          <w:sz w:val="24"/>
          <w:highlight w:val="none"/>
          <w:lang w:bidi="ar"/>
        </w:rPr>
        <w:t>见附件</w:t>
      </w:r>
      <w:r>
        <w:rPr>
          <w:rFonts w:hint="eastAsia" w:ascii="宋体" w:hAnsi="宋体"/>
          <w:color w:val="auto"/>
          <w:sz w:val="24"/>
          <w:highlight w:val="none"/>
        </w:rPr>
        <w:t>）；</w:t>
      </w:r>
    </w:p>
    <w:p w14:paraId="01E6458E">
      <w:pPr>
        <w:snapToGrid w:val="0"/>
        <w:spacing w:line="400" w:lineRule="exact"/>
        <w:ind w:firstLine="480" w:firstLineChars="200"/>
        <w:jc w:val="left"/>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）提供采购公告中符合投标人特定条件要求的有效的其他资质复印件并加盖公司公章及需要说明的资料。</w:t>
      </w:r>
    </w:p>
    <w:p w14:paraId="21AC0F6B">
      <w:pPr>
        <w:snapToGrid w:val="0"/>
        <w:spacing w:line="400" w:lineRule="exact"/>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2.2.商务技术文件目录</w:t>
      </w:r>
    </w:p>
    <w:p w14:paraId="763901DC">
      <w:pPr>
        <w:spacing w:line="360" w:lineRule="auto"/>
        <w:ind w:firstLine="602" w:firstLineChars="250"/>
        <w:rPr>
          <w:rFonts w:ascii="宋体" w:hAnsi="宋体" w:cs="宋体"/>
          <w:b/>
          <w:bCs/>
          <w:color w:val="auto"/>
          <w:sz w:val="24"/>
          <w:highlight w:val="none"/>
        </w:rPr>
      </w:pPr>
      <w:r>
        <w:rPr>
          <w:rFonts w:hint="eastAsia" w:ascii="宋体" w:hAnsi="宋体" w:cs="宋体"/>
          <w:b/>
          <w:bCs/>
          <w:color w:val="auto"/>
          <w:sz w:val="24"/>
          <w:highlight w:val="none"/>
        </w:rPr>
        <w:t>评分索引表(格式见附件)</w:t>
      </w:r>
    </w:p>
    <w:p w14:paraId="5940A75C">
      <w:pPr>
        <w:spacing w:line="360" w:lineRule="auto"/>
        <w:ind w:firstLine="480" w:firstLineChars="200"/>
        <w:rPr>
          <w:rFonts w:ascii="宋体" w:hAnsi="宋体" w:cs="宋体"/>
          <w:color w:val="auto"/>
          <w:sz w:val="24"/>
          <w:highlight w:val="none"/>
        </w:rPr>
      </w:pPr>
      <w:bookmarkStart w:id="7" w:name="OLE_LINK3"/>
      <w:r>
        <w:rPr>
          <w:rFonts w:hint="eastAsia" w:ascii="宋体" w:hAnsi="宋体" w:cs="宋体"/>
          <w:color w:val="auto"/>
          <w:sz w:val="24"/>
          <w:highlight w:val="none"/>
        </w:rPr>
        <w:t>（1）</w:t>
      </w:r>
      <w:bookmarkEnd w:id="7"/>
      <w:r>
        <w:rPr>
          <w:rFonts w:hint="eastAsia" w:ascii="宋体" w:hAnsi="宋体" w:cs="宋体"/>
          <w:color w:val="auto"/>
          <w:sz w:val="24"/>
          <w:highlight w:val="none"/>
        </w:rPr>
        <w:t>投标函(格式见附件)</w:t>
      </w:r>
    </w:p>
    <w:p w14:paraId="5F99AB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（2）声明书(格式见附件)</w:t>
      </w:r>
    </w:p>
    <w:p w14:paraId="4B20AFD3">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（3）提供有效的营业执照副本并加盖公司公章；</w:t>
      </w:r>
    </w:p>
    <w:p w14:paraId="54AFF101">
      <w:pPr>
        <w:snapToGrid w:val="0"/>
        <w:spacing w:line="400" w:lineRule="exact"/>
        <w:ind w:firstLine="480" w:firstLineChars="200"/>
        <w:rPr>
          <w:rFonts w:ascii="宋体" w:hAnsi="宋体" w:cs="宋体"/>
          <w:color w:val="auto"/>
          <w:sz w:val="24"/>
          <w:highlight w:val="none"/>
        </w:rPr>
      </w:pPr>
      <w:r>
        <w:rPr>
          <w:rFonts w:hint="eastAsia"/>
          <w:color w:val="auto"/>
          <w:sz w:val="24"/>
          <w:highlight w:val="none"/>
        </w:rPr>
        <w:t>（4）</w:t>
      </w:r>
      <w:r>
        <w:rPr>
          <w:rFonts w:hint="eastAsia" w:ascii="宋体" w:hAnsi="宋体" w:cs="宋体"/>
          <w:color w:val="auto"/>
          <w:sz w:val="24"/>
          <w:highlight w:val="none"/>
        </w:rPr>
        <w:t>投标人须提供法定代表人身份证明书、授权委托书及授权代理人有效身份证明（若委托）(格式见附件)；</w:t>
      </w:r>
    </w:p>
    <w:p w14:paraId="67742830">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highlight w:val="none"/>
        </w:rPr>
        <w:t>（5）</w:t>
      </w:r>
      <w:r>
        <w:rPr>
          <w:rFonts w:hint="eastAsia" w:ascii="宋体" w:hAnsi="宋体" w:cs="宋体"/>
          <w:color w:val="auto"/>
          <w:sz w:val="24"/>
          <w:szCs w:val="24"/>
          <w:highlight w:val="none"/>
        </w:rPr>
        <w:t>供应商情况表</w:t>
      </w:r>
    </w:p>
    <w:p w14:paraId="5F3A330F">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（6）供应商参与政府采购活动投标资格声明（格式</w:t>
      </w:r>
      <w:r>
        <w:rPr>
          <w:rFonts w:hint="eastAsia" w:ascii="宋体" w:hAnsi="宋体" w:cs="宋体"/>
          <w:color w:val="auto"/>
          <w:sz w:val="24"/>
          <w:highlight w:val="none"/>
        </w:rPr>
        <w:t>见附件</w:t>
      </w:r>
      <w:r>
        <w:rPr>
          <w:rFonts w:hint="eastAsia" w:ascii="宋体" w:hAnsi="宋体" w:cs="宋体"/>
          <w:color w:val="auto"/>
          <w:sz w:val="24"/>
          <w:szCs w:val="24"/>
          <w:highlight w:val="none"/>
        </w:rPr>
        <w:t>）</w:t>
      </w:r>
    </w:p>
    <w:p w14:paraId="2D1DB5B9">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（7）主要业绩证明</w:t>
      </w:r>
      <w:r>
        <w:rPr>
          <w:rFonts w:hint="eastAsia" w:ascii="宋体" w:hAnsi="宋体" w:cs="宋体"/>
          <w:color w:val="auto"/>
          <w:sz w:val="24"/>
          <w:highlight w:val="none"/>
        </w:rPr>
        <w:t>(格式见附件)</w:t>
      </w:r>
    </w:p>
    <w:p w14:paraId="7FA66CC8">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（8）商务</w:t>
      </w:r>
      <w:r>
        <w:rPr>
          <w:rFonts w:hint="eastAsia" w:ascii="宋体" w:hAnsi="宋体" w:cs="宋体"/>
          <w:color w:val="auto"/>
          <w:sz w:val="24"/>
          <w:szCs w:val="24"/>
          <w:highlight w:val="none"/>
          <w:lang w:val="zh-CN"/>
        </w:rPr>
        <w:t>响应表</w:t>
      </w:r>
      <w:r>
        <w:rPr>
          <w:rFonts w:hint="eastAsia" w:ascii="宋体" w:hAnsi="宋体" w:cs="宋体"/>
          <w:color w:val="auto"/>
          <w:sz w:val="24"/>
          <w:szCs w:val="24"/>
          <w:highlight w:val="none"/>
        </w:rPr>
        <w:t>(格式见附件)</w:t>
      </w:r>
    </w:p>
    <w:p w14:paraId="7874A2E4">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（9）技术响应表(格式见附件)</w:t>
      </w:r>
    </w:p>
    <w:p w14:paraId="1D337E03">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（10）根据商务技术部分需要提供的资料；</w:t>
      </w:r>
      <w:r>
        <w:rPr>
          <w:rFonts w:hint="eastAsia" w:ascii="宋体" w:hAnsi="宋体" w:cs="宋体"/>
          <w:color w:val="auto"/>
          <w:sz w:val="24"/>
          <w:highlight w:val="none"/>
        </w:rPr>
        <w:t>（格式自拟）</w:t>
      </w:r>
    </w:p>
    <w:p w14:paraId="3D6CB62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（11）投标人认为需要提供的其他资料；</w:t>
      </w:r>
    </w:p>
    <w:p w14:paraId="6F7BEE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2.3.报价部分包括下列内容：</w:t>
      </w:r>
    </w:p>
    <w:p w14:paraId="69AB651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（1）开标一览表(格式见附件)</w:t>
      </w:r>
    </w:p>
    <w:p w14:paraId="32299CF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olor w:val="auto"/>
          <w:sz w:val="24"/>
          <w:szCs w:val="20"/>
          <w:highlight w:val="none"/>
        </w:rPr>
        <w:t>提供中小企业声明函（或监狱企业声明函及其相关的充分的证明材料或残疾人福利性单位声明函）（格式见附件）</w:t>
      </w:r>
      <w:r>
        <w:rPr>
          <w:rFonts w:hint="eastAsia" w:ascii="宋体" w:hAnsi="宋体" w:cs="宋体"/>
          <w:color w:val="auto"/>
          <w:sz w:val="24"/>
          <w:highlight w:val="none"/>
          <w:lang w:bidi="ar"/>
        </w:rPr>
        <w:t>；</w:t>
      </w:r>
    </w:p>
    <w:p w14:paraId="4653B0F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投标人针对报价需要说明的其他文件和说明（格式自拟）</w:t>
      </w:r>
    </w:p>
    <w:p w14:paraId="492BD3E9">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注：法定代表人授权委托书必须由法定代表人签名并加盖单位公章，签章不齐的视同未提供；资格证明文件、商务技术文件中不得出现项目报价信息，否则将作无效标处理。</w:t>
      </w:r>
    </w:p>
    <w:p w14:paraId="57F4A02D">
      <w:pPr>
        <w:snapToGrid w:val="0"/>
        <w:spacing w:line="360" w:lineRule="auto"/>
        <w:ind w:firstLine="482"/>
        <w:jc w:val="left"/>
        <w:outlineLvl w:val="2"/>
        <w:rPr>
          <w:rFonts w:ascii="宋体" w:hAnsi="宋体" w:cs="宋体"/>
          <w:b/>
          <w:color w:val="auto"/>
          <w:sz w:val="24"/>
          <w:highlight w:val="none"/>
        </w:rPr>
      </w:pPr>
      <w:bookmarkStart w:id="8" w:name="_Toc504504538"/>
      <w:r>
        <w:rPr>
          <w:rFonts w:hint="eastAsia" w:ascii="宋体" w:hAnsi="宋体" w:cs="宋体"/>
          <w:b/>
          <w:color w:val="auto"/>
          <w:sz w:val="24"/>
          <w:highlight w:val="none"/>
        </w:rPr>
        <w:t>3、投标文件的语言及计量</w:t>
      </w:r>
      <w:bookmarkEnd w:id="8"/>
    </w:p>
    <w:p w14:paraId="5529C56F">
      <w:pPr>
        <w:snapToGrid w:val="0"/>
        <w:spacing w:line="360" w:lineRule="auto"/>
        <w:ind w:firstLine="480"/>
        <w:jc w:val="left"/>
        <w:outlineLvl w:val="2"/>
        <w:rPr>
          <w:rFonts w:ascii="宋体" w:hAnsi="宋体" w:cs="宋体"/>
          <w:color w:val="auto"/>
          <w:sz w:val="24"/>
          <w:highlight w:val="none"/>
        </w:rPr>
      </w:pPr>
      <w:r>
        <w:rPr>
          <w:rFonts w:hint="eastAsia" w:ascii="宋体" w:hAnsi="宋体" w:cs="宋体"/>
          <w:color w:val="auto"/>
          <w:sz w:val="24"/>
          <w:highlight w:val="none"/>
        </w:rPr>
        <w:t>3.1.投标文件以及投标人与招标方就有关投标事宜的所有来往函电，均应以中文简体字书写。除签名、盖章、专用名称等特殊情形外，投标文件中以中文汉语以外的文字表述部分视同未提供。</w:t>
      </w:r>
    </w:p>
    <w:p w14:paraId="7584439F">
      <w:pPr>
        <w:snapToGrid w:val="0"/>
        <w:spacing w:line="360" w:lineRule="auto"/>
        <w:ind w:firstLine="480"/>
        <w:jc w:val="left"/>
        <w:outlineLvl w:val="2"/>
        <w:rPr>
          <w:rFonts w:ascii="宋体" w:hAnsi="宋体" w:cs="宋体"/>
          <w:color w:val="auto"/>
          <w:sz w:val="24"/>
          <w:highlight w:val="none"/>
        </w:rPr>
      </w:pPr>
      <w:r>
        <w:rPr>
          <w:rFonts w:hint="eastAsia" w:ascii="宋体" w:hAnsi="宋体" w:cs="宋体"/>
          <w:color w:val="auto"/>
          <w:sz w:val="24"/>
          <w:highlight w:val="none"/>
        </w:rPr>
        <w:t>3.2.投标计量单位，招标文件已有明确规定的，使用招标文件规定的计量单位；招标文件没有规定的，应采用中华人民共和国法定计量单位（货币单位：人民币元），</w:t>
      </w:r>
      <w:r>
        <w:rPr>
          <w:rFonts w:hint="eastAsia" w:ascii="宋体" w:hAnsi="宋体" w:cs="宋体"/>
          <w:b/>
          <w:bCs/>
          <w:color w:val="auto"/>
          <w:sz w:val="24"/>
          <w:highlight w:val="none"/>
        </w:rPr>
        <w:t>否则将作无效标处理</w:t>
      </w:r>
      <w:r>
        <w:rPr>
          <w:rFonts w:hint="eastAsia" w:ascii="宋体" w:hAnsi="宋体" w:cs="宋体"/>
          <w:color w:val="auto"/>
          <w:sz w:val="24"/>
          <w:highlight w:val="none"/>
        </w:rPr>
        <w:t>。</w:t>
      </w:r>
    </w:p>
    <w:p w14:paraId="63082965">
      <w:pPr>
        <w:snapToGrid w:val="0"/>
        <w:spacing w:line="360" w:lineRule="auto"/>
        <w:ind w:firstLine="482"/>
        <w:jc w:val="left"/>
        <w:outlineLvl w:val="2"/>
        <w:rPr>
          <w:rFonts w:ascii="宋体" w:hAnsi="宋体" w:cs="宋体"/>
          <w:b/>
          <w:color w:val="auto"/>
          <w:sz w:val="24"/>
          <w:highlight w:val="none"/>
        </w:rPr>
      </w:pPr>
      <w:r>
        <w:rPr>
          <w:rFonts w:hint="eastAsia" w:ascii="宋体" w:hAnsi="宋体" w:cs="宋体"/>
          <w:b/>
          <w:color w:val="auto"/>
          <w:sz w:val="24"/>
          <w:highlight w:val="none"/>
        </w:rPr>
        <w:t>4、投标文件的有效期</w:t>
      </w:r>
    </w:p>
    <w:p w14:paraId="5104DDE5">
      <w:pPr>
        <w:snapToGrid w:val="0"/>
        <w:spacing w:line="360" w:lineRule="auto"/>
        <w:ind w:firstLine="482"/>
        <w:jc w:val="left"/>
        <w:outlineLvl w:val="2"/>
        <w:rPr>
          <w:rFonts w:ascii="宋体" w:hAnsi="宋体" w:cs="宋体"/>
          <w:color w:val="auto"/>
          <w:sz w:val="24"/>
          <w:highlight w:val="none"/>
        </w:rPr>
      </w:pPr>
      <w:r>
        <w:rPr>
          <w:rFonts w:hint="eastAsia" w:ascii="宋体" w:hAnsi="宋体" w:cs="宋体"/>
          <w:color w:val="auto"/>
          <w:sz w:val="24"/>
          <w:highlight w:val="none"/>
        </w:rPr>
        <w:t>4.1.自投标截止日起90天内投标文件应保持有效。有效期不足的投标文件将作无效标处理。</w:t>
      </w:r>
    </w:p>
    <w:p w14:paraId="2A1D1723">
      <w:pPr>
        <w:snapToGrid w:val="0"/>
        <w:spacing w:line="360" w:lineRule="auto"/>
        <w:ind w:firstLine="482"/>
        <w:jc w:val="left"/>
        <w:outlineLvl w:val="2"/>
        <w:rPr>
          <w:rFonts w:ascii="宋体" w:hAnsi="宋体" w:cs="宋体"/>
          <w:b/>
          <w:color w:val="auto"/>
          <w:sz w:val="24"/>
          <w:highlight w:val="none"/>
        </w:rPr>
      </w:pPr>
      <w:r>
        <w:rPr>
          <w:rFonts w:hint="eastAsia" w:ascii="宋体" w:hAnsi="宋体" w:cs="宋体"/>
          <w:b/>
          <w:color w:val="auto"/>
          <w:sz w:val="24"/>
          <w:highlight w:val="none"/>
        </w:rPr>
        <w:t>5、投标文件的签署和份数、包装</w:t>
      </w:r>
    </w:p>
    <w:p w14:paraId="70D71C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电子投标文件部分：</w:t>
      </w:r>
    </w:p>
    <w:p w14:paraId="629C55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投标人应根据“政采云供应商项目采购-电子招投标操作指南”及本招标文件规定的格式和顺序编制电子投标文件并进行关联定位。</w:t>
      </w:r>
    </w:p>
    <w:p w14:paraId="0D9A0E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以介质存储的数据电文形式的备份投标文件部分：</w:t>
      </w:r>
    </w:p>
    <w:p w14:paraId="57176B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电子投标文件的备份文件，以U盘或DVD光盘形式存储，并单独密封递交。</w:t>
      </w:r>
    </w:p>
    <w:p w14:paraId="512D2588">
      <w:pPr>
        <w:snapToGrid w:val="0"/>
        <w:spacing w:line="360" w:lineRule="auto"/>
        <w:ind w:firstLine="456" w:firstLineChars="190"/>
        <w:jc w:val="left"/>
        <w:rPr>
          <w:rFonts w:ascii="宋体" w:hAnsi="宋体" w:cs="宋体"/>
          <w:color w:val="auto"/>
          <w:sz w:val="24"/>
          <w:highlight w:val="none"/>
        </w:rPr>
      </w:pPr>
      <w:r>
        <w:rPr>
          <w:rFonts w:hint="eastAsia" w:ascii="宋体" w:hAnsi="宋体" w:cs="宋体"/>
          <w:color w:val="auto"/>
          <w:sz w:val="24"/>
          <w:highlight w:val="none"/>
        </w:rPr>
        <w:t>5.6.投标人应将电子投标文件的备份文件单独密封封装。封装后，包装封面上应注明投标人名称、投标人地址、投标文件名称（以介质存储的数据电文形式的备份投标文件）、投标项目名称、项目编号、标项及“开标时启封”字样，并加盖投标人公章。</w:t>
      </w:r>
    </w:p>
    <w:p w14:paraId="2A61D948">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6、投标报价</w:t>
      </w:r>
    </w:p>
    <w:p w14:paraId="255E5E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投标总报价包括完成全部工作所发生的一切费用。应包括方案编制费、调研费、所需工具、研讨费、论证费、场地费、评审费、专家费、会务费、人员劳务费、差旅费、办公费、验收费、保险费、通信费、不可预见费、税费、管理费、利润安全风险及合同中明示或暗示的所有风险、责任和义务等各项完成本项目所需的全部费用。如有漏项，视同已包含在其总项目中，合同总价不予调整。</w:t>
      </w:r>
    </w:p>
    <w:p w14:paraId="29DBF4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6.2报价币种为人民币。招标人不接受两个（含）以上的报价，若有两个（含）以上的报价且未声明哪个为有效报价的，作无效标处理。报价若有更改，更改处须</w:t>
      </w:r>
      <w:r>
        <w:rPr>
          <w:rFonts w:hint="eastAsia" w:ascii="宋体" w:hAnsi="宋体" w:cs="宋体"/>
          <w:color w:val="auto"/>
          <w:sz w:val="24"/>
          <w:highlight w:val="none"/>
          <w:lang w:eastAsia="zh-CN"/>
        </w:rPr>
        <w:t>加盖CA签章</w:t>
      </w:r>
      <w:r>
        <w:rPr>
          <w:rFonts w:hint="eastAsia" w:ascii="宋体" w:hAnsi="宋体" w:cs="宋体"/>
          <w:color w:val="auto"/>
          <w:sz w:val="24"/>
          <w:highlight w:val="none"/>
        </w:rPr>
        <w:t>或由全权代表签字或盖章，投标函中的投标总报价与报价明细表中的计价必须相符。</w:t>
      </w:r>
    </w:p>
    <w:p w14:paraId="7D3CE8C2">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6.3  最高控制价：</w:t>
      </w:r>
      <w:r>
        <w:rPr>
          <w:rFonts w:hint="eastAsia" w:ascii="宋体" w:hAnsi="宋体" w:cs="宋体"/>
          <w:color w:val="auto"/>
          <w:sz w:val="24"/>
          <w:highlight w:val="none"/>
          <w:lang w:val="en-US" w:eastAsia="zh-CN"/>
        </w:rPr>
        <w:t>700000</w:t>
      </w:r>
      <w:r>
        <w:rPr>
          <w:rFonts w:hint="eastAsia" w:ascii="宋体" w:hAnsi="宋体" w:cs="宋体"/>
          <w:color w:val="auto"/>
          <w:sz w:val="24"/>
          <w:highlight w:val="none"/>
        </w:rPr>
        <w:t>元；</w:t>
      </w:r>
      <w:r>
        <w:rPr>
          <w:rFonts w:hint="eastAsia" w:ascii="宋体" w:hAnsi="宋体" w:cs="宋体"/>
          <w:b/>
          <w:bCs/>
          <w:color w:val="auto"/>
          <w:sz w:val="24"/>
          <w:highlight w:val="none"/>
        </w:rPr>
        <w:t>投标报价高于最高控制价的，作无效标处理。</w:t>
      </w:r>
    </w:p>
    <w:p w14:paraId="5AC56483">
      <w:pPr>
        <w:spacing w:line="360" w:lineRule="auto"/>
        <w:jc w:val="center"/>
        <w:rPr>
          <w:rFonts w:ascii="宋体" w:hAnsi="宋体" w:cs="宋体"/>
          <w:b/>
          <w:color w:val="auto"/>
          <w:sz w:val="32"/>
          <w:szCs w:val="32"/>
          <w:highlight w:val="none"/>
        </w:rPr>
      </w:pPr>
    </w:p>
    <w:p w14:paraId="4EE4C481">
      <w:pPr>
        <w:spacing w:line="360" w:lineRule="auto"/>
        <w:jc w:val="center"/>
        <w:rPr>
          <w:rFonts w:ascii="宋体" w:hAnsi="宋体" w:cs="宋体"/>
          <w:b/>
          <w:color w:val="auto"/>
          <w:sz w:val="32"/>
          <w:szCs w:val="32"/>
          <w:highlight w:val="none"/>
        </w:rPr>
      </w:pPr>
    </w:p>
    <w:p w14:paraId="3AE6FCB0">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（四）开标和评标</w:t>
      </w:r>
    </w:p>
    <w:p w14:paraId="4AB22C51">
      <w:pPr>
        <w:snapToGrid w:val="0"/>
        <w:spacing w:line="360" w:lineRule="auto"/>
        <w:jc w:val="left"/>
        <w:rPr>
          <w:rFonts w:ascii="宋体" w:hAnsi="宋体" w:cs="宋体"/>
          <w:b/>
          <w:color w:val="auto"/>
          <w:sz w:val="28"/>
          <w:szCs w:val="28"/>
          <w:highlight w:val="none"/>
        </w:rPr>
      </w:pPr>
      <w:r>
        <w:rPr>
          <w:rFonts w:hint="eastAsia" w:ascii="宋体" w:hAnsi="宋体" w:cs="宋体"/>
          <w:b/>
          <w:color w:val="auto"/>
          <w:sz w:val="28"/>
          <w:szCs w:val="28"/>
          <w:highlight w:val="none"/>
        </w:rPr>
        <w:t>1．开标</w:t>
      </w:r>
    </w:p>
    <w:p w14:paraId="1D0E38A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 投标人的法定代表人或其授权代表不出席开标会议。</w:t>
      </w:r>
    </w:p>
    <w:p w14:paraId="0EE25FDF">
      <w:pPr>
        <w:spacing w:line="360" w:lineRule="auto"/>
        <w:ind w:firstLine="482" w:firstLineChars="200"/>
        <w:jc w:val="left"/>
        <w:rPr>
          <w:rFonts w:ascii="宋体" w:hAnsi="宋体"/>
          <w:b/>
          <w:bCs/>
          <w:color w:val="auto"/>
          <w:sz w:val="24"/>
          <w:highlight w:val="none"/>
        </w:rPr>
      </w:pPr>
      <w:r>
        <w:rPr>
          <w:rFonts w:hint="eastAsia" w:ascii="宋体" w:hAnsi="宋体"/>
          <w:b/>
          <w:bCs/>
          <w:color w:val="auto"/>
          <w:sz w:val="24"/>
          <w:highlight w:val="none"/>
        </w:rPr>
        <w:t>1.2 投标截止时间后，主持人宣布开标会开始。招标代理机构根据投标文件的接收情况，宣读参加本次开标会的投标人。</w:t>
      </w:r>
    </w:p>
    <w:p w14:paraId="3B6FF42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2.开标会由采购单位委托的代理机构工作人员主持。</w:t>
      </w:r>
    </w:p>
    <w:p w14:paraId="47199CE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b/>
          <w:bCs/>
          <w:color w:val="auto"/>
          <w:sz w:val="24"/>
          <w:highlight w:val="none"/>
        </w:rPr>
        <w:t>电子招投标开标及评审程序</w:t>
      </w:r>
    </w:p>
    <w:p w14:paraId="0D7C241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3.1投标截止时间后，投标人登录政采云平台，用“项目采购-开标评标”功能对电子投标文件进行在线解密。在线解密电子投标文件时间为开标时间起半个小时内。</w:t>
      </w:r>
    </w:p>
    <w:p w14:paraId="1A82A63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3.2评标委员会对资格和商务技术响应文件进行评审；</w:t>
      </w:r>
    </w:p>
    <w:p w14:paraId="05096EF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3.3在系统上公开资格和商务技术评审结果；</w:t>
      </w:r>
    </w:p>
    <w:p w14:paraId="4BD8782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3.4在系统上公开报价开标情况；</w:t>
      </w:r>
    </w:p>
    <w:p w14:paraId="0EF88A3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3.5评标委员会对报价情况进行评审；</w:t>
      </w:r>
    </w:p>
    <w:p w14:paraId="1C15CB4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3.6在系统上公布评审结果。</w:t>
      </w:r>
    </w:p>
    <w:p w14:paraId="2C494BF7">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特别说明：政采云公司如对电子化开标及评审程序有调整的，按调整后的程序操作。</w:t>
      </w:r>
    </w:p>
    <w:p w14:paraId="430F634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4.10本项目原则上采用政采云电子招投标开标及评审程序，但有下情形之一的，按以下情况处理：</w:t>
      </w:r>
    </w:p>
    <w:p w14:paraId="73399B6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4.10.1若投标人在规定时间内无法解密或解密失败，新昌县鸿翔工程咨询有限公司将开启所有投标人递交的以介质存储的数据电文形式的备份投标文件，上传至政采云平台项目采购模块，以完成开标，电子投标文件自动失效。</w:t>
      </w:r>
    </w:p>
    <w:p w14:paraId="5B706F0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4.10.3采购过程中出现以下情形，导致电子交易平台无法正常运行，或者无法保证电子交易的公平、公正和安全时，采购组织机构可中止电子交易活动：</w:t>
      </w:r>
    </w:p>
    <w:p w14:paraId="7361A82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4.10.3.1电子交易平台发生故障而无法登录访问的； </w:t>
      </w:r>
    </w:p>
    <w:p w14:paraId="263C55F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4.10.3.2电子交易平台应用或数据库出现错误，不能进行正常操作的；</w:t>
      </w:r>
    </w:p>
    <w:p w14:paraId="3DD0B70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4.10.3.3电子交易平台发现严重安全漏洞，有潜在泄密危险的；</w:t>
      </w:r>
    </w:p>
    <w:p w14:paraId="7D96DC0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4.10.3.4病毒发作导致不能进行正常操作的； </w:t>
      </w:r>
    </w:p>
    <w:p w14:paraId="5235E37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4.10.3.5其他无法保证电子交易的公平、公正和安全的情况。</w:t>
      </w:r>
    </w:p>
    <w:p w14:paraId="282763B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w:t>
      </w:r>
    </w:p>
    <w:p w14:paraId="493C0FC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5．评标</w:t>
      </w:r>
    </w:p>
    <w:p w14:paraId="654D893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5.1评标委员会由招标采购单位依法组建，负责评标活动。评标委员会遵循公开、公平、公正、科学合理、竞争择优的原则。</w:t>
      </w:r>
    </w:p>
    <w:p w14:paraId="59B6282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5.2评标委员会由有关方面的专家组成，成员人数为五人以上单数。</w:t>
      </w:r>
    </w:p>
    <w:p w14:paraId="08DE029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5.3评标委员会负责对投标人资格的最终审定。</w:t>
      </w:r>
    </w:p>
    <w:p w14:paraId="35BEE37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5.4评标委员会可以要求投标人对其投标文件中含义不明确的内容作必要的澄清或者说明，但澄清或者说明不得超过投标文件的范围或者改变投标文件的实质性内容。</w:t>
      </w:r>
    </w:p>
    <w:p w14:paraId="143763A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评审中需要供应商对投标、响应文件作出澄清、说明或者补正的，评标委员会和供应商应当通过电子交易平台交换数据电文。给予供应商提交澄清说明或补正的时间不少于半小时，供应商已经明确表示澄清说明或补正完毕的除外。</w:t>
      </w:r>
    </w:p>
    <w:p w14:paraId="3EB4BBE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5.5评标委员会对投标文件的判定，只依据投标文件和招标文件内容本身，不依据任何外来证明。</w:t>
      </w:r>
    </w:p>
    <w:p w14:paraId="27B44E3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5.6评标委员会不向落标方解释落标的原因，不退还投标文件。</w:t>
      </w:r>
    </w:p>
    <w:p w14:paraId="7F9C5BE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6．投标文件的初审鉴定</w:t>
      </w:r>
    </w:p>
    <w:p w14:paraId="537CC9B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6.1资格性审查</w:t>
      </w:r>
    </w:p>
    <w:p w14:paraId="4FBCE8E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6.1.1依据法律、法规和招标文件规定，评标委员会对投标人进行资格审查，以确定投标人是否具备投标资格。</w:t>
      </w:r>
    </w:p>
    <w:p w14:paraId="0ECEA78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6.2符合性审查</w:t>
      </w:r>
    </w:p>
    <w:p w14:paraId="36B5CFA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1782ED3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6.3如果投标文件实质不响应招标文件的各项要求，评标委员会将予以拒绝，并且不允许投标人通过修改或撤销其不符合要求的差异或保留，使之成为具有实质性响应的投标。</w:t>
      </w:r>
    </w:p>
    <w:p w14:paraId="3593B6A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 投标文件报价出现前后不一致的，按照下列规定修正：</w:t>
      </w:r>
    </w:p>
    <w:p w14:paraId="6A4DD01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7.1投标文件中开标一览表（报价表）内容与投标文件中相应内容不一致的，以开标一览表（报价表）为准；</w:t>
      </w:r>
    </w:p>
    <w:p w14:paraId="55498E0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7.2大写金额和小写金额不一致的，以大写金额为准；</w:t>
      </w:r>
    </w:p>
    <w:p w14:paraId="6EC9B4A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7.3单价金额小数点或者百分比有明显错位的，以开标一览表的总价为准，并修改单价；</w:t>
      </w:r>
    </w:p>
    <w:p w14:paraId="1347EE0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7.4总价金额与按单价汇总金额不一致的，以单价金额计算结果为准。</w:t>
      </w:r>
    </w:p>
    <w:p w14:paraId="3B62991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02096D7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8.投标文件的评审、比较和否决</w:t>
      </w:r>
    </w:p>
    <w:p w14:paraId="0AA0DBA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8.1评标委员会将对在实质上响应招标文件要求的投标文件进行评估和比较。</w:t>
      </w:r>
    </w:p>
    <w:p w14:paraId="51B12DA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8.2在评审过程中，评标委员会可以书面形式要求投标人就投标文件含义不明确的内容进行书面说明并提供相关材料，但不得超过投标文件的范围或者改变投标文件的实质性内容。</w:t>
      </w:r>
    </w:p>
    <w:p w14:paraId="4903521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8.3在评标过程中，如发现与招标文件要求相偏离的，评标委员会可对其偏离情形进行必要的核实。</w:t>
      </w:r>
    </w:p>
    <w:p w14:paraId="3C1CC3C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8.4在评审过程中，如属于实质性偏离或符合无效响应条件的，应当询问相关投标人，并可对其进行书面确认，但不允许对偏离条款进行补充、修正或撤回。</w:t>
      </w:r>
    </w:p>
    <w:p w14:paraId="24BB4CC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8.5比较与评价。评标委员会应当按照评标标准，对符合性审查合格的投标文件进行商务和技术评估，综合比较与评价。</w:t>
      </w:r>
    </w:p>
    <w:p w14:paraId="7B3F763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8.6汇总（商务技术得分情况）。评标委员会各成员应当独立对每个投标人的商务和技术文件进行评价，并汇总商务技术得分情况。</w:t>
      </w:r>
    </w:p>
    <w:p w14:paraId="1667E3E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 报价审核。对经资信和技术评审符合采购需求的投标人的报价的合理性、准确性等进行审查核实。</w:t>
      </w:r>
    </w:p>
    <w:p w14:paraId="7DBD1F6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8.7.1评标委员会认为投标人的报价明显低于其他通过符合性审查投标人的报价，有可能影响产品质量或者不能诚信履约的，应当要求其在评标现场合理的时间内提供书面说明，必要时提交相关证明材料。</w:t>
      </w:r>
    </w:p>
    <w:p w14:paraId="22498FE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8.7.2根据财政部发布的《政府采购促进中小企业发展暂行办法》规定，对于非专门面向中小企业的项目，对小型和微型企业产品的价格给予一定的扣除，用扣除后的价格参与评审。</w:t>
      </w:r>
    </w:p>
    <w:p w14:paraId="6B6F5047">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8.7.3如需投标价格修正，按财政部87号令第五十九条的规定对投标价格进行修正。</w:t>
      </w:r>
    </w:p>
    <w:p w14:paraId="1CD029F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8.8评标委员会依据招标文件规定的评标标准和方法，对投标文件进行评审和比较，提供书面评标报告，并按得分高低排序推荐中标候选供应商。</w:t>
      </w:r>
    </w:p>
    <w:p w14:paraId="2AED2BE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9.投标文件的澄清</w:t>
      </w:r>
    </w:p>
    <w:p w14:paraId="49BBB02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14:paraId="3525B2FB">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10、投标无效的情形</w:t>
      </w:r>
    </w:p>
    <w:p w14:paraId="48F1479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10.1.在资格审查时，如发现下列情形之一的，投标文件将被视为无效：</w:t>
      </w:r>
    </w:p>
    <w:p w14:paraId="6FE7038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（1）资格证明文件不全的，或者不符合招标文件标明的资格要求的；</w:t>
      </w:r>
    </w:p>
    <w:p w14:paraId="107F560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（2）电子投标文件解密失败的，且未在规定时间内提交备份投标文件的；</w:t>
      </w:r>
    </w:p>
    <w:p w14:paraId="2EB038B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10.2.在符合性审查时，如发现下列情形之一的，投标文件将被视为无效：</w:t>
      </w:r>
    </w:p>
    <w:p w14:paraId="5123011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（1）投标文件无法定代表人或授权代表签字，或授权代理人未经有效授权的；</w:t>
      </w:r>
    </w:p>
    <w:p w14:paraId="3AD5E2E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（2）投标文件未按照招标文件规定的要求签署、盖章的；</w:t>
      </w:r>
    </w:p>
    <w:p w14:paraId="7AF63DC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（3）投标有效期、交货期（服务期）、付款方式、质保期等商务条款不能满足招标文件要求的；</w:t>
      </w:r>
    </w:p>
    <w:p w14:paraId="7729C45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（4）不响应或者擅自改变招标文件要求或者投标文件有采购人不能接受的附加条件的；</w:t>
      </w:r>
    </w:p>
    <w:p w14:paraId="6E37104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（5）未提供或未如实提供投标产品（货物）技术性能、参数的，或者虚假投标的；</w:t>
      </w:r>
    </w:p>
    <w:p w14:paraId="4C78E68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10.3.在技术评审时，如发现下列情形之一的，投标文件将被视为无效：</w:t>
      </w:r>
    </w:p>
    <w:p w14:paraId="170EE30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(1)技术标内有商务报价出现的；</w:t>
      </w:r>
    </w:p>
    <w:p w14:paraId="6D78508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（2）未提供或未如实提供投标货物的技术参数，或者投标文件标明的响应或偏离与事实不符或虚假投标的；</w:t>
      </w:r>
    </w:p>
    <w:p w14:paraId="3F6660F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（3）明显不符合招标文件要求的规格型号、质量标准，或者与招标文件中技术指标、主要功能项目发生实质性偏离的；</w:t>
      </w:r>
    </w:p>
    <w:p w14:paraId="26635AC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（4）投标技术方案不明确，存在一个或一个以上备选（替代）投标人案的；</w:t>
      </w:r>
    </w:p>
    <w:p w14:paraId="340E188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（5）与其他参加本次投标供应商的投标文件（技术文件）的文字表述内容相同连续20行以上或者差错相同2处以上的。</w:t>
      </w:r>
    </w:p>
    <w:p w14:paraId="4751EB5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10.4.在价格评审时，如发现下列情形之一的，投标文件将被视为无效：</w:t>
      </w:r>
    </w:p>
    <w:p w14:paraId="50CFA5BD">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（1）未采用人民币报价或者未按照招标文件标明的币种报价的；</w:t>
      </w:r>
    </w:p>
    <w:p w14:paraId="3B66968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（2）报价超出最高限价，或者超出采购预算金额，采购人不能支付的；</w:t>
      </w:r>
    </w:p>
    <w:p w14:paraId="675EFC3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（3）投标报价具有选择性，或者开标价格与投标文件承诺的优惠（折扣）价格不一致的；</w:t>
      </w:r>
    </w:p>
    <w:p w14:paraId="31B8839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（4）投标报价明细表总额与开标一览表总价不一致，且高于总价5％的；                                                                                            </w:t>
      </w:r>
    </w:p>
    <w:p w14:paraId="1070646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10.5.法律、法规和招标文件规定的其他无效标情形。</w:t>
      </w:r>
    </w:p>
    <w:p w14:paraId="57E001E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895DD77">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11、废标的情形</w:t>
      </w:r>
    </w:p>
    <w:p w14:paraId="7EE90F2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在招标采购中，出现下列情形之一的，应予废标：</w:t>
      </w:r>
    </w:p>
    <w:p w14:paraId="2F88264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11.1.符合专业条件的投标人或者对招标文件作实质性响应的投标人不足三家的；</w:t>
      </w:r>
    </w:p>
    <w:p w14:paraId="1DA5EB0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11.2.出现影响采购公正的违法、违规行为的；</w:t>
      </w:r>
    </w:p>
    <w:p w14:paraId="7798E0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11.3.投标人的报价均超过了采购预算，采购人不能支付的；</w:t>
      </w:r>
    </w:p>
    <w:p w14:paraId="72145FFC">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11.4.因重大变故，采购任务取消的。</w:t>
      </w:r>
    </w:p>
    <w:p w14:paraId="7666EB4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 评标过程保密</w:t>
      </w:r>
    </w:p>
    <w:p w14:paraId="4C2403D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12.1 开标之后，直到授予投标人合同止，凡是属于审查、澄清、评价和比较投标的有关资料以及授标意向及投标人的投标文件等，均不得向投标人或其他无关的人员透露。</w:t>
      </w:r>
    </w:p>
    <w:p w14:paraId="115966B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12.2 在评标期间，投标人企图影响招标人或评标委员会的任何活动，都将导致投标被拒绝，并由其承担相应的法律责任。</w:t>
      </w:r>
    </w:p>
    <w:p w14:paraId="7572DD5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13.确定中标人</w:t>
      </w:r>
    </w:p>
    <w:p w14:paraId="530407F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13.1 评标委员会依据本须知前附表第8项及其附件1规定的评标标准和方法，对投标文件进行评审和比较，并向招标人提出书面评标报告。报告中应按综合得分高低确定一名中标人。</w:t>
      </w:r>
    </w:p>
    <w:p w14:paraId="11279FFE">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（五）定标</w:t>
      </w:r>
    </w:p>
    <w:p w14:paraId="5952C557">
      <w:pPr>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1、中标结果公告</w:t>
      </w:r>
    </w:p>
    <w:p w14:paraId="02D16D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w:t>
      </w:r>
      <w:r>
        <w:rPr>
          <w:rFonts w:hint="eastAsia" w:ascii="宋体" w:hAnsi="宋体" w:cs="宋体"/>
          <w:bCs/>
          <w:color w:val="auto"/>
          <w:sz w:val="24"/>
          <w:highlight w:val="none"/>
        </w:rPr>
        <w:t>本项目由评标委员会推荐中标供应商，采购代理机构在评标结束后2个工作日内将评标报告交采购人确认，采购结果经采购人确认后，</w:t>
      </w:r>
      <w:r>
        <w:rPr>
          <w:rFonts w:hint="eastAsia" w:ascii="宋体" w:hAnsi="宋体" w:cs="宋体"/>
          <w:color w:val="auto"/>
          <w:sz w:val="24"/>
          <w:highlight w:val="none"/>
        </w:rPr>
        <w:t>在浙江政府采购网站及新昌县公共资源交易平台上发布中标结果。</w:t>
      </w:r>
    </w:p>
    <w:p w14:paraId="1C402D0E">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2、中标通知书</w:t>
      </w:r>
    </w:p>
    <w:p w14:paraId="5A7818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2.1结果公告后，未发现中标人有废标情形的，招标人将向其发出中标通知书。</w:t>
      </w:r>
    </w:p>
    <w:p w14:paraId="73D7E7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2.2投标人在投标过程中弄虚作假的，骗取中标的，中标无效。</w:t>
      </w:r>
    </w:p>
    <w:p w14:paraId="29F3109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2.3中标通知书作为签订合同的重要依据，作为合同的一个组成部分。</w:t>
      </w:r>
    </w:p>
    <w:p w14:paraId="7ABD62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2.4中标人必须在中标结果公告后，在2个工作日内到代理机构处领取中标通知书。</w:t>
      </w:r>
    </w:p>
    <w:p w14:paraId="38116926">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3、招标人拒绝任何投标的权利</w:t>
      </w:r>
    </w:p>
    <w:p w14:paraId="719E4B1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3.1为维护国家利益，招标人有拒绝任何投标的权力。如招标人对全部投标均予以拒绝时，会将理由通知所有投标人。</w:t>
      </w:r>
    </w:p>
    <w:p w14:paraId="4436B718">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（六）授予合同</w:t>
      </w:r>
    </w:p>
    <w:p w14:paraId="5EFF8D73">
      <w:pPr>
        <w:snapToGrid w:val="0"/>
        <w:spacing w:line="360" w:lineRule="auto"/>
        <w:ind w:firstLine="482"/>
        <w:jc w:val="left"/>
        <w:outlineLvl w:val="2"/>
        <w:rPr>
          <w:rFonts w:ascii="宋体" w:hAnsi="宋体" w:cs="宋体"/>
          <w:b/>
          <w:color w:val="auto"/>
          <w:sz w:val="24"/>
          <w:highlight w:val="none"/>
        </w:rPr>
      </w:pPr>
      <w:bookmarkStart w:id="9" w:name="_Toc504504576"/>
      <w:r>
        <w:rPr>
          <w:rFonts w:hint="eastAsia" w:ascii="宋体" w:hAnsi="宋体" w:cs="宋体"/>
          <w:b/>
          <w:color w:val="auto"/>
          <w:sz w:val="24"/>
          <w:highlight w:val="none"/>
        </w:rPr>
        <w:t>1、签订合同</w:t>
      </w:r>
      <w:bookmarkEnd w:id="9"/>
    </w:p>
    <w:p w14:paraId="66EA5C17">
      <w:pPr>
        <w:pStyle w:val="27"/>
        <w:spacing w:beforeLines="0" w:line="360" w:lineRule="auto"/>
        <w:rPr>
          <w:rFonts w:cs="宋体"/>
          <w:color w:val="auto"/>
          <w:sz w:val="24"/>
          <w:szCs w:val="24"/>
          <w:highlight w:val="none"/>
        </w:rPr>
      </w:pPr>
      <w:r>
        <w:rPr>
          <w:rFonts w:hint="eastAsia" w:cs="宋体"/>
          <w:color w:val="auto"/>
          <w:sz w:val="24"/>
          <w:szCs w:val="24"/>
          <w:highlight w:val="none"/>
        </w:rPr>
        <w:t>1.1采购人与中标供应商应当在《中标通知书》发出之日起30日内签订政府采购合同。</w:t>
      </w:r>
    </w:p>
    <w:p w14:paraId="3F15191D">
      <w:pPr>
        <w:snapToGrid w:val="0"/>
        <w:spacing w:line="360" w:lineRule="auto"/>
        <w:ind w:firstLine="482"/>
        <w:jc w:val="left"/>
        <w:outlineLvl w:val="2"/>
        <w:rPr>
          <w:rFonts w:ascii="宋体" w:hAnsi="宋体" w:cs="宋体"/>
          <w:color w:val="auto"/>
          <w:sz w:val="24"/>
          <w:highlight w:val="none"/>
        </w:rPr>
      </w:pPr>
      <w:bookmarkStart w:id="10" w:name="_Toc504504578"/>
      <w:r>
        <w:rPr>
          <w:rFonts w:hint="eastAsia" w:ascii="宋体" w:hAnsi="宋体" w:cs="宋体"/>
          <w:b/>
          <w:color w:val="auto"/>
          <w:sz w:val="24"/>
          <w:highlight w:val="none"/>
        </w:rPr>
        <w:t>2、履约保证金</w:t>
      </w:r>
      <w:bookmarkEnd w:id="10"/>
    </w:p>
    <w:p w14:paraId="5D496511">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2.1.签订合同前，中标供应商按照招标文件规定递交履约保证金。</w:t>
      </w:r>
    </w:p>
    <w:p w14:paraId="6482370F">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2.2.签订合同后，如中标供应商不按双方合同约定履约，则没收其全部履约保证金，履约保证金不足以赔偿损失的，按实际损失赔偿。</w:t>
      </w:r>
    </w:p>
    <w:p w14:paraId="5CAE1600">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3、合同备案</w:t>
      </w:r>
    </w:p>
    <w:p w14:paraId="77A06E2C">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3.1.中标人应当自采购合同签订之日起7个工作日内，将采购合同原件报新昌县鸿翔工程咨询有限公司备案。</w:t>
      </w:r>
    </w:p>
    <w:p w14:paraId="639F5CD9">
      <w:pPr>
        <w:pStyle w:val="12"/>
        <w:snapToGrid w:val="0"/>
        <w:spacing w:line="360" w:lineRule="auto"/>
        <w:ind w:firstLine="480" w:firstLineChars="200"/>
        <w:rPr>
          <w:rFonts w:ascii="宋体" w:hAnsi="宋体" w:cs="宋体"/>
          <w:highlight w:val="none"/>
        </w:rPr>
      </w:pPr>
      <w:r>
        <w:rPr>
          <w:rFonts w:hint="eastAsia" w:ascii="宋体" w:hAnsi="宋体" w:cs="宋体"/>
          <w:highlight w:val="none"/>
        </w:rPr>
        <w:t>3.2.未领取中标通知书，采购双方自行签订的合同不予备案。</w:t>
      </w:r>
    </w:p>
    <w:p w14:paraId="0A726316">
      <w:pPr>
        <w:pStyle w:val="12"/>
        <w:snapToGrid w:val="0"/>
        <w:spacing w:line="360" w:lineRule="auto"/>
        <w:ind w:firstLine="477" w:firstLineChars="198"/>
        <w:outlineLvl w:val="1"/>
        <w:rPr>
          <w:rFonts w:ascii="宋体" w:hAnsi="宋体" w:cs="宋体"/>
          <w:b/>
          <w:highlight w:val="none"/>
        </w:rPr>
      </w:pPr>
      <w:bookmarkStart w:id="11" w:name="_Toc520986892"/>
      <w:bookmarkStart w:id="12" w:name="_Toc510614928"/>
      <w:bookmarkStart w:id="13" w:name="_Toc504504579"/>
      <w:r>
        <w:rPr>
          <w:rFonts w:hint="eastAsia" w:ascii="宋体" w:hAnsi="宋体" w:cs="宋体"/>
          <w:b/>
          <w:highlight w:val="none"/>
        </w:rPr>
        <w:t>3、货款的结算</w:t>
      </w:r>
      <w:bookmarkEnd w:id="11"/>
      <w:bookmarkEnd w:id="12"/>
      <w:bookmarkEnd w:id="13"/>
    </w:p>
    <w:p w14:paraId="57AC949A">
      <w:pPr>
        <w:spacing w:line="360" w:lineRule="auto"/>
        <w:ind w:firstLine="460" w:firstLineChars="192"/>
        <w:rPr>
          <w:rFonts w:ascii="宋体" w:hAnsi="宋体" w:cs="宋体"/>
          <w:color w:val="auto"/>
          <w:sz w:val="24"/>
          <w:highlight w:val="none"/>
        </w:rPr>
      </w:pPr>
      <w:r>
        <w:rPr>
          <w:rFonts w:hint="eastAsia" w:ascii="宋体" w:hAnsi="宋体" w:cs="宋体"/>
          <w:color w:val="auto"/>
          <w:sz w:val="24"/>
          <w:highlight w:val="none"/>
        </w:rPr>
        <w:t>按照前面前附表的有关规定。</w:t>
      </w:r>
    </w:p>
    <w:p w14:paraId="498F35B9">
      <w:pPr>
        <w:snapToGrid w:val="0"/>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（七）中标人履约的监督</w:t>
      </w:r>
    </w:p>
    <w:p w14:paraId="3AB49CA5">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1、中标人履约的监督</w:t>
      </w:r>
    </w:p>
    <w:p w14:paraId="7D181711">
      <w:pPr>
        <w:snapToGrid w:val="0"/>
        <w:spacing w:line="360" w:lineRule="auto"/>
        <w:ind w:firstLine="480" w:firstLineChars="200"/>
        <w:rPr>
          <w:rFonts w:ascii="宋体" w:hAnsi="宋体" w:cs="宋体"/>
          <w:color w:val="auto"/>
          <w:sz w:val="44"/>
          <w:szCs w:val="44"/>
          <w:highlight w:val="none"/>
        </w:rPr>
      </w:pPr>
      <w:r>
        <w:rPr>
          <w:rFonts w:hint="eastAsia" w:ascii="宋体" w:hAnsi="宋体" w:cs="宋体"/>
          <w:color w:val="auto"/>
          <w:sz w:val="24"/>
          <w:highlight w:val="none"/>
        </w:rPr>
        <w:t>1.1中标人未能按规定履行合同的，按照相关规定处理。情节严重的，列入政府采购不良行为供应商名单。</w:t>
      </w:r>
    </w:p>
    <w:p w14:paraId="0CFCBC33">
      <w:pPr>
        <w:pStyle w:val="9"/>
        <w:spacing w:line="360" w:lineRule="auto"/>
        <w:rPr>
          <w:rFonts w:ascii="宋体" w:hAnsi="宋体" w:cs="宋体"/>
          <w:color w:val="auto"/>
          <w:highlight w:val="none"/>
        </w:rPr>
      </w:pPr>
    </w:p>
    <w:p w14:paraId="715E7DD4">
      <w:pPr>
        <w:pStyle w:val="28"/>
        <w:spacing w:line="360" w:lineRule="auto"/>
        <w:rPr>
          <w:highlight w:val="none"/>
        </w:rPr>
      </w:pPr>
      <w:r>
        <w:rPr>
          <w:rFonts w:hint="eastAsia" w:ascii="宋体" w:hAnsi="宋体" w:cs="Tahoma"/>
          <w:b/>
          <w:bCs/>
          <w:sz w:val="30"/>
          <w:szCs w:val="30"/>
          <w:highlight w:val="none"/>
        </w:rPr>
        <w:t>（八）</w:t>
      </w:r>
      <w:r>
        <w:rPr>
          <w:rFonts w:hint="eastAsia"/>
          <w:b/>
          <w:bCs/>
          <w:sz w:val="28"/>
          <w:szCs w:val="28"/>
          <w:highlight w:val="none"/>
        </w:rPr>
        <w:t>有关中小企业声明、监狱企业、残疾人福利性单位的规定</w:t>
      </w:r>
    </w:p>
    <w:p w14:paraId="33A9AB58">
      <w:pPr>
        <w:tabs>
          <w:tab w:val="left" w:pos="0"/>
        </w:tabs>
        <w:autoSpaceDE/>
        <w:autoSpaceDN/>
        <w:adjustRightInd/>
        <w:spacing w:line="360" w:lineRule="auto"/>
        <w:rPr>
          <w:color w:val="auto"/>
          <w:sz w:val="24"/>
          <w:highlight w:val="none"/>
        </w:rPr>
      </w:pPr>
      <w:r>
        <w:rPr>
          <w:rFonts w:hint="eastAsia"/>
          <w:color w:val="auto"/>
          <w:sz w:val="24"/>
          <w:highlight w:val="none"/>
        </w:rPr>
        <w:t>1.</w:t>
      </w:r>
      <w:r>
        <w:rPr>
          <w:color w:val="auto"/>
          <w:sz w:val="24"/>
          <w:highlight w:val="none"/>
        </w:rPr>
        <w:t>根据《</w:t>
      </w:r>
      <w:r>
        <w:rPr>
          <w:rFonts w:hint="eastAsia"/>
          <w:color w:val="auto"/>
          <w:sz w:val="24"/>
          <w:highlight w:val="none"/>
        </w:rPr>
        <w:t>政府采购促进中小企业发展管理办法</w:t>
      </w:r>
      <w:r>
        <w:rPr>
          <w:color w:val="auto"/>
          <w:sz w:val="24"/>
          <w:highlight w:val="none"/>
        </w:rPr>
        <w:t>》</w:t>
      </w:r>
      <w:r>
        <w:rPr>
          <w:rFonts w:hint="eastAsia"/>
          <w:color w:val="auto"/>
          <w:sz w:val="24"/>
          <w:highlight w:val="none"/>
        </w:rPr>
        <w:t>（财库﹝</w:t>
      </w:r>
      <w:r>
        <w:rPr>
          <w:color w:val="auto"/>
          <w:sz w:val="24"/>
          <w:highlight w:val="none"/>
        </w:rPr>
        <w:t>2020﹞46号）的规定，中小企业的标准为：</w:t>
      </w:r>
    </w:p>
    <w:p w14:paraId="1906FEFE">
      <w:pPr>
        <w:tabs>
          <w:tab w:val="left" w:pos="0"/>
        </w:tabs>
        <w:autoSpaceDE/>
        <w:autoSpaceDN/>
        <w:adjustRightInd/>
        <w:spacing w:line="360" w:lineRule="auto"/>
        <w:rPr>
          <w:color w:val="auto"/>
          <w:sz w:val="24"/>
          <w:highlight w:val="none"/>
        </w:rPr>
      </w:pPr>
      <w:r>
        <w:rPr>
          <w:rFonts w:hint="eastAsia"/>
          <w:color w:val="auto"/>
          <w:sz w:val="24"/>
          <w:highlight w:val="none"/>
        </w:rPr>
        <w:t>（1）</w:t>
      </w:r>
      <w:r>
        <w:rPr>
          <w:color w:val="auto"/>
          <w:sz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14:paraId="271BF10B">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在政府采购活动中，供应商提供的货物、工程</w:t>
      </w:r>
      <w:r>
        <w:rPr>
          <w:color w:val="auto"/>
          <w:sz w:val="24"/>
          <w:highlight w:val="none"/>
        </w:rPr>
        <w:t>或者服务符合下列情形的，享受本办法规定的中小企业扶持政策：</w:t>
      </w:r>
    </w:p>
    <w:p w14:paraId="08B6C245">
      <w:pPr>
        <w:tabs>
          <w:tab w:val="left" w:pos="0"/>
        </w:tabs>
        <w:autoSpaceDE/>
        <w:autoSpaceDN/>
        <w:adjustRightInd/>
        <w:spacing w:line="360" w:lineRule="auto"/>
        <w:rPr>
          <w:color w:val="auto"/>
          <w:sz w:val="24"/>
          <w:highlight w:val="none"/>
        </w:rPr>
      </w:pPr>
      <w:r>
        <w:rPr>
          <w:rFonts w:hint="eastAsia"/>
          <w:color w:val="auto"/>
          <w:sz w:val="24"/>
          <w:highlight w:val="none"/>
        </w:rPr>
        <w:t>①.在货物采购项目中，货物由中小企业制造，即货</w:t>
      </w:r>
      <w:r>
        <w:rPr>
          <w:color w:val="auto"/>
          <w:sz w:val="24"/>
          <w:highlight w:val="none"/>
        </w:rPr>
        <w:t>物由中小企业生产且使用该中小企业商号或者注册商标；</w:t>
      </w:r>
    </w:p>
    <w:p w14:paraId="3B82089B">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②.在工程采购项目中，工程由中小企业承建，即工</w:t>
      </w:r>
      <w:r>
        <w:rPr>
          <w:color w:val="auto"/>
          <w:sz w:val="24"/>
          <w:highlight w:val="none"/>
        </w:rPr>
        <w:t>程施工单位为中小企业；</w:t>
      </w:r>
    </w:p>
    <w:p w14:paraId="618AC5B9">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③.在服务采购项目中，服务由中小企业承接，即提</w:t>
      </w:r>
      <w:r>
        <w:rPr>
          <w:color w:val="auto"/>
          <w:sz w:val="24"/>
          <w:highlight w:val="none"/>
        </w:rPr>
        <w:t>供服务的人员为中小企业依照《中华人民共和国劳动合同法》订立劳动合同的从业人员。</w:t>
      </w:r>
    </w:p>
    <w:p w14:paraId="75F0F475">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④.在货物采购项目中，供应商提供的货物既有中小企业制</w:t>
      </w:r>
      <w:r>
        <w:rPr>
          <w:color w:val="auto"/>
          <w:sz w:val="24"/>
          <w:highlight w:val="none"/>
        </w:rPr>
        <w:t>造货物，也有大型企业制造货物的，不享受本办法规定的中小企业扶持政策。</w:t>
      </w:r>
    </w:p>
    <w:p w14:paraId="5B20B2BA">
      <w:pPr>
        <w:tabs>
          <w:tab w:val="left" w:pos="0"/>
        </w:tabs>
        <w:autoSpaceDE/>
        <w:autoSpaceDN/>
        <w:adjustRightInd/>
        <w:spacing w:line="360" w:lineRule="auto"/>
        <w:ind w:firstLine="480" w:firstLineChars="200"/>
        <w:rPr>
          <w:color w:val="auto"/>
          <w:sz w:val="24"/>
          <w:highlight w:val="none"/>
        </w:rPr>
      </w:pPr>
      <w:r>
        <w:rPr>
          <w:rFonts w:hint="eastAsia"/>
          <w:color w:val="auto"/>
          <w:sz w:val="24"/>
          <w:highlight w:val="none"/>
        </w:rPr>
        <w:t>⑤.以联合体形式参加政府采购活动，联合体各方均为中小</w:t>
      </w:r>
      <w:r>
        <w:rPr>
          <w:color w:val="auto"/>
          <w:sz w:val="24"/>
          <w:highlight w:val="none"/>
        </w:rPr>
        <w:t>企业的，联合体视同中小企业。其中，联合体各方均为小微企业的，联合体视同小微企业。</w:t>
      </w:r>
    </w:p>
    <w:p w14:paraId="53AAA12A">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中小企业参加政府采购活动，应当出具《中小企业声明函》，否则不享受相关中小企业扶持政策。供应商不用提供《中</w:t>
      </w:r>
      <w:r>
        <w:rPr>
          <w:color w:val="auto"/>
          <w:sz w:val="24"/>
          <w:highlight w:val="none"/>
        </w:rPr>
        <w:t>小企业声明函》之外的中小企业身份证明文件。</w:t>
      </w:r>
    </w:p>
    <w:p w14:paraId="3F77BBFB">
      <w:pPr>
        <w:tabs>
          <w:tab w:val="left" w:pos="0"/>
        </w:tabs>
        <w:autoSpaceDE/>
        <w:autoSpaceDN/>
        <w:adjustRightInd/>
        <w:spacing w:line="360" w:lineRule="auto"/>
        <w:rPr>
          <w:color w:val="auto"/>
          <w:sz w:val="24"/>
          <w:highlight w:val="none"/>
        </w:rPr>
      </w:pPr>
      <w:r>
        <w:rPr>
          <w:rFonts w:hint="eastAsia"/>
          <w:color w:val="auto"/>
          <w:sz w:val="24"/>
          <w:highlight w:val="none"/>
        </w:rPr>
        <w:t>2</w:t>
      </w:r>
      <w:r>
        <w:rPr>
          <w:color w:val="auto"/>
          <w:sz w:val="24"/>
          <w:highlight w:val="none"/>
        </w:rPr>
        <w:t>.根据《财政部、司法部关于政府采购支持监狱企业发展有关问题的通知》（财库〔2014〕68号）规定，监狱企业应当符合以下条件：</w:t>
      </w:r>
    </w:p>
    <w:p w14:paraId="00A94ED6">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9D3D7F6">
      <w:pPr>
        <w:tabs>
          <w:tab w:val="left" w:pos="0"/>
        </w:tabs>
        <w:autoSpaceDE/>
        <w:autoSpaceDN/>
        <w:adjustRightInd/>
        <w:spacing w:line="360" w:lineRule="auto"/>
        <w:rPr>
          <w:color w:val="auto"/>
          <w:sz w:val="24"/>
          <w:highlight w:val="none"/>
        </w:rPr>
      </w:pPr>
      <w:r>
        <w:rPr>
          <w:rFonts w:hint="eastAsia"/>
          <w:color w:val="auto"/>
          <w:sz w:val="24"/>
          <w:highlight w:val="none"/>
        </w:rPr>
        <w:t>（</w:t>
      </w:r>
      <w:r>
        <w:rPr>
          <w:color w:val="auto"/>
          <w:sz w:val="24"/>
          <w:highlight w:val="none"/>
        </w:rPr>
        <w:t>2）监狱企业参加政府采购活动时，视同小型、微型企业，应当提供由省级以上监狱管理局、戒毒管理局（含新疆生产建设兵团）出具的属于监狱企业的证明文件。</w:t>
      </w:r>
    </w:p>
    <w:p w14:paraId="41190160">
      <w:pPr>
        <w:tabs>
          <w:tab w:val="left" w:pos="0"/>
        </w:tabs>
        <w:autoSpaceDE/>
        <w:autoSpaceDN/>
        <w:adjustRightInd/>
        <w:spacing w:line="360" w:lineRule="auto"/>
        <w:rPr>
          <w:color w:val="auto"/>
          <w:sz w:val="24"/>
          <w:highlight w:val="none"/>
        </w:rPr>
      </w:pPr>
      <w:r>
        <w:rPr>
          <w:rFonts w:hint="eastAsia"/>
          <w:color w:val="auto"/>
          <w:sz w:val="24"/>
          <w:highlight w:val="none"/>
        </w:rPr>
        <w:t>3</w:t>
      </w:r>
      <w:r>
        <w:rPr>
          <w:color w:val="auto"/>
          <w:sz w:val="24"/>
          <w:highlight w:val="none"/>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14:paraId="1C5CF848">
      <w:pPr>
        <w:tabs>
          <w:tab w:val="left" w:pos="0"/>
        </w:tabs>
        <w:autoSpaceDE/>
        <w:autoSpaceDN/>
        <w:adjustRightInd/>
        <w:spacing w:line="360" w:lineRule="auto"/>
        <w:rPr>
          <w:rFonts w:cs="宋体"/>
          <w:color w:val="auto"/>
          <w:highlight w:val="none"/>
        </w:rPr>
        <w:sectPr>
          <w:footerReference r:id="rId4" w:type="default"/>
          <w:pgSz w:w="11907" w:h="16840"/>
          <w:pgMar w:top="1440" w:right="1797" w:bottom="1440" w:left="1797" w:header="851" w:footer="992" w:gutter="0"/>
          <w:cols w:space="720" w:num="1"/>
          <w:docGrid w:linePitch="312" w:charSpace="0"/>
        </w:sectPr>
      </w:pPr>
      <w:r>
        <w:rPr>
          <w:rFonts w:hint="eastAsia"/>
          <w:color w:val="auto"/>
          <w:sz w:val="24"/>
          <w:highlight w:val="none"/>
        </w:rPr>
        <w:t>4</w:t>
      </w:r>
      <w:r>
        <w:rPr>
          <w:color w:val="auto"/>
          <w:sz w:val="24"/>
          <w:highlight w:val="none"/>
        </w:rPr>
        <w:t>.</w:t>
      </w:r>
      <w:r>
        <w:rPr>
          <w:rFonts w:hint="eastAsia"/>
          <w:color w:val="auto"/>
          <w:sz w:val="24"/>
          <w:highlight w:val="none"/>
        </w:rPr>
        <w:t>根据财政部发布的《政府采购促进中小企业发展管理办法》规定，对于非专门面向中小企业的项目，对小型和微型企业产品的价格给予一定的扣除，用扣除后的价格参与评审。</w:t>
      </w:r>
    </w:p>
    <w:p w14:paraId="3FBF4F6F">
      <w:pPr>
        <w:widowControl/>
        <w:jc w:val="center"/>
        <w:rPr>
          <w:b/>
          <w:color w:val="auto"/>
          <w:highlight w:val="none"/>
        </w:rPr>
      </w:pPr>
      <w:r>
        <w:rPr>
          <w:rStyle w:val="30"/>
          <w:rFonts w:hint="eastAsia" w:ascii="宋体" w:hAnsi="宋体" w:cs="宋体"/>
          <w:color w:val="auto"/>
          <w:spacing w:val="0"/>
          <w:sz w:val="36"/>
          <w:highlight w:val="none"/>
        </w:rPr>
        <w:t xml:space="preserve">第四章    </w:t>
      </w:r>
      <w:bookmarkEnd w:id="3"/>
      <w:bookmarkEnd w:id="4"/>
      <w:bookmarkStart w:id="14" w:name="_Toc454374923"/>
      <w:r>
        <w:rPr>
          <w:rFonts w:hint="eastAsia" w:ascii="宋体" w:hAnsi="宋体" w:cs="宋体"/>
          <w:b/>
          <w:bCs/>
          <w:color w:val="auto"/>
          <w:sz w:val="32"/>
          <w:szCs w:val="32"/>
          <w:highlight w:val="none"/>
        </w:rPr>
        <w:t>合同主要条款</w:t>
      </w:r>
    </w:p>
    <w:p w14:paraId="2ECBA34B">
      <w:pPr>
        <w:ind w:firstLine="1"/>
        <w:jc w:val="center"/>
        <w:rPr>
          <w:rFonts w:ascii="宋体" w:hAnsi="宋体" w:cs="宋体"/>
          <w:b/>
          <w:color w:val="auto"/>
          <w:sz w:val="28"/>
          <w:szCs w:val="28"/>
          <w:highlight w:val="none"/>
        </w:rPr>
      </w:pPr>
      <w:r>
        <w:rPr>
          <w:rFonts w:hint="eastAsia" w:ascii="宋体" w:hAnsi="宋体" w:cs="宋体"/>
          <w:b/>
          <w:color w:val="auto"/>
          <w:sz w:val="28"/>
          <w:szCs w:val="28"/>
          <w:highlight w:val="none"/>
        </w:rPr>
        <w:t xml:space="preserve">  采购合同书（仅供参考）</w:t>
      </w:r>
    </w:p>
    <w:p w14:paraId="1C4823DA">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（本合同仅作示范文本，具体以双方签订的正式合同为准）</w:t>
      </w:r>
    </w:p>
    <w:p w14:paraId="0AB43B3C">
      <w:pPr>
        <w:autoSpaceDE/>
        <w:autoSpaceDN/>
        <w:snapToGrid w:val="0"/>
        <w:spacing w:line="5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甲方：</w:t>
      </w:r>
      <w:r>
        <w:rPr>
          <w:rFonts w:hint="eastAsia" w:ascii="宋体" w:hAnsi="宋体" w:cs="宋体"/>
          <w:color w:val="auto"/>
          <w:sz w:val="24"/>
          <w:szCs w:val="24"/>
          <w:highlight w:val="none"/>
          <w:lang w:eastAsia="zh-CN"/>
        </w:rPr>
        <w:t>新昌高新技术产业园区管理委员会</w:t>
      </w:r>
    </w:p>
    <w:p w14:paraId="7EAEC0AF">
      <w:pPr>
        <w:autoSpaceDE/>
        <w:autoSpaceDN/>
        <w:snapToGrid w:val="0"/>
        <w:spacing w:line="5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乙方：</w:t>
      </w:r>
    </w:p>
    <w:p w14:paraId="2EB02798">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一、服务项目</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8"/>
        <w:gridCol w:w="4374"/>
        <w:gridCol w:w="1141"/>
        <w:gridCol w:w="1142"/>
        <w:gridCol w:w="1142"/>
      </w:tblGrid>
      <w:tr w14:paraId="73D77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638" w:type="dxa"/>
            <w:tcBorders>
              <w:top w:val="single" w:color="auto" w:sz="4" w:space="0"/>
              <w:left w:val="single" w:color="auto" w:sz="4" w:space="0"/>
              <w:bottom w:val="single" w:color="auto" w:sz="4" w:space="0"/>
              <w:right w:val="single" w:color="auto" w:sz="4" w:space="0"/>
            </w:tcBorders>
            <w:noWrap w:val="0"/>
            <w:vAlign w:val="center"/>
          </w:tcPr>
          <w:p w14:paraId="2A3C6BB7">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服务内容</w:t>
            </w:r>
          </w:p>
        </w:tc>
        <w:tc>
          <w:tcPr>
            <w:tcW w:w="4374" w:type="dxa"/>
            <w:tcBorders>
              <w:top w:val="single" w:color="auto" w:sz="4" w:space="0"/>
              <w:left w:val="single" w:color="auto" w:sz="4" w:space="0"/>
              <w:bottom w:val="single" w:color="auto" w:sz="4" w:space="0"/>
              <w:right w:val="single" w:color="auto" w:sz="4" w:space="0"/>
            </w:tcBorders>
            <w:noWrap w:val="0"/>
            <w:vAlign w:val="center"/>
          </w:tcPr>
          <w:p w14:paraId="798BF6AC">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具体要求</w:t>
            </w:r>
          </w:p>
        </w:tc>
        <w:tc>
          <w:tcPr>
            <w:tcW w:w="1141" w:type="dxa"/>
            <w:tcBorders>
              <w:top w:val="single" w:color="auto" w:sz="4" w:space="0"/>
              <w:left w:val="single" w:color="auto" w:sz="4" w:space="0"/>
              <w:bottom w:val="single" w:color="auto" w:sz="4" w:space="0"/>
              <w:right w:val="single" w:color="auto" w:sz="4" w:space="0"/>
            </w:tcBorders>
            <w:noWrap w:val="0"/>
            <w:vAlign w:val="center"/>
          </w:tcPr>
          <w:p w14:paraId="4F1492CE">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数量</w:t>
            </w:r>
          </w:p>
        </w:tc>
        <w:tc>
          <w:tcPr>
            <w:tcW w:w="1142" w:type="dxa"/>
            <w:tcBorders>
              <w:top w:val="single" w:color="auto" w:sz="4" w:space="0"/>
              <w:left w:val="single" w:color="auto" w:sz="4" w:space="0"/>
              <w:bottom w:val="single" w:color="auto" w:sz="4" w:space="0"/>
              <w:right w:val="single" w:color="auto" w:sz="4" w:space="0"/>
            </w:tcBorders>
            <w:noWrap w:val="0"/>
            <w:vAlign w:val="center"/>
          </w:tcPr>
          <w:p w14:paraId="5C7BAFDC">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单价</w:t>
            </w:r>
          </w:p>
        </w:tc>
        <w:tc>
          <w:tcPr>
            <w:tcW w:w="1142" w:type="dxa"/>
            <w:tcBorders>
              <w:top w:val="single" w:color="auto" w:sz="4" w:space="0"/>
              <w:left w:val="single" w:color="auto" w:sz="4" w:space="0"/>
              <w:bottom w:val="single" w:color="auto" w:sz="4" w:space="0"/>
              <w:right w:val="single" w:color="auto" w:sz="4" w:space="0"/>
            </w:tcBorders>
            <w:noWrap w:val="0"/>
            <w:vAlign w:val="center"/>
          </w:tcPr>
          <w:p w14:paraId="1414735B">
            <w:pPr>
              <w:pStyle w:val="12"/>
              <w:snapToGrid w:val="0"/>
              <w:spacing w:line="380" w:lineRule="exact"/>
              <w:ind w:left="-108"/>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总价</w:t>
            </w:r>
          </w:p>
        </w:tc>
      </w:tr>
      <w:tr w14:paraId="7AF78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638" w:type="dxa"/>
            <w:tcBorders>
              <w:top w:val="single" w:color="auto" w:sz="4" w:space="0"/>
              <w:left w:val="single" w:color="auto" w:sz="4" w:space="0"/>
              <w:bottom w:val="single" w:color="auto" w:sz="4" w:space="0"/>
              <w:right w:val="single" w:color="auto" w:sz="4" w:space="0"/>
            </w:tcBorders>
            <w:noWrap w:val="0"/>
            <w:vAlign w:val="center"/>
          </w:tcPr>
          <w:p w14:paraId="5F282BC5">
            <w:pPr>
              <w:pStyle w:val="31"/>
              <w:spacing w:line="380" w:lineRule="exact"/>
              <w:jc w:val="center"/>
              <w:rPr>
                <w:rFonts w:hint="eastAsia" w:ascii="新宋体" w:hAnsi="新宋体" w:eastAsia="新宋体" w:cs="新宋体"/>
                <w:color w:val="auto"/>
                <w:szCs w:val="24"/>
                <w:highlight w:val="none"/>
              </w:rPr>
            </w:pPr>
          </w:p>
        </w:tc>
        <w:tc>
          <w:tcPr>
            <w:tcW w:w="4374" w:type="dxa"/>
            <w:tcBorders>
              <w:top w:val="single" w:color="auto" w:sz="4" w:space="0"/>
              <w:left w:val="single" w:color="auto" w:sz="4" w:space="0"/>
              <w:bottom w:val="single" w:color="auto" w:sz="4" w:space="0"/>
              <w:right w:val="single" w:color="auto" w:sz="4" w:space="0"/>
            </w:tcBorders>
            <w:noWrap w:val="0"/>
            <w:vAlign w:val="center"/>
          </w:tcPr>
          <w:p w14:paraId="2B99A0FB">
            <w:pPr>
              <w:spacing w:line="380" w:lineRule="exact"/>
              <w:jc w:val="center"/>
              <w:rPr>
                <w:rFonts w:hint="eastAsia" w:ascii="新宋体" w:hAnsi="新宋体" w:eastAsia="新宋体" w:cs="新宋体"/>
                <w:color w:val="auto"/>
                <w:sz w:val="24"/>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14:paraId="234EAAA2">
            <w:pPr>
              <w:spacing w:line="380" w:lineRule="exact"/>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0020631D">
            <w:pPr>
              <w:spacing w:line="380" w:lineRule="exact"/>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24378EB5">
            <w:pPr>
              <w:spacing w:line="380" w:lineRule="exact"/>
              <w:jc w:val="center"/>
              <w:rPr>
                <w:rFonts w:hint="eastAsia" w:ascii="新宋体" w:hAnsi="新宋体" w:eastAsia="新宋体" w:cs="新宋体"/>
                <w:color w:val="auto"/>
                <w:sz w:val="24"/>
                <w:highlight w:val="none"/>
              </w:rPr>
            </w:pPr>
          </w:p>
        </w:tc>
      </w:tr>
      <w:tr w14:paraId="500D1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638" w:type="dxa"/>
            <w:tcBorders>
              <w:top w:val="single" w:color="auto" w:sz="4" w:space="0"/>
              <w:left w:val="single" w:color="auto" w:sz="4" w:space="0"/>
              <w:bottom w:val="single" w:color="auto" w:sz="4" w:space="0"/>
              <w:right w:val="single" w:color="auto" w:sz="4" w:space="0"/>
            </w:tcBorders>
            <w:noWrap w:val="0"/>
            <w:vAlign w:val="center"/>
          </w:tcPr>
          <w:p w14:paraId="2AD6A5CB">
            <w:pPr>
              <w:pStyle w:val="31"/>
              <w:spacing w:line="380" w:lineRule="exact"/>
              <w:jc w:val="center"/>
              <w:rPr>
                <w:rFonts w:hint="eastAsia" w:ascii="新宋体" w:hAnsi="新宋体" w:eastAsia="新宋体" w:cs="新宋体"/>
                <w:color w:val="auto"/>
                <w:szCs w:val="24"/>
                <w:highlight w:val="none"/>
              </w:rPr>
            </w:pPr>
          </w:p>
        </w:tc>
        <w:tc>
          <w:tcPr>
            <w:tcW w:w="4374" w:type="dxa"/>
            <w:tcBorders>
              <w:top w:val="single" w:color="auto" w:sz="4" w:space="0"/>
              <w:left w:val="single" w:color="auto" w:sz="4" w:space="0"/>
              <w:bottom w:val="single" w:color="auto" w:sz="4" w:space="0"/>
              <w:right w:val="single" w:color="auto" w:sz="4" w:space="0"/>
            </w:tcBorders>
            <w:noWrap w:val="0"/>
            <w:vAlign w:val="center"/>
          </w:tcPr>
          <w:p w14:paraId="68B5DA39">
            <w:pPr>
              <w:spacing w:line="380" w:lineRule="exact"/>
              <w:jc w:val="center"/>
              <w:rPr>
                <w:rFonts w:hint="eastAsia" w:ascii="新宋体" w:hAnsi="新宋体" w:eastAsia="新宋体" w:cs="新宋体"/>
                <w:color w:val="auto"/>
                <w:sz w:val="24"/>
                <w:highlight w:val="none"/>
              </w:rPr>
            </w:pPr>
          </w:p>
        </w:tc>
        <w:tc>
          <w:tcPr>
            <w:tcW w:w="1141" w:type="dxa"/>
            <w:tcBorders>
              <w:top w:val="single" w:color="auto" w:sz="4" w:space="0"/>
              <w:left w:val="single" w:color="auto" w:sz="4" w:space="0"/>
              <w:bottom w:val="single" w:color="auto" w:sz="4" w:space="0"/>
              <w:right w:val="single" w:color="auto" w:sz="4" w:space="0"/>
            </w:tcBorders>
            <w:noWrap w:val="0"/>
            <w:vAlign w:val="center"/>
          </w:tcPr>
          <w:p w14:paraId="0FE9BA02">
            <w:pPr>
              <w:spacing w:line="380" w:lineRule="exact"/>
              <w:ind w:firstLine="240" w:firstLineChars="100"/>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6CDAEB4C">
            <w:pPr>
              <w:spacing w:line="380" w:lineRule="exact"/>
              <w:jc w:val="center"/>
              <w:rPr>
                <w:rFonts w:hint="eastAsia" w:ascii="新宋体" w:hAnsi="新宋体" w:eastAsia="新宋体" w:cs="新宋体"/>
                <w:color w:val="auto"/>
                <w:sz w:val="24"/>
                <w:highlight w:val="none"/>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14:paraId="36CB180A">
            <w:pPr>
              <w:pStyle w:val="31"/>
              <w:spacing w:line="380" w:lineRule="exact"/>
              <w:jc w:val="center"/>
              <w:rPr>
                <w:rFonts w:hint="eastAsia" w:ascii="新宋体" w:hAnsi="新宋体" w:eastAsia="新宋体" w:cs="新宋体"/>
                <w:color w:val="auto"/>
                <w:szCs w:val="24"/>
                <w:highlight w:val="none"/>
              </w:rPr>
            </w:pPr>
          </w:p>
        </w:tc>
      </w:tr>
      <w:tr w14:paraId="08AB1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6012" w:type="dxa"/>
            <w:gridSpan w:val="2"/>
            <w:tcBorders>
              <w:top w:val="single" w:color="auto" w:sz="4" w:space="0"/>
              <w:left w:val="single" w:color="auto" w:sz="4" w:space="0"/>
              <w:bottom w:val="single" w:color="auto" w:sz="4" w:space="0"/>
              <w:right w:val="single" w:color="auto" w:sz="4" w:space="0"/>
            </w:tcBorders>
            <w:noWrap w:val="0"/>
            <w:vAlign w:val="top"/>
          </w:tcPr>
          <w:p w14:paraId="7EED99EA">
            <w:pPr>
              <w:pStyle w:val="12"/>
              <w:snapToGrid w:val="0"/>
              <w:spacing w:line="380" w:lineRule="exact"/>
              <w:jc w:val="center"/>
              <w:rPr>
                <w:rFonts w:hint="eastAsia" w:ascii="新宋体" w:hAnsi="新宋体" w:eastAsia="新宋体" w:cs="新宋体"/>
                <w:szCs w:val="24"/>
                <w:highlight w:val="none"/>
              </w:rPr>
            </w:pPr>
            <w:r>
              <w:rPr>
                <w:rFonts w:hint="eastAsia" w:ascii="新宋体" w:hAnsi="新宋体" w:eastAsia="新宋体" w:cs="新宋体"/>
                <w:szCs w:val="24"/>
                <w:highlight w:val="none"/>
              </w:rPr>
              <w:t>合计</w:t>
            </w:r>
          </w:p>
        </w:tc>
        <w:tc>
          <w:tcPr>
            <w:tcW w:w="1141" w:type="dxa"/>
            <w:tcBorders>
              <w:top w:val="single" w:color="auto" w:sz="4" w:space="0"/>
              <w:left w:val="single" w:color="auto" w:sz="4" w:space="0"/>
              <w:bottom w:val="single" w:color="auto" w:sz="4" w:space="0"/>
              <w:right w:val="single" w:color="auto" w:sz="4" w:space="0"/>
            </w:tcBorders>
            <w:noWrap w:val="0"/>
            <w:vAlign w:val="top"/>
          </w:tcPr>
          <w:p w14:paraId="03630AD9">
            <w:pPr>
              <w:pStyle w:val="12"/>
              <w:snapToGrid w:val="0"/>
              <w:spacing w:line="380" w:lineRule="exact"/>
              <w:jc w:val="center"/>
              <w:rPr>
                <w:rFonts w:hint="eastAsia" w:ascii="新宋体" w:hAnsi="新宋体" w:eastAsia="新宋体" w:cs="新宋体"/>
                <w:szCs w:val="24"/>
                <w:highlight w:val="none"/>
              </w:rPr>
            </w:pPr>
          </w:p>
        </w:tc>
        <w:tc>
          <w:tcPr>
            <w:tcW w:w="2284" w:type="dxa"/>
            <w:gridSpan w:val="2"/>
            <w:tcBorders>
              <w:top w:val="single" w:color="auto" w:sz="4" w:space="0"/>
              <w:left w:val="single" w:color="auto" w:sz="4" w:space="0"/>
              <w:bottom w:val="single" w:color="auto" w:sz="4" w:space="0"/>
              <w:right w:val="single" w:color="auto" w:sz="4" w:space="0"/>
            </w:tcBorders>
            <w:noWrap w:val="0"/>
            <w:vAlign w:val="top"/>
          </w:tcPr>
          <w:p w14:paraId="0BCFB40C">
            <w:pPr>
              <w:pStyle w:val="31"/>
              <w:spacing w:line="380" w:lineRule="exact"/>
              <w:rPr>
                <w:rFonts w:hint="eastAsia" w:ascii="新宋体" w:hAnsi="新宋体" w:eastAsia="新宋体" w:cs="新宋体"/>
                <w:color w:val="auto"/>
                <w:szCs w:val="24"/>
                <w:highlight w:val="none"/>
              </w:rPr>
            </w:pPr>
          </w:p>
        </w:tc>
      </w:tr>
    </w:tbl>
    <w:p w14:paraId="706540C0">
      <w:pPr>
        <w:pStyle w:val="12"/>
        <w:snapToGrid w:val="0"/>
        <w:spacing w:before="120" w:after="120" w:line="380" w:lineRule="exact"/>
        <w:rPr>
          <w:rFonts w:hint="eastAsia" w:eastAsia="新宋体"/>
          <w:highlight w:val="none"/>
        </w:rPr>
      </w:pPr>
      <w:r>
        <w:rPr>
          <w:rFonts w:hint="eastAsia" w:ascii="新宋体" w:hAnsi="新宋体" w:eastAsia="新宋体" w:cs="新宋体"/>
          <w:szCs w:val="24"/>
          <w:highlight w:val="none"/>
        </w:rPr>
        <w:t>注：本表格不能详列的请另附清单。</w:t>
      </w:r>
    </w:p>
    <w:p w14:paraId="23B0BB2F">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二、合同金额</w:t>
      </w:r>
    </w:p>
    <w:p w14:paraId="5DD006D7">
      <w:pPr>
        <w:pStyle w:val="12"/>
        <w:snapToGrid w:val="0"/>
        <w:spacing w:before="120" w:after="120" w:line="380" w:lineRule="exact"/>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 本合同金额为（大写）：人民币___________________元（</w:t>
      </w:r>
      <w:r>
        <w:rPr>
          <w:rFonts w:ascii="新宋体" w:hAnsi="新宋体" w:eastAsia="新宋体" w:cs="新宋体"/>
          <w:highlight w:val="none"/>
        </w:rPr>
        <w:t>¥</w:t>
      </w:r>
      <w:r>
        <w:rPr>
          <w:rFonts w:hint="eastAsia" w:ascii="新宋体" w:hAnsi="新宋体" w:eastAsia="新宋体" w:cs="新宋体"/>
          <w:szCs w:val="24"/>
          <w:highlight w:val="none"/>
        </w:rPr>
        <w:t>___________元）。</w:t>
      </w:r>
    </w:p>
    <w:p w14:paraId="0CF7CD6A">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三、技术资料</w:t>
      </w:r>
    </w:p>
    <w:p w14:paraId="0299BB07">
      <w:pPr>
        <w:pStyle w:val="12"/>
        <w:snapToGrid w:val="0"/>
        <w:spacing w:before="120" w:after="120" w:line="380" w:lineRule="exact"/>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1.乙方应按招标文件规定的时间向甲方提供有关技术资料。</w:t>
      </w:r>
    </w:p>
    <w:p w14:paraId="59A46EBB">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BB0533B">
      <w:pPr>
        <w:pStyle w:val="12"/>
        <w:snapToGrid w:val="0"/>
        <w:spacing w:before="120" w:after="120" w:line="380" w:lineRule="exact"/>
        <w:ind w:left="412" w:hanging="412" w:hangingChars="171"/>
        <w:rPr>
          <w:rFonts w:hint="eastAsia" w:ascii="新宋体" w:hAnsi="新宋体" w:eastAsia="新宋体" w:cs="新宋体"/>
          <w:b/>
          <w:szCs w:val="24"/>
          <w:highlight w:val="none"/>
        </w:rPr>
      </w:pPr>
      <w:r>
        <w:rPr>
          <w:rFonts w:hint="eastAsia" w:ascii="新宋体" w:hAnsi="新宋体" w:eastAsia="新宋体" w:cs="新宋体"/>
          <w:b/>
          <w:szCs w:val="24"/>
          <w:highlight w:val="none"/>
        </w:rPr>
        <w:t>四、知识产权</w:t>
      </w:r>
    </w:p>
    <w:p w14:paraId="64877382">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乙方应保证提供服务过程中不会侵犯任何第三方的知识产权。</w:t>
      </w:r>
    </w:p>
    <w:p w14:paraId="3FD133CC">
      <w:pPr>
        <w:pStyle w:val="12"/>
        <w:snapToGrid w:val="0"/>
        <w:spacing w:before="120" w:after="120" w:line="380" w:lineRule="exact"/>
        <w:rPr>
          <w:rFonts w:hint="default" w:ascii="新宋体" w:hAnsi="新宋体" w:eastAsia="新宋体" w:cs="新宋体"/>
          <w:szCs w:val="24"/>
          <w:highlight w:val="none"/>
          <w:lang w:val="en-US" w:eastAsia="zh-CN"/>
        </w:rPr>
      </w:pPr>
      <w:r>
        <w:rPr>
          <w:rFonts w:hint="eastAsia" w:ascii="新宋体" w:hAnsi="新宋体" w:eastAsia="新宋体" w:cs="新宋体"/>
          <w:b/>
          <w:szCs w:val="24"/>
          <w:highlight w:val="none"/>
        </w:rPr>
        <w:t>五、履约保证金</w:t>
      </w:r>
      <w:r>
        <w:rPr>
          <w:rFonts w:hint="eastAsia" w:ascii="新宋体" w:hAnsi="新宋体" w:eastAsia="新宋体" w:cs="新宋体"/>
          <w:b/>
          <w:szCs w:val="24"/>
          <w:highlight w:val="none"/>
          <w:lang w:eastAsia="zh-CN"/>
        </w:rPr>
        <w:t>：</w:t>
      </w:r>
      <w:r>
        <w:rPr>
          <w:rFonts w:hint="eastAsia" w:ascii="新宋体" w:hAnsi="新宋体" w:eastAsia="新宋体" w:cs="新宋体"/>
          <w:b/>
          <w:szCs w:val="24"/>
          <w:highlight w:val="none"/>
          <w:lang w:val="en-US" w:eastAsia="zh-CN"/>
        </w:rPr>
        <w:t>无</w:t>
      </w:r>
    </w:p>
    <w:p w14:paraId="04B39258">
      <w:pPr>
        <w:pStyle w:val="12"/>
        <w:snapToGrid w:val="0"/>
        <w:spacing w:before="120" w:after="120" w:line="380" w:lineRule="exact"/>
        <w:ind w:left="410" w:hanging="410" w:hangingChars="170"/>
        <w:rPr>
          <w:rFonts w:hint="eastAsia" w:ascii="新宋体" w:hAnsi="新宋体" w:eastAsia="新宋体" w:cs="新宋体"/>
          <w:b/>
          <w:szCs w:val="24"/>
          <w:highlight w:val="none"/>
        </w:rPr>
      </w:pPr>
      <w:r>
        <w:rPr>
          <w:rFonts w:hint="eastAsia" w:ascii="新宋体" w:hAnsi="新宋体" w:eastAsia="新宋体" w:cs="新宋体"/>
          <w:b/>
          <w:szCs w:val="24"/>
          <w:highlight w:val="none"/>
        </w:rPr>
        <w:t>六、转包或分包</w:t>
      </w:r>
    </w:p>
    <w:p w14:paraId="3F657857">
      <w:pPr>
        <w:snapToGrid w:val="0"/>
        <w:spacing w:before="156" w:beforeLines="50" w:after="156" w:afterLines="50" w:line="380" w:lineRule="exact"/>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1.乙方不得将本合同转包其他供应商履行。</w:t>
      </w:r>
    </w:p>
    <w:p w14:paraId="6678DA43">
      <w:pPr>
        <w:snapToGrid w:val="0"/>
        <w:spacing w:before="156" w:beforeLines="50" w:after="156" w:afterLines="50" w:line="380" w:lineRule="exact"/>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2.经甲方同意，乙方可以依法采取分包方式履行合同，但项目的主体、关键性工作不得分包。接受分包的供应商应当具备相应的资格条件，并不得再次分包。合同分包履行的，乙方应当就采购项目和分包项目向甲方负责，分包供应商就分包项目承担连带责任。</w:t>
      </w:r>
    </w:p>
    <w:p w14:paraId="486A4C00">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七、合同履行时间、履行方式及履行地点</w:t>
      </w:r>
    </w:p>
    <w:p w14:paraId="5CAF0075">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1.</w:t>
      </w:r>
      <w:r>
        <w:rPr>
          <w:rFonts w:hint="eastAsia" w:ascii="新宋体" w:hAnsi="新宋体" w:eastAsia="新宋体" w:cs="新宋体"/>
          <w:szCs w:val="24"/>
          <w:highlight w:val="none"/>
        </w:rPr>
        <w:t>履行时间</w:t>
      </w:r>
      <w:r>
        <w:rPr>
          <w:rFonts w:hint="eastAsia" w:ascii="新宋体" w:hAnsi="新宋体" w:eastAsia="新宋体" w:cs="新宋体"/>
          <w:bCs/>
          <w:szCs w:val="24"/>
          <w:highlight w:val="none"/>
        </w:rPr>
        <w:t>：</w:t>
      </w:r>
    </w:p>
    <w:p w14:paraId="35E9A0B2">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2.</w:t>
      </w:r>
      <w:r>
        <w:rPr>
          <w:rFonts w:hint="eastAsia" w:ascii="新宋体" w:hAnsi="新宋体" w:eastAsia="新宋体" w:cs="新宋体"/>
          <w:szCs w:val="24"/>
          <w:highlight w:val="none"/>
        </w:rPr>
        <w:t>履行方式</w:t>
      </w:r>
      <w:r>
        <w:rPr>
          <w:rFonts w:hint="eastAsia" w:ascii="新宋体" w:hAnsi="新宋体" w:eastAsia="新宋体" w:cs="新宋体"/>
          <w:bCs/>
          <w:szCs w:val="24"/>
          <w:highlight w:val="none"/>
        </w:rPr>
        <w:t>：</w:t>
      </w:r>
    </w:p>
    <w:p w14:paraId="34677045">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bCs/>
          <w:szCs w:val="24"/>
          <w:highlight w:val="none"/>
        </w:rPr>
        <w:t>3.</w:t>
      </w:r>
      <w:r>
        <w:rPr>
          <w:rFonts w:hint="eastAsia" w:ascii="新宋体" w:hAnsi="新宋体" w:eastAsia="新宋体" w:cs="新宋体"/>
          <w:szCs w:val="24"/>
          <w:highlight w:val="none"/>
        </w:rPr>
        <w:t>履行地点</w:t>
      </w:r>
      <w:r>
        <w:rPr>
          <w:rFonts w:hint="eastAsia" w:ascii="新宋体" w:hAnsi="新宋体" w:eastAsia="新宋体" w:cs="新宋体"/>
          <w:bCs/>
          <w:szCs w:val="24"/>
          <w:highlight w:val="none"/>
        </w:rPr>
        <w:t>：</w:t>
      </w:r>
    </w:p>
    <w:p w14:paraId="39708DE8">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bCs/>
          <w:szCs w:val="24"/>
          <w:highlight w:val="none"/>
        </w:rPr>
        <w:t>八、</w:t>
      </w:r>
      <w:r>
        <w:rPr>
          <w:rFonts w:hint="eastAsia" w:ascii="新宋体" w:hAnsi="新宋体" w:eastAsia="新宋体" w:cs="新宋体"/>
          <w:b/>
          <w:szCs w:val="24"/>
          <w:highlight w:val="none"/>
        </w:rPr>
        <w:t>验收标准及方式</w:t>
      </w:r>
    </w:p>
    <w:p w14:paraId="4FB0A427">
      <w:pPr>
        <w:pStyle w:val="12"/>
        <w:snapToGrid w:val="0"/>
        <w:spacing w:before="120" w:after="120" w:line="380" w:lineRule="exact"/>
        <w:rPr>
          <w:rFonts w:hint="eastAsia" w:ascii="新宋体" w:hAnsi="新宋体" w:eastAsia="新宋体" w:cs="新宋体"/>
          <w:b/>
          <w:bCs/>
          <w:szCs w:val="24"/>
          <w:highlight w:val="none"/>
        </w:rPr>
      </w:pPr>
      <w:r>
        <w:rPr>
          <w:rFonts w:hint="eastAsia" w:ascii="新宋体" w:hAnsi="新宋体" w:eastAsia="新宋体" w:cs="新宋体"/>
          <w:b/>
          <w:bCs/>
          <w:szCs w:val="24"/>
          <w:highlight w:val="none"/>
        </w:rPr>
        <w:t>九、款项支付</w:t>
      </w:r>
    </w:p>
    <w:p w14:paraId="04BA61A4">
      <w:pPr>
        <w:pStyle w:val="12"/>
        <w:snapToGrid w:val="0"/>
        <w:spacing w:before="120" w:after="120" w:line="380" w:lineRule="exact"/>
        <w:rPr>
          <w:rFonts w:hint="eastAsia" w:ascii="新宋体" w:hAnsi="新宋体" w:eastAsia="新宋体" w:cs="新宋体"/>
          <w:bCs/>
          <w:szCs w:val="24"/>
          <w:highlight w:val="none"/>
        </w:rPr>
      </w:pPr>
      <w:r>
        <w:rPr>
          <w:rFonts w:hint="eastAsia" w:ascii="新宋体" w:hAnsi="新宋体" w:eastAsia="新宋体" w:cs="新宋体"/>
          <w:bCs/>
          <w:szCs w:val="24"/>
          <w:highlight w:val="none"/>
        </w:rPr>
        <w:t xml:space="preserve"> 付款方式：合同签订并具备实施条件后7个工作日内支付合同额50%的预付款，第二年年末支付合同价款的40%，第三年支付合同价款的10%。</w:t>
      </w:r>
    </w:p>
    <w:p w14:paraId="089DC1A6">
      <w:pPr>
        <w:snapToGrid w:val="0"/>
        <w:spacing w:before="156" w:beforeLines="50" w:after="156" w:afterLines="50" w:line="380" w:lineRule="exact"/>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t>十、税费</w:t>
      </w:r>
    </w:p>
    <w:p w14:paraId="35951AFB">
      <w:pPr>
        <w:snapToGrid w:val="0"/>
        <w:spacing w:before="156" w:beforeLines="50" w:after="156" w:afterLines="50" w:line="380" w:lineRule="exact"/>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本合同执行中相关的一切税费均由乙方负担。</w:t>
      </w:r>
    </w:p>
    <w:p w14:paraId="07E32762">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十一、质量保证及验收标准</w:t>
      </w:r>
    </w:p>
    <w:p w14:paraId="3A58449B">
      <w:pPr>
        <w:pStyle w:val="12"/>
        <w:snapToGrid w:val="0"/>
        <w:spacing w:before="120" w:after="120" w:line="380" w:lineRule="exact"/>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1.乙方应按要求向甲方提供服务。</w:t>
      </w:r>
    </w:p>
    <w:p w14:paraId="4790BCEA">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2.如在使用过程中发生问题，乙方在接到甲方通知后在△小时内到达甲方现场。</w:t>
      </w:r>
    </w:p>
    <w:p w14:paraId="3425A437">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szCs w:val="24"/>
          <w:highlight w:val="none"/>
        </w:rPr>
        <w:t>3.在</w:t>
      </w:r>
      <w:r>
        <w:rPr>
          <w:rFonts w:hint="eastAsia" w:ascii="新宋体" w:hAnsi="新宋体" w:eastAsia="新宋体" w:cs="新宋体"/>
          <w:bCs/>
          <w:szCs w:val="24"/>
          <w:highlight w:val="none"/>
        </w:rPr>
        <w:t>服务质量保证期内</w:t>
      </w:r>
      <w:r>
        <w:rPr>
          <w:rFonts w:hint="eastAsia" w:ascii="新宋体" w:hAnsi="新宋体" w:eastAsia="新宋体" w:cs="新宋体"/>
          <w:szCs w:val="24"/>
          <w:highlight w:val="none"/>
        </w:rPr>
        <w:t>，乙方应对出现的质量及安全问题负责处理解决并承担一切费用。</w:t>
      </w:r>
    </w:p>
    <w:p w14:paraId="0559A984">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十二、违约责任</w:t>
      </w:r>
    </w:p>
    <w:p w14:paraId="4E07283C">
      <w:pPr>
        <w:pStyle w:val="12"/>
        <w:snapToGrid w:val="0"/>
        <w:spacing w:line="360" w:lineRule="auto"/>
        <w:ind w:left="410" w:hanging="410" w:hangingChars="171"/>
        <w:rPr>
          <w:rFonts w:hint="eastAsia" w:ascii="新宋体" w:hAnsi="新宋体" w:eastAsia="新宋体" w:cs="新宋体"/>
          <w:szCs w:val="24"/>
          <w:highlight w:val="none"/>
        </w:rPr>
      </w:pPr>
      <w:r>
        <w:rPr>
          <w:rFonts w:hint="eastAsia" w:ascii="新宋体" w:hAnsi="新宋体" w:eastAsia="新宋体" w:cs="新宋体"/>
          <w:szCs w:val="24"/>
          <w:highlight w:val="none"/>
        </w:rPr>
        <w:t>1.甲方无正当理由拒收接受服务的，甲方向乙方偿付合同款项百分之五作为违约金。</w:t>
      </w:r>
    </w:p>
    <w:p w14:paraId="43552FBF">
      <w:pPr>
        <w:pStyle w:val="12"/>
        <w:snapToGrid w:val="0"/>
        <w:spacing w:line="360" w:lineRule="auto"/>
        <w:rPr>
          <w:rFonts w:hint="eastAsia" w:ascii="新宋体" w:hAnsi="新宋体" w:eastAsia="新宋体" w:cs="新宋体"/>
          <w:szCs w:val="24"/>
          <w:highlight w:val="none"/>
        </w:rPr>
      </w:pPr>
      <w:r>
        <w:rPr>
          <w:rFonts w:hint="eastAsia" w:ascii="新宋体" w:hAnsi="新宋体" w:eastAsia="新宋体" w:cs="新宋体"/>
          <w:szCs w:val="24"/>
          <w:highlight w:val="none"/>
        </w:rPr>
        <w:t>2.甲方无故逾期验收和办理款项支付手续的,甲方应按逾期付款总额每日万分之五向乙方支付违约金。</w:t>
      </w:r>
    </w:p>
    <w:p w14:paraId="17F24044">
      <w:pPr>
        <w:pStyle w:val="12"/>
        <w:snapToGrid w:val="0"/>
        <w:spacing w:line="360" w:lineRule="auto"/>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2579E370">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十三、不可抗力事件处理</w:t>
      </w:r>
    </w:p>
    <w:p w14:paraId="01804753">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1.在合同有效期内，任何一方因不可抗力事件导致不能履行合同，则合同履行期可延长，其延长期与不可抗力影响期相同。</w:t>
      </w:r>
    </w:p>
    <w:p w14:paraId="24328E10">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2.不可抗力事件发生后，应立即通知对方。</w:t>
      </w:r>
    </w:p>
    <w:p w14:paraId="33489DDD">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3.不可抗力事件延续120天以上，双方应通过友好协商，确定是否继续履行合同。</w:t>
      </w:r>
    </w:p>
    <w:p w14:paraId="50C26E2C">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十四、诉讼</w:t>
      </w:r>
    </w:p>
    <w:p w14:paraId="787F9164">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双方在执行合同中所发生的一切争议，应通过协商解决。如协商不成，可向甲方所在地法院起诉。</w:t>
      </w:r>
    </w:p>
    <w:p w14:paraId="7495519A">
      <w:pPr>
        <w:pStyle w:val="12"/>
        <w:snapToGrid w:val="0"/>
        <w:spacing w:before="120" w:after="120" w:line="380" w:lineRule="exact"/>
        <w:rPr>
          <w:rFonts w:hint="eastAsia" w:ascii="新宋体" w:hAnsi="新宋体" w:eastAsia="新宋体" w:cs="新宋体"/>
          <w:b/>
          <w:szCs w:val="24"/>
          <w:highlight w:val="none"/>
        </w:rPr>
      </w:pPr>
      <w:r>
        <w:rPr>
          <w:rFonts w:hint="eastAsia" w:ascii="新宋体" w:hAnsi="新宋体" w:eastAsia="新宋体" w:cs="新宋体"/>
          <w:b/>
          <w:szCs w:val="24"/>
          <w:highlight w:val="none"/>
        </w:rPr>
        <w:t>十五、合同生效及其它</w:t>
      </w:r>
    </w:p>
    <w:p w14:paraId="3F51764A">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1.合同经双方法定代表人或授权代表签字并加盖单位公章后生效。</w:t>
      </w:r>
    </w:p>
    <w:p w14:paraId="67E6428E">
      <w:pPr>
        <w:pStyle w:val="12"/>
        <w:snapToGrid w:val="0"/>
        <w:spacing w:before="120" w:after="120" w:line="38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2.项目（采购编号：             ）采购文件以及采购响应文件、询标纪要、“承诺书”等是本合同不可分割的组成部分，本合同未尽事宜从其规定。其它按《民法典》有关条文执行。</w:t>
      </w:r>
    </w:p>
    <w:p w14:paraId="22A3996E">
      <w:pPr>
        <w:pStyle w:val="12"/>
        <w:snapToGrid w:val="0"/>
        <w:spacing w:before="120" w:after="120" w:line="360" w:lineRule="auto"/>
        <w:rPr>
          <w:rFonts w:hint="eastAsia" w:ascii="新宋体" w:hAnsi="新宋体" w:eastAsia="新宋体" w:cs="新宋体"/>
          <w:szCs w:val="24"/>
          <w:highlight w:val="none"/>
        </w:rPr>
      </w:pPr>
      <w:r>
        <w:rPr>
          <w:rFonts w:hint="eastAsia" w:ascii="新宋体" w:hAnsi="新宋体" w:eastAsia="新宋体" w:cs="新宋体"/>
          <w:szCs w:val="24"/>
          <w:highlight w:val="none"/>
        </w:rPr>
        <w:t>3.本合同一式陆份，具有同等法律效力，甲方叁份，乙方贰份；一份代理机构存档。</w:t>
      </w:r>
    </w:p>
    <w:p w14:paraId="5FBD7744">
      <w:pPr>
        <w:pStyle w:val="12"/>
        <w:snapToGrid w:val="0"/>
        <w:spacing w:before="120" w:after="120" w:line="360" w:lineRule="auto"/>
        <w:ind w:left="480" w:hanging="480" w:hangingChars="200"/>
        <w:rPr>
          <w:rFonts w:hint="eastAsia" w:ascii="新宋体" w:hAnsi="新宋体" w:eastAsia="新宋体" w:cs="新宋体"/>
          <w:szCs w:val="24"/>
          <w:highlight w:val="none"/>
        </w:rPr>
      </w:pPr>
    </w:p>
    <w:p w14:paraId="43D7B4FA">
      <w:pPr>
        <w:pStyle w:val="12"/>
        <w:snapToGrid w:val="0"/>
        <w:spacing w:before="120" w:after="120" w:line="360" w:lineRule="auto"/>
        <w:ind w:left="480" w:hanging="480" w:hangingChars="200"/>
        <w:rPr>
          <w:rFonts w:hint="eastAsia" w:ascii="新宋体" w:hAnsi="新宋体" w:eastAsia="新宋体" w:cs="新宋体"/>
          <w:szCs w:val="24"/>
          <w:highlight w:val="none"/>
        </w:rPr>
      </w:pPr>
      <w:r>
        <w:rPr>
          <w:rFonts w:hint="eastAsia" w:ascii="新宋体" w:hAnsi="新宋体" w:eastAsia="新宋体" w:cs="新宋体"/>
          <w:szCs w:val="24"/>
          <w:highlight w:val="none"/>
        </w:rPr>
        <w:t>甲方（公章）：                               乙方（公章）：</w:t>
      </w:r>
    </w:p>
    <w:p w14:paraId="5ABDBEA6">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法定代表人或受委托人 （签字）               法定代表人或受委托人（签字） </w:t>
      </w:r>
    </w:p>
    <w:p w14:paraId="29AACB57">
      <w:pPr>
        <w:pStyle w:val="12"/>
        <w:snapToGrid w:val="0"/>
        <w:spacing w:line="330" w:lineRule="exact"/>
        <w:ind w:firstLine="600" w:firstLineChars="250"/>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                                     </w:t>
      </w:r>
    </w:p>
    <w:p w14:paraId="4AAEC5A1">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地址：                                       地址： </w:t>
      </w:r>
    </w:p>
    <w:p w14:paraId="62912821">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邮编：                                       邮编：  </w:t>
      </w:r>
    </w:p>
    <w:p w14:paraId="080CC680">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电话：                                       电话：</w:t>
      </w:r>
    </w:p>
    <w:p w14:paraId="2603AFD0">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传真：                                       传真：    </w:t>
      </w:r>
    </w:p>
    <w:p w14:paraId="2701F0AC">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开户银行：                                   开户银行：</w:t>
      </w:r>
    </w:p>
    <w:p w14:paraId="32CFCE94">
      <w:pPr>
        <w:pStyle w:val="12"/>
        <w:snapToGrid w:val="0"/>
        <w:spacing w:line="330" w:lineRule="exact"/>
        <w:rPr>
          <w:rFonts w:hint="eastAsia" w:ascii="新宋体" w:hAnsi="新宋体" w:eastAsia="新宋体" w:cs="新宋体"/>
          <w:szCs w:val="24"/>
          <w:highlight w:val="none"/>
        </w:rPr>
      </w:pPr>
      <w:r>
        <w:rPr>
          <w:rFonts w:hint="eastAsia" w:ascii="新宋体" w:hAnsi="新宋体" w:eastAsia="新宋体" w:cs="新宋体"/>
          <w:szCs w:val="24"/>
          <w:highlight w:val="none"/>
        </w:rPr>
        <w:t xml:space="preserve">帐号：                                       帐号：  </w:t>
      </w:r>
    </w:p>
    <w:p w14:paraId="398E83C5">
      <w:pPr>
        <w:pStyle w:val="32"/>
        <w:rPr>
          <w:rFonts w:hint="eastAsia" w:hAnsi="宋体" w:cs="宋体"/>
          <w:color w:val="auto"/>
          <w:highlight w:val="none"/>
        </w:rPr>
      </w:pPr>
    </w:p>
    <w:p w14:paraId="14A0043F">
      <w:pPr>
        <w:pStyle w:val="32"/>
        <w:rPr>
          <w:rFonts w:hint="eastAsia" w:hAnsi="宋体" w:cs="宋体"/>
          <w:color w:val="auto"/>
          <w:highlight w:val="none"/>
        </w:rPr>
      </w:pPr>
    </w:p>
    <w:p w14:paraId="53940AC9">
      <w:pPr>
        <w:rPr>
          <w:color w:val="auto"/>
          <w:highlight w:val="none"/>
        </w:rPr>
      </w:pPr>
    </w:p>
    <w:p w14:paraId="307C8836">
      <w:pPr>
        <w:pStyle w:val="32"/>
        <w:rPr>
          <w:rFonts w:hint="eastAsia" w:hAnsi="宋体" w:cs="宋体"/>
          <w:color w:val="auto"/>
          <w:highlight w:val="none"/>
        </w:rPr>
      </w:pPr>
    </w:p>
    <w:p w14:paraId="601005EC">
      <w:pPr>
        <w:spacing w:line="360" w:lineRule="auto"/>
        <w:jc w:val="center"/>
        <w:rPr>
          <w:rFonts w:hint="eastAsia" w:ascii="宋体" w:hAnsi="宋体" w:cs="宋体"/>
          <w:b/>
          <w:bCs/>
          <w:color w:val="auto"/>
          <w:sz w:val="32"/>
          <w:szCs w:val="32"/>
          <w:highlight w:val="none"/>
        </w:rPr>
      </w:pPr>
    </w:p>
    <w:p w14:paraId="2BC8EDED">
      <w:pPr>
        <w:spacing w:line="360" w:lineRule="auto"/>
        <w:jc w:val="center"/>
        <w:rPr>
          <w:rFonts w:hint="eastAsia" w:ascii="宋体" w:hAnsi="宋体" w:cs="宋体"/>
          <w:b/>
          <w:bCs/>
          <w:color w:val="auto"/>
          <w:sz w:val="32"/>
          <w:szCs w:val="32"/>
          <w:highlight w:val="none"/>
        </w:rPr>
      </w:pPr>
    </w:p>
    <w:p w14:paraId="74E16C89">
      <w:pPr>
        <w:pStyle w:val="32"/>
        <w:rPr>
          <w:rFonts w:hint="eastAsia" w:hAnsi="宋体" w:cs="宋体"/>
          <w:color w:val="auto"/>
          <w:highlight w:val="none"/>
        </w:rPr>
      </w:pPr>
    </w:p>
    <w:p w14:paraId="0827FE16">
      <w:pPr>
        <w:spacing w:line="360" w:lineRule="auto"/>
        <w:jc w:val="center"/>
        <w:rPr>
          <w:rFonts w:hint="eastAsia" w:ascii="宋体" w:hAnsi="宋体" w:cs="宋体"/>
          <w:b/>
          <w:bCs/>
          <w:color w:val="auto"/>
          <w:sz w:val="32"/>
          <w:szCs w:val="32"/>
          <w:highlight w:val="none"/>
        </w:rPr>
      </w:pPr>
    </w:p>
    <w:p w14:paraId="59A33137">
      <w:pPr>
        <w:spacing w:line="360" w:lineRule="auto"/>
        <w:jc w:val="center"/>
        <w:rPr>
          <w:rFonts w:hint="eastAsia" w:ascii="宋体" w:hAnsi="宋体" w:cs="宋体"/>
          <w:b/>
          <w:bCs/>
          <w:color w:val="auto"/>
          <w:sz w:val="32"/>
          <w:szCs w:val="32"/>
          <w:highlight w:val="none"/>
        </w:rPr>
      </w:pPr>
    </w:p>
    <w:p w14:paraId="6EDE6B0D">
      <w:pPr>
        <w:spacing w:line="360" w:lineRule="auto"/>
        <w:rPr>
          <w:rFonts w:hint="eastAsia" w:ascii="宋体" w:hAnsi="宋体" w:cs="宋体"/>
          <w:bCs/>
          <w:color w:val="auto"/>
          <w:sz w:val="44"/>
          <w:szCs w:val="44"/>
          <w:highlight w:val="none"/>
        </w:rPr>
      </w:pPr>
    </w:p>
    <w:p w14:paraId="4E8674A4">
      <w:pPr>
        <w:spacing w:line="360" w:lineRule="auto"/>
        <w:jc w:val="center"/>
        <w:rPr>
          <w:rFonts w:hint="eastAsia" w:ascii="宋体" w:hAnsi="宋体" w:cs="宋体"/>
          <w:bCs/>
          <w:color w:val="auto"/>
          <w:sz w:val="44"/>
          <w:szCs w:val="44"/>
          <w:highlight w:val="none"/>
        </w:rPr>
      </w:pPr>
    </w:p>
    <w:p w14:paraId="40A1EFC5">
      <w:pPr>
        <w:spacing w:line="360" w:lineRule="auto"/>
        <w:jc w:val="center"/>
        <w:rPr>
          <w:rFonts w:ascii="宋体" w:hAnsi="宋体" w:cs="宋体"/>
          <w:bCs/>
          <w:color w:val="auto"/>
          <w:sz w:val="44"/>
          <w:szCs w:val="44"/>
          <w:highlight w:val="none"/>
        </w:rPr>
      </w:pPr>
      <w:r>
        <w:rPr>
          <w:rFonts w:hint="eastAsia" w:ascii="宋体" w:hAnsi="宋体" w:cs="宋体"/>
          <w:bCs/>
          <w:color w:val="auto"/>
          <w:sz w:val="44"/>
          <w:szCs w:val="44"/>
          <w:highlight w:val="none"/>
        </w:rPr>
        <w:t>第四章　投标文件格式</w:t>
      </w:r>
    </w:p>
    <w:p w14:paraId="48D88EE3">
      <w:pPr>
        <w:widowControl/>
        <w:spacing w:line="360" w:lineRule="auto"/>
        <w:rPr>
          <w:rFonts w:ascii="宋体" w:hAnsi="宋体" w:cs="宋体"/>
          <w:b/>
          <w:color w:val="auto"/>
          <w:sz w:val="36"/>
          <w:szCs w:val="36"/>
          <w:highlight w:val="none"/>
        </w:rPr>
      </w:pPr>
      <w:r>
        <w:rPr>
          <w:rFonts w:hint="eastAsia" w:ascii="宋体" w:hAnsi="宋体" w:cs="宋体"/>
          <w:b/>
          <w:color w:val="auto"/>
          <w:sz w:val="36"/>
          <w:szCs w:val="36"/>
          <w:highlight w:val="none"/>
        </w:rPr>
        <w:t>评分索引表</w:t>
      </w:r>
    </w:p>
    <w:p w14:paraId="5B4A5319">
      <w:pPr>
        <w:widowControl/>
        <w:spacing w:line="360" w:lineRule="auto"/>
        <w:rPr>
          <w:rFonts w:ascii="宋体" w:hAnsi="宋体" w:cs="宋体"/>
          <w:b/>
          <w:color w:val="auto"/>
          <w:sz w:val="36"/>
          <w:szCs w:val="36"/>
          <w:highlight w:val="none"/>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80"/>
        <w:gridCol w:w="4110"/>
        <w:gridCol w:w="1276"/>
        <w:gridCol w:w="1251"/>
      </w:tblGrid>
      <w:tr w14:paraId="10FF6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bottom w:val="single" w:color="auto" w:sz="4" w:space="0"/>
              <w:right w:val="single" w:color="auto" w:sz="4" w:space="0"/>
            </w:tcBorders>
            <w:noWrap/>
            <w:vAlign w:val="center"/>
          </w:tcPr>
          <w:p w14:paraId="20C4FEC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评分内容</w:t>
            </w:r>
          </w:p>
        </w:tc>
        <w:tc>
          <w:tcPr>
            <w:tcW w:w="4110" w:type="dxa"/>
            <w:tcBorders>
              <w:top w:val="single" w:color="auto" w:sz="4" w:space="0"/>
              <w:left w:val="single" w:color="auto" w:sz="4" w:space="0"/>
              <w:bottom w:val="single" w:color="auto" w:sz="4" w:space="0"/>
              <w:right w:val="single" w:color="auto" w:sz="4" w:space="0"/>
            </w:tcBorders>
            <w:noWrap/>
            <w:vAlign w:val="center"/>
          </w:tcPr>
          <w:p w14:paraId="6535D0F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评议要点</w:t>
            </w:r>
          </w:p>
        </w:tc>
        <w:tc>
          <w:tcPr>
            <w:tcW w:w="1276" w:type="dxa"/>
            <w:tcBorders>
              <w:top w:val="single" w:color="auto" w:sz="4" w:space="0"/>
              <w:left w:val="single" w:color="auto" w:sz="4" w:space="0"/>
              <w:bottom w:val="single" w:color="auto" w:sz="4" w:space="0"/>
              <w:right w:val="single" w:color="auto" w:sz="4" w:space="0"/>
            </w:tcBorders>
            <w:noWrap/>
            <w:vAlign w:val="center"/>
          </w:tcPr>
          <w:p w14:paraId="48A0FCB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自评分</w:t>
            </w:r>
          </w:p>
        </w:tc>
        <w:tc>
          <w:tcPr>
            <w:tcW w:w="1251" w:type="dxa"/>
            <w:tcBorders>
              <w:top w:val="single" w:color="auto" w:sz="4" w:space="0"/>
              <w:left w:val="single" w:color="auto" w:sz="4" w:space="0"/>
              <w:bottom w:val="single" w:color="auto" w:sz="4" w:space="0"/>
              <w:right w:val="single" w:color="auto" w:sz="4" w:space="0"/>
            </w:tcBorders>
            <w:noWrap/>
            <w:vAlign w:val="center"/>
          </w:tcPr>
          <w:p w14:paraId="27637E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索引</w:t>
            </w:r>
          </w:p>
        </w:tc>
      </w:tr>
      <w:tr w14:paraId="4636F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660CEEA2">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2B8E8CFC">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09653D04">
            <w:pPr>
              <w:spacing w:line="360" w:lineRule="auto"/>
              <w:rPr>
                <w:rFonts w:ascii="宋体" w:hAnsi="宋体" w:cs="宋体"/>
                <w:color w:val="auto"/>
                <w:sz w:val="24"/>
                <w:highlight w:val="none"/>
              </w:rPr>
            </w:pPr>
          </w:p>
        </w:tc>
        <w:tc>
          <w:tcPr>
            <w:tcW w:w="1251" w:type="dxa"/>
            <w:tcBorders>
              <w:top w:val="single" w:color="auto" w:sz="4" w:space="0"/>
              <w:left w:val="single" w:color="auto" w:sz="4" w:space="0"/>
              <w:right w:val="single" w:color="auto" w:sz="4" w:space="0"/>
            </w:tcBorders>
            <w:noWrap/>
            <w:vAlign w:val="center"/>
          </w:tcPr>
          <w:p w14:paraId="5D7D4719">
            <w:pPr>
              <w:spacing w:line="360" w:lineRule="auto"/>
              <w:rPr>
                <w:rFonts w:ascii="宋体" w:hAnsi="宋体" w:cs="宋体"/>
                <w:color w:val="auto"/>
                <w:sz w:val="24"/>
                <w:highlight w:val="none"/>
              </w:rPr>
            </w:pPr>
          </w:p>
        </w:tc>
      </w:tr>
      <w:tr w14:paraId="6C945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133546C2">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4091E45B">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45C0D440">
            <w:pPr>
              <w:spacing w:line="360" w:lineRule="auto"/>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1440CC70">
            <w:pPr>
              <w:spacing w:line="360" w:lineRule="auto"/>
              <w:rPr>
                <w:rFonts w:ascii="宋体" w:hAnsi="宋体" w:cs="宋体"/>
                <w:color w:val="auto"/>
                <w:sz w:val="24"/>
                <w:highlight w:val="none"/>
              </w:rPr>
            </w:pPr>
          </w:p>
        </w:tc>
      </w:tr>
      <w:tr w14:paraId="2FA1E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bottom w:val="single" w:color="auto" w:sz="4" w:space="0"/>
              <w:right w:val="single" w:color="auto" w:sz="4" w:space="0"/>
            </w:tcBorders>
            <w:noWrap/>
            <w:vAlign w:val="center"/>
          </w:tcPr>
          <w:p w14:paraId="20ABE587">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7C3AA733">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52AC30F1">
            <w:pPr>
              <w:spacing w:line="360" w:lineRule="auto"/>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39078AC2">
            <w:pPr>
              <w:spacing w:line="360" w:lineRule="auto"/>
              <w:rPr>
                <w:rFonts w:ascii="宋体" w:hAnsi="宋体" w:cs="宋体"/>
                <w:color w:val="auto"/>
                <w:sz w:val="24"/>
                <w:highlight w:val="none"/>
              </w:rPr>
            </w:pPr>
          </w:p>
        </w:tc>
      </w:tr>
      <w:tr w14:paraId="72B91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4EF4B700">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01D6DF56">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6ECFA31E">
            <w:pPr>
              <w:spacing w:line="360" w:lineRule="auto"/>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3CBD478F">
            <w:pPr>
              <w:spacing w:line="360" w:lineRule="auto"/>
              <w:rPr>
                <w:rFonts w:ascii="宋体" w:hAnsi="宋体" w:cs="宋体"/>
                <w:color w:val="auto"/>
                <w:sz w:val="24"/>
                <w:highlight w:val="none"/>
              </w:rPr>
            </w:pPr>
          </w:p>
        </w:tc>
      </w:tr>
      <w:tr w14:paraId="539A6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bottom w:val="single" w:color="auto" w:sz="4" w:space="0"/>
              <w:right w:val="single" w:color="auto" w:sz="4" w:space="0"/>
            </w:tcBorders>
            <w:noWrap/>
            <w:vAlign w:val="center"/>
          </w:tcPr>
          <w:p w14:paraId="03CA3DDD">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0AC882BF">
            <w:pPr>
              <w:spacing w:line="360" w:lineRule="auto"/>
              <w:jc w:val="left"/>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29B72B26">
            <w:pPr>
              <w:spacing w:line="360" w:lineRule="auto"/>
              <w:jc w:val="left"/>
              <w:rPr>
                <w:rFonts w:ascii="宋体" w:hAnsi="宋体" w:cs="宋体"/>
                <w:color w:val="auto"/>
                <w:sz w:val="24"/>
                <w:highlight w:val="none"/>
              </w:rPr>
            </w:pPr>
          </w:p>
        </w:tc>
        <w:tc>
          <w:tcPr>
            <w:tcW w:w="1251" w:type="dxa"/>
            <w:tcBorders>
              <w:top w:val="single" w:color="auto" w:sz="4" w:space="0"/>
              <w:left w:val="single" w:color="auto" w:sz="4" w:space="0"/>
              <w:bottom w:val="single" w:color="auto" w:sz="4" w:space="0"/>
              <w:right w:val="single" w:color="auto" w:sz="4" w:space="0"/>
            </w:tcBorders>
            <w:noWrap/>
            <w:vAlign w:val="center"/>
          </w:tcPr>
          <w:p w14:paraId="329B0C32">
            <w:pPr>
              <w:spacing w:line="360" w:lineRule="auto"/>
              <w:rPr>
                <w:rFonts w:ascii="宋体" w:hAnsi="宋体" w:cs="宋体"/>
                <w:color w:val="auto"/>
                <w:sz w:val="24"/>
                <w:highlight w:val="none"/>
              </w:rPr>
            </w:pPr>
          </w:p>
        </w:tc>
      </w:tr>
      <w:tr w14:paraId="5FF5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3CBC7342">
            <w:pPr>
              <w:spacing w:line="360" w:lineRule="auto"/>
              <w:rPr>
                <w:rFonts w:ascii="宋体" w:hAnsi="宋体" w:cs="宋体"/>
                <w:color w:val="auto"/>
                <w:sz w:val="24"/>
                <w:highlight w:val="none"/>
              </w:rPr>
            </w:pPr>
          </w:p>
        </w:tc>
        <w:tc>
          <w:tcPr>
            <w:tcW w:w="4110" w:type="dxa"/>
            <w:tcBorders>
              <w:top w:val="single" w:color="auto" w:sz="4" w:space="0"/>
              <w:left w:val="single" w:color="auto" w:sz="4" w:space="0"/>
              <w:right w:val="single" w:color="auto" w:sz="4" w:space="0"/>
            </w:tcBorders>
            <w:noWrap/>
            <w:vAlign w:val="center"/>
          </w:tcPr>
          <w:p w14:paraId="7A4CA184">
            <w:pPr>
              <w:spacing w:line="360" w:lineRule="auto"/>
              <w:jc w:val="left"/>
              <w:rPr>
                <w:rFonts w:ascii="宋体" w:hAnsi="宋体" w:cs="宋体"/>
                <w:color w:val="auto"/>
                <w:sz w:val="24"/>
                <w:highlight w:val="none"/>
              </w:rPr>
            </w:pPr>
          </w:p>
        </w:tc>
        <w:tc>
          <w:tcPr>
            <w:tcW w:w="1276" w:type="dxa"/>
            <w:tcBorders>
              <w:top w:val="single" w:color="auto" w:sz="4" w:space="0"/>
              <w:left w:val="single" w:color="auto" w:sz="4" w:space="0"/>
              <w:right w:val="single" w:color="auto" w:sz="4" w:space="0"/>
            </w:tcBorders>
            <w:noWrap/>
            <w:vAlign w:val="center"/>
          </w:tcPr>
          <w:p w14:paraId="503E041C">
            <w:pPr>
              <w:spacing w:line="360" w:lineRule="auto"/>
              <w:jc w:val="left"/>
              <w:rPr>
                <w:rFonts w:ascii="宋体" w:hAnsi="宋体" w:cs="宋体"/>
                <w:color w:val="auto"/>
                <w:sz w:val="24"/>
                <w:highlight w:val="none"/>
              </w:rPr>
            </w:pPr>
          </w:p>
        </w:tc>
        <w:tc>
          <w:tcPr>
            <w:tcW w:w="1251" w:type="dxa"/>
            <w:tcBorders>
              <w:top w:val="single" w:color="auto" w:sz="4" w:space="0"/>
              <w:left w:val="single" w:color="auto" w:sz="4" w:space="0"/>
              <w:right w:val="single" w:color="auto" w:sz="4" w:space="0"/>
            </w:tcBorders>
            <w:noWrap/>
            <w:vAlign w:val="center"/>
          </w:tcPr>
          <w:p w14:paraId="0F21C4D9">
            <w:pPr>
              <w:spacing w:line="360" w:lineRule="auto"/>
              <w:rPr>
                <w:rFonts w:ascii="宋体" w:hAnsi="宋体" w:cs="宋体"/>
                <w:color w:val="auto"/>
                <w:sz w:val="24"/>
                <w:highlight w:val="none"/>
              </w:rPr>
            </w:pPr>
          </w:p>
        </w:tc>
      </w:tr>
      <w:tr w14:paraId="5773D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580" w:type="dxa"/>
            <w:tcBorders>
              <w:top w:val="single" w:color="auto" w:sz="4" w:space="0"/>
              <w:left w:val="single" w:color="auto" w:sz="4" w:space="0"/>
              <w:right w:val="single" w:color="auto" w:sz="4" w:space="0"/>
            </w:tcBorders>
            <w:noWrap/>
            <w:vAlign w:val="center"/>
          </w:tcPr>
          <w:p w14:paraId="2029DB23">
            <w:pPr>
              <w:spacing w:line="360" w:lineRule="auto"/>
              <w:rPr>
                <w:rFonts w:ascii="宋体" w:hAnsi="宋体" w:cs="宋体"/>
                <w:color w:val="auto"/>
                <w:sz w:val="24"/>
                <w:highlight w:val="none"/>
              </w:rPr>
            </w:pPr>
          </w:p>
        </w:tc>
        <w:tc>
          <w:tcPr>
            <w:tcW w:w="4110" w:type="dxa"/>
            <w:tcBorders>
              <w:top w:val="single" w:color="auto" w:sz="4" w:space="0"/>
              <w:left w:val="single" w:color="auto" w:sz="4" w:space="0"/>
              <w:bottom w:val="single" w:color="auto" w:sz="4" w:space="0"/>
              <w:right w:val="single" w:color="auto" w:sz="4" w:space="0"/>
            </w:tcBorders>
            <w:noWrap/>
            <w:vAlign w:val="center"/>
          </w:tcPr>
          <w:p w14:paraId="1619465F">
            <w:pPr>
              <w:spacing w:line="360" w:lineRule="auto"/>
              <w:rPr>
                <w:rFonts w:ascii="宋体" w:hAnsi="宋体" w:cs="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ign w:val="center"/>
          </w:tcPr>
          <w:p w14:paraId="5110803D">
            <w:pPr>
              <w:spacing w:line="360" w:lineRule="auto"/>
              <w:rPr>
                <w:rFonts w:ascii="宋体" w:hAnsi="宋体" w:cs="宋体"/>
                <w:color w:val="auto"/>
                <w:sz w:val="24"/>
                <w:highlight w:val="none"/>
              </w:rPr>
            </w:pPr>
          </w:p>
        </w:tc>
        <w:tc>
          <w:tcPr>
            <w:tcW w:w="1251" w:type="dxa"/>
            <w:tcBorders>
              <w:top w:val="single" w:color="auto" w:sz="4" w:space="0"/>
              <w:left w:val="single" w:color="auto" w:sz="4" w:space="0"/>
              <w:right w:val="single" w:color="auto" w:sz="4" w:space="0"/>
            </w:tcBorders>
            <w:noWrap/>
            <w:vAlign w:val="center"/>
          </w:tcPr>
          <w:p w14:paraId="66F35C6C">
            <w:pPr>
              <w:spacing w:line="360" w:lineRule="auto"/>
              <w:rPr>
                <w:rFonts w:ascii="宋体" w:hAnsi="宋体" w:cs="宋体"/>
                <w:color w:val="auto"/>
                <w:sz w:val="24"/>
                <w:highlight w:val="none"/>
              </w:rPr>
            </w:pPr>
          </w:p>
        </w:tc>
      </w:tr>
    </w:tbl>
    <w:p w14:paraId="467FDFCD">
      <w:pPr>
        <w:spacing w:line="500" w:lineRule="exact"/>
        <w:jc w:val="center"/>
        <w:rPr>
          <w:rFonts w:ascii="宋体" w:hAnsi="宋体" w:cs="宋体"/>
          <w:b/>
          <w:bCs/>
          <w:color w:val="auto"/>
          <w:sz w:val="44"/>
          <w:szCs w:val="44"/>
          <w:highlight w:val="none"/>
        </w:rPr>
      </w:pPr>
    </w:p>
    <w:p w14:paraId="3AF5DD84">
      <w:pPr>
        <w:snapToGrid w:val="0"/>
        <w:spacing w:line="360" w:lineRule="auto"/>
        <w:rPr>
          <w:rFonts w:ascii="宋体" w:hAnsi="宋体" w:cs="宋体"/>
          <w:b/>
          <w:color w:val="auto"/>
          <w:sz w:val="30"/>
          <w:szCs w:val="30"/>
          <w:highlight w:val="none"/>
        </w:rPr>
      </w:pPr>
      <w:r>
        <w:rPr>
          <w:rFonts w:hint="eastAsia" w:ascii="宋体" w:hAnsi="宋体" w:cs="宋体"/>
          <w:b/>
          <w:color w:val="auto"/>
          <w:sz w:val="30"/>
          <w:szCs w:val="30"/>
          <w:highlight w:val="none"/>
        </w:rPr>
        <w:t>此表请根据投标须知及其前附表中的评标办法及标准商务技术部分得分表，每个得分项按顺序分行列出。自评表</w:t>
      </w:r>
      <w:r>
        <w:rPr>
          <w:rFonts w:hint="eastAsia" w:ascii="宋体" w:hAnsi="宋体" w:cs="宋体"/>
          <w:b/>
          <w:color w:val="auto"/>
          <w:sz w:val="30"/>
          <w:szCs w:val="30"/>
          <w:highlight w:val="none"/>
          <w:lang w:val="en-US" w:eastAsia="zh-CN"/>
        </w:rPr>
        <w:t>放</w:t>
      </w:r>
      <w:r>
        <w:rPr>
          <w:rFonts w:hint="eastAsia" w:ascii="宋体" w:hAnsi="宋体" w:cs="宋体"/>
          <w:b/>
          <w:color w:val="auto"/>
          <w:sz w:val="30"/>
          <w:szCs w:val="30"/>
          <w:highlight w:val="none"/>
        </w:rPr>
        <w:t>在投标文件商务技术文件第一章或商务技术文件目录前）</w:t>
      </w:r>
    </w:p>
    <w:p w14:paraId="345C2225">
      <w:pPr>
        <w:widowControl/>
        <w:spacing w:line="500" w:lineRule="atLeast"/>
        <w:jc w:val="center"/>
        <w:rPr>
          <w:rFonts w:ascii="宋体" w:hAnsi="宋体" w:cs="宋体"/>
          <w:b/>
          <w:bCs/>
          <w:color w:val="auto"/>
          <w:sz w:val="36"/>
          <w:szCs w:val="36"/>
          <w:highlight w:val="none"/>
        </w:rPr>
      </w:pPr>
    </w:p>
    <w:bookmarkEnd w:id="14"/>
    <w:p w14:paraId="18883093">
      <w:pPr>
        <w:spacing w:line="360" w:lineRule="auto"/>
        <w:rPr>
          <w:rFonts w:ascii="宋体" w:hAnsi="宋体" w:cs="宋体"/>
          <w:color w:val="auto"/>
          <w:sz w:val="24"/>
          <w:highlight w:val="none"/>
        </w:rPr>
      </w:pPr>
    </w:p>
    <w:p w14:paraId="779C1B7B">
      <w:pPr>
        <w:spacing w:line="360" w:lineRule="auto"/>
        <w:rPr>
          <w:rFonts w:ascii="宋体" w:hAnsi="宋体" w:cs="宋体"/>
          <w:color w:val="auto"/>
          <w:sz w:val="24"/>
          <w:highlight w:val="none"/>
        </w:rPr>
      </w:pPr>
    </w:p>
    <w:p w14:paraId="5031295A">
      <w:pPr>
        <w:spacing w:line="360" w:lineRule="auto"/>
        <w:rPr>
          <w:rFonts w:ascii="宋体" w:hAnsi="宋体" w:cs="宋体"/>
          <w:color w:val="auto"/>
          <w:sz w:val="24"/>
          <w:highlight w:val="none"/>
        </w:rPr>
      </w:pPr>
    </w:p>
    <w:p w14:paraId="71EDCCC3">
      <w:pPr>
        <w:spacing w:line="360" w:lineRule="auto"/>
        <w:rPr>
          <w:rFonts w:ascii="宋体" w:hAnsi="宋体" w:cs="宋体"/>
          <w:color w:val="auto"/>
          <w:sz w:val="24"/>
          <w:highlight w:val="none"/>
        </w:rPr>
      </w:pPr>
    </w:p>
    <w:p w14:paraId="462352EB">
      <w:pPr>
        <w:spacing w:line="360" w:lineRule="auto"/>
        <w:rPr>
          <w:rFonts w:ascii="宋体" w:hAnsi="宋体" w:cs="宋体"/>
          <w:color w:val="auto"/>
          <w:sz w:val="24"/>
          <w:highlight w:val="none"/>
        </w:rPr>
      </w:pPr>
    </w:p>
    <w:p w14:paraId="5F655497">
      <w:pPr>
        <w:spacing w:line="360" w:lineRule="auto"/>
        <w:rPr>
          <w:rFonts w:ascii="宋体" w:hAnsi="宋体" w:cs="宋体"/>
          <w:color w:val="auto"/>
          <w:sz w:val="24"/>
          <w:highlight w:val="none"/>
        </w:rPr>
      </w:pPr>
    </w:p>
    <w:p w14:paraId="162DE547">
      <w:pPr>
        <w:spacing w:line="360" w:lineRule="auto"/>
        <w:rPr>
          <w:rFonts w:ascii="宋体" w:hAnsi="宋体" w:cs="宋体"/>
          <w:color w:val="auto"/>
          <w:sz w:val="24"/>
          <w:highlight w:val="none"/>
        </w:rPr>
      </w:pPr>
    </w:p>
    <w:p w14:paraId="426D1C16">
      <w:pPr>
        <w:spacing w:line="360" w:lineRule="auto"/>
        <w:rPr>
          <w:rFonts w:ascii="宋体" w:hAnsi="宋体" w:cs="宋体"/>
          <w:color w:val="auto"/>
          <w:sz w:val="24"/>
          <w:highlight w:val="none"/>
        </w:rPr>
      </w:pPr>
    </w:p>
    <w:p w14:paraId="2CFEA843">
      <w:pPr>
        <w:spacing w:line="360" w:lineRule="auto"/>
        <w:rPr>
          <w:rFonts w:ascii="宋体" w:hAnsi="宋体" w:cs="宋体"/>
          <w:color w:val="auto"/>
          <w:sz w:val="24"/>
          <w:highlight w:val="none"/>
        </w:rPr>
      </w:pPr>
    </w:p>
    <w:p w14:paraId="7E50E4A2">
      <w:pPr>
        <w:spacing w:line="360" w:lineRule="auto"/>
        <w:rPr>
          <w:rFonts w:ascii="宋体" w:hAnsi="宋体" w:cs="宋体"/>
          <w:color w:val="auto"/>
          <w:sz w:val="24"/>
          <w:highlight w:val="none"/>
        </w:rPr>
      </w:pPr>
      <w:r>
        <w:rPr>
          <w:rFonts w:hint="eastAsia" w:ascii="宋体" w:hAnsi="宋体" w:cs="宋体"/>
          <w:color w:val="auto"/>
          <w:sz w:val="24"/>
          <w:highlight w:val="none"/>
        </w:rPr>
        <w:t>格式一</w:t>
      </w:r>
    </w:p>
    <w:p w14:paraId="43865B23">
      <w:pPr>
        <w:spacing w:line="500" w:lineRule="exact"/>
        <w:jc w:val="center"/>
        <w:rPr>
          <w:rFonts w:ascii="宋体" w:hAnsi="宋体" w:cs="宋体"/>
          <w:color w:val="auto"/>
          <w:sz w:val="36"/>
          <w:szCs w:val="36"/>
          <w:highlight w:val="none"/>
        </w:rPr>
      </w:pPr>
      <w:r>
        <w:rPr>
          <w:rFonts w:hint="eastAsia" w:ascii="宋体" w:hAnsi="宋体" w:cs="宋体"/>
          <w:b/>
          <w:bCs/>
          <w:color w:val="auto"/>
          <w:sz w:val="36"/>
          <w:szCs w:val="36"/>
          <w:highlight w:val="none"/>
        </w:rPr>
        <w:t>投标函</w:t>
      </w:r>
    </w:p>
    <w:p w14:paraId="6C9E3ACA">
      <w:pPr>
        <w:spacing w:line="440" w:lineRule="exact"/>
        <w:rPr>
          <w:rFonts w:ascii="宋体" w:hAnsi="宋体" w:cs="宋体"/>
          <w:color w:val="auto"/>
          <w:sz w:val="24"/>
          <w:highlight w:val="none"/>
          <w:u w:val="single"/>
        </w:rPr>
      </w:pPr>
      <w:r>
        <w:rPr>
          <w:rFonts w:hint="eastAsia" w:ascii="宋体" w:hAnsi="宋体" w:cs="宋体"/>
          <w:color w:val="auto"/>
          <w:sz w:val="24"/>
          <w:highlight w:val="none"/>
          <w:u w:val="single"/>
        </w:rPr>
        <w:t>致：</w:t>
      </w:r>
      <w:r>
        <w:rPr>
          <w:rFonts w:hint="eastAsia" w:ascii="宋体" w:hAnsi="宋体" w:cs="宋体"/>
          <w:color w:val="auto"/>
          <w:sz w:val="24"/>
          <w:highlight w:val="none"/>
          <w:u w:val="single"/>
          <w:lang w:eastAsia="zh-CN"/>
        </w:rPr>
        <w:t>新昌高新技术产业园区管理委员会</w:t>
      </w:r>
      <w:r>
        <w:rPr>
          <w:rFonts w:hint="eastAsia" w:ascii="宋体" w:hAnsi="宋体" w:cs="宋体"/>
          <w:color w:val="auto"/>
          <w:sz w:val="24"/>
          <w:highlight w:val="none"/>
          <w:u w:val="single"/>
        </w:rPr>
        <w:t>：</w:t>
      </w:r>
    </w:p>
    <w:p w14:paraId="451A048B">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我方参加贵公司组织的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项目（项目编号为                      ）招标活动，并对此项目进行投标。为此：</w:t>
      </w:r>
    </w:p>
    <w:p w14:paraId="33C1E14E">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1、我方已详细阅读招标文件，包括招标文件补充文件（如有），完全理解并同意放弃对这方面有不明及误解的权利。</w:t>
      </w:r>
    </w:p>
    <w:p w14:paraId="14D0F98D">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2、我方承诺已经具备《中华人民共和国政府采购法》及招标文件中规定的参加政府采购活动的供应商应当具备的条件。</w:t>
      </w:r>
    </w:p>
    <w:p w14:paraId="3E7B8442">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3、针对该项目，我方的投标总报价见报价文件。</w:t>
      </w:r>
    </w:p>
    <w:p w14:paraId="3B83F76B">
      <w:pPr>
        <w:spacing w:line="440" w:lineRule="exact"/>
        <w:ind w:left="239" w:leftChars="114" w:firstLine="240" w:firstLineChars="100"/>
        <w:rPr>
          <w:rFonts w:ascii="宋体" w:hAnsi="宋体" w:cs="宋体"/>
          <w:color w:val="auto"/>
          <w:sz w:val="24"/>
          <w:highlight w:val="none"/>
        </w:rPr>
      </w:pPr>
      <w:r>
        <w:rPr>
          <w:rFonts w:hint="eastAsia" w:ascii="宋体" w:hAnsi="宋体" w:cs="宋体"/>
          <w:color w:val="auto"/>
          <w:sz w:val="24"/>
          <w:highlight w:val="none"/>
        </w:rPr>
        <w:t>4、我方已提供投标须知规定的全部投标文件，包括中标后提供投标文件正本1份，副本</w:t>
      </w:r>
      <w:r>
        <w:rPr>
          <w:rFonts w:hint="eastAsia" w:ascii="宋体" w:hAnsi="宋体" w:cs="宋体"/>
          <w:color w:val="auto"/>
          <w:sz w:val="24"/>
          <w:highlight w:val="none"/>
          <w:u w:val="single"/>
        </w:rPr>
        <w:t>4</w:t>
      </w:r>
      <w:r>
        <w:rPr>
          <w:rFonts w:hint="eastAsia" w:ascii="宋体" w:hAnsi="宋体" w:cs="宋体"/>
          <w:color w:val="auto"/>
          <w:sz w:val="24"/>
          <w:highlight w:val="none"/>
        </w:rPr>
        <w:t>份。</w:t>
      </w:r>
    </w:p>
    <w:p w14:paraId="7A41D8E2">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5、我方向贵方提供任何与该项投标有关的数据、情况和技术资料都属实。</w:t>
      </w:r>
    </w:p>
    <w:p w14:paraId="44FE18D3">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6、我方在投标过程中将严格遵守《中华人民共和国政府采购法》及招标文件中的其他有关规定。</w:t>
      </w:r>
    </w:p>
    <w:p w14:paraId="5373021A">
      <w:pPr>
        <w:spacing w:line="440" w:lineRule="exact"/>
        <w:ind w:firstLine="3420" w:firstLineChars="1425"/>
        <w:rPr>
          <w:rFonts w:ascii="宋体" w:hAnsi="宋体" w:cs="宋体"/>
          <w:color w:val="auto"/>
          <w:sz w:val="24"/>
          <w:highlight w:val="none"/>
        </w:rPr>
      </w:pPr>
    </w:p>
    <w:p w14:paraId="24D4441A">
      <w:pPr>
        <w:spacing w:line="440" w:lineRule="exact"/>
        <w:ind w:firstLine="3420" w:firstLineChars="1425"/>
        <w:rPr>
          <w:rFonts w:ascii="宋体" w:hAnsi="宋体" w:cs="宋体"/>
          <w:color w:val="auto"/>
          <w:sz w:val="24"/>
          <w:highlight w:val="none"/>
        </w:rPr>
      </w:pPr>
    </w:p>
    <w:p w14:paraId="54F76511">
      <w:pPr>
        <w:spacing w:line="440" w:lineRule="exact"/>
        <w:ind w:firstLine="3420" w:firstLineChars="1425"/>
        <w:rPr>
          <w:rFonts w:ascii="宋体" w:hAnsi="宋体" w:cs="宋体"/>
          <w:color w:val="auto"/>
          <w:sz w:val="24"/>
          <w:highlight w:val="none"/>
        </w:rPr>
      </w:pPr>
    </w:p>
    <w:p w14:paraId="1F0B687E">
      <w:pPr>
        <w:spacing w:line="440" w:lineRule="exact"/>
        <w:rPr>
          <w:rFonts w:ascii="宋体" w:hAnsi="宋体" w:cs="宋体"/>
          <w:color w:val="auto"/>
          <w:sz w:val="24"/>
          <w:highlight w:val="none"/>
        </w:rPr>
      </w:pPr>
    </w:p>
    <w:p w14:paraId="50E410DA">
      <w:pPr>
        <w:spacing w:line="440" w:lineRule="exact"/>
        <w:ind w:firstLine="3420" w:firstLineChars="1425"/>
        <w:rPr>
          <w:rFonts w:ascii="宋体" w:hAnsi="宋体" w:cs="宋体"/>
          <w:color w:val="auto"/>
          <w:sz w:val="24"/>
          <w:highlight w:val="none"/>
        </w:rPr>
      </w:pPr>
      <w:r>
        <w:rPr>
          <w:rFonts w:hint="eastAsia" w:ascii="宋体" w:hAnsi="宋体" w:cs="宋体"/>
          <w:color w:val="auto"/>
          <w:sz w:val="24"/>
          <w:highlight w:val="none"/>
        </w:rPr>
        <w:t>投标人（盖章）：</w:t>
      </w:r>
    </w:p>
    <w:p w14:paraId="58CB38E3">
      <w:pPr>
        <w:spacing w:line="440" w:lineRule="exact"/>
        <w:ind w:firstLine="3420" w:firstLineChars="1425"/>
        <w:rPr>
          <w:rFonts w:ascii="宋体" w:hAnsi="宋体" w:cs="宋体"/>
          <w:color w:val="auto"/>
          <w:sz w:val="24"/>
          <w:highlight w:val="none"/>
        </w:rPr>
      </w:pPr>
    </w:p>
    <w:p w14:paraId="70B5DB19">
      <w:pPr>
        <w:spacing w:line="440" w:lineRule="exact"/>
        <w:ind w:firstLine="3420" w:firstLineChars="1425"/>
        <w:rPr>
          <w:rFonts w:ascii="宋体" w:hAnsi="宋体" w:cs="宋体"/>
          <w:color w:val="auto"/>
          <w:sz w:val="24"/>
          <w:highlight w:val="none"/>
        </w:rPr>
      </w:pPr>
      <w:r>
        <w:rPr>
          <w:rFonts w:hint="eastAsia" w:ascii="宋体" w:hAnsi="宋体" w:cs="宋体"/>
          <w:color w:val="auto"/>
          <w:sz w:val="24"/>
          <w:highlight w:val="none"/>
        </w:rPr>
        <w:t>法定代表人或其授权代表（签字或盖章）：</w:t>
      </w:r>
    </w:p>
    <w:p w14:paraId="3B10C638">
      <w:pPr>
        <w:spacing w:line="440" w:lineRule="exact"/>
        <w:ind w:firstLine="3420" w:firstLineChars="1425"/>
        <w:rPr>
          <w:rFonts w:ascii="宋体" w:hAnsi="宋体" w:cs="宋体"/>
          <w:color w:val="auto"/>
          <w:sz w:val="24"/>
          <w:highlight w:val="none"/>
        </w:rPr>
      </w:pPr>
    </w:p>
    <w:p w14:paraId="5F8C972D">
      <w:pPr>
        <w:spacing w:line="440" w:lineRule="exact"/>
        <w:ind w:firstLine="3420" w:firstLineChars="1425"/>
        <w:rPr>
          <w:rFonts w:ascii="宋体" w:hAnsi="宋体" w:cs="宋体"/>
          <w:color w:val="auto"/>
          <w:sz w:val="24"/>
          <w:highlight w:val="none"/>
        </w:rPr>
      </w:pPr>
      <w:r>
        <w:rPr>
          <w:rFonts w:hint="eastAsia" w:ascii="宋体" w:hAnsi="宋体" w:cs="宋体"/>
          <w:color w:val="auto"/>
          <w:sz w:val="24"/>
          <w:highlight w:val="none"/>
        </w:rPr>
        <w:t>日 期：   年 　月　 日</w:t>
      </w:r>
    </w:p>
    <w:p w14:paraId="146BE95B">
      <w:pPr>
        <w:rPr>
          <w:rFonts w:ascii="宋体" w:hAnsi="宋体" w:cs="宋体"/>
          <w:color w:val="auto"/>
          <w:sz w:val="24"/>
          <w:highlight w:val="none"/>
        </w:rPr>
      </w:pPr>
    </w:p>
    <w:p w14:paraId="4E2340F7">
      <w:pPr>
        <w:pStyle w:val="9"/>
        <w:rPr>
          <w:rFonts w:ascii="宋体" w:hAnsi="宋体" w:cs="宋体"/>
          <w:color w:val="auto"/>
          <w:highlight w:val="none"/>
        </w:rPr>
      </w:pPr>
    </w:p>
    <w:p w14:paraId="7668D82B">
      <w:pPr>
        <w:pStyle w:val="10"/>
        <w:ind w:firstLine="340"/>
        <w:rPr>
          <w:rFonts w:hAnsi="宋体" w:cs="宋体"/>
          <w:color w:val="auto"/>
          <w:highlight w:val="none"/>
        </w:rPr>
      </w:pPr>
    </w:p>
    <w:p w14:paraId="063EA99A">
      <w:pPr>
        <w:pStyle w:val="10"/>
        <w:ind w:firstLine="340"/>
        <w:rPr>
          <w:rFonts w:hAnsi="宋体" w:cs="宋体"/>
          <w:color w:val="auto"/>
          <w:highlight w:val="none"/>
        </w:rPr>
      </w:pPr>
    </w:p>
    <w:p w14:paraId="3AF39B65">
      <w:pPr>
        <w:pStyle w:val="10"/>
        <w:ind w:firstLine="340"/>
        <w:rPr>
          <w:rFonts w:hAnsi="宋体" w:cs="宋体"/>
          <w:color w:val="auto"/>
          <w:highlight w:val="none"/>
        </w:rPr>
      </w:pPr>
    </w:p>
    <w:p w14:paraId="2D4E2BCC">
      <w:pPr>
        <w:pStyle w:val="10"/>
        <w:ind w:firstLine="340"/>
        <w:rPr>
          <w:rFonts w:hAnsi="宋体" w:cs="宋体"/>
          <w:color w:val="auto"/>
          <w:highlight w:val="none"/>
        </w:rPr>
      </w:pPr>
    </w:p>
    <w:p w14:paraId="617CA2E2">
      <w:pPr>
        <w:rPr>
          <w:rFonts w:ascii="宋体" w:hAnsi="宋体" w:cs="宋体"/>
          <w:color w:val="auto"/>
          <w:sz w:val="28"/>
          <w:szCs w:val="28"/>
          <w:highlight w:val="none"/>
        </w:rPr>
      </w:pPr>
      <w:r>
        <w:rPr>
          <w:rFonts w:hint="eastAsia" w:ascii="宋体" w:hAnsi="宋体" w:cs="宋体"/>
          <w:color w:val="auto"/>
          <w:sz w:val="24"/>
          <w:highlight w:val="none"/>
        </w:rPr>
        <w:t>格式二</w:t>
      </w:r>
      <w:r>
        <w:rPr>
          <w:rFonts w:hint="eastAsia" w:ascii="宋体" w:hAnsi="宋体" w:cs="宋体"/>
          <w:b/>
          <w:bCs/>
          <w:color w:val="auto"/>
          <w:sz w:val="28"/>
          <w:szCs w:val="28"/>
          <w:highlight w:val="none"/>
        </w:rPr>
        <w:t>：</w:t>
      </w:r>
    </w:p>
    <w:p w14:paraId="051E7BBF">
      <w:pPr>
        <w:spacing w:line="360" w:lineRule="auto"/>
        <w:rPr>
          <w:rFonts w:ascii="宋体" w:hAnsi="宋体" w:cs="宋体"/>
          <w:b/>
          <w:color w:val="auto"/>
          <w:sz w:val="32"/>
          <w:szCs w:val="32"/>
          <w:highlight w:val="none"/>
        </w:rPr>
      </w:pPr>
      <w:r>
        <w:rPr>
          <w:rFonts w:hint="eastAsia" w:ascii="宋体" w:hAnsi="宋体" w:cs="宋体"/>
          <w:b/>
          <w:bCs/>
          <w:color w:val="auto"/>
          <w:sz w:val="36"/>
          <w:szCs w:val="36"/>
          <w:highlight w:val="none"/>
        </w:rPr>
        <w:t xml:space="preserve">                 二、声明书</w:t>
      </w:r>
    </w:p>
    <w:p w14:paraId="60DC1123">
      <w:pPr>
        <w:spacing w:line="44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新昌高新技术产业园区管理委员会： </w:t>
      </w:r>
    </w:p>
    <w:p w14:paraId="62700254">
      <w:pPr>
        <w:snapToGrid w:val="0"/>
        <w:spacing w:line="360" w:lineRule="auto"/>
        <w:ind w:firstLine="480"/>
        <w:rPr>
          <w:rFonts w:hint="eastAsia" w:ascii="宋体" w:hAnsi="宋体" w:cs="宋体"/>
          <w:color w:val="auto"/>
          <w:sz w:val="24"/>
          <w:highlight w:val="none"/>
          <w:lang w:val="zh-CN"/>
        </w:rPr>
      </w:pPr>
    </w:p>
    <w:p w14:paraId="03690DDB">
      <w:pPr>
        <w:snapToGrid w:val="0"/>
        <w:spacing w:line="360" w:lineRule="auto"/>
        <w:ind w:firstLine="480"/>
        <w:rPr>
          <w:rFonts w:ascii="宋体" w:hAnsi="宋体" w:cs="宋体"/>
          <w:color w:val="auto"/>
          <w:sz w:val="24"/>
          <w:highlight w:val="none"/>
          <w:lang w:val="zh-CN"/>
        </w:rPr>
      </w:pPr>
      <w:r>
        <w:rPr>
          <w:rFonts w:hint="eastAsia" w:ascii="宋体" w:hAnsi="宋体" w:cs="宋体"/>
          <w:color w:val="auto"/>
          <w:sz w:val="24"/>
          <w:highlight w:val="none"/>
          <w:lang w:val="zh-CN"/>
        </w:rPr>
        <w:t>我公司</w:t>
      </w:r>
      <w:r>
        <w:rPr>
          <w:rFonts w:hint="eastAsia" w:ascii="宋体" w:hAnsi="宋体" w:cs="宋体"/>
          <w:color w:val="auto"/>
          <w:sz w:val="24"/>
          <w:highlight w:val="none"/>
        </w:rPr>
        <w:t>声明截止投标时间近三年以来，在全国范围内政府采购领域中，在项目招标、投标和合同履约期间无任何不良行为记录和违法、违规行为</w:t>
      </w:r>
      <w:r>
        <w:rPr>
          <w:rFonts w:hint="eastAsia" w:ascii="宋体" w:hAnsi="宋体" w:cs="宋体"/>
          <w:color w:val="auto"/>
          <w:sz w:val="24"/>
          <w:highlight w:val="none"/>
          <w:lang w:val="zh-CN"/>
        </w:rPr>
        <w:t>。</w:t>
      </w:r>
    </w:p>
    <w:p w14:paraId="54319208">
      <w:pPr>
        <w:wordWrap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我公司自愿参加</w:t>
      </w:r>
      <w:r>
        <w:rPr>
          <w:rFonts w:hint="eastAsia" w:ascii="宋体" w:hAnsi="宋体" w:cs="宋体"/>
          <w:color w:val="auto"/>
          <w:sz w:val="24"/>
          <w:highlight w:val="none"/>
          <w:u w:val="single"/>
          <w:lang w:val="zh-CN"/>
        </w:rPr>
        <w:t xml:space="preserve">新昌高新技术产业园区安全风险整治提升指导服务 </w:t>
      </w:r>
      <w:r>
        <w:rPr>
          <w:rFonts w:hint="eastAsia" w:ascii="宋体" w:hAnsi="宋体" w:cs="宋体"/>
          <w:color w:val="auto"/>
          <w:sz w:val="24"/>
          <w:highlight w:val="none"/>
          <w:lang w:val="zh-CN"/>
        </w:rPr>
        <w:t>的投标，并保证投标文件中所列举的投标报价文件及相关资料和公司基本情况资料是真实的、合法的。</w:t>
      </w:r>
    </w:p>
    <w:p w14:paraId="0C9898C1">
      <w:pPr>
        <w:snapToGrid w:val="0"/>
        <w:spacing w:line="360" w:lineRule="auto"/>
        <w:ind w:firstLine="480"/>
        <w:rPr>
          <w:rFonts w:ascii="宋体" w:hAnsi="宋体" w:cs="宋体"/>
          <w:color w:val="auto"/>
          <w:sz w:val="24"/>
          <w:highlight w:val="none"/>
          <w:lang w:val="zh-CN"/>
        </w:rPr>
      </w:pPr>
      <w:r>
        <w:rPr>
          <w:rFonts w:hint="eastAsia" w:ascii="宋体" w:hAnsi="宋体" w:cs="宋体"/>
          <w:color w:val="auto"/>
          <w:sz w:val="24"/>
          <w:highlight w:val="none"/>
          <w:lang w:val="zh-CN"/>
        </w:rPr>
        <w:t>我公司已详细阅读全部“招标文件”，包括修改文件（如果有）以及全部招标资料和相关附件，并已了解我公司在招投标过程中的权利和义务。</w:t>
      </w:r>
    </w:p>
    <w:p w14:paraId="5F931109">
      <w:pPr>
        <w:snapToGrid w:val="0"/>
        <w:spacing w:line="360" w:lineRule="auto"/>
        <w:ind w:firstLine="480"/>
        <w:rPr>
          <w:rFonts w:ascii="宋体" w:hAnsi="宋体" w:cs="宋体"/>
          <w:color w:val="auto"/>
          <w:sz w:val="24"/>
          <w:highlight w:val="none"/>
        </w:rPr>
      </w:pPr>
      <w:r>
        <w:rPr>
          <w:rFonts w:hint="eastAsia" w:ascii="宋体" w:hAnsi="宋体" w:cs="宋体"/>
          <w:color w:val="auto"/>
          <w:sz w:val="24"/>
          <w:highlight w:val="none"/>
          <w:lang w:val="zh-CN"/>
        </w:rPr>
        <w:t>我公司理解并接受招标文件的各项规定和要求，同意此次招标文件中的各项内容，</w:t>
      </w:r>
      <w:r>
        <w:rPr>
          <w:rFonts w:hint="eastAsia" w:ascii="宋体" w:hAnsi="宋体" w:cs="宋体"/>
          <w:color w:val="auto"/>
          <w:sz w:val="24"/>
          <w:highlight w:val="none"/>
        </w:rPr>
        <w:t>并</w:t>
      </w:r>
      <w:r>
        <w:rPr>
          <w:rFonts w:hint="eastAsia" w:ascii="宋体" w:hAnsi="宋体" w:cs="宋体"/>
          <w:color w:val="auto"/>
          <w:sz w:val="24"/>
          <w:highlight w:val="none"/>
          <w:lang w:val="zh-CN"/>
        </w:rPr>
        <w:t>同意提供按照贵方可能要求的与投标有关的一切数据或资料等。</w:t>
      </w:r>
    </w:p>
    <w:p w14:paraId="51993865">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本公司如中标，保证按照投标文件的承诺与贵方签订协议，保证履行协议、合同条款。</w:t>
      </w:r>
    </w:p>
    <w:p w14:paraId="3458B9E2">
      <w:pPr>
        <w:spacing w:line="360" w:lineRule="auto"/>
        <w:ind w:firstLine="480" w:firstLineChars="200"/>
        <w:rPr>
          <w:rFonts w:ascii="宋体" w:hAnsi="宋体" w:cs="宋体"/>
          <w:color w:val="auto"/>
          <w:sz w:val="24"/>
          <w:highlight w:val="none"/>
        </w:rPr>
      </w:pPr>
    </w:p>
    <w:p w14:paraId="13B1FBF1">
      <w:pPr>
        <w:spacing w:line="360" w:lineRule="auto"/>
        <w:ind w:firstLine="3840" w:firstLineChars="1600"/>
        <w:rPr>
          <w:rFonts w:hint="eastAsia" w:ascii="宋体" w:hAnsi="宋体" w:cs="宋体"/>
          <w:color w:val="auto"/>
          <w:sz w:val="24"/>
          <w:highlight w:val="none"/>
        </w:rPr>
      </w:pPr>
    </w:p>
    <w:p w14:paraId="1FB1F968">
      <w:pPr>
        <w:spacing w:line="360" w:lineRule="auto"/>
        <w:ind w:firstLine="3840" w:firstLineChars="1600"/>
        <w:rPr>
          <w:rFonts w:hint="eastAsia" w:ascii="宋体" w:hAnsi="宋体" w:cs="宋体"/>
          <w:color w:val="auto"/>
          <w:sz w:val="24"/>
          <w:highlight w:val="none"/>
        </w:rPr>
      </w:pPr>
    </w:p>
    <w:p w14:paraId="4CF34A2B">
      <w:pPr>
        <w:spacing w:line="360" w:lineRule="auto"/>
        <w:ind w:firstLine="3840" w:firstLineChars="1600"/>
        <w:rPr>
          <w:rFonts w:ascii="宋体" w:hAnsi="宋体" w:cs="宋体"/>
          <w:color w:val="auto"/>
          <w:sz w:val="24"/>
          <w:highlight w:val="none"/>
        </w:rPr>
      </w:pPr>
      <w:r>
        <w:rPr>
          <w:rFonts w:hint="eastAsia" w:ascii="宋体" w:hAnsi="宋体" w:cs="宋体"/>
          <w:color w:val="auto"/>
          <w:sz w:val="24"/>
          <w:highlight w:val="none"/>
        </w:rPr>
        <w:t xml:space="preserve">投标人名称（公章）：                       </w:t>
      </w:r>
    </w:p>
    <w:p w14:paraId="20CDAB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法定代表人或其授权代表（签字或盖章）：                   </w:t>
      </w:r>
    </w:p>
    <w:p w14:paraId="25B531A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  期：     年  月   日</w:t>
      </w:r>
    </w:p>
    <w:p w14:paraId="0E6D5816">
      <w:pPr>
        <w:spacing w:line="360" w:lineRule="auto"/>
        <w:jc w:val="center"/>
        <w:rPr>
          <w:rFonts w:ascii="宋体" w:hAnsi="宋体" w:cs="宋体"/>
          <w:color w:val="auto"/>
          <w:sz w:val="24"/>
          <w:highlight w:val="none"/>
        </w:rPr>
      </w:pPr>
    </w:p>
    <w:p w14:paraId="4CA6D6B8">
      <w:pPr>
        <w:widowControl/>
        <w:rPr>
          <w:rFonts w:ascii="宋体" w:hAnsi="宋体" w:cs="宋体"/>
          <w:b/>
          <w:bCs/>
          <w:color w:val="auto"/>
          <w:sz w:val="36"/>
          <w:szCs w:val="36"/>
          <w:highlight w:val="none"/>
        </w:rPr>
      </w:pPr>
    </w:p>
    <w:p w14:paraId="4FE970A4">
      <w:pPr>
        <w:widowControl/>
        <w:jc w:val="center"/>
        <w:rPr>
          <w:rFonts w:ascii="宋体" w:hAnsi="宋体" w:cs="宋体"/>
          <w:b/>
          <w:bCs/>
          <w:color w:val="auto"/>
          <w:sz w:val="36"/>
          <w:szCs w:val="36"/>
          <w:highlight w:val="none"/>
        </w:rPr>
      </w:pPr>
    </w:p>
    <w:p w14:paraId="43025CA9">
      <w:pPr>
        <w:widowControl/>
        <w:jc w:val="center"/>
        <w:rPr>
          <w:rFonts w:ascii="宋体" w:hAnsi="宋体" w:cs="宋体"/>
          <w:b/>
          <w:bCs/>
          <w:color w:val="auto"/>
          <w:sz w:val="36"/>
          <w:szCs w:val="36"/>
          <w:highlight w:val="none"/>
        </w:rPr>
      </w:pPr>
    </w:p>
    <w:p w14:paraId="40FC430D">
      <w:pPr>
        <w:rPr>
          <w:rFonts w:ascii="宋体" w:hAnsi="宋体" w:cs="宋体"/>
          <w:color w:val="auto"/>
          <w:sz w:val="24"/>
          <w:highlight w:val="none"/>
        </w:rPr>
      </w:pPr>
    </w:p>
    <w:p w14:paraId="498D10A1">
      <w:pPr>
        <w:ind w:firstLine="240" w:firstLineChars="100"/>
        <w:rPr>
          <w:rFonts w:ascii="宋体" w:hAnsi="宋体" w:cs="宋体"/>
          <w:color w:val="auto"/>
          <w:sz w:val="24"/>
          <w:highlight w:val="none"/>
        </w:rPr>
      </w:pPr>
    </w:p>
    <w:p w14:paraId="0C0D56E5">
      <w:pPr>
        <w:ind w:firstLine="240" w:firstLineChars="100"/>
        <w:rPr>
          <w:rFonts w:hint="eastAsia" w:ascii="宋体" w:hAnsi="宋体" w:cs="宋体"/>
          <w:color w:val="auto"/>
          <w:sz w:val="24"/>
          <w:highlight w:val="none"/>
        </w:rPr>
      </w:pPr>
    </w:p>
    <w:p w14:paraId="165A2571">
      <w:pPr>
        <w:ind w:firstLine="240" w:firstLineChars="100"/>
        <w:rPr>
          <w:rFonts w:hint="eastAsia" w:ascii="宋体" w:hAnsi="宋体" w:cs="宋体"/>
          <w:color w:val="auto"/>
          <w:sz w:val="24"/>
          <w:highlight w:val="none"/>
        </w:rPr>
      </w:pPr>
    </w:p>
    <w:p w14:paraId="7DDA801B">
      <w:pPr>
        <w:ind w:firstLine="240" w:firstLineChars="100"/>
        <w:rPr>
          <w:rFonts w:hint="eastAsia" w:ascii="宋体" w:hAnsi="宋体" w:cs="宋体"/>
          <w:color w:val="auto"/>
          <w:sz w:val="24"/>
          <w:highlight w:val="none"/>
        </w:rPr>
      </w:pPr>
    </w:p>
    <w:p w14:paraId="56BF5049">
      <w:pPr>
        <w:rPr>
          <w:rFonts w:hint="eastAsia" w:ascii="宋体" w:hAnsi="宋体" w:cs="宋体"/>
          <w:color w:val="auto"/>
          <w:sz w:val="24"/>
          <w:highlight w:val="none"/>
        </w:rPr>
      </w:pPr>
    </w:p>
    <w:p w14:paraId="7CDD21A8">
      <w:pPr>
        <w:ind w:firstLine="240" w:firstLineChars="100"/>
        <w:rPr>
          <w:rFonts w:hint="eastAsia" w:ascii="宋体" w:hAnsi="宋体" w:cs="宋体"/>
          <w:color w:val="auto"/>
          <w:sz w:val="24"/>
          <w:highlight w:val="none"/>
        </w:rPr>
      </w:pPr>
    </w:p>
    <w:p w14:paraId="3568E3C8">
      <w:pPr>
        <w:ind w:firstLine="240" w:firstLineChars="100"/>
        <w:rPr>
          <w:rFonts w:ascii="宋体" w:hAnsi="宋体" w:cs="宋体"/>
          <w:color w:val="auto"/>
          <w:sz w:val="24"/>
          <w:highlight w:val="none"/>
        </w:rPr>
      </w:pPr>
      <w:r>
        <w:rPr>
          <w:rFonts w:hint="eastAsia" w:ascii="宋体" w:hAnsi="宋体" w:cs="宋体"/>
          <w:color w:val="auto"/>
          <w:sz w:val="24"/>
          <w:highlight w:val="none"/>
        </w:rPr>
        <w:t>格式三</w:t>
      </w:r>
    </w:p>
    <w:p w14:paraId="7F62C6AF">
      <w:pPr>
        <w:jc w:val="center"/>
        <w:rPr>
          <w:rFonts w:ascii="宋体" w:hAnsi="宋体" w:cs="宋体"/>
          <w:b/>
          <w:bCs/>
          <w:color w:val="auto"/>
          <w:sz w:val="36"/>
          <w:highlight w:val="none"/>
        </w:rPr>
      </w:pPr>
    </w:p>
    <w:p w14:paraId="43772D4A">
      <w:pPr>
        <w:jc w:val="center"/>
        <w:rPr>
          <w:rFonts w:ascii="宋体" w:hAnsi="宋体" w:cs="宋体"/>
          <w:b/>
          <w:bCs/>
          <w:color w:val="auto"/>
          <w:sz w:val="36"/>
          <w:highlight w:val="none"/>
        </w:rPr>
      </w:pPr>
      <w:r>
        <w:rPr>
          <w:rFonts w:hint="eastAsia" w:ascii="宋体" w:hAnsi="宋体" w:cs="宋体"/>
          <w:b/>
          <w:bCs/>
          <w:color w:val="auto"/>
          <w:sz w:val="36"/>
          <w:highlight w:val="none"/>
        </w:rPr>
        <w:t>法定代表人身份证明书</w:t>
      </w:r>
    </w:p>
    <w:p w14:paraId="5F1F3E02">
      <w:pPr>
        <w:spacing w:line="540" w:lineRule="exact"/>
        <w:jc w:val="center"/>
        <w:rPr>
          <w:rFonts w:ascii="宋体" w:hAnsi="宋体" w:cs="宋体"/>
          <w:color w:val="auto"/>
          <w:sz w:val="24"/>
          <w:highlight w:val="none"/>
        </w:rPr>
      </w:pPr>
    </w:p>
    <w:p w14:paraId="1FA65568">
      <w:pPr>
        <w:spacing w:line="540" w:lineRule="exact"/>
        <w:rPr>
          <w:rFonts w:ascii="宋体" w:hAnsi="宋体" w:cs="宋体"/>
          <w:color w:val="auto"/>
          <w:sz w:val="24"/>
          <w:highlight w:val="none"/>
        </w:rPr>
      </w:pPr>
    </w:p>
    <w:p w14:paraId="25205D1B">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｛姓名｝ 　</w:t>
      </w:r>
      <w:r>
        <w:rPr>
          <w:rFonts w:hint="eastAsia" w:ascii="宋体" w:hAnsi="宋体" w:cs="宋体"/>
          <w:color w:val="auto"/>
          <w:sz w:val="24"/>
          <w:highlight w:val="none"/>
        </w:rPr>
        <w:t>，</w:t>
      </w:r>
      <w:r>
        <w:rPr>
          <w:rFonts w:hint="eastAsia" w:ascii="宋体" w:hAnsi="宋体" w:cs="宋体"/>
          <w:color w:val="auto"/>
          <w:sz w:val="24"/>
          <w:highlight w:val="none"/>
          <w:u w:val="single"/>
        </w:rPr>
        <w:t>　｛性别｝　</w:t>
      </w:r>
      <w:r>
        <w:rPr>
          <w:rFonts w:hint="eastAsia" w:ascii="宋体" w:hAnsi="宋体" w:cs="宋体"/>
          <w:color w:val="auto"/>
          <w:sz w:val="24"/>
          <w:highlight w:val="none"/>
        </w:rPr>
        <w:t>，</w:t>
      </w:r>
      <w:r>
        <w:rPr>
          <w:rFonts w:hint="eastAsia" w:ascii="宋体" w:hAnsi="宋体" w:cs="宋体"/>
          <w:color w:val="auto"/>
          <w:sz w:val="24"/>
          <w:highlight w:val="none"/>
          <w:u w:val="single"/>
        </w:rPr>
        <w:t>　｛年龄｝　</w:t>
      </w:r>
      <w:r>
        <w:rPr>
          <w:rFonts w:hint="eastAsia" w:ascii="宋体" w:hAnsi="宋体" w:cs="宋体"/>
          <w:color w:val="auto"/>
          <w:sz w:val="24"/>
          <w:highlight w:val="none"/>
        </w:rPr>
        <w:t>，</w:t>
      </w:r>
      <w:r>
        <w:rPr>
          <w:rFonts w:hint="eastAsia" w:ascii="宋体" w:hAnsi="宋体" w:cs="宋体"/>
          <w:color w:val="auto"/>
          <w:sz w:val="24"/>
          <w:highlight w:val="none"/>
          <w:u w:val="single"/>
        </w:rPr>
        <w:t>　｛职务｝　</w:t>
      </w:r>
      <w:r>
        <w:rPr>
          <w:rFonts w:hint="eastAsia" w:ascii="宋体" w:hAnsi="宋体" w:cs="宋体"/>
          <w:color w:val="auto"/>
          <w:sz w:val="24"/>
          <w:highlight w:val="none"/>
        </w:rPr>
        <w:t>，身份证号码：，系</w:t>
      </w:r>
      <w:r>
        <w:rPr>
          <w:rFonts w:hint="eastAsia" w:ascii="宋体" w:hAnsi="宋体" w:cs="宋体"/>
          <w:color w:val="auto"/>
          <w:sz w:val="24"/>
          <w:highlight w:val="none"/>
          <w:u w:val="single"/>
        </w:rPr>
        <w:t xml:space="preserve">　｛投标人名称｝ </w:t>
      </w:r>
      <w:r>
        <w:rPr>
          <w:rFonts w:hint="eastAsia" w:ascii="宋体" w:hAnsi="宋体" w:cs="宋体"/>
          <w:color w:val="auto"/>
          <w:sz w:val="24"/>
          <w:highlight w:val="none"/>
        </w:rPr>
        <w:t>的法定代表人。</w:t>
      </w:r>
    </w:p>
    <w:p w14:paraId="28BD33D5">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特此证明。</w:t>
      </w:r>
    </w:p>
    <w:p w14:paraId="55BEFB42">
      <w:pPr>
        <w:spacing w:line="540" w:lineRule="exact"/>
        <w:rPr>
          <w:rFonts w:ascii="宋体" w:hAnsi="宋体" w:cs="宋体"/>
          <w:color w:val="auto"/>
          <w:sz w:val="24"/>
          <w:highlight w:val="none"/>
        </w:rPr>
      </w:pPr>
    </w:p>
    <w:p w14:paraId="5B825045">
      <w:pPr>
        <w:spacing w:line="540" w:lineRule="exact"/>
        <w:rPr>
          <w:rFonts w:ascii="宋体" w:hAnsi="宋体" w:cs="宋体"/>
          <w:color w:val="auto"/>
          <w:sz w:val="24"/>
          <w:highlight w:val="none"/>
        </w:rPr>
      </w:pPr>
    </w:p>
    <w:p w14:paraId="130DB6C8">
      <w:pPr>
        <w:spacing w:line="540" w:lineRule="exact"/>
        <w:ind w:firstLine="4200" w:firstLineChars="1750"/>
        <w:rPr>
          <w:rFonts w:ascii="宋体" w:hAnsi="宋体" w:cs="宋体"/>
          <w:color w:val="auto"/>
          <w:sz w:val="24"/>
          <w:highlight w:val="none"/>
        </w:rPr>
      </w:pPr>
      <w:r>
        <w:rPr>
          <w:rFonts w:hint="eastAsia" w:ascii="宋体" w:hAnsi="宋体" w:cs="宋体"/>
          <w:color w:val="auto"/>
          <w:sz w:val="24"/>
          <w:highlight w:val="none"/>
          <w:u w:val="single"/>
        </w:rPr>
        <w:t>　｛投标人名称｝　</w:t>
      </w:r>
      <w:r>
        <w:rPr>
          <w:rFonts w:hint="eastAsia" w:ascii="宋体" w:hAnsi="宋体" w:cs="宋体"/>
          <w:color w:val="auto"/>
          <w:sz w:val="24"/>
          <w:highlight w:val="none"/>
        </w:rPr>
        <w:t>（盖章）</w:t>
      </w:r>
    </w:p>
    <w:p w14:paraId="5E848E02">
      <w:pPr>
        <w:spacing w:line="540" w:lineRule="exact"/>
        <w:ind w:firstLine="5040" w:firstLineChars="2100"/>
        <w:rPr>
          <w:rFonts w:ascii="宋体" w:hAnsi="宋体" w:cs="宋体"/>
          <w:color w:val="auto"/>
          <w:sz w:val="24"/>
          <w:highlight w:val="none"/>
        </w:rPr>
      </w:pPr>
      <w:r>
        <w:rPr>
          <w:rFonts w:hint="eastAsia" w:ascii="宋体" w:hAnsi="宋体" w:cs="宋体"/>
          <w:color w:val="auto"/>
          <w:sz w:val="24"/>
          <w:highlight w:val="none"/>
        </w:rPr>
        <w:t>年    月    日</w:t>
      </w:r>
    </w:p>
    <w:p w14:paraId="1D550AC6">
      <w:pPr>
        <w:spacing w:line="540" w:lineRule="exact"/>
        <w:rPr>
          <w:rFonts w:ascii="宋体" w:hAnsi="宋体" w:cs="宋体"/>
          <w:color w:val="auto"/>
          <w:sz w:val="24"/>
          <w:highlight w:val="none"/>
        </w:rPr>
      </w:pPr>
    </w:p>
    <w:p w14:paraId="3FD33E48">
      <w:pPr>
        <w:spacing w:line="540" w:lineRule="exact"/>
        <w:rPr>
          <w:rFonts w:ascii="宋体" w:hAnsi="宋体" w:cs="宋体"/>
          <w:color w:val="auto"/>
          <w:sz w:val="24"/>
          <w:highlight w:val="none"/>
        </w:rPr>
      </w:pPr>
    </w:p>
    <w:tbl>
      <w:tblPr>
        <w:tblStyle w:val="20"/>
        <w:tblW w:w="0" w:type="auto"/>
        <w:tblInd w:w="146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14:paraId="36AAB885">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noWrap/>
            <w:vAlign w:val="center"/>
          </w:tcPr>
          <w:p w14:paraId="43C5557F">
            <w:pPr>
              <w:jc w:val="center"/>
              <w:rPr>
                <w:rFonts w:ascii="宋体" w:hAnsi="宋体" w:cs="宋体"/>
                <w:color w:val="auto"/>
                <w:sz w:val="24"/>
                <w:highlight w:val="none"/>
              </w:rPr>
            </w:pPr>
            <w:r>
              <w:rPr>
                <w:rFonts w:hint="eastAsia" w:ascii="宋体" w:hAnsi="宋体" w:cs="宋体"/>
                <w:color w:val="auto"/>
                <w:sz w:val="24"/>
                <w:highlight w:val="none"/>
              </w:rPr>
              <w:t>法定代表人身份证复印件（正反面）粘贴处</w:t>
            </w:r>
          </w:p>
        </w:tc>
      </w:tr>
    </w:tbl>
    <w:p w14:paraId="34E061B1">
      <w:pPr>
        <w:rPr>
          <w:rFonts w:ascii="宋体" w:hAnsi="宋体" w:cs="宋体"/>
          <w:color w:val="auto"/>
          <w:sz w:val="24"/>
          <w:highlight w:val="none"/>
        </w:rPr>
      </w:pPr>
    </w:p>
    <w:p w14:paraId="19FE6BC8">
      <w:pPr>
        <w:rPr>
          <w:rFonts w:ascii="宋体" w:hAnsi="宋体" w:cs="宋体"/>
          <w:color w:val="auto"/>
          <w:sz w:val="24"/>
          <w:highlight w:val="none"/>
        </w:rPr>
      </w:pPr>
    </w:p>
    <w:p w14:paraId="44E48460">
      <w:pPr>
        <w:rPr>
          <w:rFonts w:ascii="宋体" w:hAnsi="宋体" w:cs="宋体"/>
          <w:color w:val="auto"/>
          <w:sz w:val="24"/>
          <w:highlight w:val="none"/>
        </w:rPr>
      </w:pPr>
    </w:p>
    <w:p w14:paraId="49F9FFEE">
      <w:pPr>
        <w:rPr>
          <w:rFonts w:ascii="宋体" w:hAnsi="宋体" w:cs="宋体"/>
          <w:color w:val="auto"/>
          <w:sz w:val="24"/>
          <w:highlight w:val="none"/>
        </w:rPr>
      </w:pPr>
    </w:p>
    <w:p w14:paraId="13EDACCD">
      <w:pPr>
        <w:rPr>
          <w:rFonts w:ascii="宋体" w:hAnsi="宋体" w:cs="宋体"/>
          <w:color w:val="auto"/>
          <w:sz w:val="24"/>
          <w:highlight w:val="none"/>
        </w:rPr>
      </w:pPr>
    </w:p>
    <w:p w14:paraId="1167E956">
      <w:pPr>
        <w:spacing w:line="360" w:lineRule="auto"/>
        <w:outlineLvl w:val="1"/>
        <w:rPr>
          <w:rFonts w:ascii="宋体" w:hAnsi="宋体" w:cs="宋体"/>
          <w:color w:val="auto"/>
          <w:sz w:val="24"/>
          <w:szCs w:val="24"/>
          <w:highlight w:val="none"/>
        </w:rPr>
      </w:pPr>
    </w:p>
    <w:p w14:paraId="744D4050">
      <w:pPr>
        <w:spacing w:line="360" w:lineRule="auto"/>
        <w:outlineLvl w:val="1"/>
        <w:rPr>
          <w:rFonts w:ascii="宋体" w:hAnsi="宋体" w:cs="宋体"/>
          <w:color w:val="auto"/>
          <w:sz w:val="24"/>
          <w:szCs w:val="24"/>
          <w:highlight w:val="none"/>
        </w:rPr>
      </w:pPr>
    </w:p>
    <w:p w14:paraId="38B42E3E">
      <w:pPr>
        <w:spacing w:line="360" w:lineRule="auto"/>
        <w:outlineLvl w:val="1"/>
        <w:rPr>
          <w:rFonts w:ascii="宋体" w:hAnsi="宋体" w:cs="宋体"/>
          <w:color w:val="auto"/>
          <w:sz w:val="24"/>
          <w:szCs w:val="24"/>
          <w:highlight w:val="none"/>
        </w:rPr>
      </w:pPr>
    </w:p>
    <w:p w14:paraId="38906EB7">
      <w:pPr>
        <w:ind w:firstLine="240" w:firstLineChars="100"/>
        <w:rPr>
          <w:rFonts w:ascii="宋体" w:hAnsi="宋体" w:cs="宋体"/>
          <w:color w:val="auto"/>
          <w:highlight w:val="none"/>
        </w:rPr>
      </w:pPr>
      <w:r>
        <w:rPr>
          <w:rFonts w:hint="eastAsia" w:ascii="宋体" w:hAnsi="宋体" w:cs="宋体"/>
          <w:color w:val="auto"/>
          <w:sz w:val="24"/>
          <w:highlight w:val="none"/>
        </w:rPr>
        <w:t>格式四</w:t>
      </w:r>
    </w:p>
    <w:p w14:paraId="5F44632C">
      <w:pPr>
        <w:jc w:val="center"/>
        <w:rPr>
          <w:rFonts w:ascii="宋体" w:hAnsi="宋体" w:cs="宋体"/>
          <w:b/>
          <w:bCs/>
          <w:color w:val="auto"/>
          <w:sz w:val="36"/>
          <w:highlight w:val="none"/>
        </w:rPr>
      </w:pPr>
      <w:r>
        <w:rPr>
          <w:rFonts w:hint="eastAsia" w:ascii="宋体" w:hAnsi="宋体" w:cs="宋体"/>
          <w:b/>
          <w:bCs/>
          <w:color w:val="auto"/>
          <w:sz w:val="36"/>
          <w:highlight w:val="none"/>
        </w:rPr>
        <w:t>法定代表人授权书</w:t>
      </w:r>
    </w:p>
    <w:p w14:paraId="6813E0E2">
      <w:pPr>
        <w:rPr>
          <w:rFonts w:ascii="宋体" w:hAnsi="宋体" w:cs="宋体"/>
          <w:color w:val="auto"/>
          <w:sz w:val="24"/>
          <w:highlight w:val="none"/>
        </w:rPr>
      </w:pPr>
    </w:p>
    <w:p w14:paraId="36FAD6C7">
      <w:pPr>
        <w:spacing w:line="440" w:lineRule="exact"/>
        <w:rPr>
          <w:rFonts w:ascii="宋体" w:hAnsi="宋体" w:cs="宋体"/>
          <w:color w:val="auto"/>
          <w:sz w:val="24"/>
          <w:highlight w:val="none"/>
        </w:rPr>
      </w:pPr>
      <w:r>
        <w:rPr>
          <w:rFonts w:hint="eastAsia" w:ascii="宋体" w:hAnsi="宋体" w:cs="宋体"/>
          <w:color w:val="auto"/>
          <w:sz w:val="24"/>
          <w:highlight w:val="none"/>
          <w:u w:val="single"/>
        </w:rPr>
        <w:t>（招标人）</w:t>
      </w:r>
      <w:r>
        <w:rPr>
          <w:rFonts w:hint="eastAsia" w:ascii="宋体" w:hAnsi="宋体" w:cs="宋体"/>
          <w:color w:val="auto"/>
          <w:sz w:val="24"/>
          <w:highlight w:val="none"/>
        </w:rPr>
        <w:t>：</w:t>
      </w:r>
    </w:p>
    <w:p w14:paraId="78D63240">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本授权书声明：我</w:t>
      </w:r>
      <w:r>
        <w:rPr>
          <w:rFonts w:hint="eastAsia" w:ascii="宋体" w:hAnsi="宋体" w:cs="宋体"/>
          <w:color w:val="auto"/>
          <w:sz w:val="24"/>
          <w:highlight w:val="none"/>
          <w:u w:val="single"/>
        </w:rPr>
        <w:t>｛姓名｝</w:t>
      </w: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　｛投标人名称｝ </w:t>
      </w:r>
      <w:r>
        <w:rPr>
          <w:rFonts w:hint="eastAsia" w:ascii="宋体" w:hAnsi="宋体" w:cs="宋体"/>
          <w:color w:val="auto"/>
          <w:sz w:val="24"/>
          <w:highlight w:val="none"/>
        </w:rPr>
        <w:t>的法定代表人，现授权委托</w:t>
      </w:r>
      <w:r>
        <w:rPr>
          <w:rFonts w:hint="eastAsia" w:ascii="宋体" w:hAnsi="宋体" w:cs="宋体"/>
          <w:color w:val="auto"/>
          <w:sz w:val="24"/>
          <w:highlight w:val="none"/>
          <w:u w:val="single"/>
        </w:rPr>
        <w:t xml:space="preserve"> ｛姓名｝ </w:t>
      </w:r>
      <w:r>
        <w:rPr>
          <w:rFonts w:hint="eastAsia" w:ascii="宋体" w:hAnsi="宋体" w:cs="宋体"/>
          <w:color w:val="auto"/>
          <w:sz w:val="24"/>
          <w:highlight w:val="none"/>
        </w:rPr>
        <w:t>为我公司全权代理人，身份证号码：，以本公司的名义参加贵方组织的</w:t>
      </w:r>
      <w:r>
        <w:rPr>
          <w:rFonts w:hint="eastAsia" w:ascii="宋体" w:hAnsi="宋体" w:cs="宋体"/>
          <w:color w:val="auto"/>
          <w:sz w:val="24"/>
          <w:highlight w:val="none"/>
          <w:u w:val="single"/>
        </w:rPr>
        <w:t xml:space="preserve">　｛招标编号｝   </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的投标活动。代理人在开标、评标、合同谈判过程中所签署的一切文件和处理与之有关的一切事务，我均予以承认。</w:t>
      </w:r>
    </w:p>
    <w:p w14:paraId="7E13AE4A">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代理人无转委权，特此委托。</w:t>
      </w:r>
    </w:p>
    <w:p w14:paraId="2A77BE42">
      <w:pPr>
        <w:spacing w:line="440" w:lineRule="exact"/>
        <w:rPr>
          <w:rFonts w:ascii="宋体" w:hAnsi="宋体" w:cs="宋体"/>
          <w:color w:val="auto"/>
          <w:sz w:val="24"/>
          <w:highlight w:val="none"/>
        </w:rPr>
      </w:pPr>
    </w:p>
    <w:p w14:paraId="512B0733">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法定代表人（签字或盖章）：</w:t>
      </w:r>
    </w:p>
    <w:p w14:paraId="4062F020">
      <w:pPr>
        <w:spacing w:line="440" w:lineRule="exact"/>
        <w:rPr>
          <w:rFonts w:ascii="宋体" w:hAnsi="宋体" w:cs="宋体"/>
          <w:color w:val="auto"/>
          <w:sz w:val="24"/>
          <w:highlight w:val="none"/>
        </w:rPr>
      </w:pPr>
    </w:p>
    <w:p w14:paraId="5F382D80">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代理人（签字或盖章）：</w:t>
      </w:r>
    </w:p>
    <w:p w14:paraId="16FE726E">
      <w:pPr>
        <w:spacing w:line="440" w:lineRule="exact"/>
        <w:ind w:firstLine="480" w:firstLineChars="200"/>
        <w:rPr>
          <w:rFonts w:ascii="宋体" w:hAnsi="宋体" w:cs="宋体"/>
          <w:color w:val="auto"/>
          <w:sz w:val="24"/>
          <w:highlight w:val="none"/>
        </w:rPr>
      </w:pPr>
    </w:p>
    <w:p w14:paraId="5AB319E0">
      <w:pPr>
        <w:spacing w:line="440" w:lineRule="exact"/>
        <w:ind w:firstLine="4200" w:firstLineChars="1750"/>
        <w:rPr>
          <w:rFonts w:ascii="宋体" w:hAnsi="宋体" w:cs="宋体"/>
          <w:color w:val="auto"/>
          <w:sz w:val="24"/>
          <w:highlight w:val="none"/>
        </w:rPr>
      </w:pPr>
      <w:r>
        <w:rPr>
          <w:rFonts w:hint="eastAsia" w:ascii="宋体" w:hAnsi="宋体" w:cs="宋体"/>
          <w:color w:val="auto"/>
          <w:sz w:val="24"/>
          <w:highlight w:val="none"/>
          <w:u w:val="single"/>
        </w:rPr>
        <w:t>　｛投标人名称｝　</w:t>
      </w:r>
      <w:r>
        <w:rPr>
          <w:rFonts w:hint="eastAsia" w:ascii="宋体" w:hAnsi="宋体" w:cs="宋体"/>
          <w:color w:val="auto"/>
          <w:sz w:val="24"/>
          <w:highlight w:val="none"/>
        </w:rPr>
        <w:t>（盖章）</w:t>
      </w:r>
    </w:p>
    <w:p w14:paraId="27F7D94D">
      <w:pPr>
        <w:spacing w:line="440" w:lineRule="exact"/>
        <w:ind w:firstLine="5040" w:firstLineChars="2100"/>
        <w:rPr>
          <w:rFonts w:ascii="宋体" w:hAnsi="宋体" w:cs="宋体"/>
          <w:color w:val="auto"/>
          <w:sz w:val="24"/>
          <w:highlight w:val="none"/>
        </w:rPr>
      </w:pPr>
      <w:r>
        <w:rPr>
          <w:rFonts w:hint="eastAsia" w:ascii="宋体" w:hAnsi="宋体" w:cs="宋体"/>
          <w:color w:val="auto"/>
          <w:sz w:val="24"/>
          <w:highlight w:val="none"/>
        </w:rPr>
        <w:t>年  月   日</w:t>
      </w:r>
    </w:p>
    <w:p w14:paraId="39562802">
      <w:pPr>
        <w:spacing w:line="540" w:lineRule="exact"/>
        <w:rPr>
          <w:rFonts w:ascii="宋体" w:hAnsi="宋体" w:cs="宋体"/>
          <w:color w:val="auto"/>
          <w:sz w:val="24"/>
          <w:highlight w:val="none"/>
        </w:rPr>
      </w:pPr>
    </w:p>
    <w:tbl>
      <w:tblPr>
        <w:tblStyle w:val="20"/>
        <w:tblpPr w:leftFromText="180" w:rightFromText="180" w:vertAnchor="text" w:horzAnchor="margin" w:tblpXSpec="center" w:tblpY="182"/>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14:paraId="4AD550BA">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noWrap/>
            <w:vAlign w:val="center"/>
          </w:tcPr>
          <w:p w14:paraId="486FB11D">
            <w:pPr>
              <w:rPr>
                <w:rFonts w:ascii="宋体" w:hAnsi="宋体" w:cs="宋体"/>
                <w:color w:val="auto"/>
                <w:sz w:val="24"/>
                <w:highlight w:val="none"/>
              </w:rPr>
            </w:pPr>
            <w:r>
              <w:rPr>
                <w:rFonts w:hint="eastAsia" w:ascii="宋体" w:hAnsi="宋体" w:cs="宋体"/>
                <w:color w:val="auto"/>
                <w:sz w:val="24"/>
                <w:highlight w:val="none"/>
              </w:rPr>
              <w:t>代理人身份证复印件（正反面）粘贴处</w:t>
            </w:r>
          </w:p>
        </w:tc>
      </w:tr>
    </w:tbl>
    <w:p w14:paraId="3D9BFCF2">
      <w:pPr>
        <w:rPr>
          <w:rFonts w:ascii="宋体" w:hAnsi="宋体" w:cs="宋体"/>
          <w:color w:val="auto"/>
          <w:highlight w:val="none"/>
        </w:rPr>
      </w:pPr>
    </w:p>
    <w:p w14:paraId="18757D90">
      <w:pPr>
        <w:rPr>
          <w:rFonts w:ascii="宋体" w:hAnsi="宋体" w:cs="宋体"/>
          <w:color w:val="auto"/>
          <w:highlight w:val="none"/>
        </w:rPr>
      </w:pPr>
    </w:p>
    <w:p w14:paraId="5D1753E9">
      <w:pPr>
        <w:rPr>
          <w:rFonts w:ascii="宋体" w:hAnsi="宋体" w:cs="宋体"/>
          <w:color w:val="auto"/>
          <w:highlight w:val="none"/>
        </w:rPr>
      </w:pPr>
    </w:p>
    <w:p w14:paraId="25F824F7">
      <w:pPr>
        <w:rPr>
          <w:rFonts w:ascii="宋体" w:hAnsi="宋体" w:cs="宋体"/>
          <w:color w:val="auto"/>
          <w:highlight w:val="none"/>
        </w:rPr>
      </w:pPr>
    </w:p>
    <w:p w14:paraId="66A97C88">
      <w:pPr>
        <w:rPr>
          <w:rFonts w:ascii="宋体" w:hAnsi="宋体" w:cs="宋体"/>
          <w:color w:val="auto"/>
          <w:highlight w:val="none"/>
        </w:rPr>
      </w:pPr>
    </w:p>
    <w:p w14:paraId="45C73AD7">
      <w:pPr>
        <w:rPr>
          <w:rFonts w:ascii="宋体" w:hAnsi="宋体" w:cs="宋体"/>
          <w:color w:val="auto"/>
          <w:highlight w:val="none"/>
        </w:rPr>
      </w:pPr>
    </w:p>
    <w:p w14:paraId="0B9C0A11">
      <w:pPr>
        <w:rPr>
          <w:rFonts w:ascii="宋体" w:hAnsi="宋体" w:cs="宋体"/>
          <w:color w:val="auto"/>
          <w:highlight w:val="none"/>
        </w:rPr>
      </w:pPr>
    </w:p>
    <w:p w14:paraId="634F556F">
      <w:pPr>
        <w:rPr>
          <w:rFonts w:ascii="宋体" w:hAnsi="宋体" w:cs="宋体"/>
          <w:color w:val="auto"/>
          <w:highlight w:val="none"/>
        </w:rPr>
      </w:pPr>
    </w:p>
    <w:p w14:paraId="42A13382">
      <w:pPr>
        <w:rPr>
          <w:rFonts w:ascii="宋体" w:hAnsi="宋体" w:cs="宋体"/>
          <w:color w:val="auto"/>
          <w:highlight w:val="none"/>
        </w:rPr>
      </w:pPr>
    </w:p>
    <w:p w14:paraId="33971572">
      <w:pPr>
        <w:rPr>
          <w:rFonts w:ascii="宋体" w:hAnsi="宋体" w:cs="宋体"/>
          <w:color w:val="auto"/>
          <w:highlight w:val="none"/>
        </w:rPr>
      </w:pPr>
    </w:p>
    <w:p w14:paraId="613A2042">
      <w:pPr>
        <w:rPr>
          <w:rFonts w:ascii="宋体" w:hAnsi="宋体" w:cs="宋体"/>
          <w:color w:val="auto"/>
          <w:highlight w:val="none"/>
        </w:rPr>
      </w:pPr>
    </w:p>
    <w:p w14:paraId="67DCA907">
      <w:pPr>
        <w:rPr>
          <w:rFonts w:ascii="宋体" w:hAnsi="宋体" w:cs="宋体"/>
          <w:color w:val="auto"/>
          <w:highlight w:val="none"/>
        </w:rPr>
      </w:pPr>
    </w:p>
    <w:p w14:paraId="41529052">
      <w:pPr>
        <w:rPr>
          <w:rFonts w:hint="eastAsia" w:ascii="宋体" w:hAnsi="宋体" w:cs="宋体"/>
          <w:color w:val="auto"/>
          <w:sz w:val="24"/>
          <w:highlight w:val="none"/>
        </w:rPr>
      </w:pPr>
    </w:p>
    <w:p w14:paraId="402D12B0">
      <w:pPr>
        <w:ind w:firstLine="240" w:firstLineChars="100"/>
        <w:rPr>
          <w:rFonts w:hint="eastAsia" w:ascii="宋体" w:hAnsi="宋体" w:cs="宋体"/>
          <w:color w:val="auto"/>
          <w:sz w:val="24"/>
          <w:highlight w:val="none"/>
        </w:rPr>
      </w:pPr>
    </w:p>
    <w:p w14:paraId="21E867AC">
      <w:pPr>
        <w:ind w:firstLine="240" w:firstLineChars="100"/>
        <w:rPr>
          <w:rFonts w:hint="eastAsia" w:ascii="宋体" w:hAnsi="宋体" w:cs="宋体"/>
          <w:color w:val="auto"/>
          <w:sz w:val="24"/>
          <w:highlight w:val="none"/>
        </w:rPr>
      </w:pPr>
    </w:p>
    <w:p w14:paraId="654DDC22">
      <w:pPr>
        <w:ind w:firstLine="240" w:firstLineChars="100"/>
        <w:rPr>
          <w:rFonts w:ascii="宋体" w:hAnsi="宋体" w:cs="宋体"/>
          <w:color w:val="auto"/>
          <w:sz w:val="24"/>
          <w:highlight w:val="none"/>
        </w:rPr>
      </w:pPr>
      <w:r>
        <w:rPr>
          <w:rFonts w:hint="eastAsia" w:ascii="宋体" w:hAnsi="宋体" w:cs="宋体"/>
          <w:color w:val="auto"/>
          <w:sz w:val="24"/>
          <w:highlight w:val="none"/>
        </w:rPr>
        <w:t xml:space="preserve">格式五 </w:t>
      </w:r>
    </w:p>
    <w:p w14:paraId="310DB061">
      <w:pPr>
        <w:ind w:firstLine="2530" w:firstLineChars="700"/>
        <w:outlineLvl w:val="0"/>
        <w:rPr>
          <w:rFonts w:ascii="宋体" w:hAnsi="宋体" w:cs="宋体"/>
          <w:b/>
          <w:color w:val="auto"/>
          <w:sz w:val="36"/>
          <w:szCs w:val="36"/>
          <w:highlight w:val="none"/>
          <w:lang w:val="zh-CN"/>
        </w:rPr>
      </w:pPr>
      <w:r>
        <w:rPr>
          <w:rFonts w:hint="eastAsia" w:ascii="宋体" w:hAnsi="宋体" w:cs="宋体"/>
          <w:b/>
          <w:color w:val="auto"/>
          <w:sz w:val="36"/>
          <w:szCs w:val="36"/>
          <w:highlight w:val="none"/>
        </w:rPr>
        <w:t xml:space="preserve"> 五 、</w:t>
      </w:r>
      <w:r>
        <w:rPr>
          <w:rFonts w:hint="eastAsia" w:ascii="宋体" w:hAnsi="宋体" w:cs="宋体"/>
          <w:b/>
          <w:color w:val="auto"/>
          <w:sz w:val="36"/>
          <w:szCs w:val="36"/>
          <w:highlight w:val="none"/>
          <w:lang w:val="zh-CN"/>
        </w:rPr>
        <w:t>投标人基本情况表</w:t>
      </w:r>
    </w:p>
    <w:p w14:paraId="5CA85AE7">
      <w:pPr>
        <w:ind w:left="420"/>
        <w:jc w:val="center"/>
        <w:outlineLvl w:val="0"/>
        <w:rPr>
          <w:rFonts w:ascii="宋体" w:hAnsi="宋体" w:cs="宋体"/>
          <w:b/>
          <w:color w:val="auto"/>
          <w:sz w:val="24"/>
          <w:highlight w:val="none"/>
        </w:rPr>
      </w:pPr>
      <w:r>
        <w:rPr>
          <w:rFonts w:hint="eastAsia" w:ascii="宋体" w:hAnsi="宋体" w:cs="宋体"/>
          <w:color w:val="auto"/>
          <w:sz w:val="24"/>
          <w:highlight w:val="none"/>
        </w:rPr>
        <w:t>（由投标人自行编制）</w:t>
      </w:r>
    </w:p>
    <w:p w14:paraId="04189775">
      <w:pPr>
        <w:ind w:left="420"/>
        <w:outlineLvl w:val="0"/>
        <w:rPr>
          <w:rFonts w:ascii="宋体" w:hAnsi="宋体" w:cs="宋体"/>
          <w:b/>
          <w:color w:val="auto"/>
          <w:sz w:val="24"/>
          <w:highlight w:val="none"/>
        </w:rPr>
      </w:pPr>
      <w:r>
        <w:rPr>
          <w:rFonts w:hint="eastAsia" w:ascii="宋体" w:hAnsi="宋体" w:cs="宋体"/>
          <w:b/>
          <w:color w:val="auto"/>
          <w:sz w:val="24"/>
          <w:highlight w:val="none"/>
        </w:rPr>
        <w:t>附表: 投标人信息</w:t>
      </w:r>
    </w:p>
    <w:tbl>
      <w:tblPr>
        <w:tblStyle w:val="20"/>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7"/>
        <w:gridCol w:w="1370"/>
        <w:gridCol w:w="610"/>
        <w:gridCol w:w="1372"/>
        <w:gridCol w:w="608"/>
        <w:gridCol w:w="1523"/>
        <w:gridCol w:w="153"/>
        <w:gridCol w:w="2285"/>
      </w:tblGrid>
      <w:tr w14:paraId="4899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noWrap/>
            <w:vAlign w:val="center"/>
          </w:tcPr>
          <w:p w14:paraId="12482BC0">
            <w:pPr>
              <w:jc w:val="center"/>
              <w:rPr>
                <w:rFonts w:ascii="宋体" w:hAnsi="宋体" w:cs="宋体"/>
                <w:color w:val="auto"/>
                <w:sz w:val="24"/>
                <w:highlight w:val="none"/>
              </w:rPr>
            </w:pPr>
            <w:r>
              <w:rPr>
                <w:rFonts w:hint="eastAsia" w:ascii="宋体" w:hAnsi="宋体" w:cs="宋体"/>
                <w:color w:val="auto"/>
                <w:sz w:val="24"/>
                <w:highlight w:val="none"/>
              </w:rPr>
              <w:t>单位名称</w:t>
            </w:r>
          </w:p>
        </w:tc>
        <w:tc>
          <w:tcPr>
            <w:tcW w:w="3352" w:type="dxa"/>
            <w:gridSpan w:val="3"/>
            <w:noWrap/>
            <w:vAlign w:val="center"/>
          </w:tcPr>
          <w:p w14:paraId="3D9ECA32">
            <w:pPr>
              <w:jc w:val="center"/>
              <w:rPr>
                <w:rFonts w:ascii="宋体" w:hAnsi="宋体" w:cs="宋体"/>
                <w:color w:val="auto"/>
                <w:sz w:val="24"/>
                <w:highlight w:val="none"/>
              </w:rPr>
            </w:pPr>
          </w:p>
        </w:tc>
        <w:tc>
          <w:tcPr>
            <w:tcW w:w="2131" w:type="dxa"/>
            <w:gridSpan w:val="2"/>
            <w:noWrap/>
            <w:vAlign w:val="center"/>
          </w:tcPr>
          <w:p w14:paraId="4195F07C">
            <w:pPr>
              <w:jc w:val="center"/>
              <w:rPr>
                <w:rFonts w:ascii="宋体" w:hAnsi="宋体" w:cs="宋体"/>
                <w:color w:val="auto"/>
                <w:sz w:val="24"/>
                <w:highlight w:val="none"/>
              </w:rPr>
            </w:pPr>
            <w:r>
              <w:rPr>
                <w:rFonts w:hint="eastAsia" w:ascii="宋体" w:hAnsi="宋体" w:cs="宋体"/>
                <w:color w:val="auto"/>
                <w:sz w:val="24"/>
                <w:highlight w:val="none"/>
              </w:rPr>
              <w:t>法定代表人（负责人）</w:t>
            </w:r>
          </w:p>
        </w:tc>
        <w:tc>
          <w:tcPr>
            <w:tcW w:w="2438" w:type="dxa"/>
            <w:gridSpan w:val="2"/>
            <w:noWrap/>
            <w:vAlign w:val="center"/>
          </w:tcPr>
          <w:p w14:paraId="5D23128E">
            <w:pPr>
              <w:jc w:val="center"/>
              <w:rPr>
                <w:rFonts w:ascii="宋体" w:hAnsi="宋体" w:cs="宋体"/>
                <w:color w:val="auto"/>
                <w:sz w:val="24"/>
                <w:highlight w:val="none"/>
              </w:rPr>
            </w:pPr>
          </w:p>
        </w:tc>
      </w:tr>
      <w:tr w14:paraId="6EACA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noWrap/>
            <w:vAlign w:val="center"/>
          </w:tcPr>
          <w:p w14:paraId="006D7FBF">
            <w:pPr>
              <w:jc w:val="center"/>
              <w:rPr>
                <w:rFonts w:ascii="宋体" w:hAnsi="宋体" w:cs="宋体"/>
                <w:color w:val="auto"/>
                <w:sz w:val="24"/>
                <w:highlight w:val="none"/>
              </w:rPr>
            </w:pPr>
            <w:r>
              <w:rPr>
                <w:rFonts w:hint="eastAsia" w:ascii="宋体" w:hAnsi="宋体" w:cs="宋体"/>
                <w:color w:val="auto"/>
                <w:sz w:val="24"/>
                <w:highlight w:val="none"/>
              </w:rPr>
              <w:t>注册地址</w:t>
            </w:r>
          </w:p>
        </w:tc>
        <w:tc>
          <w:tcPr>
            <w:tcW w:w="3352" w:type="dxa"/>
            <w:gridSpan w:val="3"/>
            <w:noWrap/>
            <w:vAlign w:val="center"/>
          </w:tcPr>
          <w:p w14:paraId="7359DAC9">
            <w:pPr>
              <w:jc w:val="center"/>
              <w:rPr>
                <w:rFonts w:ascii="宋体" w:hAnsi="宋体" w:cs="宋体"/>
                <w:color w:val="auto"/>
                <w:sz w:val="24"/>
                <w:highlight w:val="none"/>
              </w:rPr>
            </w:pPr>
          </w:p>
        </w:tc>
        <w:tc>
          <w:tcPr>
            <w:tcW w:w="2131" w:type="dxa"/>
            <w:gridSpan w:val="2"/>
            <w:noWrap/>
            <w:vAlign w:val="center"/>
          </w:tcPr>
          <w:p w14:paraId="67900FB7">
            <w:pPr>
              <w:jc w:val="center"/>
              <w:rPr>
                <w:rFonts w:ascii="宋体" w:hAnsi="宋体" w:cs="宋体"/>
                <w:color w:val="auto"/>
                <w:sz w:val="24"/>
                <w:highlight w:val="none"/>
              </w:rPr>
            </w:pPr>
            <w:r>
              <w:rPr>
                <w:rFonts w:hint="eastAsia" w:ascii="宋体" w:hAnsi="宋体" w:cs="宋体"/>
                <w:color w:val="auto"/>
                <w:sz w:val="24"/>
                <w:highlight w:val="none"/>
              </w:rPr>
              <w:t>股东人数</w:t>
            </w:r>
          </w:p>
        </w:tc>
        <w:tc>
          <w:tcPr>
            <w:tcW w:w="2438" w:type="dxa"/>
            <w:gridSpan w:val="2"/>
            <w:noWrap/>
            <w:vAlign w:val="center"/>
          </w:tcPr>
          <w:p w14:paraId="51F57E44">
            <w:pPr>
              <w:jc w:val="center"/>
              <w:rPr>
                <w:rFonts w:ascii="宋体" w:hAnsi="宋体" w:cs="宋体"/>
                <w:color w:val="auto"/>
                <w:sz w:val="24"/>
                <w:highlight w:val="none"/>
              </w:rPr>
            </w:pPr>
          </w:p>
        </w:tc>
      </w:tr>
      <w:tr w14:paraId="14A7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noWrap/>
            <w:vAlign w:val="center"/>
          </w:tcPr>
          <w:p w14:paraId="45EB771B">
            <w:pPr>
              <w:jc w:val="center"/>
              <w:rPr>
                <w:rFonts w:ascii="宋体" w:hAnsi="宋体" w:cs="宋体"/>
                <w:color w:val="auto"/>
                <w:sz w:val="24"/>
                <w:highlight w:val="none"/>
              </w:rPr>
            </w:pPr>
            <w:r>
              <w:rPr>
                <w:rFonts w:hint="eastAsia" w:ascii="宋体" w:hAnsi="宋体" w:cs="宋体"/>
                <w:color w:val="auto"/>
                <w:sz w:val="24"/>
                <w:highlight w:val="none"/>
              </w:rPr>
              <w:t>注册时间</w:t>
            </w:r>
          </w:p>
        </w:tc>
        <w:tc>
          <w:tcPr>
            <w:tcW w:w="3352" w:type="dxa"/>
            <w:gridSpan w:val="3"/>
            <w:noWrap/>
            <w:vAlign w:val="center"/>
          </w:tcPr>
          <w:p w14:paraId="0459F305">
            <w:pPr>
              <w:jc w:val="center"/>
              <w:rPr>
                <w:rFonts w:ascii="宋体" w:hAnsi="宋体" w:cs="宋体"/>
                <w:color w:val="auto"/>
                <w:sz w:val="24"/>
                <w:highlight w:val="none"/>
              </w:rPr>
            </w:pPr>
          </w:p>
        </w:tc>
        <w:tc>
          <w:tcPr>
            <w:tcW w:w="2131" w:type="dxa"/>
            <w:gridSpan w:val="2"/>
            <w:noWrap/>
            <w:vAlign w:val="center"/>
          </w:tcPr>
          <w:p w14:paraId="2F718B92">
            <w:pPr>
              <w:jc w:val="center"/>
              <w:rPr>
                <w:rFonts w:ascii="宋体" w:hAnsi="宋体" w:cs="宋体"/>
                <w:color w:val="auto"/>
                <w:sz w:val="24"/>
                <w:highlight w:val="none"/>
              </w:rPr>
            </w:pPr>
            <w:r>
              <w:rPr>
                <w:rFonts w:hint="eastAsia" w:ascii="宋体" w:hAnsi="宋体" w:cs="宋体"/>
                <w:color w:val="auto"/>
                <w:sz w:val="24"/>
                <w:highlight w:val="none"/>
              </w:rPr>
              <w:t>办公地址</w:t>
            </w:r>
          </w:p>
        </w:tc>
        <w:tc>
          <w:tcPr>
            <w:tcW w:w="2438" w:type="dxa"/>
            <w:gridSpan w:val="2"/>
            <w:noWrap/>
            <w:vAlign w:val="center"/>
          </w:tcPr>
          <w:p w14:paraId="24E8EDC7">
            <w:pPr>
              <w:jc w:val="center"/>
              <w:rPr>
                <w:rFonts w:ascii="宋体" w:hAnsi="宋体" w:cs="宋体"/>
                <w:color w:val="auto"/>
                <w:sz w:val="24"/>
                <w:highlight w:val="none"/>
              </w:rPr>
            </w:pPr>
          </w:p>
        </w:tc>
      </w:tr>
      <w:tr w14:paraId="1E614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noWrap/>
            <w:vAlign w:val="center"/>
          </w:tcPr>
          <w:p w14:paraId="5BD18005">
            <w:pPr>
              <w:jc w:val="center"/>
              <w:rPr>
                <w:rFonts w:ascii="宋体" w:hAnsi="宋体" w:cs="宋体"/>
                <w:color w:val="auto"/>
                <w:sz w:val="24"/>
                <w:highlight w:val="none"/>
              </w:rPr>
            </w:pPr>
            <w:r>
              <w:rPr>
                <w:rFonts w:hint="eastAsia" w:ascii="宋体" w:hAnsi="宋体" w:cs="宋体"/>
                <w:color w:val="auto"/>
                <w:sz w:val="24"/>
                <w:highlight w:val="none"/>
              </w:rPr>
              <w:t>联系电话</w:t>
            </w:r>
          </w:p>
        </w:tc>
        <w:tc>
          <w:tcPr>
            <w:tcW w:w="3352" w:type="dxa"/>
            <w:gridSpan w:val="3"/>
            <w:noWrap/>
            <w:vAlign w:val="center"/>
          </w:tcPr>
          <w:p w14:paraId="1A47CFC3">
            <w:pPr>
              <w:jc w:val="center"/>
              <w:rPr>
                <w:rFonts w:ascii="宋体" w:hAnsi="宋体" w:cs="宋体"/>
                <w:color w:val="auto"/>
                <w:sz w:val="24"/>
                <w:highlight w:val="none"/>
              </w:rPr>
            </w:pPr>
          </w:p>
        </w:tc>
        <w:tc>
          <w:tcPr>
            <w:tcW w:w="2131" w:type="dxa"/>
            <w:gridSpan w:val="2"/>
            <w:noWrap/>
            <w:vAlign w:val="center"/>
          </w:tcPr>
          <w:p w14:paraId="4F3CDBF7">
            <w:pPr>
              <w:jc w:val="center"/>
              <w:rPr>
                <w:rFonts w:ascii="宋体" w:hAnsi="宋体" w:cs="宋体"/>
                <w:color w:val="auto"/>
                <w:sz w:val="24"/>
                <w:highlight w:val="none"/>
              </w:rPr>
            </w:pPr>
            <w:r>
              <w:rPr>
                <w:rFonts w:hint="eastAsia" w:ascii="宋体" w:hAnsi="宋体" w:cs="宋体"/>
                <w:color w:val="auto"/>
                <w:sz w:val="24"/>
                <w:highlight w:val="none"/>
              </w:rPr>
              <w:t>传真</w:t>
            </w:r>
          </w:p>
        </w:tc>
        <w:tc>
          <w:tcPr>
            <w:tcW w:w="2438" w:type="dxa"/>
            <w:gridSpan w:val="2"/>
            <w:noWrap/>
            <w:vAlign w:val="center"/>
          </w:tcPr>
          <w:p w14:paraId="31F79BFF">
            <w:pPr>
              <w:jc w:val="center"/>
              <w:rPr>
                <w:rFonts w:ascii="宋体" w:hAnsi="宋体" w:cs="宋体"/>
                <w:color w:val="auto"/>
                <w:sz w:val="24"/>
                <w:highlight w:val="none"/>
              </w:rPr>
            </w:pPr>
          </w:p>
        </w:tc>
      </w:tr>
      <w:tr w14:paraId="0F269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noWrap/>
            <w:vAlign w:val="center"/>
          </w:tcPr>
          <w:p w14:paraId="522276A2">
            <w:pPr>
              <w:jc w:val="center"/>
              <w:rPr>
                <w:rFonts w:ascii="宋体" w:hAnsi="宋体" w:cs="宋体"/>
                <w:color w:val="auto"/>
                <w:sz w:val="24"/>
                <w:highlight w:val="none"/>
              </w:rPr>
            </w:pPr>
            <w:r>
              <w:rPr>
                <w:rFonts w:hint="eastAsia" w:ascii="宋体" w:hAnsi="宋体" w:cs="宋体"/>
                <w:color w:val="auto"/>
                <w:sz w:val="24"/>
                <w:highlight w:val="none"/>
              </w:rPr>
              <w:t>开户银行名称</w:t>
            </w:r>
          </w:p>
        </w:tc>
        <w:tc>
          <w:tcPr>
            <w:tcW w:w="3352" w:type="dxa"/>
            <w:gridSpan w:val="3"/>
            <w:noWrap/>
            <w:vAlign w:val="center"/>
          </w:tcPr>
          <w:p w14:paraId="29EE72EC">
            <w:pPr>
              <w:jc w:val="center"/>
              <w:rPr>
                <w:rFonts w:ascii="宋体" w:hAnsi="宋体" w:cs="宋体"/>
                <w:color w:val="auto"/>
                <w:sz w:val="24"/>
                <w:highlight w:val="none"/>
              </w:rPr>
            </w:pPr>
          </w:p>
        </w:tc>
        <w:tc>
          <w:tcPr>
            <w:tcW w:w="2131" w:type="dxa"/>
            <w:gridSpan w:val="2"/>
            <w:noWrap/>
            <w:vAlign w:val="center"/>
          </w:tcPr>
          <w:p w14:paraId="2A8682DE">
            <w:pPr>
              <w:jc w:val="center"/>
              <w:rPr>
                <w:rFonts w:ascii="宋体" w:hAnsi="宋体" w:cs="宋体"/>
                <w:color w:val="auto"/>
                <w:sz w:val="24"/>
                <w:highlight w:val="none"/>
              </w:rPr>
            </w:pPr>
            <w:r>
              <w:rPr>
                <w:rFonts w:hint="eastAsia" w:ascii="宋体" w:hAnsi="宋体" w:cs="宋体"/>
                <w:color w:val="auto"/>
                <w:sz w:val="24"/>
                <w:highlight w:val="none"/>
              </w:rPr>
              <w:t>开户银行地址</w:t>
            </w:r>
          </w:p>
        </w:tc>
        <w:tc>
          <w:tcPr>
            <w:tcW w:w="2438" w:type="dxa"/>
            <w:gridSpan w:val="2"/>
            <w:noWrap/>
            <w:vAlign w:val="center"/>
          </w:tcPr>
          <w:p w14:paraId="408C4430">
            <w:pPr>
              <w:jc w:val="center"/>
              <w:rPr>
                <w:rFonts w:ascii="宋体" w:hAnsi="宋体" w:cs="宋体"/>
                <w:color w:val="auto"/>
                <w:sz w:val="24"/>
                <w:highlight w:val="none"/>
              </w:rPr>
            </w:pPr>
          </w:p>
        </w:tc>
      </w:tr>
      <w:tr w14:paraId="20BC0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vMerge w:val="restart"/>
            <w:noWrap/>
            <w:vAlign w:val="center"/>
          </w:tcPr>
          <w:p w14:paraId="7D5FABC2">
            <w:pPr>
              <w:jc w:val="center"/>
              <w:rPr>
                <w:rFonts w:ascii="宋体" w:hAnsi="宋体" w:cs="宋体"/>
                <w:color w:val="auto"/>
                <w:sz w:val="24"/>
                <w:highlight w:val="none"/>
              </w:rPr>
            </w:pPr>
            <w:r>
              <w:rPr>
                <w:rFonts w:hint="eastAsia" w:ascii="宋体" w:hAnsi="宋体" w:cs="宋体"/>
                <w:color w:val="auto"/>
                <w:sz w:val="24"/>
                <w:highlight w:val="none"/>
              </w:rPr>
              <w:t>职工人数</w:t>
            </w:r>
          </w:p>
        </w:tc>
        <w:tc>
          <w:tcPr>
            <w:tcW w:w="1980" w:type="dxa"/>
            <w:gridSpan w:val="2"/>
            <w:tcBorders>
              <w:right w:val="single" w:color="auto" w:sz="4" w:space="0"/>
            </w:tcBorders>
            <w:noWrap/>
            <w:vAlign w:val="center"/>
          </w:tcPr>
          <w:p w14:paraId="02660690">
            <w:pPr>
              <w:jc w:val="center"/>
              <w:rPr>
                <w:rFonts w:ascii="宋体" w:hAnsi="宋体" w:cs="宋体"/>
                <w:color w:val="auto"/>
                <w:sz w:val="24"/>
                <w:highlight w:val="none"/>
              </w:rPr>
            </w:pPr>
            <w:r>
              <w:rPr>
                <w:rFonts w:hint="eastAsia" w:ascii="宋体" w:hAnsi="宋体" w:cs="宋体"/>
                <w:color w:val="auto"/>
                <w:sz w:val="24"/>
                <w:highlight w:val="none"/>
              </w:rPr>
              <w:t>总人数</w:t>
            </w:r>
          </w:p>
        </w:tc>
        <w:tc>
          <w:tcPr>
            <w:tcW w:w="1372" w:type="dxa"/>
            <w:tcBorders>
              <w:left w:val="single" w:color="auto" w:sz="4" w:space="0"/>
            </w:tcBorders>
            <w:noWrap/>
            <w:vAlign w:val="center"/>
          </w:tcPr>
          <w:p w14:paraId="5149EF22">
            <w:pPr>
              <w:jc w:val="right"/>
              <w:rPr>
                <w:rFonts w:ascii="宋体" w:hAnsi="宋体" w:cs="宋体"/>
                <w:color w:val="auto"/>
                <w:sz w:val="24"/>
                <w:highlight w:val="none"/>
              </w:rPr>
            </w:pPr>
            <w:r>
              <w:rPr>
                <w:rFonts w:hint="eastAsia" w:ascii="宋体" w:hAnsi="宋体" w:cs="宋体"/>
                <w:color w:val="auto"/>
                <w:sz w:val="24"/>
                <w:highlight w:val="none"/>
              </w:rPr>
              <w:t>人</w:t>
            </w:r>
          </w:p>
        </w:tc>
        <w:tc>
          <w:tcPr>
            <w:tcW w:w="2131" w:type="dxa"/>
            <w:gridSpan w:val="2"/>
            <w:noWrap/>
            <w:vAlign w:val="center"/>
          </w:tcPr>
          <w:p w14:paraId="6E33E333">
            <w:pPr>
              <w:jc w:val="center"/>
              <w:rPr>
                <w:rFonts w:ascii="宋体" w:hAnsi="宋体" w:cs="宋体"/>
                <w:color w:val="auto"/>
                <w:sz w:val="24"/>
                <w:highlight w:val="none"/>
              </w:rPr>
            </w:pPr>
            <w:r>
              <w:rPr>
                <w:rFonts w:hint="eastAsia" w:ascii="宋体" w:hAnsi="宋体" w:cs="宋体"/>
                <w:color w:val="auto"/>
                <w:sz w:val="24"/>
                <w:highlight w:val="none"/>
              </w:rPr>
              <w:t>管理人员数量</w:t>
            </w:r>
          </w:p>
        </w:tc>
        <w:tc>
          <w:tcPr>
            <w:tcW w:w="2438" w:type="dxa"/>
            <w:gridSpan w:val="2"/>
            <w:noWrap/>
            <w:vAlign w:val="center"/>
          </w:tcPr>
          <w:p w14:paraId="2D4A2A07">
            <w:pPr>
              <w:jc w:val="right"/>
              <w:rPr>
                <w:rFonts w:ascii="宋体" w:hAnsi="宋体" w:cs="宋体"/>
                <w:color w:val="auto"/>
                <w:sz w:val="24"/>
                <w:highlight w:val="none"/>
              </w:rPr>
            </w:pPr>
            <w:r>
              <w:rPr>
                <w:rFonts w:hint="eastAsia" w:ascii="宋体" w:hAnsi="宋体" w:cs="宋体"/>
                <w:color w:val="auto"/>
                <w:sz w:val="24"/>
                <w:highlight w:val="none"/>
              </w:rPr>
              <w:t>人</w:t>
            </w:r>
          </w:p>
        </w:tc>
      </w:tr>
      <w:tr w14:paraId="56B31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vMerge w:val="continue"/>
            <w:noWrap/>
            <w:vAlign w:val="center"/>
          </w:tcPr>
          <w:p w14:paraId="2499C819">
            <w:pPr>
              <w:jc w:val="center"/>
              <w:rPr>
                <w:rFonts w:ascii="宋体" w:hAnsi="宋体" w:cs="宋体"/>
                <w:color w:val="auto"/>
                <w:sz w:val="24"/>
                <w:highlight w:val="none"/>
              </w:rPr>
            </w:pPr>
          </w:p>
        </w:tc>
        <w:tc>
          <w:tcPr>
            <w:tcW w:w="1980" w:type="dxa"/>
            <w:gridSpan w:val="2"/>
            <w:tcBorders>
              <w:right w:val="single" w:color="auto" w:sz="4" w:space="0"/>
            </w:tcBorders>
            <w:noWrap/>
            <w:vAlign w:val="center"/>
          </w:tcPr>
          <w:p w14:paraId="023650C7">
            <w:pPr>
              <w:jc w:val="center"/>
              <w:rPr>
                <w:rFonts w:ascii="宋体" w:hAnsi="宋体" w:cs="宋体"/>
                <w:color w:val="auto"/>
                <w:sz w:val="24"/>
                <w:highlight w:val="none"/>
              </w:rPr>
            </w:pPr>
            <w:r>
              <w:rPr>
                <w:rFonts w:hint="eastAsia" w:ascii="宋体" w:hAnsi="宋体" w:cs="宋体"/>
                <w:color w:val="auto"/>
                <w:sz w:val="24"/>
                <w:highlight w:val="none"/>
              </w:rPr>
              <w:t>工程师人数</w:t>
            </w:r>
          </w:p>
        </w:tc>
        <w:tc>
          <w:tcPr>
            <w:tcW w:w="1372" w:type="dxa"/>
            <w:tcBorders>
              <w:left w:val="single" w:color="auto" w:sz="4" w:space="0"/>
            </w:tcBorders>
            <w:noWrap/>
            <w:vAlign w:val="center"/>
          </w:tcPr>
          <w:p w14:paraId="18A4057F">
            <w:pPr>
              <w:jc w:val="right"/>
              <w:rPr>
                <w:rFonts w:ascii="宋体" w:hAnsi="宋体" w:cs="宋体"/>
                <w:color w:val="auto"/>
                <w:sz w:val="24"/>
                <w:highlight w:val="none"/>
              </w:rPr>
            </w:pPr>
            <w:r>
              <w:rPr>
                <w:rFonts w:hint="eastAsia" w:ascii="宋体" w:hAnsi="宋体" w:cs="宋体"/>
                <w:color w:val="auto"/>
                <w:sz w:val="24"/>
                <w:highlight w:val="none"/>
              </w:rPr>
              <w:t>人</w:t>
            </w:r>
          </w:p>
        </w:tc>
        <w:tc>
          <w:tcPr>
            <w:tcW w:w="2131" w:type="dxa"/>
            <w:gridSpan w:val="2"/>
            <w:noWrap/>
            <w:vAlign w:val="center"/>
          </w:tcPr>
          <w:p w14:paraId="6798AE0B">
            <w:pPr>
              <w:jc w:val="center"/>
              <w:rPr>
                <w:rFonts w:ascii="宋体" w:hAnsi="宋体" w:cs="宋体"/>
                <w:color w:val="auto"/>
                <w:sz w:val="24"/>
                <w:highlight w:val="none"/>
              </w:rPr>
            </w:pPr>
            <w:r>
              <w:rPr>
                <w:rFonts w:hint="eastAsia" w:ascii="宋体" w:hAnsi="宋体" w:cs="宋体"/>
                <w:color w:val="auto"/>
                <w:sz w:val="24"/>
                <w:highlight w:val="none"/>
              </w:rPr>
              <w:t>其他专业人员数量</w:t>
            </w:r>
          </w:p>
        </w:tc>
        <w:tc>
          <w:tcPr>
            <w:tcW w:w="2438" w:type="dxa"/>
            <w:gridSpan w:val="2"/>
            <w:noWrap/>
            <w:vAlign w:val="center"/>
          </w:tcPr>
          <w:p w14:paraId="75EAA080">
            <w:pPr>
              <w:jc w:val="right"/>
              <w:rPr>
                <w:rFonts w:ascii="宋体" w:hAnsi="宋体" w:cs="宋体"/>
                <w:color w:val="auto"/>
                <w:sz w:val="24"/>
                <w:highlight w:val="none"/>
              </w:rPr>
            </w:pPr>
            <w:r>
              <w:rPr>
                <w:rFonts w:hint="eastAsia" w:ascii="宋体" w:hAnsi="宋体" w:cs="宋体"/>
                <w:color w:val="auto"/>
                <w:sz w:val="24"/>
                <w:highlight w:val="none"/>
              </w:rPr>
              <w:t>人</w:t>
            </w:r>
          </w:p>
        </w:tc>
      </w:tr>
      <w:tr w14:paraId="279C8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677" w:type="dxa"/>
            <w:noWrap/>
            <w:vAlign w:val="center"/>
          </w:tcPr>
          <w:p w14:paraId="0B851677">
            <w:pPr>
              <w:jc w:val="center"/>
              <w:rPr>
                <w:rFonts w:ascii="宋体" w:hAnsi="宋体" w:cs="宋体"/>
                <w:color w:val="auto"/>
                <w:sz w:val="24"/>
                <w:highlight w:val="none"/>
              </w:rPr>
            </w:pPr>
            <w:r>
              <w:rPr>
                <w:rFonts w:hint="eastAsia" w:ascii="宋体" w:hAnsi="宋体" w:cs="宋体"/>
                <w:color w:val="auto"/>
                <w:sz w:val="24"/>
                <w:highlight w:val="none"/>
              </w:rPr>
              <w:t>业务范围</w:t>
            </w:r>
          </w:p>
        </w:tc>
        <w:tc>
          <w:tcPr>
            <w:tcW w:w="7921" w:type="dxa"/>
            <w:gridSpan w:val="7"/>
            <w:noWrap/>
            <w:vAlign w:val="top"/>
          </w:tcPr>
          <w:p w14:paraId="1D234722">
            <w:pPr>
              <w:rPr>
                <w:rFonts w:ascii="宋体" w:hAnsi="宋体" w:cs="宋体"/>
                <w:color w:val="auto"/>
                <w:sz w:val="24"/>
                <w:highlight w:val="none"/>
              </w:rPr>
            </w:pPr>
          </w:p>
        </w:tc>
      </w:tr>
      <w:tr w14:paraId="5F489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atLeast"/>
        </w:trPr>
        <w:tc>
          <w:tcPr>
            <w:tcW w:w="1677" w:type="dxa"/>
            <w:noWrap/>
            <w:vAlign w:val="center"/>
          </w:tcPr>
          <w:p w14:paraId="2D6022F3">
            <w:pPr>
              <w:jc w:val="center"/>
              <w:rPr>
                <w:rFonts w:ascii="宋体" w:hAnsi="宋体" w:cs="宋体"/>
                <w:color w:val="auto"/>
                <w:sz w:val="24"/>
                <w:highlight w:val="none"/>
              </w:rPr>
            </w:pPr>
            <w:r>
              <w:rPr>
                <w:rFonts w:hint="eastAsia" w:ascii="宋体" w:hAnsi="宋体" w:cs="宋体"/>
                <w:color w:val="auto"/>
                <w:sz w:val="24"/>
                <w:highlight w:val="none"/>
              </w:rPr>
              <w:t>组织机构情况</w:t>
            </w:r>
          </w:p>
        </w:tc>
        <w:tc>
          <w:tcPr>
            <w:tcW w:w="7921" w:type="dxa"/>
            <w:gridSpan w:val="7"/>
            <w:noWrap/>
            <w:vAlign w:val="top"/>
          </w:tcPr>
          <w:p w14:paraId="3866CB4C">
            <w:pPr>
              <w:rPr>
                <w:rFonts w:ascii="宋体" w:hAnsi="宋体" w:cs="宋体"/>
                <w:color w:val="auto"/>
                <w:sz w:val="24"/>
                <w:highlight w:val="none"/>
              </w:rPr>
            </w:pPr>
            <w:r>
              <w:rPr>
                <w:rFonts w:hint="eastAsia" w:ascii="宋体" w:hAnsi="宋体" w:cs="宋体"/>
                <w:color w:val="auto"/>
                <w:sz w:val="24"/>
                <w:highlight w:val="none"/>
              </w:rPr>
              <w:t>（包括内部机构设置情况、分支机构情况、人员结构、内部管理制度情况等。）</w:t>
            </w:r>
          </w:p>
        </w:tc>
      </w:tr>
      <w:tr w14:paraId="407DF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9598" w:type="dxa"/>
            <w:gridSpan w:val="8"/>
            <w:noWrap/>
            <w:vAlign w:val="center"/>
          </w:tcPr>
          <w:p w14:paraId="1C2DDA49">
            <w:pPr>
              <w:jc w:val="center"/>
              <w:rPr>
                <w:rFonts w:ascii="宋体" w:hAnsi="宋体" w:cs="宋体"/>
                <w:b/>
                <w:color w:val="auto"/>
                <w:sz w:val="24"/>
                <w:highlight w:val="none"/>
              </w:rPr>
            </w:pPr>
            <w:r>
              <w:rPr>
                <w:rFonts w:hint="eastAsia" w:ascii="宋体" w:hAnsi="宋体" w:cs="宋体"/>
                <w:b/>
                <w:color w:val="auto"/>
                <w:sz w:val="24"/>
                <w:highlight w:val="none"/>
              </w:rPr>
              <w:t>工程师情况</w:t>
            </w:r>
          </w:p>
        </w:tc>
      </w:tr>
      <w:tr w14:paraId="3CF85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77" w:type="dxa"/>
            <w:tcBorders>
              <w:right w:val="single" w:color="auto" w:sz="4" w:space="0"/>
            </w:tcBorders>
            <w:noWrap/>
            <w:vAlign w:val="center"/>
          </w:tcPr>
          <w:p w14:paraId="3CC7EA71">
            <w:pPr>
              <w:jc w:val="center"/>
              <w:rPr>
                <w:rFonts w:ascii="宋体" w:hAnsi="宋体" w:cs="宋体"/>
                <w:color w:val="auto"/>
                <w:sz w:val="24"/>
                <w:highlight w:val="none"/>
              </w:rPr>
            </w:pPr>
            <w:r>
              <w:rPr>
                <w:rFonts w:hint="eastAsia" w:ascii="宋体" w:hAnsi="宋体" w:cs="宋体"/>
                <w:color w:val="auto"/>
                <w:sz w:val="24"/>
                <w:highlight w:val="none"/>
              </w:rPr>
              <w:t>姓名</w:t>
            </w:r>
          </w:p>
        </w:tc>
        <w:tc>
          <w:tcPr>
            <w:tcW w:w="1370" w:type="dxa"/>
            <w:tcBorders>
              <w:left w:val="single" w:color="auto" w:sz="4" w:space="0"/>
            </w:tcBorders>
            <w:noWrap/>
            <w:vAlign w:val="center"/>
          </w:tcPr>
          <w:p w14:paraId="2FF2CD02">
            <w:pPr>
              <w:jc w:val="center"/>
              <w:rPr>
                <w:rFonts w:ascii="宋体" w:hAnsi="宋体" w:cs="宋体"/>
                <w:color w:val="auto"/>
                <w:sz w:val="24"/>
                <w:highlight w:val="none"/>
              </w:rPr>
            </w:pPr>
            <w:r>
              <w:rPr>
                <w:rFonts w:hint="eastAsia" w:ascii="宋体" w:hAnsi="宋体" w:cs="宋体"/>
                <w:color w:val="auto"/>
                <w:sz w:val="24"/>
                <w:highlight w:val="none"/>
              </w:rPr>
              <w:t>年龄</w:t>
            </w:r>
          </w:p>
        </w:tc>
        <w:tc>
          <w:tcPr>
            <w:tcW w:w="2590" w:type="dxa"/>
            <w:gridSpan w:val="3"/>
            <w:tcBorders>
              <w:right w:val="single" w:color="auto" w:sz="4" w:space="0"/>
            </w:tcBorders>
            <w:noWrap/>
            <w:vAlign w:val="center"/>
          </w:tcPr>
          <w:p w14:paraId="134B8B67">
            <w:pPr>
              <w:jc w:val="center"/>
              <w:rPr>
                <w:rFonts w:ascii="宋体" w:hAnsi="宋体" w:cs="宋体"/>
                <w:color w:val="auto"/>
                <w:sz w:val="24"/>
                <w:highlight w:val="none"/>
              </w:rPr>
            </w:pPr>
            <w:r>
              <w:rPr>
                <w:rFonts w:hint="eastAsia" w:ascii="宋体" w:hAnsi="宋体" w:cs="宋体"/>
                <w:color w:val="auto"/>
                <w:sz w:val="24"/>
                <w:highlight w:val="none"/>
              </w:rPr>
              <w:t>工程师证书编号</w:t>
            </w:r>
          </w:p>
        </w:tc>
        <w:tc>
          <w:tcPr>
            <w:tcW w:w="1676" w:type="dxa"/>
            <w:gridSpan w:val="2"/>
            <w:tcBorders>
              <w:left w:val="single" w:color="auto" w:sz="4" w:space="0"/>
            </w:tcBorders>
            <w:noWrap/>
            <w:vAlign w:val="center"/>
          </w:tcPr>
          <w:p w14:paraId="5B45B092">
            <w:pPr>
              <w:jc w:val="center"/>
              <w:rPr>
                <w:rFonts w:ascii="宋体" w:hAnsi="宋体" w:cs="宋体"/>
                <w:color w:val="auto"/>
                <w:sz w:val="24"/>
                <w:highlight w:val="none"/>
              </w:rPr>
            </w:pPr>
            <w:r>
              <w:rPr>
                <w:rFonts w:hint="eastAsia" w:ascii="宋体" w:hAnsi="宋体" w:cs="宋体"/>
                <w:color w:val="auto"/>
                <w:sz w:val="24"/>
                <w:highlight w:val="none"/>
              </w:rPr>
              <w:t>现从事的专业</w:t>
            </w:r>
          </w:p>
        </w:tc>
        <w:tc>
          <w:tcPr>
            <w:tcW w:w="2285" w:type="dxa"/>
            <w:noWrap/>
            <w:vAlign w:val="center"/>
          </w:tcPr>
          <w:p w14:paraId="12E807FE">
            <w:pPr>
              <w:jc w:val="center"/>
              <w:rPr>
                <w:rFonts w:ascii="宋体" w:hAnsi="宋体" w:cs="宋体"/>
                <w:color w:val="auto"/>
                <w:sz w:val="24"/>
                <w:highlight w:val="none"/>
              </w:rPr>
            </w:pPr>
            <w:r>
              <w:rPr>
                <w:rFonts w:hint="eastAsia" w:ascii="宋体" w:hAnsi="宋体" w:cs="宋体"/>
                <w:color w:val="auto"/>
                <w:sz w:val="24"/>
                <w:highlight w:val="none"/>
              </w:rPr>
              <w:t>从事本专业工作年限</w:t>
            </w:r>
          </w:p>
        </w:tc>
      </w:tr>
      <w:tr w14:paraId="39543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tcBorders>
              <w:right w:val="single" w:color="auto" w:sz="4" w:space="0"/>
            </w:tcBorders>
            <w:noWrap/>
            <w:vAlign w:val="center"/>
          </w:tcPr>
          <w:p w14:paraId="5281D683">
            <w:pPr>
              <w:jc w:val="center"/>
              <w:rPr>
                <w:rFonts w:ascii="宋体" w:hAnsi="宋体" w:cs="宋体"/>
                <w:color w:val="auto"/>
                <w:sz w:val="24"/>
                <w:highlight w:val="none"/>
              </w:rPr>
            </w:pPr>
          </w:p>
        </w:tc>
        <w:tc>
          <w:tcPr>
            <w:tcW w:w="1370" w:type="dxa"/>
            <w:tcBorders>
              <w:left w:val="single" w:color="auto" w:sz="4" w:space="0"/>
            </w:tcBorders>
            <w:noWrap/>
            <w:vAlign w:val="center"/>
          </w:tcPr>
          <w:p w14:paraId="1135ECAF">
            <w:pPr>
              <w:jc w:val="center"/>
              <w:rPr>
                <w:rFonts w:ascii="宋体" w:hAnsi="宋体" w:cs="宋体"/>
                <w:color w:val="auto"/>
                <w:sz w:val="24"/>
                <w:highlight w:val="none"/>
              </w:rPr>
            </w:pPr>
          </w:p>
        </w:tc>
        <w:tc>
          <w:tcPr>
            <w:tcW w:w="2590" w:type="dxa"/>
            <w:gridSpan w:val="3"/>
            <w:tcBorders>
              <w:right w:val="single" w:color="auto" w:sz="4" w:space="0"/>
            </w:tcBorders>
            <w:noWrap/>
            <w:vAlign w:val="center"/>
          </w:tcPr>
          <w:p w14:paraId="2DEF40E0">
            <w:pPr>
              <w:jc w:val="center"/>
              <w:rPr>
                <w:rFonts w:ascii="宋体" w:hAnsi="宋体" w:cs="宋体"/>
                <w:color w:val="auto"/>
                <w:sz w:val="24"/>
                <w:highlight w:val="none"/>
              </w:rPr>
            </w:pPr>
          </w:p>
        </w:tc>
        <w:tc>
          <w:tcPr>
            <w:tcW w:w="1676" w:type="dxa"/>
            <w:gridSpan w:val="2"/>
            <w:tcBorders>
              <w:left w:val="single" w:color="auto" w:sz="4" w:space="0"/>
            </w:tcBorders>
            <w:noWrap/>
            <w:vAlign w:val="center"/>
          </w:tcPr>
          <w:p w14:paraId="223E0212">
            <w:pPr>
              <w:jc w:val="center"/>
              <w:rPr>
                <w:rFonts w:ascii="宋体" w:hAnsi="宋体" w:cs="宋体"/>
                <w:color w:val="auto"/>
                <w:sz w:val="24"/>
                <w:highlight w:val="none"/>
              </w:rPr>
            </w:pPr>
          </w:p>
        </w:tc>
        <w:tc>
          <w:tcPr>
            <w:tcW w:w="2285" w:type="dxa"/>
            <w:noWrap/>
            <w:vAlign w:val="center"/>
          </w:tcPr>
          <w:p w14:paraId="694B49A1">
            <w:pPr>
              <w:jc w:val="center"/>
              <w:rPr>
                <w:rFonts w:ascii="宋体" w:hAnsi="宋体" w:cs="宋体"/>
                <w:color w:val="auto"/>
                <w:sz w:val="24"/>
                <w:highlight w:val="none"/>
              </w:rPr>
            </w:pPr>
          </w:p>
        </w:tc>
      </w:tr>
      <w:tr w14:paraId="21E47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677" w:type="dxa"/>
            <w:tcBorders>
              <w:right w:val="single" w:color="auto" w:sz="4" w:space="0"/>
            </w:tcBorders>
            <w:noWrap/>
            <w:vAlign w:val="center"/>
          </w:tcPr>
          <w:p w14:paraId="0547BAF5">
            <w:pPr>
              <w:jc w:val="center"/>
              <w:rPr>
                <w:rFonts w:ascii="宋体" w:hAnsi="宋体" w:cs="宋体"/>
                <w:color w:val="auto"/>
                <w:sz w:val="24"/>
                <w:highlight w:val="none"/>
              </w:rPr>
            </w:pPr>
          </w:p>
        </w:tc>
        <w:tc>
          <w:tcPr>
            <w:tcW w:w="1370" w:type="dxa"/>
            <w:tcBorders>
              <w:left w:val="single" w:color="auto" w:sz="4" w:space="0"/>
            </w:tcBorders>
            <w:noWrap/>
            <w:vAlign w:val="center"/>
          </w:tcPr>
          <w:p w14:paraId="1FB4AD4F">
            <w:pPr>
              <w:jc w:val="center"/>
              <w:rPr>
                <w:rFonts w:ascii="宋体" w:hAnsi="宋体" w:cs="宋体"/>
                <w:color w:val="auto"/>
                <w:sz w:val="24"/>
                <w:highlight w:val="none"/>
              </w:rPr>
            </w:pPr>
          </w:p>
        </w:tc>
        <w:tc>
          <w:tcPr>
            <w:tcW w:w="2590" w:type="dxa"/>
            <w:gridSpan w:val="3"/>
            <w:tcBorders>
              <w:right w:val="single" w:color="auto" w:sz="4" w:space="0"/>
            </w:tcBorders>
            <w:noWrap/>
            <w:vAlign w:val="center"/>
          </w:tcPr>
          <w:p w14:paraId="30111F66">
            <w:pPr>
              <w:jc w:val="center"/>
              <w:rPr>
                <w:rFonts w:ascii="宋体" w:hAnsi="宋体" w:cs="宋体"/>
                <w:color w:val="auto"/>
                <w:sz w:val="24"/>
                <w:highlight w:val="none"/>
              </w:rPr>
            </w:pPr>
          </w:p>
        </w:tc>
        <w:tc>
          <w:tcPr>
            <w:tcW w:w="1676" w:type="dxa"/>
            <w:gridSpan w:val="2"/>
            <w:tcBorders>
              <w:left w:val="single" w:color="auto" w:sz="4" w:space="0"/>
            </w:tcBorders>
            <w:noWrap/>
            <w:vAlign w:val="center"/>
          </w:tcPr>
          <w:p w14:paraId="1E9924E0">
            <w:pPr>
              <w:jc w:val="center"/>
              <w:rPr>
                <w:rFonts w:ascii="宋体" w:hAnsi="宋体" w:cs="宋体"/>
                <w:color w:val="auto"/>
                <w:sz w:val="24"/>
                <w:highlight w:val="none"/>
              </w:rPr>
            </w:pPr>
          </w:p>
        </w:tc>
        <w:tc>
          <w:tcPr>
            <w:tcW w:w="2285" w:type="dxa"/>
            <w:noWrap/>
            <w:vAlign w:val="center"/>
          </w:tcPr>
          <w:p w14:paraId="6072AAE6">
            <w:pPr>
              <w:jc w:val="center"/>
              <w:rPr>
                <w:rFonts w:ascii="宋体" w:hAnsi="宋体" w:cs="宋体"/>
                <w:color w:val="auto"/>
                <w:sz w:val="24"/>
                <w:highlight w:val="none"/>
              </w:rPr>
            </w:pPr>
          </w:p>
        </w:tc>
      </w:tr>
      <w:tr w14:paraId="3AC22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677" w:type="dxa"/>
            <w:tcBorders>
              <w:right w:val="single" w:color="auto" w:sz="4" w:space="0"/>
            </w:tcBorders>
            <w:noWrap/>
            <w:vAlign w:val="center"/>
          </w:tcPr>
          <w:p w14:paraId="45538B18">
            <w:pPr>
              <w:jc w:val="center"/>
              <w:rPr>
                <w:rFonts w:ascii="宋体" w:hAnsi="宋体" w:cs="宋体"/>
                <w:color w:val="auto"/>
                <w:sz w:val="24"/>
                <w:highlight w:val="none"/>
              </w:rPr>
            </w:pPr>
          </w:p>
        </w:tc>
        <w:tc>
          <w:tcPr>
            <w:tcW w:w="1370" w:type="dxa"/>
            <w:tcBorders>
              <w:left w:val="single" w:color="auto" w:sz="4" w:space="0"/>
            </w:tcBorders>
            <w:noWrap/>
            <w:vAlign w:val="center"/>
          </w:tcPr>
          <w:p w14:paraId="212CA3B5">
            <w:pPr>
              <w:jc w:val="center"/>
              <w:rPr>
                <w:rFonts w:ascii="宋体" w:hAnsi="宋体" w:cs="宋体"/>
                <w:color w:val="auto"/>
                <w:sz w:val="24"/>
                <w:highlight w:val="none"/>
              </w:rPr>
            </w:pPr>
          </w:p>
        </w:tc>
        <w:tc>
          <w:tcPr>
            <w:tcW w:w="2590" w:type="dxa"/>
            <w:gridSpan w:val="3"/>
            <w:tcBorders>
              <w:right w:val="single" w:color="auto" w:sz="4" w:space="0"/>
            </w:tcBorders>
            <w:noWrap/>
            <w:vAlign w:val="center"/>
          </w:tcPr>
          <w:p w14:paraId="41A2F517">
            <w:pPr>
              <w:jc w:val="center"/>
              <w:rPr>
                <w:rFonts w:ascii="宋体" w:hAnsi="宋体" w:cs="宋体"/>
                <w:color w:val="auto"/>
                <w:sz w:val="24"/>
                <w:highlight w:val="none"/>
              </w:rPr>
            </w:pPr>
          </w:p>
        </w:tc>
        <w:tc>
          <w:tcPr>
            <w:tcW w:w="1676" w:type="dxa"/>
            <w:gridSpan w:val="2"/>
            <w:tcBorders>
              <w:left w:val="single" w:color="auto" w:sz="4" w:space="0"/>
            </w:tcBorders>
            <w:noWrap/>
            <w:vAlign w:val="center"/>
          </w:tcPr>
          <w:p w14:paraId="33FF8AE5">
            <w:pPr>
              <w:jc w:val="center"/>
              <w:rPr>
                <w:rFonts w:ascii="宋体" w:hAnsi="宋体" w:cs="宋体"/>
                <w:color w:val="auto"/>
                <w:sz w:val="24"/>
                <w:highlight w:val="none"/>
              </w:rPr>
            </w:pPr>
          </w:p>
        </w:tc>
        <w:tc>
          <w:tcPr>
            <w:tcW w:w="2285" w:type="dxa"/>
            <w:noWrap/>
            <w:vAlign w:val="center"/>
          </w:tcPr>
          <w:p w14:paraId="11F3B987">
            <w:pPr>
              <w:jc w:val="center"/>
              <w:rPr>
                <w:rFonts w:ascii="宋体" w:hAnsi="宋体" w:cs="宋体"/>
                <w:color w:val="auto"/>
                <w:sz w:val="24"/>
                <w:highlight w:val="none"/>
              </w:rPr>
            </w:pPr>
          </w:p>
        </w:tc>
      </w:tr>
    </w:tbl>
    <w:p w14:paraId="7D27B0F6">
      <w:pPr>
        <w:ind w:firstLine="6840" w:firstLineChars="2850"/>
        <w:rPr>
          <w:rFonts w:ascii="宋体" w:hAnsi="宋体" w:cs="宋体"/>
          <w:color w:val="auto"/>
          <w:sz w:val="24"/>
          <w:highlight w:val="none"/>
        </w:rPr>
      </w:pPr>
    </w:p>
    <w:p w14:paraId="5FDE9BE8">
      <w:pPr>
        <w:snapToGrid w:val="0"/>
        <w:ind w:firstLine="480" w:firstLineChars="200"/>
        <w:rPr>
          <w:rFonts w:ascii="宋体" w:hAnsi="宋体" w:cs="宋体"/>
          <w:color w:val="auto"/>
          <w:sz w:val="24"/>
          <w:highlight w:val="none"/>
        </w:rPr>
      </w:pPr>
      <w:r>
        <w:rPr>
          <w:rFonts w:hint="eastAsia" w:ascii="宋体" w:hAnsi="宋体" w:cs="宋体"/>
          <w:color w:val="auto"/>
          <w:sz w:val="24"/>
          <w:highlight w:val="none"/>
        </w:rPr>
        <w:t>兹证明上述声明是真实、正确的，并提供了全部能提供的资料和数据，我们同意遵照贵方要求出示有关证明文件。</w:t>
      </w:r>
    </w:p>
    <w:p w14:paraId="35B2F52F">
      <w:pPr>
        <w:widowControl/>
        <w:spacing w:line="360" w:lineRule="auto"/>
        <w:jc w:val="center"/>
        <w:rPr>
          <w:rFonts w:ascii="宋体" w:hAnsi="宋体" w:cs="Arial"/>
          <w:b/>
          <w:bCs/>
          <w:color w:val="auto"/>
          <w:sz w:val="24"/>
          <w:szCs w:val="24"/>
          <w:highlight w:val="none"/>
        </w:rPr>
      </w:pPr>
    </w:p>
    <w:p w14:paraId="1C40DB8E">
      <w:pPr>
        <w:spacing w:line="440" w:lineRule="exact"/>
        <w:ind w:firstLine="4200" w:firstLineChars="1750"/>
        <w:rPr>
          <w:rFonts w:ascii="宋体" w:hAnsi="宋体" w:cs="Arial"/>
          <w:b/>
          <w:bCs/>
          <w:color w:val="auto"/>
          <w:sz w:val="24"/>
          <w:szCs w:val="24"/>
          <w:highlight w:val="none"/>
        </w:rPr>
      </w:pPr>
      <w:r>
        <w:rPr>
          <w:rFonts w:hint="eastAsia" w:ascii="宋体" w:hAnsi="宋体" w:cs="宋体"/>
          <w:color w:val="auto"/>
          <w:sz w:val="24"/>
          <w:highlight w:val="none"/>
          <w:u w:val="single"/>
        </w:rPr>
        <w:t>　｛投标人名称｝　</w:t>
      </w:r>
      <w:r>
        <w:rPr>
          <w:rFonts w:hint="eastAsia" w:ascii="宋体" w:hAnsi="宋体" w:cs="宋体"/>
          <w:color w:val="auto"/>
          <w:sz w:val="24"/>
          <w:highlight w:val="none"/>
        </w:rPr>
        <w:t>（盖章）</w:t>
      </w:r>
    </w:p>
    <w:p w14:paraId="5A78A8CC">
      <w:pPr>
        <w:widowControl/>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2EEB7160">
      <w:pPr>
        <w:widowControl/>
        <w:rPr>
          <w:rFonts w:hint="eastAsia" w:ascii="宋体" w:hAnsi="宋体" w:cs="宋体"/>
          <w:color w:val="auto"/>
          <w:sz w:val="24"/>
          <w:highlight w:val="none"/>
        </w:rPr>
      </w:pPr>
    </w:p>
    <w:p w14:paraId="5831120F">
      <w:pPr>
        <w:widowControl/>
        <w:rPr>
          <w:rFonts w:hint="eastAsia" w:ascii="宋体" w:hAnsi="宋体" w:cs="宋体"/>
          <w:color w:val="auto"/>
          <w:sz w:val="24"/>
          <w:highlight w:val="none"/>
        </w:rPr>
      </w:pPr>
    </w:p>
    <w:p w14:paraId="3C128A28">
      <w:pPr>
        <w:jc w:val="lef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09BE5A27">
      <w:pPr>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六、供应商参与政府采购活动投标资格声明（格式）</w:t>
      </w:r>
    </w:p>
    <w:tbl>
      <w:tblPr>
        <w:tblStyle w:val="20"/>
        <w:tblpPr w:leftFromText="180" w:rightFromText="180" w:vertAnchor="text" w:horzAnchor="page" w:tblpX="1261" w:tblpY="480"/>
        <w:tblOverlap w:val="never"/>
        <w:tblW w:w="100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8445"/>
      </w:tblGrid>
      <w:tr w14:paraId="22843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noWrap w:val="0"/>
            <w:vAlign w:val="top"/>
          </w:tcPr>
          <w:p w14:paraId="42F419E7">
            <w:pPr>
              <w:pStyle w:val="12"/>
              <w:snapToGrid w:val="0"/>
              <w:spacing w:line="400" w:lineRule="exact"/>
              <w:jc w:val="center"/>
              <w:rPr>
                <w:rFonts w:hAnsi="宋体" w:cs="宋体"/>
                <w:kern w:val="1"/>
                <w:szCs w:val="24"/>
                <w:highlight w:val="none"/>
              </w:rPr>
            </w:pPr>
            <w:r>
              <w:rPr>
                <w:rFonts w:hint="eastAsia" w:hAnsi="宋体" w:cs="宋体"/>
                <w:kern w:val="1"/>
                <w:szCs w:val="24"/>
                <w:highlight w:val="none"/>
              </w:rPr>
              <w:t>项目名称</w:t>
            </w:r>
          </w:p>
        </w:tc>
        <w:tc>
          <w:tcPr>
            <w:tcW w:w="8445" w:type="dxa"/>
            <w:noWrap w:val="0"/>
            <w:vAlign w:val="top"/>
          </w:tcPr>
          <w:p w14:paraId="1ED1AB49">
            <w:pPr>
              <w:pStyle w:val="12"/>
              <w:snapToGrid w:val="0"/>
              <w:spacing w:line="400" w:lineRule="exact"/>
              <w:ind w:left="422" w:firstLine="331"/>
              <w:rPr>
                <w:rFonts w:hAnsi="宋体" w:cs="宋体"/>
                <w:kern w:val="1"/>
                <w:szCs w:val="24"/>
                <w:highlight w:val="none"/>
              </w:rPr>
            </w:pPr>
          </w:p>
        </w:tc>
      </w:tr>
      <w:tr w14:paraId="7253E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noWrap w:val="0"/>
            <w:vAlign w:val="top"/>
          </w:tcPr>
          <w:p w14:paraId="46D5987D">
            <w:pPr>
              <w:pStyle w:val="12"/>
              <w:snapToGrid w:val="0"/>
              <w:spacing w:line="400" w:lineRule="exact"/>
              <w:jc w:val="center"/>
              <w:rPr>
                <w:rFonts w:hAnsi="宋体" w:cs="宋体"/>
                <w:kern w:val="1"/>
                <w:szCs w:val="24"/>
                <w:highlight w:val="none"/>
              </w:rPr>
            </w:pPr>
            <w:r>
              <w:rPr>
                <w:rFonts w:hint="eastAsia" w:hAnsi="宋体" w:cs="宋体"/>
                <w:kern w:val="1"/>
                <w:szCs w:val="24"/>
                <w:highlight w:val="none"/>
              </w:rPr>
              <w:t>项目编号</w:t>
            </w:r>
          </w:p>
        </w:tc>
        <w:tc>
          <w:tcPr>
            <w:tcW w:w="8445" w:type="dxa"/>
            <w:noWrap w:val="0"/>
            <w:vAlign w:val="top"/>
          </w:tcPr>
          <w:p w14:paraId="7B3C5718">
            <w:pPr>
              <w:pStyle w:val="12"/>
              <w:snapToGrid w:val="0"/>
              <w:spacing w:line="400" w:lineRule="exact"/>
              <w:ind w:left="422" w:firstLine="361"/>
              <w:rPr>
                <w:rFonts w:hAnsi="宋体" w:cs="宋体"/>
                <w:kern w:val="1"/>
                <w:szCs w:val="24"/>
                <w:highlight w:val="none"/>
              </w:rPr>
            </w:pPr>
          </w:p>
        </w:tc>
      </w:tr>
      <w:tr w14:paraId="3E1D9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noWrap w:val="0"/>
            <w:vAlign w:val="top"/>
          </w:tcPr>
          <w:p w14:paraId="65E1EA5B">
            <w:pPr>
              <w:pStyle w:val="12"/>
              <w:snapToGrid w:val="0"/>
              <w:spacing w:line="400" w:lineRule="exact"/>
              <w:jc w:val="center"/>
              <w:rPr>
                <w:rFonts w:hAnsi="宋体" w:cs="宋体"/>
                <w:kern w:val="1"/>
                <w:szCs w:val="24"/>
                <w:highlight w:val="none"/>
              </w:rPr>
            </w:pPr>
            <w:r>
              <w:rPr>
                <w:rFonts w:hint="eastAsia" w:hAnsi="宋体" w:cs="宋体"/>
                <w:kern w:val="1"/>
                <w:szCs w:val="24"/>
                <w:highlight w:val="none"/>
              </w:rPr>
              <w:t>时    间</w:t>
            </w:r>
          </w:p>
        </w:tc>
        <w:tc>
          <w:tcPr>
            <w:tcW w:w="8445" w:type="dxa"/>
            <w:noWrap w:val="0"/>
            <w:vAlign w:val="top"/>
          </w:tcPr>
          <w:p w14:paraId="0DFE3DDB">
            <w:pPr>
              <w:pStyle w:val="12"/>
              <w:snapToGrid w:val="0"/>
              <w:spacing w:line="400" w:lineRule="exact"/>
              <w:rPr>
                <w:rFonts w:hAnsi="宋体" w:cs="宋体"/>
                <w:kern w:val="1"/>
                <w:szCs w:val="24"/>
                <w:highlight w:val="none"/>
              </w:rPr>
            </w:pPr>
            <w:r>
              <w:rPr>
                <w:rFonts w:hint="eastAsia" w:hAnsi="宋体" w:cs="宋体"/>
                <w:kern w:val="1"/>
                <w:szCs w:val="24"/>
                <w:highlight w:val="none"/>
              </w:rPr>
              <w:t>投标截止时间：</w:t>
            </w:r>
          </w:p>
        </w:tc>
      </w:tr>
      <w:tr w14:paraId="56E17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10065" w:type="dxa"/>
            <w:gridSpan w:val="2"/>
            <w:noWrap w:val="0"/>
            <w:vAlign w:val="top"/>
          </w:tcPr>
          <w:p w14:paraId="028050E5">
            <w:pPr>
              <w:pStyle w:val="12"/>
              <w:snapToGrid w:val="0"/>
              <w:spacing w:line="400" w:lineRule="exact"/>
              <w:ind w:firstLine="450"/>
              <w:rPr>
                <w:rFonts w:hAnsi="宋体" w:cs="宋体"/>
                <w:kern w:val="1"/>
                <w:szCs w:val="24"/>
                <w:highlight w:val="none"/>
              </w:rPr>
            </w:pPr>
            <w:r>
              <w:rPr>
                <w:rFonts w:hint="eastAsia" w:hAnsi="宋体" w:cs="宋体"/>
                <w:kern w:val="1"/>
                <w:szCs w:val="24"/>
                <w:highlight w:val="none"/>
              </w:rPr>
              <w:t>1、根据政府采购法第二十二条规定，我单位满足以下条件：</w:t>
            </w:r>
          </w:p>
          <w:p w14:paraId="1CFBB9C2">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（一）具有独立承担民事责任的能力； </w:t>
            </w:r>
          </w:p>
          <w:p w14:paraId="259FCDEA">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（二）具有良好的商业信誉和健全的财务会计制度； </w:t>
            </w:r>
          </w:p>
          <w:p w14:paraId="59D7DDE0">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（三）具有履行合同所必需的设备和专业技术能力； </w:t>
            </w:r>
          </w:p>
          <w:p w14:paraId="568C5BC6">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（四）有依法缴纳税收和社会保障资金的良好记录； </w:t>
            </w:r>
          </w:p>
          <w:p w14:paraId="0734FA4B">
            <w:pPr>
              <w:pStyle w:val="12"/>
              <w:snapToGrid w:val="0"/>
              <w:spacing w:line="400" w:lineRule="exact"/>
              <w:ind w:firstLine="450"/>
              <w:jc w:val="left"/>
              <w:rPr>
                <w:rFonts w:hint="eastAsia" w:hAnsi="宋体" w:cs="宋体"/>
                <w:kern w:val="1"/>
                <w:szCs w:val="24"/>
                <w:highlight w:val="none"/>
              </w:rPr>
            </w:pPr>
            <w:r>
              <w:rPr>
                <w:rFonts w:hint="eastAsia" w:hAnsi="宋体" w:cs="宋体"/>
                <w:kern w:val="1"/>
                <w:szCs w:val="24"/>
                <w:highlight w:val="none"/>
              </w:rPr>
              <w:t xml:space="preserve">　　（五）参加政府采购活动前三年内，在经营活动中没有重大违法记录； </w:t>
            </w:r>
          </w:p>
          <w:p w14:paraId="43BDFDF3">
            <w:pPr>
              <w:pStyle w:val="12"/>
              <w:snapToGrid w:val="0"/>
              <w:spacing w:line="400" w:lineRule="exact"/>
              <w:ind w:firstLine="450"/>
              <w:jc w:val="left"/>
              <w:rPr>
                <w:rFonts w:hAnsi="宋体" w:cs="宋体"/>
                <w:kern w:val="1"/>
                <w:szCs w:val="24"/>
                <w:highlight w:val="none"/>
              </w:rPr>
            </w:pPr>
            <w:r>
              <w:rPr>
                <w:rFonts w:hint="eastAsia" w:hAnsi="宋体" w:cs="宋体"/>
                <w:kern w:val="1"/>
                <w:szCs w:val="24"/>
                <w:highlight w:val="none"/>
              </w:rPr>
              <w:t xml:space="preserve">　　（六）法律、行政法规规定的其他条件。 </w:t>
            </w:r>
          </w:p>
          <w:p w14:paraId="5C3D4B51">
            <w:pPr>
              <w:pStyle w:val="12"/>
              <w:snapToGrid w:val="0"/>
              <w:spacing w:line="400" w:lineRule="exact"/>
              <w:ind w:firstLine="450"/>
              <w:rPr>
                <w:rFonts w:hAnsi="宋体" w:cs="宋体"/>
                <w:kern w:val="1"/>
                <w:szCs w:val="24"/>
                <w:highlight w:val="none"/>
              </w:rPr>
            </w:pPr>
            <w:r>
              <w:rPr>
                <w:rFonts w:hint="eastAsia" w:hAnsi="宋体" w:cs="宋体"/>
                <w:kern w:val="1"/>
                <w:szCs w:val="24"/>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承诺不存在上述文件规定依法限制参与政府采购的情况。</w:t>
            </w:r>
          </w:p>
          <w:p w14:paraId="65F450F1">
            <w:pPr>
              <w:pStyle w:val="12"/>
              <w:snapToGrid w:val="0"/>
              <w:spacing w:line="400" w:lineRule="exact"/>
              <w:ind w:firstLine="450"/>
              <w:rPr>
                <w:rFonts w:hAnsi="宋体" w:cs="宋体"/>
                <w:kern w:val="1"/>
                <w:szCs w:val="24"/>
                <w:highlight w:val="none"/>
              </w:rPr>
            </w:pPr>
            <w:r>
              <w:rPr>
                <w:rFonts w:hint="eastAsia" w:hAnsi="宋体" w:cs="宋体"/>
                <w:kern w:val="1"/>
                <w:szCs w:val="24"/>
                <w:highlight w:val="none"/>
              </w:rPr>
              <w:t>3、我单位承诺没有被各地、各级财政部门限制参加政府采购活动。</w:t>
            </w:r>
          </w:p>
          <w:p w14:paraId="318C307B">
            <w:pPr>
              <w:tabs>
                <w:tab w:val="center" w:pos="4483"/>
              </w:tabs>
              <w:spacing w:line="360" w:lineRule="auto"/>
              <w:ind w:firstLine="480" w:firstLineChars="200"/>
              <w:rPr>
                <w:rFonts w:ascii="宋体" w:hAnsi="宋体" w:cs="宋体"/>
                <w:color w:val="auto"/>
                <w:kern w:val="1"/>
                <w:sz w:val="24"/>
                <w:szCs w:val="24"/>
                <w:highlight w:val="none"/>
              </w:rPr>
            </w:pPr>
            <w:r>
              <w:rPr>
                <w:rFonts w:hint="eastAsia" w:ascii="宋体" w:hAnsi="宋体" w:cs="宋体"/>
                <w:color w:val="auto"/>
                <w:kern w:val="1"/>
                <w:sz w:val="24"/>
                <w:szCs w:val="24"/>
                <w:highlight w:val="none"/>
              </w:rPr>
              <w:t>4、我单位承诺参与本项目政府采购活动3年内没有其它重大违法记录。</w:t>
            </w:r>
          </w:p>
          <w:p w14:paraId="5AED878E">
            <w:pPr>
              <w:tabs>
                <w:tab w:val="center" w:pos="4483"/>
              </w:tabs>
              <w:spacing w:line="360" w:lineRule="auto"/>
              <w:ind w:firstLine="480" w:firstLineChars="200"/>
              <w:rPr>
                <w:rFonts w:ascii="宋体" w:hAnsi="宋体" w:cs="宋体"/>
                <w:color w:val="auto"/>
                <w:kern w:val="1"/>
                <w:sz w:val="24"/>
                <w:szCs w:val="24"/>
                <w:highlight w:val="none"/>
              </w:rPr>
            </w:pPr>
            <w:r>
              <w:rPr>
                <w:rFonts w:hint="eastAsia" w:ascii="宋体" w:hAnsi="宋体" w:cs="宋体"/>
                <w:color w:val="auto"/>
                <w:kern w:val="1"/>
                <w:sz w:val="24"/>
                <w:szCs w:val="24"/>
                <w:highlight w:val="none"/>
              </w:rPr>
              <w:t>本公司所提交的本声明和陈述均是真实的、准确的。若与真实情况不符，本公司愿意承担由此而产生的一切后果。我方提供了全部能提供的资料和数据，我们同意遵照贵方要求出示有关证明文件。</w:t>
            </w:r>
          </w:p>
        </w:tc>
      </w:tr>
      <w:tr w14:paraId="2DEEE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0065" w:type="dxa"/>
            <w:gridSpan w:val="2"/>
            <w:noWrap w:val="0"/>
            <w:vAlign w:val="center"/>
          </w:tcPr>
          <w:p w14:paraId="45EBA948">
            <w:pPr>
              <w:pStyle w:val="12"/>
              <w:snapToGrid w:val="0"/>
              <w:spacing w:line="400" w:lineRule="exact"/>
              <w:rPr>
                <w:rFonts w:hint="eastAsia" w:hAnsi="宋体" w:cs="宋体"/>
                <w:kern w:val="1"/>
                <w:szCs w:val="24"/>
                <w:highlight w:val="none"/>
              </w:rPr>
            </w:pPr>
            <w:r>
              <w:rPr>
                <w:rFonts w:hint="eastAsia" w:hAnsi="宋体" w:cs="宋体"/>
                <w:kern w:val="1"/>
                <w:szCs w:val="24"/>
                <w:highlight w:val="none"/>
              </w:rPr>
              <w:t>供应商名称（</w:t>
            </w:r>
            <w:r>
              <w:rPr>
                <w:rFonts w:hint="eastAsia" w:hAnsi="宋体" w:cs="宋体"/>
                <w:kern w:val="1"/>
                <w:szCs w:val="24"/>
                <w:highlight w:val="none"/>
                <w:lang w:eastAsia="zh-CN"/>
              </w:rPr>
              <w:t>加盖CA签章</w:t>
            </w:r>
            <w:r>
              <w:rPr>
                <w:rFonts w:hint="eastAsia" w:hAnsi="宋体" w:cs="宋体"/>
                <w:kern w:val="1"/>
                <w:szCs w:val="24"/>
                <w:highlight w:val="none"/>
              </w:rPr>
              <w:t>）：</w:t>
            </w:r>
          </w:p>
        </w:tc>
      </w:tr>
      <w:tr w14:paraId="4D179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0065" w:type="dxa"/>
            <w:gridSpan w:val="2"/>
            <w:noWrap w:val="0"/>
            <w:vAlign w:val="center"/>
          </w:tcPr>
          <w:p w14:paraId="24A05AB7">
            <w:pPr>
              <w:pStyle w:val="12"/>
              <w:snapToGrid w:val="0"/>
              <w:spacing w:line="400" w:lineRule="exact"/>
              <w:rPr>
                <w:rFonts w:hint="eastAsia" w:hAnsi="宋体" w:cs="宋体"/>
                <w:kern w:val="1"/>
                <w:szCs w:val="24"/>
                <w:highlight w:val="none"/>
              </w:rPr>
            </w:pPr>
            <w:r>
              <w:rPr>
                <w:rFonts w:hint="eastAsia" w:hAnsi="宋体" w:cs="宋体"/>
                <w:kern w:val="1"/>
                <w:szCs w:val="24"/>
                <w:highlight w:val="none"/>
                <w:lang w:val="zh-CN"/>
              </w:rPr>
              <w:t>法定代表人或其授权代表（签字或盖章）</w:t>
            </w:r>
            <w:r>
              <w:rPr>
                <w:rFonts w:hint="eastAsia" w:hAnsi="宋体" w:cs="宋体"/>
                <w:kern w:val="1"/>
                <w:szCs w:val="24"/>
                <w:highlight w:val="none"/>
              </w:rPr>
              <w:t>：</w:t>
            </w:r>
          </w:p>
        </w:tc>
      </w:tr>
      <w:tr w14:paraId="34C52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10065" w:type="dxa"/>
            <w:gridSpan w:val="2"/>
            <w:noWrap w:val="0"/>
            <w:vAlign w:val="center"/>
          </w:tcPr>
          <w:p w14:paraId="05E37109">
            <w:pPr>
              <w:pStyle w:val="12"/>
              <w:snapToGrid w:val="0"/>
              <w:spacing w:line="400" w:lineRule="exact"/>
              <w:rPr>
                <w:rFonts w:hint="eastAsia" w:hAnsi="宋体" w:cs="宋体"/>
                <w:kern w:val="1"/>
                <w:szCs w:val="24"/>
                <w:highlight w:val="none"/>
              </w:rPr>
            </w:pPr>
            <w:r>
              <w:rPr>
                <w:rFonts w:hint="eastAsia" w:hAnsi="宋体" w:cs="宋体"/>
                <w:kern w:val="1"/>
                <w:szCs w:val="24"/>
                <w:highlight w:val="none"/>
              </w:rPr>
              <w:t>签署日期：</w:t>
            </w:r>
          </w:p>
        </w:tc>
      </w:tr>
    </w:tbl>
    <w:p w14:paraId="13DDC578">
      <w:pPr>
        <w:spacing w:line="440" w:lineRule="exact"/>
        <w:rPr>
          <w:rFonts w:hAnsi="宋体" w:cs="宋体"/>
          <w:b/>
          <w:color w:val="auto"/>
          <w:sz w:val="24"/>
          <w:highlight w:val="none"/>
        </w:rPr>
      </w:pPr>
      <w:r>
        <w:rPr>
          <w:rFonts w:ascii="宋体" w:hAnsi="宋体" w:cs="宋体"/>
          <w:color w:val="auto"/>
          <w:sz w:val="24"/>
          <w:highlight w:val="none"/>
        </w:rPr>
        <w:br w:type="page"/>
      </w:r>
      <w:r>
        <w:rPr>
          <w:rFonts w:hint="eastAsia" w:ascii="宋体" w:hAnsi="宋体" w:cs="宋体"/>
          <w:b/>
          <w:color w:val="auto"/>
          <w:sz w:val="24"/>
          <w:highlight w:val="none"/>
          <w:lang w:bidi="ar"/>
        </w:rPr>
        <w:t xml:space="preserve">格式七   </w:t>
      </w:r>
    </w:p>
    <w:p w14:paraId="65EB3F0D">
      <w:pPr>
        <w:snapToGrid w:val="0"/>
        <w:spacing w:line="400" w:lineRule="exact"/>
        <w:jc w:val="center"/>
        <w:rPr>
          <w:b/>
          <w:color w:val="auto"/>
          <w:spacing w:val="40"/>
          <w:sz w:val="36"/>
          <w:szCs w:val="36"/>
          <w:highlight w:val="none"/>
        </w:rPr>
      </w:pPr>
    </w:p>
    <w:p w14:paraId="6CBAE732">
      <w:pPr>
        <w:spacing w:line="480" w:lineRule="exact"/>
        <w:jc w:val="center"/>
        <w:rPr>
          <w:rFonts w:hint="eastAsia" w:ascii="宋体"/>
          <w:b/>
          <w:bCs/>
          <w:color w:val="auto"/>
          <w:sz w:val="32"/>
          <w:szCs w:val="32"/>
          <w:highlight w:val="none"/>
        </w:rPr>
      </w:pPr>
      <w:r>
        <w:rPr>
          <w:rFonts w:hint="eastAsia" w:ascii="宋体" w:cs="仿宋_GB2312"/>
          <w:b/>
          <w:color w:val="auto"/>
          <w:sz w:val="32"/>
          <w:szCs w:val="32"/>
          <w:highlight w:val="none"/>
          <w:lang w:val="zh-CN"/>
        </w:rPr>
        <w:t>主要业绩证明</w:t>
      </w:r>
    </w:p>
    <w:p w14:paraId="2CF20D9C">
      <w:pPr>
        <w:spacing w:line="440" w:lineRule="exact"/>
        <w:ind w:firstLine="120"/>
        <w:rPr>
          <w:rFonts w:hint="eastAsia" w:ascii="宋体"/>
          <w:b/>
          <w:color w:val="auto"/>
          <w:sz w:val="24"/>
          <w:highlight w:val="none"/>
        </w:rPr>
      </w:pPr>
      <w:r>
        <w:rPr>
          <w:rFonts w:hint="eastAsia" w:ascii="宋体"/>
          <w:b/>
          <w:color w:val="auto"/>
          <w:sz w:val="24"/>
          <w:highlight w:val="none"/>
        </w:rPr>
        <w:t>附表 :相关项目建设业绩一览表</w:t>
      </w:r>
    </w:p>
    <w:tbl>
      <w:tblPr>
        <w:tblStyle w:val="20"/>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873"/>
        <w:gridCol w:w="2009"/>
        <w:gridCol w:w="1738"/>
        <w:gridCol w:w="1277"/>
        <w:gridCol w:w="1263"/>
      </w:tblGrid>
      <w:tr w14:paraId="16769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87" w:type="dxa"/>
            <w:noWrap w:val="0"/>
            <w:vAlign w:val="center"/>
          </w:tcPr>
          <w:p w14:paraId="7A36FD32">
            <w:pPr>
              <w:pStyle w:val="12"/>
              <w:snapToGrid w:val="0"/>
              <w:spacing w:before="120" w:after="120"/>
              <w:jc w:val="center"/>
              <w:rPr>
                <w:rFonts w:hAnsi="宋体"/>
                <w:highlight w:val="none"/>
              </w:rPr>
            </w:pPr>
            <w:r>
              <w:rPr>
                <w:rFonts w:hint="eastAsia" w:hAnsi="宋体"/>
                <w:highlight w:val="none"/>
              </w:rPr>
              <w:t>序号</w:t>
            </w:r>
          </w:p>
        </w:tc>
        <w:tc>
          <w:tcPr>
            <w:tcW w:w="1873" w:type="dxa"/>
            <w:noWrap w:val="0"/>
            <w:vAlign w:val="center"/>
          </w:tcPr>
          <w:p w14:paraId="7D650AD4">
            <w:pPr>
              <w:pStyle w:val="12"/>
              <w:snapToGrid w:val="0"/>
              <w:spacing w:before="120" w:after="120"/>
              <w:jc w:val="center"/>
              <w:rPr>
                <w:rFonts w:hAnsi="宋体"/>
                <w:highlight w:val="none"/>
              </w:rPr>
            </w:pPr>
            <w:r>
              <w:rPr>
                <w:rFonts w:hint="eastAsia" w:hAnsi="宋体"/>
                <w:highlight w:val="none"/>
              </w:rPr>
              <w:t>项目名称</w:t>
            </w:r>
          </w:p>
        </w:tc>
        <w:tc>
          <w:tcPr>
            <w:tcW w:w="2009" w:type="dxa"/>
            <w:noWrap w:val="0"/>
            <w:vAlign w:val="center"/>
          </w:tcPr>
          <w:p w14:paraId="1E9F295D">
            <w:pPr>
              <w:pStyle w:val="12"/>
              <w:snapToGrid w:val="0"/>
              <w:spacing w:before="120" w:after="120"/>
              <w:jc w:val="center"/>
              <w:rPr>
                <w:rFonts w:hAnsi="宋体"/>
                <w:highlight w:val="none"/>
              </w:rPr>
            </w:pPr>
            <w:r>
              <w:rPr>
                <w:rFonts w:hint="eastAsia" w:hAnsi="宋体"/>
                <w:highlight w:val="none"/>
              </w:rPr>
              <w:t>用户单位</w:t>
            </w:r>
          </w:p>
        </w:tc>
        <w:tc>
          <w:tcPr>
            <w:tcW w:w="1738" w:type="dxa"/>
            <w:noWrap w:val="0"/>
            <w:vAlign w:val="center"/>
          </w:tcPr>
          <w:p w14:paraId="24798AC8">
            <w:pPr>
              <w:pStyle w:val="12"/>
              <w:snapToGrid w:val="0"/>
              <w:spacing w:before="120" w:after="120"/>
              <w:jc w:val="center"/>
              <w:rPr>
                <w:rFonts w:hAnsi="宋体"/>
                <w:highlight w:val="none"/>
              </w:rPr>
            </w:pPr>
            <w:r>
              <w:rPr>
                <w:rFonts w:hint="eastAsia" w:hAnsi="宋体"/>
                <w:highlight w:val="none"/>
              </w:rPr>
              <w:t>合同签订时间</w:t>
            </w:r>
          </w:p>
        </w:tc>
        <w:tc>
          <w:tcPr>
            <w:tcW w:w="1277" w:type="dxa"/>
            <w:noWrap w:val="0"/>
            <w:vAlign w:val="center"/>
          </w:tcPr>
          <w:p w14:paraId="3DA0DC14">
            <w:pPr>
              <w:pStyle w:val="12"/>
              <w:snapToGrid w:val="0"/>
              <w:spacing w:before="120" w:after="120"/>
              <w:jc w:val="center"/>
              <w:rPr>
                <w:rFonts w:hAnsi="宋体"/>
                <w:highlight w:val="none"/>
              </w:rPr>
            </w:pPr>
            <w:r>
              <w:rPr>
                <w:rFonts w:hint="eastAsia" w:hAnsi="宋体"/>
                <w:highlight w:val="none"/>
              </w:rPr>
              <w:t>联系人</w:t>
            </w:r>
          </w:p>
        </w:tc>
        <w:tc>
          <w:tcPr>
            <w:tcW w:w="1263" w:type="dxa"/>
            <w:noWrap w:val="0"/>
            <w:vAlign w:val="center"/>
          </w:tcPr>
          <w:p w14:paraId="6C804BBC">
            <w:pPr>
              <w:pStyle w:val="12"/>
              <w:snapToGrid w:val="0"/>
              <w:spacing w:before="120" w:after="120"/>
              <w:jc w:val="center"/>
              <w:rPr>
                <w:rFonts w:hAnsi="宋体"/>
                <w:highlight w:val="none"/>
              </w:rPr>
            </w:pPr>
            <w:r>
              <w:rPr>
                <w:rFonts w:hint="eastAsia" w:hAnsi="宋体"/>
                <w:highlight w:val="none"/>
              </w:rPr>
              <w:t>联系方式</w:t>
            </w:r>
          </w:p>
        </w:tc>
      </w:tr>
      <w:tr w14:paraId="5863C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787" w:type="dxa"/>
            <w:noWrap w:val="0"/>
            <w:vAlign w:val="center"/>
          </w:tcPr>
          <w:p w14:paraId="2B5B04BD">
            <w:pPr>
              <w:pStyle w:val="12"/>
              <w:spacing w:before="120" w:after="120" w:line="460" w:lineRule="atLeast"/>
              <w:jc w:val="center"/>
              <w:rPr>
                <w:rFonts w:hAnsi="宋体"/>
                <w:highlight w:val="none"/>
              </w:rPr>
            </w:pPr>
            <w:r>
              <w:rPr>
                <w:rFonts w:hint="eastAsia" w:hAnsi="宋体"/>
                <w:highlight w:val="none"/>
              </w:rPr>
              <w:t>1</w:t>
            </w:r>
          </w:p>
        </w:tc>
        <w:tc>
          <w:tcPr>
            <w:tcW w:w="1873" w:type="dxa"/>
            <w:noWrap w:val="0"/>
            <w:vAlign w:val="center"/>
          </w:tcPr>
          <w:p w14:paraId="0460C07F">
            <w:pPr>
              <w:pStyle w:val="12"/>
              <w:spacing w:before="120" w:after="120" w:line="460" w:lineRule="atLeast"/>
              <w:jc w:val="center"/>
              <w:rPr>
                <w:rFonts w:hAnsi="宋体"/>
                <w:highlight w:val="none"/>
              </w:rPr>
            </w:pPr>
          </w:p>
        </w:tc>
        <w:tc>
          <w:tcPr>
            <w:tcW w:w="2009" w:type="dxa"/>
            <w:noWrap w:val="0"/>
            <w:vAlign w:val="center"/>
          </w:tcPr>
          <w:p w14:paraId="354A6004">
            <w:pPr>
              <w:pStyle w:val="12"/>
              <w:spacing w:before="120" w:after="120" w:line="460" w:lineRule="atLeast"/>
              <w:jc w:val="center"/>
              <w:rPr>
                <w:rFonts w:hAnsi="宋体"/>
                <w:highlight w:val="none"/>
              </w:rPr>
            </w:pPr>
          </w:p>
        </w:tc>
        <w:tc>
          <w:tcPr>
            <w:tcW w:w="1738" w:type="dxa"/>
            <w:noWrap w:val="0"/>
            <w:vAlign w:val="center"/>
          </w:tcPr>
          <w:p w14:paraId="1AA9F97B">
            <w:pPr>
              <w:pStyle w:val="12"/>
              <w:spacing w:before="120" w:after="120" w:line="460" w:lineRule="atLeast"/>
              <w:jc w:val="center"/>
              <w:rPr>
                <w:rFonts w:hAnsi="宋体"/>
                <w:highlight w:val="none"/>
              </w:rPr>
            </w:pPr>
          </w:p>
        </w:tc>
        <w:tc>
          <w:tcPr>
            <w:tcW w:w="1277" w:type="dxa"/>
            <w:noWrap w:val="0"/>
            <w:vAlign w:val="center"/>
          </w:tcPr>
          <w:p w14:paraId="43E60DE2">
            <w:pPr>
              <w:pStyle w:val="12"/>
              <w:spacing w:before="120" w:after="120" w:line="460" w:lineRule="atLeast"/>
              <w:jc w:val="center"/>
              <w:rPr>
                <w:rFonts w:hAnsi="宋体"/>
                <w:highlight w:val="none"/>
              </w:rPr>
            </w:pPr>
          </w:p>
        </w:tc>
        <w:tc>
          <w:tcPr>
            <w:tcW w:w="1263" w:type="dxa"/>
            <w:noWrap w:val="0"/>
            <w:vAlign w:val="center"/>
          </w:tcPr>
          <w:p w14:paraId="157329B6">
            <w:pPr>
              <w:pStyle w:val="12"/>
              <w:spacing w:before="120" w:after="120" w:line="460" w:lineRule="atLeast"/>
              <w:jc w:val="center"/>
              <w:rPr>
                <w:rFonts w:hAnsi="宋体"/>
                <w:highlight w:val="none"/>
              </w:rPr>
            </w:pPr>
          </w:p>
        </w:tc>
      </w:tr>
      <w:tr w14:paraId="5CDBC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787" w:type="dxa"/>
            <w:noWrap w:val="0"/>
            <w:vAlign w:val="center"/>
          </w:tcPr>
          <w:p w14:paraId="10BD6FB6">
            <w:pPr>
              <w:pStyle w:val="12"/>
              <w:spacing w:before="120" w:after="120" w:line="460" w:lineRule="atLeast"/>
              <w:jc w:val="center"/>
              <w:rPr>
                <w:rFonts w:hAnsi="宋体"/>
                <w:highlight w:val="none"/>
              </w:rPr>
            </w:pPr>
            <w:r>
              <w:rPr>
                <w:rFonts w:hint="eastAsia" w:hAnsi="宋体"/>
                <w:highlight w:val="none"/>
              </w:rPr>
              <w:t>2</w:t>
            </w:r>
          </w:p>
        </w:tc>
        <w:tc>
          <w:tcPr>
            <w:tcW w:w="1873" w:type="dxa"/>
            <w:noWrap w:val="0"/>
            <w:vAlign w:val="center"/>
          </w:tcPr>
          <w:p w14:paraId="082ABFAE">
            <w:pPr>
              <w:pStyle w:val="12"/>
              <w:spacing w:before="120" w:after="120" w:line="460" w:lineRule="atLeast"/>
              <w:jc w:val="center"/>
              <w:rPr>
                <w:rFonts w:hAnsi="宋体"/>
                <w:highlight w:val="none"/>
              </w:rPr>
            </w:pPr>
          </w:p>
        </w:tc>
        <w:tc>
          <w:tcPr>
            <w:tcW w:w="2009" w:type="dxa"/>
            <w:noWrap w:val="0"/>
            <w:vAlign w:val="center"/>
          </w:tcPr>
          <w:p w14:paraId="7696CA6A">
            <w:pPr>
              <w:pStyle w:val="12"/>
              <w:spacing w:before="120" w:after="120" w:line="460" w:lineRule="atLeast"/>
              <w:jc w:val="center"/>
              <w:rPr>
                <w:rFonts w:hAnsi="宋体"/>
                <w:highlight w:val="none"/>
              </w:rPr>
            </w:pPr>
          </w:p>
        </w:tc>
        <w:tc>
          <w:tcPr>
            <w:tcW w:w="1738" w:type="dxa"/>
            <w:noWrap w:val="0"/>
            <w:vAlign w:val="center"/>
          </w:tcPr>
          <w:p w14:paraId="6BB4383E">
            <w:pPr>
              <w:pStyle w:val="12"/>
              <w:spacing w:before="120" w:after="120" w:line="460" w:lineRule="atLeast"/>
              <w:jc w:val="center"/>
              <w:rPr>
                <w:rFonts w:hAnsi="宋体"/>
                <w:highlight w:val="none"/>
              </w:rPr>
            </w:pPr>
          </w:p>
        </w:tc>
        <w:tc>
          <w:tcPr>
            <w:tcW w:w="1277" w:type="dxa"/>
            <w:noWrap w:val="0"/>
            <w:vAlign w:val="center"/>
          </w:tcPr>
          <w:p w14:paraId="713EF7CC">
            <w:pPr>
              <w:pStyle w:val="12"/>
              <w:spacing w:before="120" w:after="120" w:line="460" w:lineRule="atLeast"/>
              <w:jc w:val="center"/>
              <w:rPr>
                <w:rFonts w:hAnsi="宋体"/>
                <w:highlight w:val="none"/>
              </w:rPr>
            </w:pPr>
          </w:p>
        </w:tc>
        <w:tc>
          <w:tcPr>
            <w:tcW w:w="1263" w:type="dxa"/>
            <w:noWrap w:val="0"/>
            <w:vAlign w:val="center"/>
          </w:tcPr>
          <w:p w14:paraId="66E72365">
            <w:pPr>
              <w:pStyle w:val="12"/>
              <w:spacing w:before="120" w:after="120" w:line="460" w:lineRule="atLeast"/>
              <w:jc w:val="center"/>
              <w:rPr>
                <w:rFonts w:hAnsi="宋体"/>
                <w:highlight w:val="none"/>
              </w:rPr>
            </w:pPr>
          </w:p>
        </w:tc>
      </w:tr>
      <w:tr w14:paraId="2E322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87" w:type="dxa"/>
            <w:noWrap w:val="0"/>
            <w:vAlign w:val="center"/>
          </w:tcPr>
          <w:p w14:paraId="67AA93F1">
            <w:pPr>
              <w:pStyle w:val="12"/>
              <w:spacing w:before="120" w:after="120" w:line="460" w:lineRule="atLeast"/>
              <w:jc w:val="center"/>
              <w:rPr>
                <w:rFonts w:hAnsi="宋体"/>
                <w:highlight w:val="none"/>
              </w:rPr>
            </w:pPr>
            <w:r>
              <w:rPr>
                <w:rFonts w:hint="eastAsia" w:hAnsi="宋体"/>
                <w:highlight w:val="none"/>
              </w:rPr>
              <w:t>3</w:t>
            </w:r>
          </w:p>
        </w:tc>
        <w:tc>
          <w:tcPr>
            <w:tcW w:w="1873" w:type="dxa"/>
            <w:noWrap w:val="0"/>
            <w:vAlign w:val="center"/>
          </w:tcPr>
          <w:p w14:paraId="350DE34E">
            <w:pPr>
              <w:pStyle w:val="12"/>
              <w:spacing w:before="120" w:after="120" w:line="460" w:lineRule="atLeast"/>
              <w:jc w:val="center"/>
              <w:rPr>
                <w:rFonts w:hAnsi="宋体"/>
                <w:highlight w:val="none"/>
              </w:rPr>
            </w:pPr>
          </w:p>
        </w:tc>
        <w:tc>
          <w:tcPr>
            <w:tcW w:w="2009" w:type="dxa"/>
            <w:noWrap w:val="0"/>
            <w:vAlign w:val="center"/>
          </w:tcPr>
          <w:p w14:paraId="1186EA55">
            <w:pPr>
              <w:pStyle w:val="12"/>
              <w:spacing w:before="120" w:after="120" w:line="460" w:lineRule="atLeast"/>
              <w:jc w:val="center"/>
              <w:rPr>
                <w:rFonts w:hAnsi="宋体"/>
                <w:highlight w:val="none"/>
              </w:rPr>
            </w:pPr>
          </w:p>
        </w:tc>
        <w:tc>
          <w:tcPr>
            <w:tcW w:w="1738" w:type="dxa"/>
            <w:noWrap w:val="0"/>
            <w:vAlign w:val="center"/>
          </w:tcPr>
          <w:p w14:paraId="5FBFD3BA">
            <w:pPr>
              <w:pStyle w:val="12"/>
              <w:spacing w:before="120" w:after="120" w:line="460" w:lineRule="atLeast"/>
              <w:jc w:val="center"/>
              <w:rPr>
                <w:rFonts w:hAnsi="宋体"/>
                <w:highlight w:val="none"/>
              </w:rPr>
            </w:pPr>
          </w:p>
        </w:tc>
        <w:tc>
          <w:tcPr>
            <w:tcW w:w="1277" w:type="dxa"/>
            <w:noWrap w:val="0"/>
            <w:vAlign w:val="center"/>
          </w:tcPr>
          <w:p w14:paraId="1ACFE280">
            <w:pPr>
              <w:pStyle w:val="12"/>
              <w:spacing w:before="120" w:after="120" w:line="460" w:lineRule="atLeast"/>
              <w:jc w:val="center"/>
              <w:rPr>
                <w:rFonts w:hAnsi="宋体"/>
                <w:highlight w:val="none"/>
              </w:rPr>
            </w:pPr>
          </w:p>
        </w:tc>
        <w:tc>
          <w:tcPr>
            <w:tcW w:w="1263" w:type="dxa"/>
            <w:noWrap w:val="0"/>
            <w:vAlign w:val="center"/>
          </w:tcPr>
          <w:p w14:paraId="227CB899">
            <w:pPr>
              <w:pStyle w:val="12"/>
              <w:spacing w:before="120" w:after="120" w:line="460" w:lineRule="atLeast"/>
              <w:jc w:val="center"/>
              <w:rPr>
                <w:rFonts w:hAnsi="宋体"/>
                <w:highlight w:val="none"/>
              </w:rPr>
            </w:pPr>
          </w:p>
        </w:tc>
      </w:tr>
      <w:tr w14:paraId="1608F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787" w:type="dxa"/>
            <w:noWrap w:val="0"/>
            <w:vAlign w:val="center"/>
          </w:tcPr>
          <w:p w14:paraId="076498E5">
            <w:pPr>
              <w:pStyle w:val="12"/>
              <w:spacing w:before="120" w:after="120" w:line="460" w:lineRule="atLeast"/>
              <w:rPr>
                <w:rFonts w:hAnsi="宋体"/>
                <w:b/>
                <w:bCs/>
                <w:highlight w:val="none"/>
              </w:rPr>
            </w:pPr>
            <w:r>
              <w:rPr>
                <w:rFonts w:hint="eastAsia" w:hAnsi="宋体"/>
                <w:b/>
                <w:bCs/>
                <w:highlight w:val="none"/>
              </w:rPr>
              <w:t>...</w:t>
            </w:r>
          </w:p>
        </w:tc>
        <w:tc>
          <w:tcPr>
            <w:tcW w:w="1873" w:type="dxa"/>
            <w:noWrap w:val="0"/>
            <w:vAlign w:val="center"/>
          </w:tcPr>
          <w:p w14:paraId="7CD2BADC">
            <w:pPr>
              <w:pStyle w:val="12"/>
              <w:spacing w:before="120" w:after="120" w:line="460" w:lineRule="atLeast"/>
              <w:jc w:val="center"/>
              <w:rPr>
                <w:rFonts w:hAnsi="宋体"/>
                <w:highlight w:val="none"/>
              </w:rPr>
            </w:pPr>
          </w:p>
        </w:tc>
        <w:tc>
          <w:tcPr>
            <w:tcW w:w="2009" w:type="dxa"/>
            <w:noWrap w:val="0"/>
            <w:vAlign w:val="center"/>
          </w:tcPr>
          <w:p w14:paraId="15F542A5">
            <w:pPr>
              <w:pStyle w:val="12"/>
              <w:spacing w:before="120" w:after="120" w:line="460" w:lineRule="atLeast"/>
              <w:jc w:val="center"/>
              <w:rPr>
                <w:rFonts w:hAnsi="宋体"/>
                <w:highlight w:val="none"/>
              </w:rPr>
            </w:pPr>
          </w:p>
        </w:tc>
        <w:tc>
          <w:tcPr>
            <w:tcW w:w="1738" w:type="dxa"/>
            <w:noWrap w:val="0"/>
            <w:vAlign w:val="center"/>
          </w:tcPr>
          <w:p w14:paraId="22C660E8">
            <w:pPr>
              <w:pStyle w:val="12"/>
              <w:spacing w:before="120" w:after="120" w:line="460" w:lineRule="atLeast"/>
              <w:jc w:val="center"/>
              <w:rPr>
                <w:rFonts w:hAnsi="宋体"/>
                <w:highlight w:val="none"/>
              </w:rPr>
            </w:pPr>
          </w:p>
        </w:tc>
        <w:tc>
          <w:tcPr>
            <w:tcW w:w="1277" w:type="dxa"/>
            <w:noWrap w:val="0"/>
            <w:vAlign w:val="center"/>
          </w:tcPr>
          <w:p w14:paraId="46DBEAC0">
            <w:pPr>
              <w:pStyle w:val="12"/>
              <w:spacing w:before="120" w:after="120" w:line="460" w:lineRule="atLeast"/>
              <w:jc w:val="center"/>
              <w:rPr>
                <w:rFonts w:hAnsi="宋体"/>
                <w:highlight w:val="none"/>
              </w:rPr>
            </w:pPr>
          </w:p>
        </w:tc>
        <w:tc>
          <w:tcPr>
            <w:tcW w:w="1263" w:type="dxa"/>
            <w:noWrap w:val="0"/>
            <w:vAlign w:val="center"/>
          </w:tcPr>
          <w:p w14:paraId="643DA66A">
            <w:pPr>
              <w:pStyle w:val="12"/>
              <w:spacing w:before="120" w:after="120" w:line="460" w:lineRule="atLeast"/>
              <w:jc w:val="center"/>
              <w:rPr>
                <w:rFonts w:hAnsi="宋体"/>
                <w:highlight w:val="none"/>
              </w:rPr>
            </w:pPr>
          </w:p>
        </w:tc>
      </w:tr>
      <w:tr w14:paraId="7D5C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787" w:type="dxa"/>
            <w:noWrap w:val="0"/>
            <w:vAlign w:val="center"/>
          </w:tcPr>
          <w:p w14:paraId="5EA4E907">
            <w:pPr>
              <w:pStyle w:val="12"/>
              <w:spacing w:before="120" w:after="120" w:line="460" w:lineRule="atLeast"/>
              <w:jc w:val="center"/>
              <w:rPr>
                <w:rFonts w:hAnsi="宋体"/>
                <w:highlight w:val="none"/>
              </w:rPr>
            </w:pPr>
          </w:p>
        </w:tc>
        <w:tc>
          <w:tcPr>
            <w:tcW w:w="1873" w:type="dxa"/>
            <w:noWrap w:val="0"/>
            <w:vAlign w:val="center"/>
          </w:tcPr>
          <w:p w14:paraId="4D04B535">
            <w:pPr>
              <w:pStyle w:val="12"/>
              <w:spacing w:before="120" w:after="120" w:line="460" w:lineRule="atLeast"/>
              <w:jc w:val="center"/>
              <w:rPr>
                <w:rFonts w:hAnsi="宋体"/>
                <w:highlight w:val="none"/>
              </w:rPr>
            </w:pPr>
          </w:p>
        </w:tc>
        <w:tc>
          <w:tcPr>
            <w:tcW w:w="2009" w:type="dxa"/>
            <w:noWrap w:val="0"/>
            <w:vAlign w:val="center"/>
          </w:tcPr>
          <w:p w14:paraId="33A6312B">
            <w:pPr>
              <w:pStyle w:val="12"/>
              <w:spacing w:before="120" w:after="120" w:line="460" w:lineRule="atLeast"/>
              <w:jc w:val="center"/>
              <w:rPr>
                <w:rFonts w:hAnsi="宋体"/>
                <w:highlight w:val="none"/>
              </w:rPr>
            </w:pPr>
          </w:p>
        </w:tc>
        <w:tc>
          <w:tcPr>
            <w:tcW w:w="1738" w:type="dxa"/>
            <w:noWrap w:val="0"/>
            <w:vAlign w:val="center"/>
          </w:tcPr>
          <w:p w14:paraId="06E8F30D">
            <w:pPr>
              <w:pStyle w:val="12"/>
              <w:spacing w:before="120" w:after="120" w:line="460" w:lineRule="atLeast"/>
              <w:jc w:val="center"/>
              <w:rPr>
                <w:rFonts w:hAnsi="宋体"/>
                <w:highlight w:val="none"/>
              </w:rPr>
            </w:pPr>
          </w:p>
        </w:tc>
        <w:tc>
          <w:tcPr>
            <w:tcW w:w="1277" w:type="dxa"/>
            <w:noWrap w:val="0"/>
            <w:vAlign w:val="center"/>
          </w:tcPr>
          <w:p w14:paraId="074D137A">
            <w:pPr>
              <w:pStyle w:val="12"/>
              <w:spacing w:before="120" w:after="120" w:line="460" w:lineRule="atLeast"/>
              <w:jc w:val="center"/>
              <w:rPr>
                <w:rFonts w:hAnsi="宋体"/>
                <w:highlight w:val="none"/>
              </w:rPr>
            </w:pPr>
          </w:p>
        </w:tc>
        <w:tc>
          <w:tcPr>
            <w:tcW w:w="1263" w:type="dxa"/>
            <w:noWrap w:val="0"/>
            <w:vAlign w:val="center"/>
          </w:tcPr>
          <w:p w14:paraId="5FBABBB7">
            <w:pPr>
              <w:pStyle w:val="12"/>
              <w:spacing w:before="120" w:after="120" w:line="460" w:lineRule="atLeast"/>
              <w:jc w:val="center"/>
              <w:rPr>
                <w:rFonts w:hAnsi="宋体"/>
                <w:highlight w:val="none"/>
              </w:rPr>
            </w:pPr>
          </w:p>
        </w:tc>
      </w:tr>
    </w:tbl>
    <w:p w14:paraId="175CE539">
      <w:pPr>
        <w:spacing w:line="440" w:lineRule="exact"/>
        <w:jc w:val="center"/>
        <w:rPr>
          <w:rFonts w:ascii="宋体" w:hAnsi="宋体"/>
          <w:b/>
          <w:color w:val="auto"/>
          <w:sz w:val="24"/>
          <w:highlight w:val="none"/>
        </w:rPr>
      </w:pPr>
      <w:r>
        <w:rPr>
          <w:rFonts w:hint="eastAsia" w:ascii="宋体"/>
          <w:b/>
          <w:color w:val="auto"/>
          <w:sz w:val="24"/>
          <w:highlight w:val="none"/>
        </w:rPr>
        <w:t>注：</w:t>
      </w:r>
      <w:r>
        <w:rPr>
          <w:rFonts w:hint="eastAsia" w:ascii="宋体" w:cs="Arial"/>
          <w:b/>
          <w:color w:val="auto"/>
          <w:sz w:val="24"/>
          <w:highlight w:val="none"/>
        </w:rPr>
        <w:t>投标人</w:t>
      </w:r>
      <w:r>
        <w:rPr>
          <w:rFonts w:hint="eastAsia" w:ascii="宋体"/>
          <w:b/>
          <w:color w:val="auto"/>
          <w:sz w:val="24"/>
          <w:highlight w:val="none"/>
        </w:rPr>
        <w:t>可按上述的格式自行编制，须随表提交相应的合同复印件或扫描件。</w:t>
      </w:r>
    </w:p>
    <w:p w14:paraId="6C273AF3">
      <w:pPr>
        <w:spacing w:line="440" w:lineRule="exact"/>
        <w:jc w:val="center"/>
        <w:rPr>
          <w:rFonts w:hint="eastAsia" w:ascii="宋体" w:hAnsi="宋体"/>
          <w:b/>
          <w:color w:val="auto"/>
          <w:sz w:val="24"/>
          <w:highlight w:val="none"/>
        </w:rPr>
      </w:pPr>
    </w:p>
    <w:p w14:paraId="273D1648">
      <w:pPr>
        <w:pStyle w:val="19"/>
        <w:ind w:firstLine="482"/>
        <w:rPr>
          <w:rFonts w:hint="eastAsia" w:ascii="宋体" w:hAnsi="宋体"/>
          <w:b/>
          <w:color w:val="auto"/>
          <w:highlight w:val="none"/>
        </w:rPr>
      </w:pPr>
    </w:p>
    <w:p w14:paraId="1DF37E2F">
      <w:pPr>
        <w:rPr>
          <w:color w:val="auto"/>
          <w:highlight w:val="none"/>
        </w:rPr>
        <w:sectPr>
          <w:pgSz w:w="11906" w:h="16838"/>
          <w:pgMar w:top="1440" w:right="1800" w:bottom="1440" w:left="1800" w:header="851" w:footer="992" w:gutter="0"/>
          <w:cols w:space="720" w:num="1"/>
          <w:docGrid w:type="lines" w:linePitch="312" w:charSpace="0"/>
        </w:sectPr>
      </w:pPr>
    </w:p>
    <w:p w14:paraId="4F8414D6">
      <w:pPr>
        <w:rPr>
          <w:rFonts w:ascii="宋体" w:hAnsi="宋体" w:cs="宋体"/>
          <w:color w:val="auto"/>
          <w:sz w:val="24"/>
          <w:highlight w:val="none"/>
        </w:rPr>
      </w:pPr>
    </w:p>
    <w:p w14:paraId="4D0FA5D7">
      <w:pPr>
        <w:rPr>
          <w:rFonts w:hint="eastAsia" w:ascii="宋体" w:hAnsi="宋体" w:cs="宋体"/>
          <w:b/>
          <w:color w:val="auto"/>
          <w:sz w:val="24"/>
          <w:highlight w:val="none"/>
          <w:lang w:bidi="ar"/>
        </w:rPr>
      </w:pPr>
      <w:r>
        <w:rPr>
          <w:rFonts w:hint="eastAsia" w:ascii="宋体" w:hAnsi="宋体" w:cs="宋体"/>
          <w:b/>
          <w:color w:val="auto"/>
          <w:sz w:val="24"/>
          <w:highlight w:val="none"/>
          <w:lang w:bidi="ar"/>
        </w:rPr>
        <w:t xml:space="preserve">格式八   </w:t>
      </w:r>
    </w:p>
    <w:p w14:paraId="3E4604E0">
      <w:pPr>
        <w:jc w:val="center"/>
        <w:rPr>
          <w:rFonts w:hint="eastAsia" w:ascii="仿宋" w:hAnsi="仿宋" w:eastAsia="仿宋" w:cs="仿宋"/>
          <w:b/>
          <w:bCs/>
          <w:color w:val="auto"/>
          <w:sz w:val="30"/>
          <w:szCs w:val="30"/>
          <w:highlight w:val="none"/>
          <w:lang w:val="zh-CN"/>
        </w:rPr>
      </w:pPr>
      <w:r>
        <w:rPr>
          <w:rFonts w:hint="eastAsia" w:ascii="仿宋" w:hAnsi="仿宋" w:eastAsia="仿宋" w:cs="仿宋"/>
          <w:b/>
          <w:bCs/>
          <w:color w:val="auto"/>
          <w:sz w:val="30"/>
          <w:szCs w:val="30"/>
          <w:highlight w:val="none"/>
        </w:rPr>
        <w:t>八、商务</w:t>
      </w:r>
      <w:r>
        <w:rPr>
          <w:rFonts w:hint="eastAsia" w:ascii="仿宋" w:hAnsi="仿宋" w:eastAsia="仿宋" w:cs="仿宋"/>
          <w:b/>
          <w:bCs/>
          <w:color w:val="auto"/>
          <w:sz w:val="30"/>
          <w:szCs w:val="30"/>
          <w:highlight w:val="none"/>
          <w:lang w:val="zh-CN"/>
        </w:rPr>
        <w:t>响应表</w:t>
      </w:r>
    </w:p>
    <w:p w14:paraId="332F9457">
      <w:pPr>
        <w:spacing w:line="360" w:lineRule="auto"/>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（由供应商根据采购需求及采购文件要求编制）</w:t>
      </w:r>
    </w:p>
    <w:tbl>
      <w:tblPr>
        <w:tblStyle w:val="20"/>
        <w:tblpPr w:leftFromText="180" w:rightFromText="180" w:vertAnchor="text" w:horzAnchor="page" w:tblpX="1632" w:tblpY="391"/>
        <w:tblOverlap w:val="never"/>
        <w:tblW w:w="9125"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75"/>
        <w:gridCol w:w="3262"/>
        <w:gridCol w:w="2399"/>
        <w:gridCol w:w="2589"/>
      </w:tblGrid>
      <w:tr w14:paraId="3AF2C7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742D7C56">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序号</w:t>
            </w:r>
          </w:p>
        </w:tc>
        <w:tc>
          <w:tcPr>
            <w:tcW w:w="3262" w:type="dxa"/>
            <w:tcBorders>
              <w:top w:val="single" w:color="auto" w:sz="4" w:space="0"/>
              <w:left w:val="single" w:color="auto" w:sz="4" w:space="0"/>
              <w:bottom w:val="single" w:color="auto" w:sz="4" w:space="0"/>
              <w:right w:val="single" w:color="auto" w:sz="4" w:space="0"/>
            </w:tcBorders>
            <w:noWrap w:val="0"/>
            <w:vAlign w:val="center"/>
          </w:tcPr>
          <w:p w14:paraId="43294DBD">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采购文件要求</w:t>
            </w:r>
          </w:p>
        </w:tc>
        <w:tc>
          <w:tcPr>
            <w:tcW w:w="2399" w:type="dxa"/>
            <w:tcBorders>
              <w:top w:val="single" w:color="auto" w:sz="4" w:space="0"/>
              <w:left w:val="single" w:color="auto" w:sz="4" w:space="0"/>
              <w:bottom w:val="single" w:color="auto" w:sz="4" w:space="0"/>
              <w:right w:val="single" w:color="auto" w:sz="4" w:space="0"/>
            </w:tcBorders>
            <w:noWrap w:val="0"/>
            <w:vAlign w:val="center"/>
          </w:tcPr>
          <w:p w14:paraId="009B2277">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是否响应</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E7B659C">
            <w:pPr>
              <w:autoSpaceDE/>
              <w:autoSpaceDN/>
              <w:adjustRightInd/>
              <w:snapToGrid w:val="0"/>
              <w:spacing w:line="4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供应商的承诺或说明</w:t>
            </w:r>
          </w:p>
        </w:tc>
      </w:tr>
      <w:tr w14:paraId="49AEFA0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3"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6B3169A4">
            <w:pPr>
              <w:spacing w:line="340" w:lineRule="exact"/>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05FDF015">
            <w:pPr>
              <w:snapToGrid w:val="0"/>
              <w:spacing w:before="156" w:beforeLines="50" w:line="360" w:lineRule="auto"/>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14:paraId="71102984">
            <w:pPr>
              <w:snapToGrid w:val="0"/>
              <w:spacing w:before="156" w:beforeLines="50" w:line="360" w:lineRule="auto"/>
              <w:ind w:left="43"/>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2487E7F">
            <w:pPr>
              <w:snapToGrid w:val="0"/>
              <w:spacing w:before="156" w:beforeLines="50" w:line="360" w:lineRule="auto"/>
              <w:ind w:left="43"/>
              <w:jc w:val="center"/>
              <w:rPr>
                <w:rFonts w:hint="eastAsia" w:ascii="仿宋" w:hAnsi="仿宋" w:eastAsia="仿宋" w:cs="仿宋"/>
                <w:color w:val="auto"/>
                <w:sz w:val="24"/>
                <w:szCs w:val="24"/>
                <w:highlight w:val="none"/>
              </w:rPr>
            </w:pPr>
          </w:p>
        </w:tc>
      </w:tr>
      <w:tr w14:paraId="1F3618C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00"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4809F5EC">
            <w:pPr>
              <w:spacing w:line="340" w:lineRule="exact"/>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66376C23">
            <w:pPr>
              <w:snapToGrid w:val="0"/>
              <w:spacing w:before="156" w:beforeLines="50" w:line="360" w:lineRule="auto"/>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14:paraId="7DDC5A2C">
            <w:pPr>
              <w:snapToGrid w:val="0"/>
              <w:spacing w:before="156" w:beforeLines="50" w:line="360" w:lineRule="auto"/>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2651C45">
            <w:pPr>
              <w:snapToGrid w:val="0"/>
              <w:spacing w:before="156" w:beforeLines="50" w:line="360" w:lineRule="auto"/>
              <w:jc w:val="center"/>
              <w:rPr>
                <w:rFonts w:hint="eastAsia" w:ascii="仿宋" w:hAnsi="仿宋" w:eastAsia="仿宋" w:cs="仿宋"/>
                <w:color w:val="auto"/>
                <w:sz w:val="24"/>
                <w:szCs w:val="24"/>
                <w:highlight w:val="none"/>
              </w:rPr>
            </w:pPr>
          </w:p>
        </w:tc>
      </w:tr>
      <w:tr w14:paraId="6644A6A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8"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6BDE94C7">
            <w:pPr>
              <w:spacing w:line="340" w:lineRule="exact"/>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16D5DEA0">
            <w:pPr>
              <w:snapToGrid w:val="0"/>
              <w:spacing w:before="156" w:beforeLines="50" w:line="360" w:lineRule="auto"/>
              <w:jc w:val="center"/>
              <w:rPr>
                <w:rFonts w:hint="eastAsia" w:ascii="仿宋" w:hAnsi="仿宋" w:eastAsia="仿宋" w:cs="仿宋"/>
                <w:color w:val="auto"/>
                <w:sz w:val="24"/>
                <w:szCs w:val="24"/>
                <w:highlight w:val="none"/>
              </w:rPr>
            </w:pPr>
          </w:p>
        </w:tc>
        <w:tc>
          <w:tcPr>
            <w:tcW w:w="2399" w:type="dxa"/>
            <w:tcBorders>
              <w:top w:val="single" w:color="auto" w:sz="4" w:space="0"/>
              <w:left w:val="single" w:color="auto" w:sz="4" w:space="0"/>
              <w:bottom w:val="single" w:color="auto" w:sz="4" w:space="0"/>
              <w:right w:val="single" w:color="auto" w:sz="4" w:space="0"/>
            </w:tcBorders>
            <w:noWrap w:val="0"/>
            <w:vAlign w:val="center"/>
          </w:tcPr>
          <w:p w14:paraId="05837194">
            <w:pPr>
              <w:snapToGrid w:val="0"/>
              <w:spacing w:before="156" w:beforeLines="50" w:line="360" w:lineRule="auto"/>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73B53D3">
            <w:pPr>
              <w:snapToGrid w:val="0"/>
              <w:spacing w:before="156" w:beforeLines="50" w:line="360" w:lineRule="auto"/>
              <w:jc w:val="center"/>
              <w:rPr>
                <w:rFonts w:hint="eastAsia" w:ascii="仿宋" w:hAnsi="仿宋" w:eastAsia="仿宋" w:cs="仿宋"/>
                <w:color w:val="auto"/>
                <w:sz w:val="24"/>
                <w:szCs w:val="24"/>
                <w:highlight w:val="none"/>
              </w:rPr>
            </w:pPr>
          </w:p>
        </w:tc>
      </w:tr>
      <w:tr w14:paraId="7CAE9CA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8" w:hRule="atLeast"/>
        </w:trPr>
        <w:tc>
          <w:tcPr>
            <w:tcW w:w="875" w:type="dxa"/>
            <w:tcBorders>
              <w:top w:val="single" w:color="auto" w:sz="4" w:space="0"/>
              <w:left w:val="single" w:color="auto" w:sz="4" w:space="0"/>
              <w:bottom w:val="single" w:color="auto" w:sz="4" w:space="0"/>
              <w:right w:val="single" w:color="auto" w:sz="4" w:space="0"/>
            </w:tcBorders>
            <w:noWrap w:val="0"/>
            <w:vAlign w:val="center"/>
          </w:tcPr>
          <w:p w14:paraId="054785D9">
            <w:pPr>
              <w:snapToGrid w:val="0"/>
              <w:spacing w:before="156" w:beforeLines="50" w:line="360" w:lineRule="auto"/>
              <w:jc w:val="center"/>
              <w:rPr>
                <w:rFonts w:hint="eastAsia" w:ascii="仿宋" w:hAnsi="仿宋" w:eastAsia="仿宋" w:cs="仿宋"/>
                <w:color w:val="auto"/>
                <w:sz w:val="24"/>
                <w:szCs w:val="24"/>
                <w:highlight w:val="none"/>
              </w:rPr>
            </w:pPr>
          </w:p>
        </w:tc>
        <w:tc>
          <w:tcPr>
            <w:tcW w:w="3262" w:type="dxa"/>
            <w:tcBorders>
              <w:top w:val="single" w:color="auto" w:sz="4" w:space="0"/>
              <w:left w:val="single" w:color="auto" w:sz="4" w:space="0"/>
              <w:bottom w:val="single" w:color="auto" w:sz="4" w:space="0"/>
              <w:right w:val="single" w:color="auto" w:sz="4" w:space="0"/>
            </w:tcBorders>
            <w:noWrap w:val="0"/>
            <w:vAlign w:val="center"/>
          </w:tcPr>
          <w:p w14:paraId="55C9F2F5">
            <w:pPr>
              <w:snapToGrid w:val="0"/>
              <w:spacing w:before="156" w:before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399" w:type="dxa"/>
            <w:tcBorders>
              <w:top w:val="single" w:color="auto" w:sz="4" w:space="0"/>
              <w:left w:val="single" w:color="auto" w:sz="4" w:space="0"/>
              <w:bottom w:val="single" w:color="auto" w:sz="4" w:space="0"/>
              <w:right w:val="single" w:color="auto" w:sz="4" w:space="0"/>
            </w:tcBorders>
            <w:noWrap w:val="0"/>
            <w:vAlign w:val="center"/>
          </w:tcPr>
          <w:p w14:paraId="31ABA97C">
            <w:pPr>
              <w:snapToGrid w:val="0"/>
              <w:spacing w:before="156" w:beforeLines="50" w:line="360" w:lineRule="auto"/>
              <w:jc w:val="center"/>
              <w:rPr>
                <w:rFonts w:hint="eastAsia" w:ascii="仿宋" w:hAnsi="仿宋" w:eastAsia="仿宋" w:cs="仿宋"/>
                <w:color w:val="auto"/>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52A9755">
            <w:pPr>
              <w:snapToGrid w:val="0"/>
              <w:spacing w:before="156" w:beforeLines="50" w:line="360" w:lineRule="auto"/>
              <w:jc w:val="center"/>
              <w:rPr>
                <w:rFonts w:hint="eastAsia" w:ascii="仿宋" w:hAnsi="仿宋" w:eastAsia="仿宋" w:cs="仿宋"/>
                <w:color w:val="auto"/>
                <w:sz w:val="24"/>
                <w:szCs w:val="24"/>
                <w:highlight w:val="none"/>
              </w:rPr>
            </w:pPr>
          </w:p>
        </w:tc>
      </w:tr>
    </w:tbl>
    <w:p w14:paraId="3690134C">
      <w:pPr>
        <w:snapToGrid w:val="0"/>
        <w:spacing w:before="50" w:after="50" w:line="600" w:lineRule="exact"/>
        <w:ind w:left="6000" w:hanging="6000" w:hangingChars="25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 xml:space="preserve">    备注：</w:t>
      </w:r>
      <w:r>
        <w:rPr>
          <w:rFonts w:hint="eastAsia" w:ascii="仿宋" w:hAnsi="仿宋" w:eastAsia="仿宋" w:cs="仿宋"/>
          <w:color w:val="auto"/>
          <w:sz w:val="24"/>
          <w:szCs w:val="24"/>
          <w:highlight w:val="none"/>
        </w:rPr>
        <w:t>1.投标人若不填写，则视为完全响应招标文件要求。</w:t>
      </w: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highlight w:val="none"/>
        </w:rPr>
        <w:t>投标人名称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电子签名</w:t>
      </w:r>
      <w:r>
        <w:rPr>
          <w:rFonts w:hint="eastAsia" w:ascii="仿宋" w:hAnsi="仿宋" w:eastAsia="仿宋" w:cs="仿宋"/>
          <w:color w:val="auto"/>
          <w:sz w:val="24"/>
          <w:szCs w:val="24"/>
          <w:highlight w:val="none"/>
        </w:rPr>
        <w:t xml:space="preserve">）：                       </w:t>
      </w:r>
    </w:p>
    <w:p w14:paraId="22715EAE">
      <w:pPr>
        <w:spacing w:line="360" w:lineRule="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日期：  年  月   日</w:t>
      </w:r>
    </w:p>
    <w:p w14:paraId="5A47D755">
      <w:pPr>
        <w:spacing w:line="360" w:lineRule="auto"/>
        <w:rPr>
          <w:rFonts w:hint="eastAsia" w:ascii="仿宋" w:hAnsi="仿宋" w:eastAsia="仿宋" w:cs="仿宋"/>
          <w:color w:val="auto"/>
          <w:sz w:val="24"/>
          <w:szCs w:val="24"/>
          <w:highlight w:val="none"/>
        </w:rPr>
      </w:pPr>
    </w:p>
    <w:p w14:paraId="529E40FD">
      <w:pPr>
        <w:jc w:val="center"/>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九、技术响应表</w:t>
      </w:r>
    </w:p>
    <w:p w14:paraId="440CFA84">
      <w:pPr>
        <w:spacing w:line="360" w:lineRule="auto"/>
        <w:ind w:firstLine="240" w:firstLineChars="100"/>
        <w:jc w:val="center"/>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（由供应商根据采购需求及采购文件要求编制）</w:t>
      </w:r>
    </w:p>
    <w:tbl>
      <w:tblPr>
        <w:tblStyle w:val="20"/>
        <w:tblW w:w="8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3274"/>
        <w:gridCol w:w="2388"/>
        <w:gridCol w:w="2413"/>
      </w:tblGrid>
      <w:tr w14:paraId="5626D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004DA171">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274" w:type="dxa"/>
            <w:tcBorders>
              <w:top w:val="single" w:color="auto" w:sz="4" w:space="0"/>
              <w:left w:val="single" w:color="auto" w:sz="4" w:space="0"/>
              <w:bottom w:val="single" w:color="auto" w:sz="4" w:space="0"/>
              <w:right w:val="single" w:color="auto" w:sz="4" w:space="0"/>
            </w:tcBorders>
            <w:noWrap w:val="0"/>
            <w:vAlign w:val="center"/>
          </w:tcPr>
          <w:p w14:paraId="7661CC90">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采购文件要求</w:t>
            </w:r>
          </w:p>
        </w:tc>
        <w:tc>
          <w:tcPr>
            <w:tcW w:w="2388" w:type="dxa"/>
            <w:tcBorders>
              <w:top w:val="single" w:color="auto" w:sz="4" w:space="0"/>
              <w:left w:val="single" w:color="auto" w:sz="4" w:space="0"/>
              <w:bottom w:val="single" w:color="auto" w:sz="4" w:space="0"/>
              <w:right w:val="single" w:color="auto" w:sz="4" w:space="0"/>
            </w:tcBorders>
            <w:noWrap w:val="0"/>
            <w:vAlign w:val="center"/>
          </w:tcPr>
          <w:p w14:paraId="2FE68964">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是否响应</w:t>
            </w:r>
          </w:p>
        </w:tc>
        <w:tc>
          <w:tcPr>
            <w:tcW w:w="2413" w:type="dxa"/>
            <w:tcBorders>
              <w:top w:val="single" w:color="auto" w:sz="4" w:space="0"/>
              <w:left w:val="single" w:color="auto" w:sz="4" w:space="0"/>
              <w:bottom w:val="single" w:color="auto" w:sz="4" w:space="0"/>
              <w:right w:val="single" w:color="auto" w:sz="4" w:space="0"/>
            </w:tcBorders>
            <w:noWrap w:val="0"/>
            <w:vAlign w:val="center"/>
          </w:tcPr>
          <w:p w14:paraId="07362B17">
            <w:pPr>
              <w:tabs>
                <w:tab w:val="left" w:pos="4905"/>
              </w:tabs>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偏离情况</w:t>
            </w:r>
          </w:p>
        </w:tc>
      </w:tr>
      <w:tr w14:paraId="6E71A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38B0EB36">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38362A76">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06CBC1BF">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4A6847E4">
            <w:pPr>
              <w:tabs>
                <w:tab w:val="left" w:pos="4905"/>
              </w:tabs>
              <w:spacing w:line="400" w:lineRule="exact"/>
              <w:jc w:val="center"/>
              <w:rPr>
                <w:rFonts w:hint="eastAsia" w:ascii="仿宋" w:hAnsi="仿宋" w:eastAsia="仿宋" w:cs="仿宋"/>
                <w:color w:val="auto"/>
                <w:sz w:val="24"/>
                <w:szCs w:val="24"/>
                <w:highlight w:val="none"/>
              </w:rPr>
            </w:pPr>
          </w:p>
        </w:tc>
      </w:tr>
      <w:tr w14:paraId="75B1E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07E8439D">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20236DCE">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1580DA98">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0377845A">
            <w:pPr>
              <w:tabs>
                <w:tab w:val="left" w:pos="4905"/>
              </w:tabs>
              <w:spacing w:line="400" w:lineRule="exact"/>
              <w:jc w:val="center"/>
              <w:rPr>
                <w:rFonts w:hint="eastAsia" w:ascii="仿宋" w:hAnsi="仿宋" w:eastAsia="仿宋" w:cs="仿宋"/>
                <w:color w:val="auto"/>
                <w:sz w:val="24"/>
                <w:szCs w:val="24"/>
                <w:highlight w:val="none"/>
              </w:rPr>
            </w:pPr>
          </w:p>
        </w:tc>
      </w:tr>
      <w:tr w14:paraId="6A606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3F99CD37">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0ACAA05C">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29AF8C65">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4752DCC1">
            <w:pPr>
              <w:tabs>
                <w:tab w:val="left" w:pos="4905"/>
              </w:tabs>
              <w:spacing w:line="400" w:lineRule="exact"/>
              <w:jc w:val="center"/>
              <w:rPr>
                <w:rFonts w:hint="eastAsia" w:ascii="仿宋" w:hAnsi="仿宋" w:eastAsia="仿宋" w:cs="仿宋"/>
                <w:color w:val="auto"/>
                <w:sz w:val="24"/>
                <w:szCs w:val="24"/>
                <w:highlight w:val="none"/>
              </w:rPr>
            </w:pPr>
          </w:p>
        </w:tc>
      </w:tr>
      <w:tr w14:paraId="3F73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21CC1CD8">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340DD833">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7DA00799">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31E26114">
            <w:pPr>
              <w:tabs>
                <w:tab w:val="left" w:pos="4905"/>
              </w:tabs>
              <w:spacing w:line="400" w:lineRule="exact"/>
              <w:jc w:val="center"/>
              <w:rPr>
                <w:rFonts w:hint="eastAsia" w:ascii="仿宋" w:hAnsi="仿宋" w:eastAsia="仿宋" w:cs="仿宋"/>
                <w:color w:val="auto"/>
                <w:sz w:val="24"/>
                <w:szCs w:val="24"/>
                <w:highlight w:val="none"/>
              </w:rPr>
            </w:pPr>
          </w:p>
        </w:tc>
      </w:tr>
      <w:tr w14:paraId="519C9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78" w:type="dxa"/>
            <w:tcBorders>
              <w:top w:val="single" w:color="auto" w:sz="4" w:space="0"/>
              <w:left w:val="single" w:color="auto" w:sz="4" w:space="0"/>
              <w:bottom w:val="single" w:color="auto" w:sz="4" w:space="0"/>
              <w:right w:val="single" w:color="auto" w:sz="4" w:space="0"/>
            </w:tcBorders>
            <w:noWrap w:val="0"/>
            <w:vAlign w:val="center"/>
          </w:tcPr>
          <w:p w14:paraId="2AC2F68C">
            <w:pPr>
              <w:tabs>
                <w:tab w:val="left" w:pos="4905"/>
              </w:tabs>
              <w:spacing w:line="400" w:lineRule="exact"/>
              <w:jc w:val="center"/>
              <w:rPr>
                <w:rFonts w:hint="eastAsia" w:ascii="仿宋" w:hAnsi="仿宋" w:eastAsia="仿宋" w:cs="仿宋"/>
                <w:color w:val="auto"/>
                <w:sz w:val="24"/>
                <w:szCs w:val="24"/>
                <w:highlight w:val="none"/>
              </w:rPr>
            </w:pPr>
          </w:p>
        </w:tc>
        <w:tc>
          <w:tcPr>
            <w:tcW w:w="3274" w:type="dxa"/>
            <w:tcBorders>
              <w:top w:val="single" w:color="auto" w:sz="4" w:space="0"/>
              <w:left w:val="single" w:color="auto" w:sz="4" w:space="0"/>
              <w:bottom w:val="single" w:color="auto" w:sz="4" w:space="0"/>
              <w:right w:val="single" w:color="auto" w:sz="4" w:space="0"/>
            </w:tcBorders>
            <w:noWrap w:val="0"/>
            <w:vAlign w:val="center"/>
          </w:tcPr>
          <w:p w14:paraId="564FCA0C">
            <w:pPr>
              <w:tabs>
                <w:tab w:val="left" w:pos="4905"/>
              </w:tabs>
              <w:spacing w:line="400" w:lineRule="exact"/>
              <w:rPr>
                <w:rFonts w:hint="eastAsia" w:ascii="仿宋" w:hAnsi="仿宋" w:eastAsia="仿宋" w:cs="仿宋"/>
                <w:color w:val="auto"/>
                <w:sz w:val="24"/>
                <w:szCs w:val="24"/>
                <w:highlight w:val="none"/>
              </w:rPr>
            </w:pPr>
          </w:p>
        </w:tc>
        <w:tc>
          <w:tcPr>
            <w:tcW w:w="2388" w:type="dxa"/>
            <w:tcBorders>
              <w:top w:val="single" w:color="auto" w:sz="4" w:space="0"/>
              <w:left w:val="single" w:color="auto" w:sz="4" w:space="0"/>
              <w:bottom w:val="single" w:color="auto" w:sz="4" w:space="0"/>
              <w:right w:val="single" w:color="auto" w:sz="4" w:space="0"/>
            </w:tcBorders>
            <w:noWrap w:val="0"/>
            <w:vAlign w:val="center"/>
          </w:tcPr>
          <w:p w14:paraId="0C965A6D">
            <w:pPr>
              <w:tabs>
                <w:tab w:val="left" w:pos="4905"/>
              </w:tabs>
              <w:spacing w:line="400" w:lineRule="exact"/>
              <w:rPr>
                <w:rFonts w:hint="eastAsia" w:ascii="仿宋" w:hAnsi="仿宋" w:eastAsia="仿宋" w:cs="仿宋"/>
                <w:color w:val="auto"/>
                <w:sz w:val="24"/>
                <w:szCs w:val="24"/>
                <w:highlight w:val="none"/>
              </w:rPr>
            </w:pPr>
          </w:p>
        </w:tc>
        <w:tc>
          <w:tcPr>
            <w:tcW w:w="2413" w:type="dxa"/>
            <w:tcBorders>
              <w:top w:val="single" w:color="auto" w:sz="4" w:space="0"/>
              <w:left w:val="single" w:color="auto" w:sz="4" w:space="0"/>
              <w:bottom w:val="single" w:color="auto" w:sz="4" w:space="0"/>
              <w:right w:val="single" w:color="auto" w:sz="4" w:space="0"/>
            </w:tcBorders>
            <w:noWrap w:val="0"/>
            <w:vAlign w:val="center"/>
          </w:tcPr>
          <w:p w14:paraId="29808C79">
            <w:pPr>
              <w:tabs>
                <w:tab w:val="left" w:pos="4905"/>
              </w:tabs>
              <w:spacing w:line="400" w:lineRule="exact"/>
              <w:jc w:val="center"/>
              <w:rPr>
                <w:rFonts w:hint="eastAsia" w:ascii="仿宋" w:hAnsi="仿宋" w:eastAsia="仿宋" w:cs="仿宋"/>
                <w:color w:val="auto"/>
                <w:sz w:val="24"/>
                <w:szCs w:val="24"/>
                <w:highlight w:val="none"/>
              </w:rPr>
            </w:pPr>
          </w:p>
        </w:tc>
      </w:tr>
    </w:tbl>
    <w:p w14:paraId="5F40FFDD">
      <w:pPr>
        <w:tabs>
          <w:tab w:val="left" w:pos="570"/>
        </w:tabs>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注：1、此表须与采购文件“招标项目范围及要求”相应的所有要求相比较且一一对应真实逐条填列。</w:t>
      </w:r>
    </w:p>
    <w:p w14:paraId="161A9B0D">
      <w:pPr>
        <w:snapToGrid w:val="0"/>
        <w:spacing w:before="50" w:after="50"/>
        <w:ind w:firstLine="480" w:firstLineChars="200"/>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rPr>
        <w:t>2.投标人若不填写，则视为完全响应招标文件要求。</w:t>
      </w:r>
      <w:r>
        <w:rPr>
          <w:rFonts w:hint="eastAsia" w:ascii="仿宋" w:hAnsi="仿宋" w:eastAsia="仿宋" w:cs="仿宋"/>
          <w:color w:val="auto"/>
          <w:sz w:val="24"/>
          <w:szCs w:val="24"/>
          <w:highlight w:val="none"/>
          <w:lang w:bidi="ar"/>
        </w:rPr>
        <w:t xml:space="preserve">            </w:t>
      </w:r>
    </w:p>
    <w:p w14:paraId="790C9FD3">
      <w:pPr>
        <w:snapToGrid w:val="0"/>
        <w:spacing w:before="50" w:after="50"/>
        <w:jc w:val="left"/>
        <w:rPr>
          <w:rFonts w:hint="eastAsia" w:ascii="仿宋" w:hAnsi="仿宋" w:eastAsia="仿宋" w:cs="仿宋"/>
          <w:color w:val="auto"/>
          <w:sz w:val="24"/>
          <w:szCs w:val="24"/>
          <w:highlight w:val="none"/>
          <w:lang w:bidi="ar"/>
        </w:rPr>
      </w:pPr>
    </w:p>
    <w:p w14:paraId="03C885D1">
      <w:pPr>
        <w:snapToGrid w:val="0"/>
        <w:spacing w:before="50" w:after="50"/>
        <w:ind w:firstLine="6000" w:firstLineChars="25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highlight w:val="none"/>
        </w:rPr>
        <w:t>投标人名称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电子签名</w:t>
      </w:r>
      <w:r>
        <w:rPr>
          <w:rFonts w:hint="eastAsia" w:ascii="仿宋" w:hAnsi="仿宋" w:eastAsia="仿宋" w:cs="仿宋"/>
          <w:color w:val="auto"/>
          <w:sz w:val="24"/>
          <w:szCs w:val="24"/>
          <w:highlight w:val="none"/>
        </w:rPr>
        <w:t xml:space="preserve">）：                       </w:t>
      </w:r>
    </w:p>
    <w:p w14:paraId="05BE3ADB">
      <w:pPr>
        <w:snapToGrid w:val="0"/>
        <w:spacing w:before="50" w:after="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日期：  年  月   日</w:t>
      </w:r>
    </w:p>
    <w:p w14:paraId="702C24FD">
      <w:pPr>
        <w:rPr>
          <w:rFonts w:ascii="宋体" w:hAnsi="宋体" w:cs="宋体"/>
          <w:color w:val="auto"/>
          <w:sz w:val="24"/>
          <w:highlight w:val="none"/>
        </w:rPr>
      </w:pPr>
      <w:r>
        <w:rPr>
          <w:rFonts w:hint="eastAsia" w:ascii="宋体" w:hAnsi="宋体" w:cs="宋体"/>
          <w:color w:val="auto"/>
          <w:sz w:val="24"/>
          <w:highlight w:val="none"/>
        </w:rPr>
        <w:t>格式十</w:t>
      </w:r>
    </w:p>
    <w:p w14:paraId="7736BE57">
      <w:pPr>
        <w:jc w:val="center"/>
        <w:rPr>
          <w:rFonts w:ascii="宋体" w:hAnsi="宋体" w:cs="宋体"/>
          <w:b/>
          <w:color w:val="auto"/>
          <w:sz w:val="32"/>
          <w:szCs w:val="32"/>
          <w:highlight w:val="none"/>
          <w:u w:val="single"/>
        </w:rPr>
      </w:pPr>
    </w:p>
    <w:p w14:paraId="364E131F">
      <w:pPr>
        <w:widowControl/>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u w:val="single"/>
        </w:rPr>
        <w:t xml:space="preserve">                         </w:t>
      </w:r>
      <w:r>
        <w:rPr>
          <w:rFonts w:hint="eastAsia" w:ascii="宋体" w:hAnsi="宋体" w:cs="宋体"/>
          <w:b/>
          <w:bCs/>
          <w:color w:val="auto"/>
          <w:sz w:val="32"/>
          <w:szCs w:val="32"/>
          <w:highlight w:val="none"/>
        </w:rPr>
        <w:t>项目开标一览表</w:t>
      </w:r>
    </w:p>
    <w:p w14:paraId="5A776442">
      <w:pPr>
        <w:widowControl/>
        <w:jc w:val="center"/>
        <w:rPr>
          <w:rFonts w:hint="eastAsia" w:ascii="宋体" w:hAnsi="宋体" w:cs="宋体"/>
          <w:b/>
          <w:bCs/>
          <w:color w:val="auto"/>
          <w:sz w:val="32"/>
          <w:szCs w:val="32"/>
          <w:highlight w:val="none"/>
        </w:rPr>
      </w:pPr>
    </w:p>
    <w:p w14:paraId="643BAFFC">
      <w:pPr>
        <w:widowControl/>
        <w:jc w:val="center"/>
        <w:rPr>
          <w:rFonts w:ascii="宋体"/>
          <w:color w:val="auto"/>
          <w:sz w:val="24"/>
          <w:highlight w:val="none"/>
        </w:rPr>
      </w:pPr>
      <w:r>
        <w:rPr>
          <w:rFonts w:hint="eastAsia" w:ascii="宋体" w:hAnsi="宋体" w:cs="宋体"/>
          <w:color w:val="auto"/>
          <w:sz w:val="24"/>
          <w:highlight w:val="none"/>
        </w:rPr>
        <w:t>项目编号：</w:t>
      </w:r>
    </w:p>
    <w:p w14:paraId="17FE9048">
      <w:pPr>
        <w:pStyle w:val="18"/>
        <w:jc w:val="both"/>
        <w:rPr>
          <w:color w:val="auto"/>
          <w:highlight w:val="none"/>
          <w:lang w:val="zh-CN"/>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5"/>
        <w:gridCol w:w="4625"/>
      </w:tblGrid>
      <w:tr w14:paraId="4C01D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1" w:hRule="atLeast"/>
        </w:trPr>
        <w:tc>
          <w:tcPr>
            <w:tcW w:w="4815" w:type="dxa"/>
            <w:noWrap/>
            <w:vAlign w:val="center"/>
          </w:tcPr>
          <w:p w14:paraId="7ED586DD">
            <w:pPr>
              <w:ind w:firstLine="960" w:firstLineChars="400"/>
              <w:rPr>
                <w:rFonts w:ascii="宋体" w:hAnsi="宋体"/>
                <w:color w:val="auto"/>
                <w:sz w:val="24"/>
                <w:highlight w:val="none"/>
              </w:rPr>
            </w:pPr>
            <w:r>
              <w:rPr>
                <w:rFonts w:hint="eastAsia" w:ascii="宋体" w:hAnsi="宋体"/>
                <w:color w:val="auto"/>
                <w:sz w:val="24"/>
                <w:highlight w:val="none"/>
              </w:rPr>
              <w:t>项目名称</w:t>
            </w:r>
          </w:p>
        </w:tc>
        <w:tc>
          <w:tcPr>
            <w:tcW w:w="4625" w:type="dxa"/>
            <w:noWrap/>
            <w:vAlign w:val="center"/>
          </w:tcPr>
          <w:p w14:paraId="24CC8E9E">
            <w:pPr>
              <w:rPr>
                <w:rFonts w:ascii="宋体" w:hAnsi="宋体"/>
                <w:color w:val="auto"/>
                <w:sz w:val="24"/>
                <w:highlight w:val="none"/>
              </w:rPr>
            </w:pPr>
            <w:r>
              <w:rPr>
                <w:rFonts w:hint="eastAsia" w:ascii="宋体" w:hAnsi="宋体"/>
                <w:color w:val="auto"/>
                <w:sz w:val="24"/>
                <w:highlight w:val="none"/>
              </w:rPr>
              <w:t>投标总报价（元）</w:t>
            </w:r>
          </w:p>
        </w:tc>
      </w:tr>
      <w:tr w14:paraId="55404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1" w:hRule="atLeast"/>
        </w:trPr>
        <w:tc>
          <w:tcPr>
            <w:tcW w:w="4815" w:type="dxa"/>
            <w:vMerge w:val="restart"/>
            <w:noWrap/>
            <w:vAlign w:val="center"/>
          </w:tcPr>
          <w:p w14:paraId="0D864F7A">
            <w:pPr>
              <w:rPr>
                <w:rFonts w:ascii="宋体" w:hAnsi="宋体"/>
                <w:color w:val="auto"/>
                <w:sz w:val="24"/>
                <w:highlight w:val="none"/>
              </w:rPr>
            </w:pPr>
          </w:p>
        </w:tc>
        <w:tc>
          <w:tcPr>
            <w:tcW w:w="4625" w:type="dxa"/>
            <w:noWrap/>
            <w:vAlign w:val="center"/>
          </w:tcPr>
          <w:p w14:paraId="0066DA5B">
            <w:pPr>
              <w:rPr>
                <w:rFonts w:ascii="宋体" w:hAnsi="宋体"/>
                <w:color w:val="auto"/>
                <w:sz w:val="24"/>
                <w:highlight w:val="none"/>
              </w:rPr>
            </w:pPr>
            <w:r>
              <w:rPr>
                <w:rFonts w:hint="eastAsia" w:ascii="宋体" w:hAnsi="宋体"/>
                <w:color w:val="auto"/>
                <w:sz w:val="24"/>
                <w:highlight w:val="none"/>
              </w:rPr>
              <w:t>小写：</w:t>
            </w:r>
          </w:p>
        </w:tc>
      </w:tr>
      <w:tr w14:paraId="128D8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1" w:hRule="atLeast"/>
        </w:trPr>
        <w:tc>
          <w:tcPr>
            <w:tcW w:w="4815" w:type="dxa"/>
            <w:vMerge w:val="continue"/>
            <w:noWrap/>
            <w:vAlign w:val="center"/>
          </w:tcPr>
          <w:p w14:paraId="01422222">
            <w:pPr>
              <w:rPr>
                <w:rFonts w:ascii="宋体" w:hAnsi="宋体"/>
                <w:color w:val="auto"/>
                <w:sz w:val="24"/>
                <w:highlight w:val="none"/>
              </w:rPr>
            </w:pPr>
          </w:p>
        </w:tc>
        <w:tc>
          <w:tcPr>
            <w:tcW w:w="4625" w:type="dxa"/>
            <w:noWrap/>
            <w:vAlign w:val="center"/>
          </w:tcPr>
          <w:p w14:paraId="5729A67F">
            <w:pPr>
              <w:rPr>
                <w:rFonts w:ascii="宋体" w:hAnsi="宋体"/>
                <w:color w:val="auto"/>
                <w:sz w:val="24"/>
                <w:highlight w:val="none"/>
              </w:rPr>
            </w:pPr>
            <w:r>
              <w:rPr>
                <w:rFonts w:hint="eastAsia" w:ascii="宋体" w:hAnsi="宋体"/>
                <w:color w:val="auto"/>
                <w:sz w:val="24"/>
                <w:highlight w:val="none"/>
              </w:rPr>
              <w:t>大写：</w:t>
            </w:r>
          </w:p>
        </w:tc>
      </w:tr>
    </w:tbl>
    <w:p w14:paraId="3FDE4462">
      <w:pPr>
        <w:pStyle w:val="18"/>
        <w:rPr>
          <w:color w:val="auto"/>
          <w:highlight w:val="none"/>
          <w:lang w:val="zh-CN"/>
        </w:rPr>
      </w:pPr>
    </w:p>
    <w:p w14:paraId="57276EE0">
      <w:pPr>
        <w:spacing w:line="440" w:lineRule="atLeast"/>
        <w:rPr>
          <w:rFonts w:cs="仿宋_GB2312"/>
          <w:color w:val="auto"/>
          <w:kern w:val="1"/>
          <w:sz w:val="24"/>
          <w:szCs w:val="20"/>
          <w:highlight w:val="none"/>
          <w:lang w:val="zh-CN"/>
        </w:rPr>
      </w:pPr>
    </w:p>
    <w:p w14:paraId="4933E7B1">
      <w:pPr>
        <w:spacing w:line="440" w:lineRule="atLeast"/>
        <w:rPr>
          <w:color w:val="auto"/>
          <w:kern w:val="1"/>
          <w:sz w:val="24"/>
          <w:szCs w:val="24"/>
          <w:highlight w:val="none"/>
          <w:lang w:val="zh-CN"/>
        </w:rPr>
      </w:pPr>
      <w:r>
        <w:rPr>
          <w:color w:val="auto"/>
          <w:kern w:val="1"/>
          <w:sz w:val="24"/>
          <w:szCs w:val="24"/>
          <w:highlight w:val="none"/>
          <w:lang w:val="zh-CN"/>
        </w:rPr>
        <w:t>供应商全称（盖章）：</w:t>
      </w:r>
    </w:p>
    <w:p w14:paraId="7F9B0252">
      <w:pPr>
        <w:spacing w:line="440" w:lineRule="atLeast"/>
        <w:rPr>
          <w:color w:val="auto"/>
          <w:kern w:val="1"/>
          <w:sz w:val="24"/>
          <w:szCs w:val="24"/>
          <w:highlight w:val="none"/>
          <w:lang w:val="zh-CN"/>
        </w:rPr>
      </w:pPr>
      <w:r>
        <w:rPr>
          <w:rFonts w:hint="eastAsia" w:ascii="宋体" w:hAnsi="宋体" w:cs="宋体"/>
          <w:color w:val="auto"/>
          <w:sz w:val="24"/>
          <w:highlight w:val="none"/>
          <w:lang w:val="zh-CN"/>
        </w:rPr>
        <w:t>法定代表人或其授权代表（签字或盖章）</w:t>
      </w:r>
      <w:r>
        <w:rPr>
          <w:rFonts w:hint="eastAsia" w:ascii="宋体" w:hAnsi="宋体" w:cs="宋体"/>
          <w:color w:val="auto"/>
          <w:sz w:val="24"/>
          <w:highlight w:val="none"/>
        </w:rPr>
        <w:t>：</w:t>
      </w:r>
    </w:p>
    <w:p w14:paraId="4F85F0C5">
      <w:pPr>
        <w:spacing w:line="440" w:lineRule="atLeast"/>
        <w:rPr>
          <w:color w:val="auto"/>
          <w:kern w:val="1"/>
          <w:sz w:val="24"/>
          <w:szCs w:val="24"/>
          <w:highlight w:val="none"/>
          <w:lang w:val="zh-CN"/>
        </w:rPr>
      </w:pPr>
      <w:r>
        <w:rPr>
          <w:color w:val="auto"/>
          <w:kern w:val="1"/>
          <w:sz w:val="24"/>
          <w:szCs w:val="24"/>
          <w:highlight w:val="none"/>
          <w:lang w:val="zh-CN"/>
        </w:rPr>
        <w:t>日</w:t>
      </w:r>
      <w:r>
        <w:rPr>
          <w:rFonts w:hint="eastAsia"/>
          <w:color w:val="auto"/>
          <w:kern w:val="1"/>
          <w:sz w:val="24"/>
          <w:szCs w:val="24"/>
          <w:highlight w:val="none"/>
        </w:rPr>
        <w:t xml:space="preserve">  </w:t>
      </w:r>
      <w:r>
        <w:rPr>
          <w:color w:val="auto"/>
          <w:kern w:val="1"/>
          <w:sz w:val="24"/>
          <w:szCs w:val="24"/>
          <w:highlight w:val="none"/>
          <w:lang w:val="zh-CN"/>
        </w:rPr>
        <w:t>期：</w:t>
      </w:r>
    </w:p>
    <w:p w14:paraId="232605C7">
      <w:pPr>
        <w:pStyle w:val="12"/>
        <w:adjustRightInd w:val="0"/>
        <w:snapToGrid w:val="0"/>
        <w:spacing w:line="440" w:lineRule="atLeast"/>
        <w:rPr>
          <w:rFonts w:hAnsi="宋体" w:cs="宋体"/>
          <w:sz w:val="30"/>
          <w:highlight w:val="none"/>
        </w:rPr>
      </w:pPr>
    </w:p>
    <w:p w14:paraId="79F6DC07">
      <w:pPr>
        <w:pStyle w:val="12"/>
        <w:adjustRightInd w:val="0"/>
        <w:snapToGrid w:val="0"/>
        <w:spacing w:line="440" w:lineRule="atLeast"/>
        <w:rPr>
          <w:rFonts w:hAnsi="宋体" w:cs="宋体"/>
          <w:sz w:val="30"/>
          <w:highlight w:val="none"/>
        </w:rPr>
      </w:pPr>
    </w:p>
    <w:p w14:paraId="1DEA4668">
      <w:pPr>
        <w:pStyle w:val="12"/>
        <w:adjustRightInd w:val="0"/>
        <w:snapToGrid w:val="0"/>
        <w:spacing w:line="440" w:lineRule="atLeast"/>
        <w:rPr>
          <w:rFonts w:hAnsi="宋体" w:cs="宋体"/>
          <w:sz w:val="30"/>
          <w:highlight w:val="none"/>
        </w:rPr>
      </w:pPr>
    </w:p>
    <w:p w14:paraId="71D7EDEF">
      <w:pPr>
        <w:pStyle w:val="16"/>
        <w:ind w:firstLine="66"/>
        <w:rPr>
          <w:rFonts w:hAnsi="宋体" w:cs="宋体"/>
          <w:smallCaps w:val="0"/>
          <w:sz w:val="30"/>
          <w:highlight w:val="none"/>
        </w:rPr>
      </w:pPr>
    </w:p>
    <w:p w14:paraId="2A88964D">
      <w:pPr>
        <w:rPr>
          <w:rFonts w:hAnsi="宋体" w:cs="宋体"/>
          <w:color w:val="auto"/>
          <w:sz w:val="30"/>
          <w:highlight w:val="none"/>
        </w:rPr>
      </w:pPr>
    </w:p>
    <w:p w14:paraId="39690DA7">
      <w:pPr>
        <w:rPr>
          <w:rFonts w:ascii="宋体" w:hAnsi="宋体" w:cs="宋体"/>
          <w:color w:val="auto"/>
          <w:sz w:val="24"/>
          <w:highlight w:val="none"/>
        </w:rPr>
      </w:pPr>
    </w:p>
    <w:p w14:paraId="402EC1FE">
      <w:pPr>
        <w:pStyle w:val="19"/>
        <w:ind w:firstLine="480"/>
        <w:rPr>
          <w:rFonts w:ascii="宋体" w:hAnsi="宋体" w:cs="宋体"/>
          <w:color w:val="auto"/>
          <w:highlight w:val="none"/>
        </w:rPr>
      </w:pPr>
    </w:p>
    <w:p w14:paraId="62502D76">
      <w:pPr>
        <w:pStyle w:val="19"/>
        <w:ind w:firstLine="480"/>
        <w:rPr>
          <w:rFonts w:ascii="宋体" w:hAnsi="宋体" w:cs="宋体"/>
          <w:color w:val="auto"/>
          <w:highlight w:val="none"/>
        </w:rPr>
      </w:pPr>
    </w:p>
    <w:p w14:paraId="3EEE8EC4">
      <w:pPr>
        <w:pStyle w:val="10"/>
        <w:ind w:firstLine="340"/>
        <w:rPr>
          <w:rFonts w:hAnsi="宋体" w:cs="宋体"/>
          <w:color w:val="auto"/>
          <w:highlight w:val="none"/>
        </w:rPr>
      </w:pPr>
    </w:p>
    <w:p w14:paraId="5012D5C6">
      <w:pPr>
        <w:pStyle w:val="9"/>
        <w:rPr>
          <w:color w:val="auto"/>
          <w:highlight w:val="none"/>
        </w:rPr>
      </w:pPr>
    </w:p>
    <w:p w14:paraId="6DDF39A4">
      <w:pPr>
        <w:rPr>
          <w:rFonts w:ascii="宋体" w:hAnsi="宋体" w:cs="宋体"/>
          <w:color w:val="auto"/>
          <w:highlight w:val="none"/>
        </w:rPr>
      </w:pPr>
    </w:p>
    <w:p w14:paraId="564AB0F6">
      <w:pPr>
        <w:rPr>
          <w:rFonts w:hint="eastAsia" w:ascii="宋体" w:hAnsi="宋体" w:cs="宋体"/>
          <w:color w:val="auto"/>
          <w:sz w:val="24"/>
          <w:highlight w:val="none"/>
        </w:rPr>
      </w:pPr>
    </w:p>
    <w:p w14:paraId="310D3A84">
      <w:pPr>
        <w:rPr>
          <w:rFonts w:hint="eastAsia" w:ascii="宋体" w:hAnsi="宋体" w:cs="宋体"/>
          <w:color w:val="auto"/>
          <w:sz w:val="24"/>
          <w:highlight w:val="none"/>
        </w:rPr>
      </w:pPr>
      <w:r>
        <w:rPr>
          <w:rFonts w:hint="eastAsia" w:ascii="宋体" w:hAnsi="宋体" w:cs="宋体"/>
          <w:color w:val="auto"/>
          <w:sz w:val="24"/>
          <w:highlight w:val="none"/>
        </w:rPr>
        <w:br w:type="page"/>
      </w:r>
    </w:p>
    <w:p w14:paraId="7B9E1710">
      <w:pPr>
        <w:rPr>
          <w:rFonts w:hint="eastAsia" w:ascii="宋体" w:hAnsi="宋体" w:cs="宋体"/>
          <w:color w:val="auto"/>
          <w:sz w:val="24"/>
          <w:highlight w:val="none"/>
        </w:rPr>
      </w:pPr>
    </w:p>
    <w:p w14:paraId="1AB90488">
      <w:pPr>
        <w:rPr>
          <w:rFonts w:hint="eastAsia" w:ascii="宋体" w:hAnsi="宋体" w:cs="宋体"/>
          <w:color w:val="auto"/>
          <w:sz w:val="24"/>
          <w:highlight w:val="none"/>
        </w:rPr>
      </w:pPr>
    </w:p>
    <w:p w14:paraId="272816B7">
      <w:pPr>
        <w:rPr>
          <w:rFonts w:hint="eastAsia" w:ascii="宋体" w:hAnsi="宋体" w:eastAsia="宋体" w:cs="宋体"/>
          <w:color w:val="auto"/>
          <w:highlight w:val="none"/>
          <w:lang w:val="en-US" w:eastAsia="zh-CN"/>
        </w:rPr>
      </w:pPr>
      <w:r>
        <w:rPr>
          <w:rFonts w:hint="eastAsia" w:ascii="宋体" w:hAnsi="宋体" w:cs="宋体"/>
          <w:color w:val="auto"/>
          <w:sz w:val="24"/>
          <w:highlight w:val="none"/>
        </w:rPr>
        <w:t>格式十</w:t>
      </w:r>
      <w:r>
        <w:rPr>
          <w:rFonts w:hint="eastAsia" w:ascii="宋体" w:hAnsi="宋体" w:cs="宋体"/>
          <w:color w:val="auto"/>
          <w:sz w:val="24"/>
          <w:highlight w:val="none"/>
          <w:lang w:val="en-US" w:eastAsia="zh-CN"/>
        </w:rPr>
        <w:t>一</w:t>
      </w:r>
    </w:p>
    <w:p w14:paraId="76B57B63">
      <w:pPr>
        <w:jc w:val="center"/>
        <w:rPr>
          <w:rFonts w:hint="eastAsia" w:ascii="宋体" w:hAnsi="Courier New"/>
          <w:b/>
          <w:bCs/>
          <w:color w:val="auto"/>
          <w:sz w:val="32"/>
          <w:szCs w:val="22"/>
          <w:highlight w:val="none"/>
        </w:rPr>
      </w:pPr>
    </w:p>
    <w:p w14:paraId="32D4B8DF">
      <w:pPr>
        <w:jc w:val="center"/>
        <w:rPr>
          <w:rFonts w:hint="eastAsia" w:ascii="宋体" w:hAnsi="宋体" w:cs="宋体"/>
          <w:b/>
          <w:color w:val="auto"/>
          <w:sz w:val="40"/>
          <w:szCs w:val="40"/>
          <w:highlight w:val="none"/>
        </w:rPr>
      </w:pPr>
      <w:r>
        <w:rPr>
          <w:rFonts w:hint="eastAsia" w:ascii="宋体" w:hAnsi="Courier New"/>
          <w:b/>
          <w:bCs/>
          <w:color w:val="auto"/>
          <w:sz w:val="32"/>
          <w:szCs w:val="22"/>
          <w:highlight w:val="none"/>
        </w:rPr>
        <w:t>中小企业声明函（服务）</w:t>
      </w:r>
    </w:p>
    <w:p w14:paraId="6308CF05">
      <w:pPr>
        <w:widowControl/>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（非小微企业不用提供）</w:t>
      </w:r>
    </w:p>
    <w:p w14:paraId="68D961A1">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本公司（联合体）郑重声明，根据《政府采购促进中小企业发展管理办法》 （财库﹝2020﹞46 号）的规定，本公司（联合体）参加</w:t>
      </w:r>
      <w:r>
        <w:rPr>
          <w:rFonts w:hint="eastAsia" w:ascii="宋体" w:hAnsi="宋体" w:cs="宋体"/>
          <w:color w:val="auto"/>
          <w:sz w:val="24"/>
          <w:highlight w:val="none"/>
          <w:u w:val="single"/>
        </w:rPr>
        <w:t xml:space="preserve"> （采购人名称   ）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采购活动，本企业的具体情况如下：</w:t>
      </w:r>
    </w:p>
    <w:p w14:paraId="568BAC3F">
      <w:pPr>
        <w:numPr>
          <w:ilvl w:val="0"/>
          <w:numId w:val="4"/>
        </w:numPr>
        <w:spacing w:line="360" w:lineRule="auto"/>
        <w:jc w:val="left"/>
        <w:rPr>
          <w:rFonts w:ascii="宋体" w:hAnsi="宋体" w:cs="宋体"/>
          <w:color w:val="auto"/>
          <w:sz w:val="24"/>
          <w:highlight w:val="none"/>
        </w:rPr>
      </w:pP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；承接企业为</w:t>
      </w:r>
      <w:r>
        <w:rPr>
          <w:rFonts w:hint="eastAsia" w:ascii="宋体" w:hAnsi="宋体" w:cs="宋体"/>
          <w:color w:val="auto"/>
          <w:sz w:val="24"/>
          <w:highlight w:val="none"/>
          <w:u w:val="single"/>
        </w:rPr>
        <w:t xml:space="preserve">           （企业名称） </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人，营业收入为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 ，属于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5C96E46">
      <w:pPr>
        <w:spacing w:line="360" w:lineRule="auto"/>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；承接企业为</w:t>
      </w:r>
      <w:r>
        <w:rPr>
          <w:rFonts w:hint="eastAsia" w:ascii="宋体" w:hAnsi="宋体" w:cs="宋体"/>
          <w:color w:val="auto"/>
          <w:sz w:val="24"/>
          <w:highlight w:val="none"/>
          <w:u w:val="single"/>
        </w:rPr>
        <w:t xml:space="preserve">           （企业名称） </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人，营业收入为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 ，属于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927DA70">
      <w:pPr>
        <w:spacing w:line="360" w:lineRule="auto"/>
        <w:ind w:firstLine="484" w:firstLineChars="202"/>
        <w:rPr>
          <w:color w:val="auto"/>
          <w:highlight w:val="none"/>
        </w:rPr>
      </w:pPr>
      <w:r>
        <w:rPr>
          <w:rFonts w:hint="eastAsia" w:ascii="宋体" w:hAnsi="宋体"/>
          <w:color w:val="auto"/>
          <w:sz w:val="24"/>
          <w:highlight w:val="none"/>
        </w:rPr>
        <w:t>……</w:t>
      </w:r>
    </w:p>
    <w:p w14:paraId="52EC23E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本企业，不属于大企业的分支机构，不存在控股股东为大企业的情形，也不存在与大企业的负责人为同一人的情形。</w:t>
      </w:r>
    </w:p>
    <w:p w14:paraId="74CE1D1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717619F">
      <w:pPr>
        <w:spacing w:line="360" w:lineRule="auto"/>
        <w:ind w:right="420" w:firstLine="5880" w:firstLineChars="2450"/>
        <w:jc w:val="left"/>
        <w:rPr>
          <w:rFonts w:ascii="宋体" w:hAnsi="宋体" w:cs="宋体"/>
          <w:color w:val="auto"/>
          <w:sz w:val="24"/>
          <w:highlight w:val="none"/>
        </w:rPr>
      </w:pPr>
    </w:p>
    <w:p w14:paraId="16C72B2B">
      <w:pPr>
        <w:tabs>
          <w:tab w:val="left" w:pos="4410"/>
        </w:tabs>
        <w:spacing w:line="360" w:lineRule="auto"/>
        <w:ind w:right="420" w:firstLine="4320" w:firstLineChars="1800"/>
        <w:rPr>
          <w:rFonts w:ascii="宋体" w:hAnsi="宋体" w:cs="宋体"/>
          <w:color w:val="auto"/>
          <w:sz w:val="24"/>
          <w:highlight w:val="none"/>
        </w:rPr>
      </w:pPr>
      <w:r>
        <w:rPr>
          <w:rFonts w:hint="eastAsia" w:ascii="宋体" w:hAnsi="宋体" w:cs="宋体"/>
          <w:color w:val="auto"/>
          <w:sz w:val="24"/>
          <w:highlight w:val="none"/>
        </w:rPr>
        <w:t>企业名称（</w:t>
      </w:r>
      <w:r>
        <w:rPr>
          <w:rFonts w:hint="eastAsia" w:ascii="宋体" w:hAnsi="宋体" w:cs="宋体"/>
          <w:color w:val="auto"/>
          <w:sz w:val="24"/>
          <w:highlight w:val="none"/>
          <w:lang w:eastAsia="zh-CN"/>
        </w:rPr>
        <w:t>加盖CA签章</w:t>
      </w:r>
      <w:r>
        <w:rPr>
          <w:rFonts w:hint="eastAsia" w:ascii="宋体" w:hAnsi="宋体" w:cs="宋体"/>
          <w:color w:val="auto"/>
          <w:sz w:val="24"/>
          <w:highlight w:val="none"/>
        </w:rPr>
        <w:t xml:space="preserve">）： </w:t>
      </w:r>
    </w:p>
    <w:p w14:paraId="76422C94">
      <w:pPr>
        <w:spacing w:line="360" w:lineRule="auto"/>
        <w:ind w:firstLine="4320" w:firstLineChars="1800"/>
        <w:rPr>
          <w:rFonts w:ascii="宋体" w:hAnsi="宋体" w:cs="宋体"/>
          <w:color w:val="auto"/>
          <w:sz w:val="24"/>
          <w:highlight w:val="none"/>
        </w:rPr>
      </w:pPr>
      <w:r>
        <w:rPr>
          <w:rFonts w:hint="eastAsia" w:ascii="宋体" w:hAnsi="宋体" w:cs="宋体"/>
          <w:color w:val="auto"/>
          <w:sz w:val="24"/>
          <w:highlight w:val="none"/>
        </w:rPr>
        <w:t>日期：   年     月     日</w:t>
      </w:r>
    </w:p>
    <w:p w14:paraId="2E8CBD6C">
      <w:pPr>
        <w:rPr>
          <w:rFonts w:hint="eastAsia" w:hAnsi="宋体" w:cs="宋体"/>
          <w:b/>
          <w:bCs/>
          <w:color w:val="auto"/>
          <w:sz w:val="32"/>
          <w:szCs w:val="32"/>
          <w:highlight w:val="none"/>
        </w:rPr>
      </w:pPr>
      <w:r>
        <w:rPr>
          <w:rFonts w:hint="eastAsia" w:hAnsi="宋体" w:cs="宋体"/>
          <w:b/>
          <w:bCs/>
          <w:color w:val="auto"/>
          <w:sz w:val="32"/>
          <w:szCs w:val="32"/>
          <w:highlight w:val="none"/>
        </w:rPr>
        <w:br w:type="page"/>
      </w:r>
    </w:p>
    <w:p w14:paraId="2B7C3C83">
      <w:pPr>
        <w:rPr>
          <w:rFonts w:hint="eastAsia" w:hAnsi="宋体" w:eastAsia="宋体" w:cs="宋体"/>
          <w:b/>
          <w:bCs/>
          <w:color w:val="auto"/>
          <w:sz w:val="32"/>
          <w:szCs w:val="32"/>
          <w:highlight w:val="none"/>
          <w:lang w:eastAsia="zh-CN"/>
        </w:rPr>
      </w:pPr>
      <w:r>
        <w:rPr>
          <w:rFonts w:hint="eastAsia" w:ascii="宋体" w:hAnsi="宋体" w:cs="宋体"/>
          <w:color w:val="auto"/>
          <w:sz w:val="24"/>
          <w:highlight w:val="none"/>
        </w:rPr>
        <w:t>格式十</w:t>
      </w:r>
      <w:r>
        <w:rPr>
          <w:rFonts w:hint="eastAsia" w:ascii="宋体" w:hAnsi="宋体" w:cs="宋体"/>
          <w:color w:val="auto"/>
          <w:sz w:val="24"/>
          <w:highlight w:val="none"/>
          <w:lang w:val="en-US" w:eastAsia="zh-CN"/>
        </w:rPr>
        <w:t>二</w:t>
      </w:r>
    </w:p>
    <w:p w14:paraId="4AF4695F">
      <w:pPr>
        <w:spacing w:line="588" w:lineRule="exact"/>
        <w:jc w:val="center"/>
        <w:rPr>
          <w:rFonts w:ascii="宋体" w:hAnsi="宋体" w:cs="宋体"/>
          <w:b/>
          <w:color w:val="auto"/>
          <w:spacing w:val="6"/>
          <w:sz w:val="32"/>
          <w:szCs w:val="32"/>
          <w:highlight w:val="none"/>
        </w:rPr>
      </w:pPr>
    </w:p>
    <w:p w14:paraId="3F73D702">
      <w:pPr>
        <w:spacing w:line="588" w:lineRule="exact"/>
        <w:ind w:firstLine="2999" w:firstLineChars="900"/>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残疾人福利性单位声明函</w:t>
      </w:r>
    </w:p>
    <w:p w14:paraId="0EFACEF0">
      <w:pPr>
        <w:spacing w:line="588" w:lineRule="exact"/>
        <w:rPr>
          <w:rFonts w:ascii="宋体" w:hAnsi="宋体" w:cs="宋体"/>
          <w:b/>
          <w:color w:val="auto"/>
          <w:spacing w:val="6"/>
          <w:sz w:val="30"/>
          <w:szCs w:val="30"/>
          <w:highlight w:val="none"/>
        </w:rPr>
      </w:pPr>
    </w:p>
    <w:p w14:paraId="11DF43B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CE1D5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A8F1651">
      <w:pPr>
        <w:snapToGrid w:val="0"/>
        <w:spacing w:line="360" w:lineRule="auto"/>
        <w:ind w:firstLine="480" w:firstLineChars="200"/>
        <w:rPr>
          <w:rFonts w:ascii="宋体" w:hAnsi="宋体" w:cs="宋体"/>
          <w:color w:val="auto"/>
          <w:sz w:val="24"/>
          <w:highlight w:val="none"/>
        </w:rPr>
      </w:pPr>
    </w:p>
    <w:p w14:paraId="5E7BBEBF">
      <w:pPr>
        <w:spacing w:line="588" w:lineRule="exact"/>
        <w:ind w:firstLine="504" w:firstLineChars="200"/>
        <w:rPr>
          <w:rFonts w:ascii="宋体" w:hAnsi="宋体" w:cs="宋体"/>
          <w:color w:val="auto"/>
          <w:spacing w:val="6"/>
          <w:sz w:val="24"/>
          <w:highlight w:val="none"/>
        </w:rPr>
      </w:pPr>
    </w:p>
    <w:p w14:paraId="751C2393">
      <w:pPr>
        <w:snapToGrid w:val="0"/>
        <w:spacing w:line="360" w:lineRule="auto"/>
        <w:ind w:firstLine="480" w:firstLineChars="200"/>
        <w:jc w:val="center"/>
        <w:rPr>
          <w:rFonts w:ascii="宋体" w:hAnsi="宋体" w:cs="宋体"/>
          <w:color w:val="auto"/>
          <w:sz w:val="24"/>
          <w:highlight w:val="none"/>
        </w:rPr>
      </w:pPr>
    </w:p>
    <w:p w14:paraId="3566FFF9">
      <w:pPr>
        <w:snapToGrid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单位名称（盖章）：</w:t>
      </w:r>
    </w:p>
    <w:p w14:paraId="27EED359">
      <w:pPr>
        <w:pStyle w:val="9"/>
        <w:rPr>
          <w:rFonts w:ascii="宋体" w:hAnsi="宋体" w:cs="宋体"/>
          <w:color w:val="auto"/>
          <w:sz w:val="24"/>
          <w:szCs w:val="24"/>
          <w:highlight w:val="none"/>
        </w:rPr>
      </w:pPr>
      <w:r>
        <w:rPr>
          <w:rFonts w:hint="eastAsia" w:ascii="宋体" w:hAnsi="宋体" w:cs="宋体"/>
          <w:color w:val="auto"/>
          <w:sz w:val="24"/>
          <w:szCs w:val="24"/>
          <w:highlight w:val="none"/>
        </w:rPr>
        <w:t xml:space="preserve">                                               日  期：</w:t>
      </w:r>
    </w:p>
    <w:p w14:paraId="30D8AF26">
      <w:pPr>
        <w:pStyle w:val="9"/>
        <w:rPr>
          <w:rFonts w:cs="宋体"/>
          <w:color w:val="auto"/>
          <w:sz w:val="24"/>
          <w:szCs w:val="24"/>
          <w:highlight w:val="none"/>
        </w:rPr>
      </w:pPr>
    </w:p>
    <w:p w14:paraId="3E8C98C8">
      <w:pPr>
        <w:pStyle w:val="9"/>
        <w:rPr>
          <w:rFonts w:cs="宋体"/>
          <w:color w:val="auto"/>
          <w:sz w:val="24"/>
          <w:szCs w:val="24"/>
          <w:highlight w:val="none"/>
        </w:rPr>
      </w:pPr>
    </w:p>
    <w:p w14:paraId="5F755738">
      <w:pPr>
        <w:spacing w:line="440" w:lineRule="exact"/>
        <w:rPr>
          <w:rFonts w:ascii="宋体" w:hAnsi="宋体"/>
          <w:color w:val="auto"/>
          <w:sz w:val="24"/>
          <w:highlight w:val="none"/>
        </w:rPr>
      </w:pPr>
    </w:p>
    <w:p w14:paraId="49CD1E8B">
      <w:pPr>
        <w:pStyle w:val="19"/>
        <w:ind w:firstLine="480"/>
        <w:rPr>
          <w:rFonts w:ascii="宋体" w:hAnsi="宋体"/>
          <w:color w:val="auto"/>
          <w:highlight w:val="none"/>
        </w:rPr>
      </w:pPr>
    </w:p>
    <w:p w14:paraId="589E274C">
      <w:pPr>
        <w:rPr>
          <w:highlight w:val="none"/>
        </w:rPr>
      </w:pPr>
    </w:p>
    <w:p w14:paraId="74D261A4">
      <w:pPr>
        <w:rPr>
          <w:highlight w:val="none"/>
        </w:rPr>
      </w:pPr>
    </w:p>
    <w:sectPr>
      <w:headerReference r:id="rId5" w:type="default"/>
      <w:footerReference r:id="rId6" w:type="default"/>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84E10">
    <w:pPr>
      <w:pStyle w:val="13"/>
      <w:tabs>
        <w:tab w:val="left" w:pos="4049"/>
        <w:tab w:val="clear" w:pos="4153"/>
      </w:tabs>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4D7604F5">
                          <w:pPr>
                            <w:pStyle w:val="13"/>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BR10KNzgEAAJcDAAAOAAAAAAAAAAEAIAAAAB8BAABkcnMv&#10;ZTJvRG9jLnhtbFBLBQYAAAAABgAGAFkBAABfBQAAAAA=&#10;">
              <v:fill on="f" focussize="0,0"/>
              <v:stroke on="f"/>
              <v:imagedata o:title=""/>
              <o:lock v:ext="edit" aspectratio="f"/>
              <v:textbox inset="0mm,0mm,0mm,0mm" style="mso-fit-shape-to-text:t;">
                <w:txbxContent>
                  <w:p w14:paraId="4D7604F5">
                    <w:pPr>
                      <w:pStyle w:val="13"/>
                    </w:pPr>
                    <w:r>
                      <w:rPr>
                        <w:rFonts w:hint="eastAsia"/>
                      </w:rPr>
                      <w:fldChar w:fldCharType="begin"/>
                    </w:r>
                    <w:r>
                      <w:rPr>
                        <w:rFonts w:hint="eastAsia"/>
                      </w:rPr>
                      <w:instrText xml:space="preserve"> PAGE  \* MERGEFORMAT </w:instrText>
                    </w:r>
                    <w:r>
                      <w:rPr>
                        <w:rFonts w:hint="eastAsia"/>
                      </w:rPr>
                      <w:fldChar w:fldCharType="separate"/>
                    </w:r>
                    <w:r>
                      <w:t>12</w:t>
                    </w:r>
                    <w:r>
                      <w:rPr>
                        <w:rFonts w:hint="eastAsia"/>
                      </w:rPr>
                      <w:fldChar w:fldCharType="end"/>
                    </w:r>
                  </w:p>
                </w:txbxContent>
              </v:textbox>
            </v:shape>
          </w:pict>
        </mc:Fallback>
      </mc:AlternateConten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61E5B">
    <w:pPr>
      <w:pStyle w:val="13"/>
      <w:jc w:val="center"/>
      <w:rPr>
        <w:rFonts w:ascii="宋体" w:hAnsi="宋体"/>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5478733">
                          <w:pPr>
                            <w:pStyle w:val="13"/>
                          </w:pPr>
                          <w:r>
                            <w:fldChar w:fldCharType="begin"/>
                          </w:r>
                          <w:r>
                            <w:instrText xml:space="preserve"> PAGE  \* MERGEFORMAT </w:instrText>
                          </w:r>
                          <w:r>
                            <w:fldChar w:fldCharType="separate"/>
                          </w:r>
                          <w:r>
                            <w:t>28</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dcH7/NIBAACjAwAADgAAAAAAAAABACAAAAAi&#10;AQAAZHJzL2Uyb0RvYy54bWxQSwUGAAAAAAYABgBZAQAAZgUAAAAA&#10;">
              <v:fill on="f" focussize="0,0"/>
              <v:stroke on="f" weight="1.25pt"/>
              <v:imagedata o:title=""/>
              <o:lock v:ext="edit" aspectratio="f"/>
              <v:textbox inset="0mm,0mm,0mm,0mm" style="mso-fit-shape-to-text:t;">
                <w:txbxContent>
                  <w:p w14:paraId="75478733">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5ABEC">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B7C73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56B7C73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39</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7B774">
    <w:pPr>
      <w:pStyle w:val="14"/>
    </w:pPr>
    <w:r>
      <w:rPr>
        <w:rFonts w:hint="eastAsia"/>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8196DE"/>
    <w:multiLevelType w:val="singleLevel"/>
    <w:tmpl w:val="838196DE"/>
    <w:lvl w:ilvl="0" w:tentative="0">
      <w:start w:val="3"/>
      <w:numFmt w:val="chineseCounting"/>
      <w:suff w:val="nothing"/>
      <w:lvlText w:val="（%1）"/>
      <w:lvlJc w:val="left"/>
      <w:rPr>
        <w:rFonts w:hint="eastAsia"/>
      </w:rPr>
    </w:lvl>
  </w:abstractNum>
  <w:abstractNum w:abstractNumId="1">
    <w:nsid w:val="F34A6465"/>
    <w:multiLevelType w:val="singleLevel"/>
    <w:tmpl w:val="F34A6465"/>
    <w:lvl w:ilvl="0" w:tentative="0">
      <w:start w:val="1"/>
      <w:numFmt w:val="decimal"/>
      <w:suff w:val="space"/>
      <w:lvlText w:val="%1."/>
      <w:lvlJc w:val="left"/>
    </w:lvl>
  </w:abstractNum>
  <w:abstractNum w:abstractNumId="2">
    <w:nsid w:val="24A6A9C2"/>
    <w:multiLevelType w:val="singleLevel"/>
    <w:tmpl w:val="24A6A9C2"/>
    <w:lvl w:ilvl="0" w:tentative="0">
      <w:start w:val="1"/>
      <w:numFmt w:val="chineseCounting"/>
      <w:suff w:val="nothing"/>
      <w:lvlText w:val="第%1条　"/>
      <w:lvlJc w:val="left"/>
      <w:rPr>
        <w:rFonts w:hint="eastAsia"/>
      </w:rPr>
    </w:lvl>
  </w:abstractNum>
  <w:abstractNum w:abstractNumId="3">
    <w:nsid w:val="24F82758"/>
    <w:multiLevelType w:val="singleLevel"/>
    <w:tmpl w:val="24F82758"/>
    <w:lvl w:ilvl="0" w:tentative="0">
      <w:start w:val="2"/>
      <w:numFmt w:val="decimal"/>
      <w:lvlText w:val="%1."/>
      <w:lvlJc w:val="left"/>
      <w:pPr>
        <w:tabs>
          <w:tab w:val="left" w:pos="312"/>
        </w:tabs>
        <w:ind w:left="440" w:firstLine="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BjNGZmMDgzYTFkM2E4ZTg1ZDljZjkyZDUyYTc4NDUifQ=="/>
  </w:docVars>
  <w:rsids>
    <w:rsidRoot w:val="4752394E"/>
    <w:rsid w:val="03E97F94"/>
    <w:rsid w:val="053F0D52"/>
    <w:rsid w:val="08BE7D3E"/>
    <w:rsid w:val="13493685"/>
    <w:rsid w:val="141F61C2"/>
    <w:rsid w:val="147049FA"/>
    <w:rsid w:val="19FD2C86"/>
    <w:rsid w:val="1A3C7780"/>
    <w:rsid w:val="2022365B"/>
    <w:rsid w:val="223C0EC8"/>
    <w:rsid w:val="24DA18F5"/>
    <w:rsid w:val="2ABA3AEF"/>
    <w:rsid w:val="2F297232"/>
    <w:rsid w:val="392635CF"/>
    <w:rsid w:val="459040FF"/>
    <w:rsid w:val="45BE3E3B"/>
    <w:rsid w:val="46741639"/>
    <w:rsid w:val="4752394E"/>
    <w:rsid w:val="47D43CD1"/>
    <w:rsid w:val="50C4211C"/>
    <w:rsid w:val="53163CC7"/>
    <w:rsid w:val="58E579D9"/>
    <w:rsid w:val="5A852727"/>
    <w:rsid w:val="5D8B17EF"/>
    <w:rsid w:val="63711335"/>
    <w:rsid w:val="643C3F5A"/>
    <w:rsid w:val="67765CD0"/>
    <w:rsid w:val="6B0420A3"/>
    <w:rsid w:val="6E6C250F"/>
    <w:rsid w:val="711E4DBA"/>
    <w:rsid w:val="77BE0C05"/>
    <w:rsid w:val="7E125364"/>
    <w:rsid w:val="7EEB6625"/>
    <w:rsid w:val="DFAF5164"/>
    <w:rsid w:val="F72FC2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styleId="4">
    <w:name w:val="heading 1"/>
    <w:basedOn w:val="1"/>
    <w:next w:val="1"/>
    <w:qFormat/>
    <w:uiPriority w:val="0"/>
    <w:pPr>
      <w:keepNext/>
      <w:keepLines/>
      <w:spacing w:line="576" w:lineRule="auto"/>
      <w:outlineLvl w:val="0"/>
    </w:pPr>
    <w:rPr>
      <w:b/>
      <w:kern w:val="44"/>
      <w:sz w:val="44"/>
    </w:rPr>
  </w:style>
  <w:style w:type="paragraph" w:styleId="5">
    <w:name w:val="heading 2"/>
    <w:basedOn w:val="1"/>
    <w:next w:val="1"/>
    <w:qFormat/>
    <w:uiPriority w:val="0"/>
    <w:pPr>
      <w:keepNext/>
      <w:keepLines/>
      <w:autoSpaceDE/>
      <w:autoSpaceDN/>
      <w:adjustRightInd/>
      <w:spacing w:line="412" w:lineRule="auto"/>
      <w:outlineLvl w:val="1"/>
    </w:pPr>
    <w:rPr>
      <w:rFonts w:ascii="Arial" w:hAnsi="Arial" w:eastAsia="黑体"/>
      <w:b/>
      <w:bCs/>
      <w:color w:val="auto"/>
      <w:sz w:val="32"/>
      <w:szCs w:val="32"/>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customStyle="1" w:styleId="2">
    <w:name w:val="正文首行缩进 21"/>
    <w:basedOn w:val="3"/>
    <w:qFormat/>
    <w:uiPriority w:val="0"/>
    <w:pPr>
      <w:spacing w:beforeAutospacing="0" w:after="120" w:afterAutospacing="0" w:line="240" w:lineRule="auto"/>
      <w:ind w:left="420" w:leftChars="200" w:firstLine="420"/>
    </w:pPr>
    <w:rPr>
      <w:szCs w:val="21"/>
    </w:rPr>
  </w:style>
  <w:style w:type="paragraph" w:customStyle="1" w:styleId="3">
    <w:name w:val="正文文本缩进1"/>
    <w:basedOn w:val="1"/>
    <w:next w:val="1"/>
    <w:qFormat/>
    <w:uiPriority w:val="0"/>
    <w:pPr>
      <w:spacing w:beforeAutospacing="0" w:afterAutospacing="0" w:line="400" w:lineRule="atLeast"/>
      <w:ind w:left="210" w:firstLine="210"/>
    </w:pPr>
    <w:rPr>
      <w:rFonts w:ascii="宋体" w:hAnsi="宋体"/>
      <w:szCs w:val="20"/>
    </w:rPr>
  </w:style>
  <w:style w:type="paragraph" w:styleId="6">
    <w:name w:val="Normal Indent"/>
    <w:basedOn w:val="1"/>
    <w:next w:val="7"/>
    <w:qFormat/>
    <w:uiPriority w:val="0"/>
    <w:pPr>
      <w:ind w:firstLine="420"/>
    </w:pPr>
  </w:style>
  <w:style w:type="paragraph" w:styleId="7">
    <w:name w:val="Body Text Indent"/>
    <w:basedOn w:val="1"/>
    <w:next w:val="1"/>
    <w:qFormat/>
    <w:uiPriority w:val="0"/>
    <w:pPr>
      <w:ind w:left="420" w:leftChars="200"/>
    </w:pPr>
    <w:rPr>
      <w:sz w:val="20"/>
    </w:rPr>
  </w:style>
  <w:style w:type="paragraph" w:styleId="8">
    <w:name w:val="annotation text"/>
    <w:basedOn w:val="1"/>
    <w:qFormat/>
    <w:uiPriority w:val="0"/>
    <w:pPr>
      <w:jc w:val="left"/>
    </w:pPr>
  </w:style>
  <w:style w:type="paragraph" w:styleId="9">
    <w:name w:val="Body Text"/>
    <w:basedOn w:val="1"/>
    <w:next w:val="10"/>
    <w:qFormat/>
    <w:uiPriority w:val="0"/>
    <w:rPr>
      <w:sz w:val="20"/>
    </w:rPr>
  </w:style>
  <w:style w:type="paragraph" w:styleId="10">
    <w:name w:val="Body Text First Indent"/>
    <w:basedOn w:val="9"/>
    <w:next w:val="11"/>
    <w:semiHidden/>
    <w:qFormat/>
    <w:uiPriority w:val="99"/>
    <w:pPr>
      <w:ind w:firstLine="420" w:firstLineChars="100"/>
    </w:pPr>
    <w:rPr>
      <w:rFonts w:ascii="宋体"/>
      <w:sz w:val="34"/>
      <w:szCs w:val="22"/>
    </w:rPr>
  </w:style>
  <w:style w:type="paragraph" w:styleId="11">
    <w:name w:val="toc 6"/>
    <w:basedOn w:val="1"/>
    <w:next w:val="1"/>
    <w:qFormat/>
    <w:uiPriority w:val="0"/>
    <w:pPr>
      <w:autoSpaceDE/>
      <w:autoSpaceDN/>
      <w:adjustRightInd/>
      <w:spacing w:line="360" w:lineRule="auto"/>
      <w:ind w:left="1200" w:firstLine="200" w:firstLineChars="200"/>
      <w:jc w:val="left"/>
    </w:pPr>
    <w:rPr>
      <w:rFonts w:ascii="Calibri" w:hAnsi="Calibri"/>
      <w:color w:val="auto"/>
      <w:kern w:val="2"/>
      <w:sz w:val="18"/>
      <w:szCs w:val="18"/>
    </w:rPr>
  </w:style>
  <w:style w:type="paragraph" w:styleId="12">
    <w:name w:val="Plain Text"/>
    <w:basedOn w:val="1"/>
    <w:next w:val="1"/>
    <w:qFormat/>
    <w:uiPriority w:val="0"/>
    <w:pPr>
      <w:autoSpaceDE/>
      <w:autoSpaceDN/>
      <w:adjustRightInd/>
    </w:pPr>
    <w:rPr>
      <w:color w:val="auto"/>
      <w:sz w:val="24"/>
      <w:szCs w:val="20"/>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footnote text"/>
    <w:basedOn w:val="1"/>
    <w:qFormat/>
    <w:uiPriority w:val="0"/>
    <w:pPr>
      <w:snapToGrid w:val="0"/>
      <w:jc w:val="left"/>
    </w:pPr>
    <w:rPr>
      <w:rFonts w:ascii="仿宋_GB2312" w:eastAsia="仿宋_GB2312"/>
      <w:sz w:val="18"/>
      <w:szCs w:val="18"/>
    </w:rPr>
  </w:style>
  <w:style w:type="paragraph" w:styleId="16">
    <w:name w:val="toc 2"/>
    <w:basedOn w:val="1"/>
    <w:next w:val="1"/>
    <w:qFormat/>
    <w:uiPriority w:val="0"/>
    <w:pPr>
      <w:tabs>
        <w:tab w:val="right" w:leader="dot" w:pos="8296"/>
      </w:tabs>
      <w:autoSpaceDE/>
      <w:autoSpaceDN/>
      <w:adjustRightInd/>
      <w:spacing w:line="360" w:lineRule="auto"/>
      <w:ind w:left="240" w:firstLine="44" w:firstLineChars="22"/>
      <w:jc w:val="left"/>
    </w:pPr>
    <w:rPr>
      <w:rFonts w:ascii="Calibri" w:hAnsi="Calibri"/>
      <w:smallCaps/>
      <w:color w:val="auto"/>
      <w:kern w:val="2"/>
      <w:sz w:val="20"/>
      <w:szCs w:val="20"/>
    </w:rPr>
  </w:style>
  <w:style w:type="paragraph" w:styleId="17">
    <w:name w:val="Normal (Web)"/>
    <w:basedOn w:val="1"/>
    <w:qFormat/>
    <w:uiPriority w:val="0"/>
    <w:pPr>
      <w:widowControl/>
      <w:autoSpaceDE/>
      <w:autoSpaceDN/>
      <w:adjustRightInd/>
      <w:spacing w:beforeAutospacing="1" w:afterAutospacing="1"/>
      <w:jc w:val="left"/>
    </w:pPr>
    <w:rPr>
      <w:rFonts w:ascii="宋体" w:hAnsi="宋体"/>
      <w:sz w:val="24"/>
      <w:szCs w:val="24"/>
    </w:rPr>
  </w:style>
  <w:style w:type="paragraph" w:styleId="18">
    <w:name w:val="Title"/>
    <w:basedOn w:val="1"/>
    <w:next w:val="1"/>
    <w:qFormat/>
    <w:uiPriority w:val="0"/>
    <w:pPr>
      <w:jc w:val="center"/>
      <w:outlineLvl w:val="0"/>
    </w:pPr>
    <w:rPr>
      <w:rFonts w:ascii="Cambria" w:hAnsi="Cambria"/>
      <w:b/>
      <w:bCs/>
      <w:sz w:val="32"/>
      <w:szCs w:val="32"/>
    </w:rPr>
  </w:style>
  <w:style w:type="paragraph" w:styleId="19">
    <w:name w:val="Body Text First Indent 2"/>
    <w:basedOn w:val="7"/>
    <w:next w:val="10"/>
    <w:qFormat/>
    <w:uiPriority w:val="0"/>
    <w:pPr>
      <w:autoSpaceDE/>
      <w:autoSpaceDN/>
      <w:adjustRightInd/>
      <w:spacing w:line="360" w:lineRule="auto"/>
      <w:ind w:firstLine="420" w:firstLineChars="200"/>
    </w:pPr>
    <w:rPr>
      <w:rFonts w:ascii="Calibri" w:hAnsi="Calibri"/>
      <w:sz w:val="24"/>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Hyperlink"/>
    <w:qFormat/>
    <w:uiPriority w:val="0"/>
    <w:rPr>
      <w:color w:val="0000FF"/>
      <w:u w:val="single"/>
    </w:rPr>
  </w:style>
  <w:style w:type="paragraph" w:customStyle="1" w:styleId="24">
    <w:name w:val="正文（首行缩进2字符）"/>
    <w:basedOn w:val="1"/>
    <w:qFormat/>
    <w:uiPriority w:val="0"/>
    <w:pPr>
      <w:ind w:firstLine="480" w:firstLineChars="200"/>
    </w:pPr>
    <w:rPr>
      <w:kern w:val="2"/>
    </w:rPr>
  </w:style>
  <w:style w:type="paragraph" w:customStyle="1" w:styleId="25">
    <w:name w:val="正文2"/>
    <w:basedOn w:val="1"/>
    <w:qFormat/>
    <w:uiPriority w:val="0"/>
    <w:pPr>
      <w:spacing w:line="360" w:lineRule="auto"/>
      <w:ind w:firstLine="510" w:firstLineChars="200"/>
    </w:pPr>
    <w:rPr>
      <w:sz w:val="24"/>
      <w:szCs w:val="20"/>
    </w:rPr>
  </w:style>
  <w:style w:type="paragraph" w:customStyle="1" w:styleId="26">
    <w:name w:val="保留正文"/>
    <w:basedOn w:val="9"/>
    <w:qFormat/>
    <w:uiPriority w:val="0"/>
    <w:pPr>
      <w:keepNext/>
    </w:pPr>
    <w:rPr>
      <w:rFonts w:ascii="Calibri" w:hAnsi="Calibri"/>
    </w:rPr>
  </w:style>
  <w:style w:type="paragraph" w:customStyle="1" w:styleId="27">
    <w:name w:val="正文 + 宋体"/>
    <w:basedOn w:val="1"/>
    <w:qFormat/>
    <w:uiPriority w:val="0"/>
    <w:pPr>
      <w:spacing w:beforeLines="10" w:line="400" w:lineRule="atLeast"/>
      <w:ind w:firstLine="420"/>
    </w:pPr>
    <w:rPr>
      <w:rFonts w:ascii="宋体" w:hAnsi="宋体"/>
      <w:szCs w:val="20"/>
    </w:rPr>
  </w:style>
  <w:style w:type="paragraph" w:customStyle="1" w:styleId="28">
    <w:name w:val="表格文字"/>
    <w:basedOn w:val="29"/>
    <w:next w:val="9"/>
    <w:qFormat/>
    <w:uiPriority w:val="0"/>
    <w:pPr>
      <w:spacing w:line="420" w:lineRule="atLeast"/>
      <w:textAlignment w:val="baseline"/>
    </w:pPr>
    <w:rPr>
      <w:szCs w:val="24"/>
    </w:rPr>
  </w:style>
  <w:style w:type="paragraph" w:customStyle="1" w:styleId="29">
    <w:name w:val="表格文字（两侧对齐）"/>
    <w:basedOn w:val="1"/>
    <w:qFormat/>
    <w:uiPriority w:val="0"/>
    <w:pPr>
      <w:autoSpaceDE/>
      <w:autoSpaceDN/>
      <w:adjustRightInd/>
      <w:snapToGrid w:val="0"/>
    </w:pPr>
    <w:rPr>
      <w:color w:val="auto"/>
      <w:sz w:val="20"/>
      <w:szCs w:val="24"/>
    </w:rPr>
  </w:style>
  <w:style w:type="character" w:customStyle="1" w:styleId="30">
    <w:name w:val="标题 1 Char Char"/>
    <w:qFormat/>
    <w:uiPriority w:val="0"/>
    <w:rPr>
      <w:rFonts w:eastAsia="宋体"/>
      <w:spacing w:val="-2"/>
      <w:sz w:val="24"/>
      <w:lang w:val="en-US" w:eastAsia="zh-CN" w:bidi="ar-SA"/>
    </w:rPr>
  </w:style>
  <w:style w:type="paragraph" w:customStyle="1" w:styleId="31">
    <w:name w:val="Proposals body"/>
    <w:basedOn w:val="1"/>
    <w:next w:val="1"/>
    <w:qFormat/>
    <w:uiPriority w:val="0"/>
    <w:pPr>
      <w:widowControl/>
      <w:spacing w:line="360" w:lineRule="auto"/>
      <w:jc w:val="left"/>
    </w:pPr>
    <w:rPr>
      <w:rFonts w:ascii="宋体" w:hAnsi="Times New Roman" w:eastAsia="宋体" w:cs="Times New Roman"/>
      <w:snapToGrid w:val="0"/>
      <w:color w:val="000000"/>
      <w:kern w:val="0"/>
      <w:sz w:val="24"/>
      <w:szCs w:val="20"/>
    </w:rPr>
  </w:style>
  <w:style w:type="paragraph" w:customStyle="1" w:styleId="32">
    <w:name w:val="Plain Text"/>
    <w:basedOn w:val="1"/>
    <w:qFormat/>
    <w:uiPriority w:val="0"/>
    <w:rPr>
      <w:rFonts w:ascii="宋体" w:hAnsi="Courier New"/>
    </w:rPr>
  </w:style>
  <w:style w:type="paragraph" w:customStyle="1" w:styleId="33">
    <w:name w:val="纯文本1"/>
    <w:basedOn w:val="1"/>
    <w:qFormat/>
    <w:uiPriority w:val="0"/>
    <w:rPr>
      <w:rFonts w:ascii="宋体" w:hAnsi="Courier New"/>
      <w:szCs w:val="20"/>
    </w:rPr>
  </w:style>
  <w:style w:type="paragraph" w:customStyle="1" w:styleId="34">
    <w:name w:val="列出段落1"/>
    <w:basedOn w:val="1"/>
    <w:qFormat/>
    <w:uiPriority w:val="99"/>
    <w:pPr>
      <w:spacing w:line="360" w:lineRule="auto"/>
      <w:ind w:firstLine="420" w:firstLineChars="200"/>
      <w:jc w:val="left"/>
    </w:pPr>
    <w:rPr>
      <w:rFonts w:ascii="Calibri" w:hAnsi="Calibri"/>
      <w:sz w:val="24"/>
      <w:szCs w:val="22"/>
    </w:rPr>
  </w:style>
  <w:style w:type="paragraph" w:customStyle="1" w:styleId="35">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17337</Words>
  <Characters>18399</Characters>
  <Lines>0</Lines>
  <Paragraphs>0</Paragraphs>
  <TotalTime>4065</TotalTime>
  <ScaleCrop>false</ScaleCrop>
  <LinksUpToDate>false</LinksUpToDate>
  <CharactersWithSpaces>18711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2024-12-05T12:33:00Z</dcterms:created>
  <dc:creator>苒染</dc:creator>
  <cp:lastModifiedBy>苒染</cp:lastModifiedBy>
  <dcterms:modified xsi:type="dcterms:W3CDTF">2025-04-14T08:04:03Z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A89BF148371B425A9AD06F20E7D18C9A_13</vt:lpwstr>
  </property>
  <property fmtid="{D5CDD505-2E9C-101B-9397-08002B2CF9AE}" pid="4" name="KSOTemplateDocerSaveRecord">
    <vt:lpwstr>eyJoZGlkIjoiMWQ2NzkxN2ZhYWUyZGU1NjBlZDJmNTI1YzBhODNmOGEiLCJ1c2VySWQiOiI0NDExODIwNTQifQ==</vt:lpwstr>
  </property>
</Properties>
</file>