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left"/>
        <w:rPr>
          <w:rFonts w:ascii="宋体" w:hAnsi="宋体" w:cs="宋体"/>
          <w:b/>
          <w:bCs/>
          <w:sz w:val="36"/>
          <w:szCs w:val="36"/>
          <w:highlight w:val="none"/>
        </w:rPr>
      </w:pPr>
    </w:p>
    <w:p>
      <w:pPr>
        <w:spacing w:line="360" w:lineRule="auto"/>
        <w:jc w:val="center"/>
        <w:rPr>
          <w:rFonts w:ascii="宋体" w:hAnsi="宋体" w:cs="宋体"/>
          <w:b/>
          <w:bCs/>
          <w:sz w:val="36"/>
          <w:szCs w:val="36"/>
          <w:highlight w:val="none"/>
        </w:rPr>
      </w:pPr>
    </w:p>
    <w:p>
      <w:pPr>
        <w:spacing w:line="360" w:lineRule="auto"/>
        <w:jc w:val="center"/>
        <w:rPr>
          <w:rFonts w:ascii="宋体" w:hAnsi="宋体" w:cs="宋体"/>
          <w:b/>
          <w:bCs/>
          <w:sz w:val="36"/>
          <w:szCs w:val="36"/>
          <w:highlight w:val="none"/>
        </w:rPr>
      </w:pPr>
    </w:p>
    <w:p>
      <w:pPr>
        <w:spacing w:line="360" w:lineRule="auto"/>
        <w:jc w:val="center"/>
        <w:rPr>
          <w:rFonts w:ascii="宋体" w:hAnsi="宋体" w:cs="宋体"/>
          <w:b/>
          <w:bCs/>
          <w:sz w:val="36"/>
          <w:szCs w:val="36"/>
          <w:highlight w:val="none"/>
        </w:rPr>
      </w:pPr>
    </w:p>
    <w:p>
      <w:pPr>
        <w:spacing w:line="360" w:lineRule="auto"/>
        <w:ind w:left="630" w:leftChars="300" w:right="630" w:rightChars="300"/>
        <w:jc w:val="center"/>
        <w:rPr>
          <w:rFonts w:ascii="宋体" w:hAnsi="宋体" w:cs="宋体"/>
          <w:sz w:val="36"/>
          <w:szCs w:val="36"/>
          <w:highlight w:val="none"/>
        </w:rPr>
      </w:pPr>
      <w:r>
        <w:rPr>
          <w:rFonts w:hint="eastAsia" w:ascii="宋体" w:hAnsi="宋体" w:cs="宋体"/>
          <w:b/>
          <w:bCs/>
          <w:sz w:val="36"/>
          <w:szCs w:val="36"/>
          <w:highlight w:val="none"/>
        </w:rPr>
        <w:t>浙江省嘉兴支队南湖区消防救援大队 2024 年度食堂大宗物品配送采购项目</w:t>
      </w:r>
    </w:p>
    <w:p>
      <w:pPr>
        <w:pStyle w:val="58"/>
        <w:spacing w:line="360" w:lineRule="auto"/>
        <w:rPr>
          <w:rFonts w:ascii="宋体" w:hAnsi="宋体" w:cs="宋体"/>
          <w:highlight w:val="none"/>
        </w:rPr>
      </w:pPr>
    </w:p>
    <w:p>
      <w:pPr>
        <w:spacing w:line="360" w:lineRule="auto"/>
        <w:jc w:val="center"/>
        <w:rPr>
          <w:rFonts w:ascii="宋体" w:hAnsi="宋体" w:cs="宋体"/>
          <w:b/>
          <w:sz w:val="52"/>
          <w:szCs w:val="52"/>
          <w:highlight w:val="none"/>
        </w:rPr>
      </w:pPr>
      <w:r>
        <w:rPr>
          <w:rFonts w:hint="eastAsia" w:ascii="宋体" w:hAnsi="宋体" w:cs="宋体"/>
          <w:b/>
          <w:sz w:val="52"/>
          <w:szCs w:val="52"/>
          <w:highlight w:val="none"/>
        </w:rPr>
        <w:t>公</w:t>
      </w:r>
    </w:p>
    <w:p>
      <w:pPr>
        <w:spacing w:line="360" w:lineRule="auto"/>
        <w:jc w:val="center"/>
        <w:rPr>
          <w:rFonts w:ascii="宋体" w:hAnsi="宋体" w:cs="宋体"/>
          <w:b/>
          <w:sz w:val="52"/>
          <w:szCs w:val="52"/>
          <w:highlight w:val="none"/>
        </w:rPr>
      </w:pPr>
      <w:r>
        <w:rPr>
          <w:rFonts w:hint="eastAsia" w:ascii="宋体" w:hAnsi="宋体" w:cs="宋体"/>
          <w:b/>
          <w:sz w:val="52"/>
          <w:szCs w:val="52"/>
          <w:highlight w:val="none"/>
        </w:rPr>
        <w:t>开</w:t>
      </w:r>
    </w:p>
    <w:p>
      <w:pPr>
        <w:spacing w:line="360" w:lineRule="auto"/>
        <w:jc w:val="center"/>
        <w:rPr>
          <w:rFonts w:ascii="宋体" w:hAnsi="宋体" w:cs="宋体"/>
          <w:b/>
          <w:sz w:val="52"/>
          <w:szCs w:val="52"/>
          <w:highlight w:val="none"/>
        </w:rPr>
      </w:pPr>
      <w:r>
        <w:rPr>
          <w:rFonts w:hint="eastAsia" w:ascii="宋体" w:hAnsi="宋体" w:cs="宋体"/>
          <w:b/>
          <w:sz w:val="52"/>
          <w:szCs w:val="52"/>
          <w:highlight w:val="none"/>
        </w:rPr>
        <w:t>招</w:t>
      </w:r>
    </w:p>
    <w:p>
      <w:pPr>
        <w:spacing w:line="360" w:lineRule="auto"/>
        <w:jc w:val="center"/>
        <w:rPr>
          <w:rFonts w:ascii="宋体" w:hAnsi="宋体" w:cs="宋体"/>
          <w:b/>
          <w:sz w:val="52"/>
          <w:szCs w:val="52"/>
          <w:highlight w:val="none"/>
        </w:rPr>
      </w:pPr>
      <w:r>
        <w:rPr>
          <w:rFonts w:hint="eastAsia" w:ascii="宋体" w:hAnsi="宋体" w:cs="宋体"/>
          <w:b/>
          <w:sz w:val="52"/>
          <w:szCs w:val="52"/>
          <w:highlight w:val="none"/>
        </w:rPr>
        <w:t>标</w:t>
      </w:r>
    </w:p>
    <w:p>
      <w:pPr>
        <w:spacing w:line="360" w:lineRule="auto"/>
        <w:jc w:val="center"/>
        <w:rPr>
          <w:rFonts w:ascii="宋体" w:hAnsi="宋体" w:cs="宋体"/>
          <w:b/>
          <w:sz w:val="52"/>
          <w:szCs w:val="52"/>
          <w:highlight w:val="none"/>
        </w:rPr>
      </w:pPr>
      <w:r>
        <w:rPr>
          <w:rFonts w:hint="eastAsia" w:ascii="宋体" w:hAnsi="宋体" w:cs="宋体"/>
          <w:b/>
          <w:sz w:val="52"/>
          <w:szCs w:val="52"/>
          <w:highlight w:val="none"/>
        </w:rPr>
        <w:t>文</w:t>
      </w:r>
    </w:p>
    <w:p>
      <w:pPr>
        <w:spacing w:line="360" w:lineRule="auto"/>
        <w:jc w:val="center"/>
        <w:rPr>
          <w:rFonts w:ascii="宋体" w:hAnsi="宋体" w:cs="宋体"/>
          <w:b/>
          <w:sz w:val="52"/>
          <w:szCs w:val="52"/>
          <w:highlight w:val="none"/>
        </w:rPr>
      </w:pPr>
      <w:r>
        <w:rPr>
          <w:rFonts w:hint="eastAsia" w:ascii="宋体" w:hAnsi="宋体" w:cs="宋体"/>
          <w:b/>
          <w:sz w:val="52"/>
          <w:szCs w:val="52"/>
          <w:highlight w:val="none"/>
        </w:rPr>
        <w:t>件</w:t>
      </w:r>
    </w:p>
    <w:p>
      <w:pPr>
        <w:pStyle w:val="19"/>
        <w:spacing w:after="0" w:line="360" w:lineRule="auto"/>
        <w:rPr>
          <w:rFonts w:ascii="宋体" w:hAnsi="宋体" w:cs="宋体"/>
          <w:sz w:val="28"/>
          <w:szCs w:val="28"/>
          <w:highlight w:val="none"/>
        </w:rPr>
      </w:pPr>
    </w:p>
    <w:p>
      <w:pPr>
        <w:pStyle w:val="25"/>
        <w:spacing w:line="360" w:lineRule="auto"/>
        <w:ind w:firstLine="1603" w:firstLineChars="600"/>
        <w:jc w:val="left"/>
        <w:rPr>
          <w:rFonts w:hAnsi="宋体" w:cs="宋体"/>
          <w:b/>
          <w:sz w:val="28"/>
          <w:szCs w:val="28"/>
          <w:highlight w:val="none"/>
        </w:rPr>
      </w:pPr>
      <w:r>
        <w:rPr>
          <w:rFonts w:hint="eastAsia" w:hAnsi="宋体" w:cs="宋体"/>
          <w:b/>
          <w:bCs/>
          <w:w w:val="95"/>
          <w:sz w:val="28"/>
          <w:szCs w:val="28"/>
          <w:highlight w:val="none"/>
        </w:rPr>
        <w:t>项目编号：</w:t>
      </w:r>
      <w:r>
        <w:rPr>
          <w:rFonts w:hint="eastAsia" w:hAnsi="宋体" w:cs="宋体"/>
          <w:b/>
          <w:bCs/>
          <w:w w:val="95"/>
          <w:sz w:val="28"/>
          <w:szCs w:val="28"/>
          <w:highlight w:val="none"/>
        </w:rPr>
        <w:t>嘉消采-GK2024008</w:t>
      </w:r>
    </w:p>
    <w:p>
      <w:pPr>
        <w:pStyle w:val="25"/>
        <w:spacing w:line="360" w:lineRule="auto"/>
        <w:ind w:firstLine="1603" w:firstLineChars="600"/>
        <w:jc w:val="left"/>
        <w:rPr>
          <w:rFonts w:hAnsi="宋体" w:cs="宋体"/>
          <w:b/>
          <w:bCs/>
          <w:w w:val="95"/>
          <w:sz w:val="28"/>
          <w:szCs w:val="28"/>
          <w:highlight w:val="none"/>
        </w:rPr>
      </w:pPr>
      <w:r>
        <w:rPr>
          <w:rFonts w:hint="eastAsia" w:hAnsi="宋体" w:cs="宋体"/>
          <w:b/>
          <w:bCs/>
          <w:w w:val="95"/>
          <w:sz w:val="28"/>
          <w:szCs w:val="28"/>
          <w:highlight w:val="none"/>
        </w:rPr>
        <w:t>采购单位：</w:t>
      </w:r>
      <w:r>
        <w:rPr>
          <w:rFonts w:hint="eastAsia" w:hAnsi="宋体" w:cs="宋体"/>
          <w:b/>
          <w:sz w:val="28"/>
          <w:szCs w:val="28"/>
          <w:highlight w:val="none"/>
        </w:rPr>
        <w:t>嘉兴市南湖区消防救援大队</w:t>
      </w:r>
    </w:p>
    <w:p>
      <w:pPr>
        <w:pStyle w:val="25"/>
        <w:spacing w:line="360" w:lineRule="auto"/>
        <w:ind w:firstLine="1603" w:firstLineChars="600"/>
        <w:jc w:val="left"/>
        <w:rPr>
          <w:rFonts w:hAnsi="宋体" w:cs="宋体"/>
          <w:b/>
          <w:bCs/>
          <w:w w:val="95"/>
          <w:sz w:val="28"/>
          <w:szCs w:val="28"/>
          <w:highlight w:val="none"/>
        </w:rPr>
      </w:pPr>
      <w:r>
        <w:rPr>
          <w:rFonts w:hint="eastAsia" w:hAnsi="宋体" w:cs="宋体"/>
          <w:b/>
          <w:bCs/>
          <w:w w:val="95"/>
          <w:sz w:val="28"/>
          <w:szCs w:val="28"/>
          <w:highlight w:val="none"/>
        </w:rPr>
        <w:t>代理机构：浙江天钫工程管理咨询有限公司</w:t>
      </w:r>
    </w:p>
    <w:p>
      <w:pPr>
        <w:spacing w:line="360" w:lineRule="auto"/>
        <w:ind w:firstLine="534" w:firstLineChars="200"/>
        <w:jc w:val="center"/>
        <w:rPr>
          <w:rFonts w:ascii="宋体" w:hAnsi="宋体" w:cs="宋体"/>
          <w:b/>
          <w:bCs/>
          <w:w w:val="95"/>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797" w:bottom="1247" w:left="1797" w:header="851" w:footer="851" w:gutter="0"/>
          <w:cols w:space="720" w:num="1"/>
          <w:titlePg/>
          <w:docGrid w:linePitch="312" w:charSpace="0"/>
        </w:sectPr>
      </w:pPr>
      <w:bookmarkStart w:id="0" w:name="_Toc493511539"/>
      <w:bookmarkStart w:id="1" w:name="_Toc50012812"/>
      <w:bookmarkStart w:id="2" w:name="_Toc427915753"/>
      <w:r>
        <w:rPr>
          <w:rFonts w:hint="eastAsia" w:ascii="宋体" w:hAnsi="宋体" w:cs="宋体"/>
          <w:b/>
          <w:bCs/>
          <w:w w:val="95"/>
          <w:sz w:val="28"/>
          <w:szCs w:val="28"/>
          <w:highlight w:val="none"/>
        </w:rPr>
        <w:t>2024年</w:t>
      </w:r>
      <w:r>
        <w:rPr>
          <w:rFonts w:hint="eastAsia" w:ascii="宋体" w:hAnsi="宋体" w:cs="宋体"/>
          <w:b/>
          <w:bCs/>
          <w:w w:val="95"/>
          <w:sz w:val="28"/>
          <w:szCs w:val="28"/>
          <w:highlight w:val="none"/>
          <w:lang w:val="en-US" w:eastAsia="zh-CN"/>
        </w:rPr>
        <w:t>9</w:t>
      </w:r>
      <w:r>
        <w:rPr>
          <w:rFonts w:hint="eastAsia" w:ascii="宋体" w:hAnsi="宋体" w:cs="宋体"/>
          <w:b/>
          <w:bCs/>
          <w:w w:val="95"/>
          <w:sz w:val="28"/>
          <w:szCs w:val="28"/>
          <w:highlight w:val="none"/>
        </w:rPr>
        <w:t>月</w:t>
      </w:r>
      <w:bookmarkEnd w:id="0"/>
      <w:bookmarkEnd w:id="1"/>
      <w:bookmarkEnd w:id="2"/>
    </w:p>
    <w:p>
      <w:pPr>
        <w:spacing w:line="360" w:lineRule="auto"/>
        <w:rPr>
          <w:rFonts w:ascii="宋体" w:hAnsi="宋体" w:cs="宋体"/>
          <w:highlight w:val="none"/>
        </w:rPr>
      </w:pPr>
    </w:p>
    <w:p>
      <w:pPr>
        <w:pStyle w:val="64"/>
        <w:spacing w:before="0" w:line="360" w:lineRule="auto"/>
        <w:ind w:firstLine="643" w:firstLineChars="200"/>
        <w:jc w:val="center"/>
        <w:rPr>
          <w:rFonts w:ascii="宋体" w:hAnsi="宋体" w:cs="宋体"/>
          <w:color w:val="auto"/>
          <w:sz w:val="32"/>
          <w:szCs w:val="32"/>
          <w:highlight w:val="none"/>
        </w:rPr>
      </w:pPr>
      <w:bookmarkStart w:id="3" w:name="_Toc28810"/>
      <w:r>
        <w:rPr>
          <w:rFonts w:hint="eastAsia" w:ascii="宋体" w:hAnsi="宋体" w:cs="宋体"/>
          <w:color w:val="auto"/>
          <w:sz w:val="32"/>
          <w:szCs w:val="32"/>
          <w:highlight w:val="none"/>
          <w:lang w:val="zh-CN"/>
        </w:rPr>
        <w:t>目录</w:t>
      </w:r>
      <w:bookmarkEnd w:id="3"/>
    </w:p>
    <w:p>
      <w:pPr>
        <w:pStyle w:val="31"/>
        <w:tabs>
          <w:tab w:val="right" w:leader="dot" w:pos="8312"/>
        </w:tabs>
        <w:spacing w:line="360" w:lineRule="auto"/>
        <w:rPr>
          <w:rFonts w:ascii="宋体" w:hAnsi="宋体" w:cs="宋体"/>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TOC \o "1-3" \h \z \u </w:instrText>
      </w:r>
      <w:r>
        <w:rPr>
          <w:rFonts w:hint="eastAsia" w:ascii="宋体" w:hAnsi="宋体" w:cs="宋体"/>
          <w:szCs w:val="21"/>
          <w:highlight w:val="none"/>
        </w:rPr>
        <w:fldChar w:fldCharType="separate"/>
      </w:r>
    </w:p>
    <w:p>
      <w:pPr>
        <w:pStyle w:val="38"/>
        <w:tabs>
          <w:tab w:val="right" w:leader="dot" w:pos="8312"/>
        </w:tabs>
        <w:spacing w:line="360" w:lineRule="auto"/>
        <w:rPr>
          <w:rFonts w:ascii="宋体" w:hAnsi="宋体" w:cs="宋体"/>
          <w:sz w:val="24"/>
          <w:highlight w:val="none"/>
        </w:rPr>
      </w:pPr>
      <w:r>
        <w:rPr>
          <w:highlight w:val="none"/>
        </w:rPr>
        <w:fldChar w:fldCharType="begin"/>
      </w:r>
      <w:r>
        <w:rPr>
          <w:highlight w:val="none"/>
        </w:rPr>
        <w:instrText xml:space="preserve"> HYPERLINK \l "_Toc3494" </w:instrText>
      </w:r>
      <w:r>
        <w:rPr>
          <w:highlight w:val="none"/>
        </w:rPr>
        <w:fldChar w:fldCharType="separate"/>
      </w:r>
      <w:r>
        <w:rPr>
          <w:rFonts w:hint="eastAsia" w:ascii="宋体" w:hAnsi="宋体" w:cs="宋体"/>
          <w:sz w:val="24"/>
          <w:highlight w:val="none"/>
        </w:rPr>
        <w:t>第一章  公开招标采购公告</w:t>
      </w:r>
      <w:r>
        <w:rPr>
          <w:rFonts w:hint="eastAsia" w:ascii="宋体" w:hAnsi="宋体" w:cs="宋体"/>
          <w:sz w:val="24"/>
          <w:highlight w:val="none"/>
        </w:rPr>
        <w:tab/>
      </w:r>
      <w:r>
        <w:rPr>
          <w:rFonts w:hint="eastAsia" w:ascii="宋体" w:hAnsi="宋体" w:cs="宋体"/>
          <w:sz w:val="24"/>
          <w:highlight w:val="none"/>
        </w:rPr>
        <w:t>2</w:t>
      </w:r>
      <w:r>
        <w:rPr>
          <w:rFonts w:hint="eastAsia" w:ascii="宋体" w:hAnsi="宋体" w:cs="宋体"/>
          <w:sz w:val="24"/>
          <w:highlight w:val="none"/>
        </w:rPr>
        <w:fldChar w:fldCharType="end"/>
      </w:r>
    </w:p>
    <w:p>
      <w:pPr>
        <w:pStyle w:val="38"/>
        <w:tabs>
          <w:tab w:val="right" w:leader="dot" w:pos="8312"/>
        </w:tabs>
        <w:spacing w:line="360" w:lineRule="auto"/>
        <w:rPr>
          <w:rFonts w:ascii="宋体" w:hAnsi="宋体" w:cs="宋体"/>
          <w:sz w:val="24"/>
          <w:highlight w:val="none"/>
        </w:rPr>
      </w:pPr>
      <w:r>
        <w:rPr>
          <w:highlight w:val="none"/>
        </w:rPr>
        <w:fldChar w:fldCharType="begin"/>
      </w:r>
      <w:r>
        <w:rPr>
          <w:highlight w:val="none"/>
        </w:rPr>
        <w:instrText xml:space="preserve"> HYPERLINK \l "_Toc3892" </w:instrText>
      </w:r>
      <w:r>
        <w:rPr>
          <w:highlight w:val="none"/>
        </w:rPr>
        <w:fldChar w:fldCharType="separate"/>
      </w:r>
      <w:r>
        <w:rPr>
          <w:rFonts w:hint="eastAsia" w:ascii="宋体" w:hAnsi="宋体" w:cs="宋体"/>
          <w:sz w:val="24"/>
          <w:highlight w:val="none"/>
        </w:rPr>
        <w:t>第二章  采购需求</w:t>
      </w:r>
      <w:r>
        <w:rPr>
          <w:rFonts w:hint="eastAsia" w:ascii="宋体" w:hAnsi="宋体" w:cs="宋体"/>
          <w:sz w:val="24"/>
          <w:highlight w:val="none"/>
        </w:rPr>
        <w:tab/>
      </w:r>
      <w:r>
        <w:rPr>
          <w:rFonts w:hint="eastAsia" w:ascii="宋体" w:hAnsi="宋体" w:cs="宋体"/>
          <w:sz w:val="24"/>
          <w:highlight w:val="none"/>
        </w:rPr>
        <w:t>5</w:t>
      </w:r>
      <w:r>
        <w:rPr>
          <w:rFonts w:hint="eastAsia" w:ascii="宋体" w:hAnsi="宋体" w:cs="宋体"/>
          <w:sz w:val="24"/>
          <w:highlight w:val="none"/>
        </w:rPr>
        <w:fldChar w:fldCharType="end"/>
      </w:r>
    </w:p>
    <w:p>
      <w:pPr>
        <w:pStyle w:val="38"/>
        <w:tabs>
          <w:tab w:val="right" w:leader="dot" w:pos="8312"/>
        </w:tabs>
        <w:spacing w:line="360" w:lineRule="auto"/>
        <w:rPr>
          <w:rFonts w:ascii="宋体" w:hAnsi="宋体" w:cs="宋体"/>
          <w:sz w:val="24"/>
          <w:highlight w:val="none"/>
        </w:rPr>
      </w:pPr>
      <w:r>
        <w:rPr>
          <w:highlight w:val="none"/>
        </w:rPr>
        <w:fldChar w:fldCharType="begin"/>
      </w:r>
      <w:r>
        <w:rPr>
          <w:highlight w:val="none"/>
        </w:rPr>
        <w:instrText xml:space="preserve"> HYPERLINK \l "_Toc31093" </w:instrText>
      </w:r>
      <w:r>
        <w:rPr>
          <w:highlight w:val="none"/>
        </w:rPr>
        <w:fldChar w:fldCharType="separate"/>
      </w:r>
      <w:r>
        <w:rPr>
          <w:rFonts w:hint="eastAsia" w:ascii="宋体" w:hAnsi="宋体" w:cs="宋体"/>
          <w:sz w:val="24"/>
          <w:highlight w:val="none"/>
        </w:rPr>
        <w:t>第三章  投标人须知</w:t>
      </w:r>
      <w:r>
        <w:rPr>
          <w:rFonts w:hint="eastAsia" w:ascii="宋体" w:hAnsi="宋体" w:cs="宋体"/>
          <w:sz w:val="24"/>
          <w:highlight w:val="none"/>
        </w:rPr>
        <w:tab/>
      </w:r>
      <w:r>
        <w:rPr>
          <w:rFonts w:hint="eastAsia" w:ascii="宋体" w:hAnsi="宋体" w:cs="宋体"/>
          <w:sz w:val="24"/>
          <w:highlight w:val="none"/>
        </w:rPr>
        <w:t>9</w:t>
      </w:r>
      <w:r>
        <w:rPr>
          <w:rFonts w:hint="eastAsia" w:ascii="宋体" w:hAnsi="宋体" w:cs="宋体"/>
          <w:sz w:val="24"/>
          <w:highlight w:val="none"/>
        </w:rPr>
        <w:fldChar w:fldCharType="end"/>
      </w:r>
    </w:p>
    <w:p>
      <w:pPr>
        <w:pStyle w:val="38"/>
        <w:tabs>
          <w:tab w:val="right" w:leader="dot" w:pos="8312"/>
        </w:tabs>
        <w:spacing w:line="360" w:lineRule="auto"/>
        <w:rPr>
          <w:rFonts w:ascii="宋体" w:hAnsi="宋体" w:cs="宋体"/>
          <w:sz w:val="24"/>
          <w:highlight w:val="none"/>
        </w:rPr>
      </w:pPr>
      <w:r>
        <w:rPr>
          <w:highlight w:val="none"/>
        </w:rPr>
        <w:fldChar w:fldCharType="begin"/>
      </w:r>
      <w:r>
        <w:rPr>
          <w:highlight w:val="none"/>
        </w:rPr>
        <w:instrText xml:space="preserve"> HYPERLINK \l "_Toc27157" </w:instrText>
      </w:r>
      <w:r>
        <w:rPr>
          <w:highlight w:val="none"/>
        </w:rPr>
        <w:fldChar w:fldCharType="separate"/>
      </w:r>
      <w:r>
        <w:rPr>
          <w:rFonts w:hint="eastAsia" w:ascii="宋体" w:hAnsi="宋体" w:cs="宋体"/>
          <w:sz w:val="24"/>
          <w:highlight w:val="none"/>
        </w:rPr>
        <w:t>第四章  评标办法及评分标准</w:t>
      </w:r>
      <w:r>
        <w:rPr>
          <w:rFonts w:hint="eastAsia" w:ascii="宋体" w:hAnsi="宋体" w:cs="宋体"/>
          <w:sz w:val="24"/>
          <w:highlight w:val="none"/>
        </w:rPr>
        <w:tab/>
      </w:r>
      <w:r>
        <w:rPr>
          <w:rFonts w:hint="eastAsia" w:ascii="宋体" w:hAnsi="宋体" w:cs="宋体"/>
          <w:sz w:val="24"/>
          <w:highlight w:val="none"/>
        </w:rPr>
        <w:t>21</w:t>
      </w:r>
      <w:r>
        <w:rPr>
          <w:rFonts w:hint="eastAsia" w:ascii="宋体" w:hAnsi="宋体" w:cs="宋体"/>
          <w:sz w:val="24"/>
          <w:highlight w:val="none"/>
        </w:rPr>
        <w:fldChar w:fldCharType="end"/>
      </w:r>
    </w:p>
    <w:p>
      <w:pPr>
        <w:pStyle w:val="38"/>
        <w:tabs>
          <w:tab w:val="right" w:leader="dot" w:pos="8312"/>
        </w:tabs>
        <w:spacing w:line="360" w:lineRule="auto"/>
        <w:rPr>
          <w:rFonts w:ascii="宋体" w:hAnsi="宋体" w:cs="宋体"/>
          <w:sz w:val="24"/>
          <w:highlight w:val="none"/>
        </w:rPr>
      </w:pPr>
      <w:r>
        <w:rPr>
          <w:highlight w:val="none"/>
        </w:rPr>
        <w:fldChar w:fldCharType="begin"/>
      </w:r>
      <w:r>
        <w:rPr>
          <w:highlight w:val="none"/>
        </w:rPr>
        <w:instrText xml:space="preserve"> HYPERLINK \l "_Toc28829" </w:instrText>
      </w:r>
      <w:r>
        <w:rPr>
          <w:highlight w:val="none"/>
        </w:rPr>
        <w:fldChar w:fldCharType="separate"/>
      </w:r>
      <w:r>
        <w:rPr>
          <w:rFonts w:hint="eastAsia" w:ascii="宋体" w:hAnsi="宋体" w:cs="宋体"/>
          <w:sz w:val="24"/>
          <w:highlight w:val="none"/>
        </w:rPr>
        <w:t>第五章  政府采购合同</w:t>
      </w:r>
      <w:r>
        <w:rPr>
          <w:rFonts w:hint="eastAsia" w:ascii="宋体" w:hAnsi="宋体" w:cs="宋体"/>
          <w:sz w:val="24"/>
          <w:highlight w:val="none"/>
        </w:rPr>
        <w:tab/>
      </w:r>
      <w:r>
        <w:rPr>
          <w:rFonts w:hint="eastAsia" w:ascii="宋体" w:hAnsi="宋体" w:cs="宋体"/>
          <w:sz w:val="24"/>
          <w:highlight w:val="none"/>
        </w:rPr>
        <w:t>2</w:t>
      </w:r>
      <w:r>
        <w:rPr>
          <w:rFonts w:hint="eastAsia" w:ascii="宋体" w:hAnsi="宋体" w:cs="宋体"/>
          <w:sz w:val="24"/>
          <w:highlight w:val="none"/>
        </w:rPr>
        <w:fldChar w:fldCharType="end"/>
      </w:r>
      <w:r>
        <w:rPr>
          <w:rFonts w:hint="eastAsia" w:ascii="宋体" w:hAnsi="宋体" w:cs="宋体"/>
          <w:sz w:val="24"/>
          <w:highlight w:val="none"/>
        </w:rPr>
        <w:t>5</w:t>
      </w:r>
    </w:p>
    <w:p>
      <w:pPr>
        <w:pStyle w:val="38"/>
        <w:tabs>
          <w:tab w:val="right" w:leader="dot" w:pos="8312"/>
        </w:tabs>
        <w:spacing w:line="360" w:lineRule="auto"/>
        <w:rPr>
          <w:rFonts w:ascii="宋体" w:hAnsi="宋体" w:cs="宋体"/>
          <w:sz w:val="24"/>
          <w:highlight w:val="none"/>
        </w:rPr>
      </w:pPr>
      <w:r>
        <w:rPr>
          <w:highlight w:val="none"/>
        </w:rPr>
        <w:fldChar w:fldCharType="begin"/>
      </w:r>
      <w:r>
        <w:rPr>
          <w:highlight w:val="none"/>
        </w:rPr>
        <w:instrText xml:space="preserve"> HYPERLINK \l "_Toc5531" </w:instrText>
      </w:r>
      <w:r>
        <w:rPr>
          <w:highlight w:val="none"/>
        </w:rPr>
        <w:fldChar w:fldCharType="separate"/>
      </w:r>
      <w:r>
        <w:rPr>
          <w:rFonts w:hint="eastAsia" w:ascii="宋体" w:hAnsi="宋体" w:cs="宋体"/>
          <w:sz w:val="24"/>
          <w:highlight w:val="none"/>
        </w:rPr>
        <w:t>第六章  投标文件相关格式</w:t>
      </w:r>
      <w:r>
        <w:rPr>
          <w:rFonts w:hint="eastAsia" w:ascii="宋体" w:hAnsi="宋体" w:cs="宋体"/>
          <w:sz w:val="24"/>
          <w:highlight w:val="none"/>
        </w:rPr>
        <w:tab/>
      </w:r>
      <w:r>
        <w:rPr>
          <w:rFonts w:hint="eastAsia" w:ascii="宋体" w:hAnsi="宋体" w:cs="宋体"/>
          <w:sz w:val="24"/>
          <w:highlight w:val="none"/>
        </w:rPr>
        <w:t>3</w:t>
      </w:r>
      <w:r>
        <w:rPr>
          <w:rFonts w:hint="eastAsia" w:ascii="宋体" w:hAnsi="宋体" w:cs="宋体"/>
          <w:sz w:val="24"/>
          <w:highlight w:val="none"/>
        </w:rPr>
        <w:fldChar w:fldCharType="end"/>
      </w:r>
      <w:r>
        <w:rPr>
          <w:rFonts w:hint="eastAsia" w:ascii="宋体" w:hAnsi="宋体" w:cs="宋体"/>
          <w:sz w:val="24"/>
          <w:highlight w:val="none"/>
        </w:rPr>
        <w:t>3</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fldChar w:fldCharType="end"/>
      </w:r>
    </w:p>
    <w:p>
      <w:pPr>
        <w:spacing w:line="360" w:lineRule="auto"/>
        <w:ind w:firstLine="420" w:firstLineChars="200"/>
        <w:jc w:val="left"/>
        <w:rPr>
          <w:rFonts w:ascii="宋体" w:hAnsi="宋体" w:cs="宋体"/>
          <w:szCs w:val="21"/>
          <w:highlight w:val="none"/>
        </w:rPr>
      </w:pPr>
    </w:p>
    <w:p>
      <w:pPr>
        <w:pStyle w:val="79"/>
        <w:rPr>
          <w:rFonts w:ascii="宋体" w:eastAsia="宋体" w:cs="宋体"/>
          <w:b w:val="0"/>
          <w:highlight w:val="none"/>
        </w:rPr>
      </w:pPr>
      <w:bookmarkStart w:id="4" w:name="_Toc493511540"/>
      <w:r>
        <w:rPr>
          <w:rFonts w:hint="eastAsia" w:ascii="宋体" w:eastAsia="宋体" w:cs="宋体"/>
          <w:highlight w:val="none"/>
        </w:rPr>
        <w:br w:type="page"/>
      </w:r>
      <w:bookmarkStart w:id="5" w:name="_Toc3494"/>
      <w:r>
        <w:rPr>
          <w:rStyle w:val="132"/>
          <w:rFonts w:hint="eastAsia" w:ascii="宋体" w:eastAsia="宋体" w:cs="宋体"/>
          <w:b/>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u w:val="single"/>
        </w:rPr>
        <w:t>浙江省嘉兴支队南湖区消防救援大队 2024 年度食堂大宗物品配送采购项目</w:t>
      </w:r>
      <w:r>
        <w:rPr>
          <w:rFonts w:hint="eastAsia" w:ascii="宋体" w:hAnsi="宋体" w:cs="宋体"/>
          <w:kern w:val="0"/>
          <w:szCs w:val="21"/>
          <w:highlight w:val="none"/>
        </w:rPr>
        <w:t>招标项目的潜在投标人应</w:t>
      </w:r>
      <w:r>
        <w:rPr>
          <w:rFonts w:hint="eastAsia" w:ascii="宋体" w:hAnsi="宋体" w:cs="宋体"/>
          <w:kern w:val="0"/>
          <w:szCs w:val="21"/>
          <w:highlight w:val="none"/>
          <w:u w:val="single"/>
        </w:rPr>
        <w:t>在浙江天钫工程管理咨询有限公司（浙江省嘉兴市秀洲区新城街道秀洲大道138号未来科技广场E座902-2室）</w:t>
      </w:r>
      <w:r>
        <w:rPr>
          <w:rFonts w:hint="eastAsia" w:ascii="宋体" w:hAnsi="宋体" w:cs="宋体"/>
          <w:kern w:val="0"/>
          <w:szCs w:val="21"/>
          <w:highlight w:val="none"/>
        </w:rPr>
        <w:t>获取招标文件，并于</w:t>
      </w:r>
      <w:r>
        <w:rPr>
          <w:rFonts w:hint="eastAsia" w:ascii="宋体" w:hAnsi="宋体" w:cs="宋体"/>
          <w:b/>
          <w:bCs/>
          <w:color w:val="FF0000"/>
          <w:kern w:val="0"/>
          <w:szCs w:val="21"/>
          <w:highlight w:val="none"/>
          <w:u w:val="single"/>
        </w:rPr>
        <w:t>2024年</w:t>
      </w:r>
      <w:r>
        <w:rPr>
          <w:rFonts w:hint="eastAsia" w:ascii="宋体" w:hAnsi="宋体" w:cs="宋体"/>
          <w:b/>
          <w:bCs/>
          <w:color w:val="FF0000"/>
          <w:kern w:val="0"/>
          <w:szCs w:val="21"/>
          <w:highlight w:val="none"/>
          <w:u w:val="single"/>
          <w:lang w:val="en-US" w:eastAsia="zh-CN"/>
        </w:rPr>
        <w:t>9</w:t>
      </w:r>
      <w:r>
        <w:rPr>
          <w:rFonts w:hint="eastAsia" w:ascii="宋体" w:hAnsi="宋体" w:cs="宋体"/>
          <w:b/>
          <w:bCs/>
          <w:color w:val="FF0000"/>
          <w:kern w:val="0"/>
          <w:szCs w:val="21"/>
          <w:highlight w:val="none"/>
          <w:u w:val="single"/>
        </w:rPr>
        <w:t>月</w:t>
      </w:r>
      <w:r>
        <w:rPr>
          <w:rFonts w:hint="eastAsia" w:ascii="宋体" w:hAnsi="宋体" w:cs="宋体"/>
          <w:b/>
          <w:bCs/>
          <w:color w:val="FF0000"/>
          <w:kern w:val="0"/>
          <w:szCs w:val="21"/>
          <w:highlight w:val="none"/>
          <w:u w:val="single"/>
          <w:lang w:val="en-US" w:eastAsia="zh-CN"/>
        </w:rPr>
        <w:t>26</w:t>
      </w:r>
      <w:r>
        <w:rPr>
          <w:rFonts w:hint="eastAsia" w:ascii="宋体" w:hAnsi="宋体" w:cs="宋体"/>
          <w:b/>
          <w:bCs/>
          <w:color w:val="FF0000"/>
          <w:kern w:val="0"/>
          <w:szCs w:val="21"/>
          <w:highlight w:val="none"/>
          <w:u w:val="single"/>
        </w:rPr>
        <w:t>日</w:t>
      </w:r>
      <w:r>
        <w:rPr>
          <w:rFonts w:hint="eastAsia" w:ascii="宋体" w:hAnsi="宋体" w:cs="宋体"/>
          <w:b/>
          <w:bCs/>
          <w:color w:val="FF0000"/>
          <w:kern w:val="0"/>
          <w:szCs w:val="21"/>
          <w:highlight w:val="none"/>
          <w:u w:val="single"/>
          <w:lang w:val="en-US" w:eastAsia="zh-CN"/>
        </w:rPr>
        <w:t>09</w:t>
      </w:r>
      <w:r>
        <w:rPr>
          <w:rFonts w:hint="eastAsia" w:ascii="宋体" w:hAnsi="宋体" w:cs="宋体"/>
          <w:b/>
          <w:bCs/>
          <w:color w:val="FF0000"/>
          <w:kern w:val="0"/>
          <w:szCs w:val="21"/>
          <w:highlight w:val="none"/>
          <w:u w:val="single"/>
        </w:rPr>
        <w:t>:30分</w:t>
      </w:r>
      <w:r>
        <w:rPr>
          <w:rFonts w:hint="eastAsia" w:ascii="宋体" w:hAnsi="宋体" w:cs="宋体"/>
          <w:kern w:val="0"/>
          <w:szCs w:val="21"/>
          <w:highlight w:val="none"/>
          <w:u w:val="single"/>
        </w:rPr>
        <w:t>（北京时间）</w:t>
      </w:r>
      <w:r>
        <w:rPr>
          <w:rFonts w:hint="eastAsia" w:ascii="宋体" w:hAnsi="宋体" w:cs="宋体"/>
          <w:kern w:val="0"/>
          <w:szCs w:val="21"/>
          <w:highlight w:val="none"/>
        </w:rPr>
        <w:t>前递交投标文件。</w:t>
      </w:r>
    </w:p>
    <w:p>
      <w:pPr>
        <w:pStyle w:val="42"/>
        <w:spacing w:before="60" w:beforeAutospacing="0" w:after="60" w:afterAutospacing="0" w:line="360" w:lineRule="auto"/>
        <w:ind w:firstLine="630" w:firstLineChars="300"/>
        <w:rPr>
          <w:rFonts w:cs="宋体"/>
          <w:sz w:val="21"/>
          <w:szCs w:val="21"/>
          <w:highlight w:val="none"/>
        </w:rPr>
      </w:pPr>
      <w:r>
        <w:rPr>
          <w:rFonts w:hint="eastAsia" w:cs="宋体"/>
          <w:sz w:val="21"/>
          <w:szCs w:val="21"/>
          <w:highlight w:val="none"/>
        </w:rPr>
        <w:t>根据《中华人民共和国政府采购法》等有关规定，</w:t>
      </w:r>
      <w:r>
        <w:rPr>
          <w:rFonts w:hint="eastAsia" w:cs="宋体"/>
          <w:b/>
          <w:bCs/>
          <w:sz w:val="21"/>
          <w:szCs w:val="21"/>
          <w:highlight w:val="none"/>
          <w:u w:val="single"/>
        </w:rPr>
        <w:t>浙江天钫工程管理咨询有限公司</w:t>
      </w:r>
      <w:r>
        <w:rPr>
          <w:rFonts w:hint="eastAsia" w:cs="宋体"/>
          <w:sz w:val="21"/>
          <w:szCs w:val="21"/>
          <w:highlight w:val="none"/>
        </w:rPr>
        <w:t>受</w:t>
      </w:r>
      <w:r>
        <w:rPr>
          <w:rFonts w:hint="eastAsia" w:cs="宋体"/>
          <w:b/>
          <w:bCs/>
          <w:sz w:val="21"/>
          <w:szCs w:val="21"/>
          <w:highlight w:val="none"/>
          <w:u w:val="single"/>
        </w:rPr>
        <w:t>嘉兴市南湖区消防救援大队</w:t>
      </w:r>
      <w:r>
        <w:rPr>
          <w:rFonts w:hint="eastAsia" w:cs="宋体"/>
          <w:sz w:val="21"/>
          <w:szCs w:val="21"/>
          <w:highlight w:val="none"/>
        </w:rPr>
        <w:t>委托，就</w:t>
      </w:r>
      <w:r>
        <w:rPr>
          <w:rFonts w:hint="eastAsia" w:cs="宋体"/>
          <w:b/>
          <w:bCs/>
          <w:sz w:val="21"/>
          <w:szCs w:val="21"/>
          <w:highlight w:val="none"/>
          <w:u w:val="single"/>
        </w:rPr>
        <w:t>浙江省嘉兴支队南湖区消防救援大队 2024 年度食堂大宗物品配送采购项目</w:t>
      </w:r>
      <w:r>
        <w:rPr>
          <w:rFonts w:hint="eastAsia" w:cs="宋体"/>
          <w:sz w:val="21"/>
          <w:szCs w:val="21"/>
          <w:highlight w:val="none"/>
        </w:rPr>
        <w:t>进行公开招标，欢迎国内合格的供应商前来投标。</w:t>
      </w:r>
    </w:p>
    <w:p>
      <w:pPr>
        <w:pStyle w:val="42"/>
        <w:numPr>
          <w:ilvl w:val="0"/>
          <w:numId w:val="1"/>
        </w:numPr>
        <w:spacing w:before="204" w:beforeAutospacing="0" w:after="204" w:afterAutospacing="0" w:line="360" w:lineRule="auto"/>
        <w:jc w:val="both"/>
        <w:rPr>
          <w:rStyle w:val="51"/>
          <w:rFonts w:cs="宋体"/>
          <w:sz w:val="21"/>
          <w:szCs w:val="21"/>
          <w:highlight w:val="none"/>
        </w:rPr>
      </w:pPr>
      <w:r>
        <w:rPr>
          <w:rStyle w:val="51"/>
          <w:rFonts w:hint="eastAsia" w:cs="宋体"/>
          <w:sz w:val="21"/>
          <w:szCs w:val="21"/>
          <w:highlight w:val="none"/>
        </w:rPr>
        <w:t>项目基本情况</w:t>
      </w:r>
    </w:p>
    <w:p>
      <w:pPr>
        <w:pStyle w:val="42"/>
        <w:snapToGrid w:val="0"/>
        <w:spacing w:before="204" w:beforeAutospacing="0" w:after="204" w:afterAutospacing="0" w:line="360" w:lineRule="auto"/>
        <w:contextualSpacing/>
        <w:jc w:val="both"/>
        <w:rPr>
          <w:rFonts w:cs="宋体"/>
          <w:sz w:val="21"/>
          <w:szCs w:val="21"/>
          <w:highlight w:val="none"/>
        </w:rPr>
      </w:pPr>
      <w:r>
        <w:rPr>
          <w:rFonts w:hint="eastAsia" w:cs="宋体"/>
          <w:sz w:val="21"/>
          <w:szCs w:val="21"/>
          <w:highlight w:val="none"/>
        </w:rPr>
        <w:t>项目编号：嘉消采-GK2024008</w:t>
      </w:r>
    </w:p>
    <w:p>
      <w:pPr>
        <w:pStyle w:val="42"/>
        <w:snapToGrid w:val="0"/>
        <w:spacing w:before="204" w:beforeAutospacing="0" w:after="204" w:afterAutospacing="0" w:line="360" w:lineRule="auto"/>
        <w:contextualSpacing/>
        <w:jc w:val="both"/>
        <w:rPr>
          <w:rFonts w:cs="宋体"/>
          <w:sz w:val="21"/>
          <w:szCs w:val="21"/>
          <w:highlight w:val="none"/>
        </w:rPr>
      </w:pPr>
      <w:r>
        <w:rPr>
          <w:rFonts w:hint="eastAsia" w:cs="宋体"/>
          <w:sz w:val="21"/>
          <w:szCs w:val="21"/>
          <w:highlight w:val="none"/>
        </w:rPr>
        <w:t>项目名称：浙江省嘉兴支队南湖区消防救援大队 2024 年度食堂大宗物品配送采购项目</w:t>
      </w:r>
    </w:p>
    <w:p>
      <w:pPr>
        <w:pStyle w:val="42"/>
        <w:snapToGrid w:val="0"/>
        <w:spacing w:before="204" w:beforeAutospacing="0" w:after="204" w:afterAutospacing="0" w:line="360" w:lineRule="auto"/>
        <w:contextualSpacing/>
        <w:jc w:val="both"/>
        <w:rPr>
          <w:rFonts w:cs="宋体"/>
          <w:sz w:val="21"/>
          <w:szCs w:val="21"/>
          <w:highlight w:val="none"/>
        </w:rPr>
      </w:pPr>
      <w:r>
        <w:rPr>
          <w:rFonts w:hint="eastAsia" w:cs="宋体"/>
          <w:sz w:val="21"/>
          <w:szCs w:val="21"/>
          <w:highlight w:val="none"/>
        </w:rPr>
        <w:t>预算金额（万元）：220.1</w:t>
      </w:r>
    </w:p>
    <w:p>
      <w:pPr>
        <w:pStyle w:val="42"/>
        <w:snapToGrid w:val="0"/>
        <w:spacing w:before="204" w:beforeAutospacing="0" w:after="204" w:afterAutospacing="0" w:line="360" w:lineRule="auto"/>
        <w:contextualSpacing/>
        <w:jc w:val="both"/>
        <w:rPr>
          <w:rFonts w:cs="宋体"/>
          <w:sz w:val="21"/>
          <w:szCs w:val="21"/>
          <w:highlight w:val="none"/>
        </w:rPr>
      </w:pPr>
      <w:r>
        <w:rPr>
          <w:rFonts w:hint="eastAsia" w:cs="宋体"/>
          <w:sz w:val="21"/>
          <w:szCs w:val="21"/>
          <w:highlight w:val="none"/>
        </w:rPr>
        <w:t>最高限价（折扣率）：100%</w:t>
      </w:r>
    </w:p>
    <w:p>
      <w:pPr>
        <w:pStyle w:val="42"/>
        <w:snapToGrid w:val="0"/>
        <w:spacing w:before="204" w:beforeAutospacing="0" w:after="204" w:afterAutospacing="0" w:line="360" w:lineRule="auto"/>
        <w:contextualSpacing/>
        <w:jc w:val="both"/>
        <w:rPr>
          <w:rFonts w:cs="宋体"/>
          <w:sz w:val="21"/>
          <w:szCs w:val="21"/>
          <w:highlight w:val="none"/>
        </w:rPr>
      </w:pPr>
      <w:r>
        <w:rPr>
          <w:rFonts w:hint="eastAsia" w:cs="宋体"/>
          <w:sz w:val="21"/>
          <w:szCs w:val="21"/>
          <w:highlight w:val="none"/>
        </w:rPr>
        <w:t>采购需求：提供全年的食堂大宗物品采购配送服务，详见采购需求。</w:t>
      </w:r>
    </w:p>
    <w:p>
      <w:pPr>
        <w:pStyle w:val="42"/>
        <w:snapToGrid w:val="0"/>
        <w:spacing w:before="204" w:beforeAutospacing="0" w:after="204" w:afterAutospacing="0" w:line="360" w:lineRule="auto"/>
        <w:contextualSpacing/>
        <w:jc w:val="both"/>
        <w:rPr>
          <w:rFonts w:cs="宋体"/>
          <w:sz w:val="21"/>
          <w:szCs w:val="21"/>
          <w:highlight w:val="none"/>
        </w:rPr>
      </w:pPr>
      <w:r>
        <w:rPr>
          <w:rFonts w:hint="eastAsia" w:cs="宋体"/>
          <w:sz w:val="21"/>
          <w:szCs w:val="21"/>
          <w:highlight w:val="none"/>
        </w:rPr>
        <w:t>合同履约期限：合同签订后壹年或配送金额达到预算金额（以先到为准）。</w:t>
      </w:r>
    </w:p>
    <w:p>
      <w:pPr>
        <w:pStyle w:val="42"/>
        <w:snapToGrid w:val="0"/>
        <w:spacing w:before="204" w:beforeAutospacing="0" w:after="204" w:afterAutospacing="0" w:line="360" w:lineRule="auto"/>
        <w:contextualSpacing/>
        <w:jc w:val="both"/>
        <w:rPr>
          <w:rFonts w:cs="宋体"/>
          <w:sz w:val="21"/>
          <w:szCs w:val="21"/>
          <w:highlight w:val="none"/>
        </w:rPr>
      </w:pPr>
      <w:r>
        <w:rPr>
          <w:rFonts w:hint="eastAsia" w:cs="宋体"/>
          <w:sz w:val="21"/>
          <w:szCs w:val="21"/>
          <w:highlight w:val="none"/>
        </w:rPr>
        <w:t>本项目不接受联合体投标。</w:t>
      </w:r>
    </w:p>
    <w:p>
      <w:pPr>
        <w:pStyle w:val="42"/>
        <w:spacing w:before="180" w:beforeAutospacing="0" w:after="180" w:afterAutospacing="0" w:line="360" w:lineRule="auto"/>
        <w:rPr>
          <w:rFonts w:cs="宋体"/>
          <w:sz w:val="21"/>
          <w:szCs w:val="21"/>
          <w:highlight w:val="none"/>
        </w:rPr>
      </w:pPr>
      <w:r>
        <w:rPr>
          <w:rStyle w:val="51"/>
          <w:rFonts w:hint="eastAsia" w:cs="宋体"/>
          <w:sz w:val="21"/>
          <w:szCs w:val="21"/>
          <w:highlight w:val="none"/>
        </w:rPr>
        <w:t>二、申请人的资格要求：</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2.落实政府采购政策需满足的资格要求：</w:t>
      </w:r>
    </w:p>
    <w:p>
      <w:pPr>
        <w:spacing w:line="360" w:lineRule="auto"/>
        <w:ind w:firstLine="218" w:firstLineChars="91"/>
        <w:rPr>
          <w:rFonts w:ascii="宋体" w:hAnsi="宋体" w:cs="宋体"/>
          <w:kern w:val="0"/>
          <w:szCs w:val="21"/>
          <w:highlight w:val="none"/>
        </w:rPr>
      </w:pPr>
      <w:sdt>
        <w:sdtPr>
          <w:rPr>
            <w:rFonts w:hint="eastAsia" w:ascii="宋体" w:hAnsi="宋体" w:cs="宋体"/>
            <w:kern w:val="0"/>
            <w:sz w:val="24"/>
            <w:highlight w:val="none"/>
          </w:rPr>
          <w:id w:val="1928616923"/>
        </w:sdtPr>
        <w:sdtEndPr>
          <w:rPr>
            <w:rFonts w:hint="eastAsia" w:ascii="宋体" w:hAnsi="宋体" w:cs="宋体"/>
            <w:kern w:val="0"/>
            <w:sz w:val="21"/>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无（注：不得限制大中型企业与小微企业组成联合体参与投标）；</w:t>
      </w:r>
    </w:p>
    <w:p>
      <w:pPr>
        <w:spacing w:line="360" w:lineRule="auto"/>
        <w:ind w:firstLine="191" w:firstLineChars="91"/>
        <w:rPr>
          <w:rFonts w:ascii="宋体" w:hAnsi="宋体" w:cs="宋体"/>
          <w:kern w:val="0"/>
          <w:szCs w:val="21"/>
          <w:highlight w:val="none"/>
        </w:rPr>
      </w:pPr>
      <w:r>
        <w:rPr>
          <w:rFonts w:hint="eastAsia" w:ascii="宋体" w:hAnsi="宋体" w:cs="宋体"/>
          <w:kern w:val="0"/>
          <w:szCs w:val="21"/>
          <w:highlight w:val="none"/>
        </w:rPr>
        <w:sym w:font="Wingdings" w:char="00FE"/>
      </w:r>
      <w:r>
        <w:rPr>
          <w:rFonts w:hint="eastAsia" w:ascii="宋体" w:hAnsi="宋体" w:cs="宋体"/>
          <w:kern w:val="0"/>
          <w:szCs w:val="21"/>
          <w:highlight w:val="none"/>
        </w:rPr>
        <w:t>专门面向中小企业</w:t>
      </w:r>
    </w:p>
    <w:p>
      <w:pPr>
        <w:spacing w:line="360" w:lineRule="auto"/>
        <w:ind w:firstLine="191" w:firstLineChars="91"/>
        <w:rPr>
          <w:rFonts w:ascii="宋体" w:hAnsi="宋体" w:cs="宋体"/>
          <w:kern w:val="0"/>
          <w:szCs w:val="21"/>
          <w:highlight w:val="none"/>
        </w:rPr>
      </w:pPr>
      <w:sdt>
        <w:sdtPr>
          <w:rPr>
            <w:rFonts w:hint="eastAsia" w:ascii="宋体" w:hAnsi="宋体" w:cs="宋体"/>
            <w:kern w:val="0"/>
            <w:szCs w:val="21"/>
            <w:highlight w:val="none"/>
          </w:rPr>
          <w:id w:val="-924730588"/>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FE"/>
          </w:r>
        </w:sdtContent>
      </w:sdt>
      <w:r>
        <w:rPr>
          <w:rFonts w:hint="eastAsia" w:ascii="宋体" w:hAnsi="宋体" w:cs="宋体"/>
          <w:kern w:val="0"/>
          <w:szCs w:val="21"/>
          <w:highlight w:val="none"/>
        </w:rPr>
        <w:t>服务全部由符合政策要求的中小企业提供，提供中小企业声明函；</w:t>
      </w:r>
    </w:p>
    <w:p>
      <w:pPr>
        <w:spacing w:line="360" w:lineRule="auto"/>
        <w:ind w:firstLine="191" w:firstLineChars="91"/>
        <w:rPr>
          <w:rFonts w:ascii="宋体" w:hAnsi="宋体" w:cs="宋体"/>
          <w:kern w:val="0"/>
          <w:szCs w:val="21"/>
          <w:highlight w:val="none"/>
        </w:rPr>
      </w:pPr>
      <w:sdt>
        <w:sdtPr>
          <w:rPr>
            <w:rFonts w:hint="eastAsia" w:ascii="宋体" w:hAnsi="宋体" w:cs="宋体"/>
            <w:kern w:val="0"/>
            <w:szCs w:val="21"/>
            <w:highlight w:val="none"/>
          </w:rPr>
          <w:id w:val="-1152604937"/>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服务全部由符合政策要求的小微企业提供，提供中小企业声明函；</w:t>
      </w:r>
    </w:p>
    <w:p>
      <w:pPr>
        <w:spacing w:line="360" w:lineRule="auto"/>
        <w:ind w:firstLine="191" w:firstLineChars="91"/>
        <w:rPr>
          <w:rFonts w:ascii="宋体" w:hAnsi="宋体" w:cs="宋体"/>
          <w:kern w:val="0"/>
          <w:szCs w:val="21"/>
          <w:highlight w:val="none"/>
        </w:rPr>
      </w:pPr>
      <w:sdt>
        <w:sdtPr>
          <w:rPr>
            <w:rFonts w:hint="eastAsia" w:ascii="宋体" w:hAnsi="宋体" w:cs="宋体"/>
            <w:kern w:val="0"/>
            <w:szCs w:val="21"/>
            <w:highlight w:val="none"/>
          </w:rPr>
          <w:id w:val="-1985607795"/>
        </w:sdtPr>
        <w:sdtEndPr>
          <w:rPr>
            <w:rFonts w:hint="eastAsia" w:ascii="宋体" w:hAnsi="宋体" w:cs="宋体"/>
            <w:kern w:val="0"/>
            <w:szCs w:val="21"/>
            <w:highlight w:val="none"/>
          </w:rPr>
        </w:sdtEndPr>
        <w:sdtContent>
          <w:r>
            <w:rPr>
              <w:rFonts w:hint="eastAsia" w:ascii="宋体" w:hAnsi="宋体" w:cs="宋体"/>
              <w:kern w:val="0"/>
              <w:szCs w:val="21"/>
              <w:highlight w:val="none"/>
            </w:rPr>
            <w:t xml:space="preserve">   ☐</w:t>
          </w:r>
        </w:sdtContent>
      </w:sdt>
      <w:r>
        <w:rPr>
          <w:rFonts w:hint="eastAsia" w:ascii="宋体" w:hAnsi="宋体" w:cs="宋体"/>
          <w:kern w:val="0"/>
          <w:szCs w:val="21"/>
          <w:highlight w:val="none"/>
        </w:rPr>
        <w:t>要求以联合体形式参加，提供联合协议和中小企业声明函，联合协议中中小企业合同金额应当达到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%，其中小微企业合同金额应当达到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sdt>
        <w:sdtPr>
          <w:rPr>
            <w:rFonts w:hint="eastAsia" w:ascii="宋体" w:hAnsi="宋体" w:cs="宋体"/>
            <w:kern w:val="0"/>
            <w:szCs w:val="21"/>
            <w:highlight w:val="none"/>
          </w:rPr>
          <w:id w:val="34630645"/>
        </w:sdtPr>
        <w:sdtEndPr>
          <w:rPr>
            <w:rFonts w:hint="eastAsia" w:ascii="宋体" w:hAnsi="宋体" w:cs="宋体"/>
            <w:kern w:val="0"/>
            <w:szCs w:val="21"/>
            <w:highlight w:val="none"/>
          </w:rPr>
        </w:sdtEndPr>
        <w:sdtContent>
          <w:r>
            <w:rPr>
              <w:rFonts w:hint="eastAsia" w:ascii="宋体" w:hAnsi="宋体" w:cs="宋体"/>
              <w:kern w:val="0"/>
              <w:szCs w:val="21"/>
              <w:highlight w:val="none"/>
            </w:rPr>
            <w:t xml:space="preserve">    ☐</w:t>
          </w:r>
        </w:sdtContent>
      </w:sdt>
      <w:r>
        <w:rPr>
          <w:rFonts w:hint="eastAsia" w:ascii="宋体" w:hAnsi="宋体" w:cs="宋体"/>
          <w:kern w:val="0"/>
          <w:szCs w:val="21"/>
          <w:highlight w:val="none"/>
        </w:rPr>
        <w:t>要求合同分包，提供分包意向协议和中小企业声明函，分包意向协议中中小企业合同金额应当达到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，其中小微企业合同金额应当达到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%；如果供应商本身提供所有标的均由中小企业制造、承建或承接，并相应达到了前述比例要求，视同符合了资格条件，无需再向中小企业分包，无需提供分包意向协议；</w:t>
      </w:r>
    </w:p>
    <w:p>
      <w:pPr>
        <w:pStyle w:val="42"/>
        <w:spacing w:before="60" w:beforeAutospacing="0" w:after="60" w:afterAutospacing="0" w:line="360" w:lineRule="auto"/>
        <w:ind w:firstLine="630"/>
        <w:rPr>
          <w:rFonts w:eastAsia="仿宋_GB2312" w:cs="宋体"/>
          <w:sz w:val="21"/>
          <w:szCs w:val="21"/>
          <w:highlight w:val="none"/>
        </w:rPr>
      </w:pPr>
      <w:r>
        <w:rPr>
          <w:rFonts w:hint="eastAsia" w:cs="宋体"/>
          <w:sz w:val="21"/>
          <w:szCs w:val="21"/>
          <w:highlight w:val="none"/>
        </w:rPr>
        <w:t>3.本项目的特定资格要求：具有有效的食品经营许可证。该特定资格条件的依据为《食品经营许可和备案管理办法》。</w:t>
      </w:r>
    </w:p>
    <w:p>
      <w:pPr>
        <w:pStyle w:val="42"/>
        <w:spacing w:before="204" w:beforeAutospacing="0" w:after="204" w:afterAutospacing="0" w:line="360" w:lineRule="auto"/>
        <w:jc w:val="both"/>
        <w:rPr>
          <w:rFonts w:cs="宋体"/>
          <w:sz w:val="21"/>
          <w:szCs w:val="21"/>
          <w:highlight w:val="none"/>
        </w:rPr>
      </w:pPr>
      <w:r>
        <w:rPr>
          <w:rStyle w:val="51"/>
          <w:rFonts w:hint="eastAsia" w:cs="宋体"/>
          <w:sz w:val="21"/>
          <w:szCs w:val="21"/>
          <w:highlight w:val="none"/>
        </w:rPr>
        <w:t>三、获取招标文件方式</w:t>
      </w:r>
    </w:p>
    <w:p>
      <w:pPr>
        <w:pStyle w:val="42"/>
        <w:spacing w:before="0" w:beforeAutospacing="0" w:after="0" w:afterAutospacing="0" w:line="360" w:lineRule="auto"/>
        <w:rPr>
          <w:rFonts w:cs="宋体"/>
          <w:sz w:val="21"/>
          <w:szCs w:val="21"/>
          <w:highlight w:val="none"/>
        </w:rPr>
      </w:pPr>
      <w:r>
        <w:rPr>
          <w:rFonts w:hint="eastAsia" w:cs="宋体"/>
          <w:sz w:val="21"/>
          <w:szCs w:val="21"/>
          <w:highlight w:val="none"/>
        </w:rPr>
        <w:t xml:space="preserve">  1.时间：</w:t>
      </w:r>
      <w:r>
        <w:rPr>
          <w:rFonts w:hint="eastAsia" w:cs="宋体"/>
          <w:b/>
          <w:bCs/>
          <w:color w:val="FF0000"/>
          <w:sz w:val="21"/>
          <w:szCs w:val="21"/>
          <w:highlight w:val="none"/>
        </w:rPr>
        <w:t>2024年</w:t>
      </w:r>
      <w:r>
        <w:rPr>
          <w:rFonts w:hint="eastAsia" w:cs="宋体"/>
          <w:b/>
          <w:bCs/>
          <w:color w:val="FF0000"/>
          <w:sz w:val="21"/>
          <w:szCs w:val="21"/>
          <w:highlight w:val="none"/>
          <w:lang w:val="en-US" w:eastAsia="zh-CN"/>
        </w:rPr>
        <w:t>9</w:t>
      </w:r>
      <w:r>
        <w:rPr>
          <w:rFonts w:hint="eastAsia" w:cs="宋体"/>
          <w:b/>
          <w:bCs/>
          <w:color w:val="FF0000"/>
          <w:sz w:val="21"/>
          <w:szCs w:val="21"/>
          <w:highlight w:val="none"/>
        </w:rPr>
        <w:t>月</w:t>
      </w:r>
      <w:r>
        <w:rPr>
          <w:rFonts w:hint="eastAsia" w:cs="宋体"/>
          <w:b/>
          <w:bCs/>
          <w:color w:val="FF0000"/>
          <w:sz w:val="21"/>
          <w:szCs w:val="21"/>
          <w:highlight w:val="none"/>
          <w:lang w:val="en-US" w:eastAsia="zh-CN"/>
        </w:rPr>
        <w:t>6</w:t>
      </w:r>
      <w:r>
        <w:rPr>
          <w:rFonts w:hint="eastAsia" w:cs="宋体"/>
          <w:b/>
          <w:bCs/>
          <w:color w:val="FF0000"/>
          <w:sz w:val="21"/>
          <w:szCs w:val="21"/>
          <w:highlight w:val="none"/>
        </w:rPr>
        <w:t>日至2024年</w:t>
      </w:r>
      <w:r>
        <w:rPr>
          <w:rFonts w:hint="eastAsia" w:cs="宋体"/>
          <w:b/>
          <w:bCs/>
          <w:color w:val="FF0000"/>
          <w:sz w:val="21"/>
          <w:szCs w:val="21"/>
          <w:highlight w:val="none"/>
          <w:lang w:val="en-US" w:eastAsia="zh-CN"/>
        </w:rPr>
        <w:t>9</w:t>
      </w:r>
      <w:r>
        <w:rPr>
          <w:rFonts w:hint="eastAsia" w:cs="宋体"/>
          <w:b/>
          <w:bCs/>
          <w:color w:val="FF0000"/>
          <w:sz w:val="21"/>
          <w:szCs w:val="21"/>
          <w:highlight w:val="none"/>
        </w:rPr>
        <w:t>月</w:t>
      </w:r>
      <w:r>
        <w:rPr>
          <w:rFonts w:hint="eastAsia" w:cs="宋体"/>
          <w:b/>
          <w:bCs/>
          <w:color w:val="FF0000"/>
          <w:sz w:val="21"/>
          <w:szCs w:val="21"/>
          <w:highlight w:val="none"/>
          <w:lang w:val="en-US" w:eastAsia="zh-CN"/>
        </w:rPr>
        <w:t>25</w:t>
      </w:r>
      <w:r>
        <w:rPr>
          <w:rFonts w:hint="eastAsia" w:cs="宋体"/>
          <w:b/>
          <w:bCs/>
          <w:color w:val="FF0000"/>
          <w:sz w:val="21"/>
          <w:szCs w:val="21"/>
          <w:highlight w:val="none"/>
        </w:rPr>
        <w:t>日</w:t>
      </w:r>
      <w:r>
        <w:rPr>
          <w:rFonts w:hint="eastAsia" w:cs="宋体"/>
          <w:sz w:val="21"/>
          <w:szCs w:val="21"/>
          <w:highlight w:val="none"/>
        </w:rPr>
        <w:t>，每天09：00—17：00（北京时间，法定节假日除外）</w:t>
      </w:r>
    </w:p>
    <w:p>
      <w:pPr>
        <w:pStyle w:val="42"/>
        <w:spacing w:before="0" w:beforeAutospacing="0" w:after="0" w:afterAutospacing="0" w:line="360" w:lineRule="auto"/>
        <w:ind w:firstLine="210" w:firstLineChars="100"/>
        <w:rPr>
          <w:rFonts w:cs="宋体"/>
          <w:sz w:val="21"/>
          <w:szCs w:val="21"/>
          <w:highlight w:val="none"/>
        </w:rPr>
      </w:pPr>
      <w:r>
        <w:rPr>
          <w:rFonts w:hint="eastAsia" w:cs="宋体"/>
          <w:sz w:val="21"/>
          <w:szCs w:val="21"/>
          <w:highlight w:val="none"/>
        </w:rPr>
        <w:t>2.获取地点：浙江天钫工程管理咨询有限公司（浙江省嘉兴市秀洲区新城街道秀洲大道138号未来科技广场E座902-2室）</w:t>
      </w:r>
    </w:p>
    <w:p>
      <w:pPr>
        <w:pStyle w:val="42"/>
        <w:spacing w:before="204" w:beforeAutospacing="0" w:after="204" w:afterAutospacing="0" w:line="360" w:lineRule="auto"/>
        <w:jc w:val="both"/>
        <w:rPr>
          <w:rFonts w:hint="eastAsia"/>
          <w:sz w:val="21"/>
          <w:szCs w:val="21"/>
          <w:highlight w:val="none"/>
        </w:rPr>
      </w:pPr>
      <w:r>
        <w:rPr>
          <w:rFonts w:hint="eastAsia" w:cs="宋体"/>
          <w:b/>
          <w:bCs/>
          <w:sz w:val="21"/>
          <w:szCs w:val="21"/>
          <w:highlight w:val="none"/>
        </w:rPr>
        <w:t>3.方式：</w:t>
      </w:r>
      <w:r>
        <w:rPr>
          <w:rFonts w:hint="eastAsia"/>
          <w:sz w:val="21"/>
          <w:szCs w:val="21"/>
          <w:highlight w:val="none"/>
        </w:rPr>
        <w:t>本项目采用网上申领采购文件（将申领采购文件资料盖章扫描后发送至409950160@qq.com，发送申领采购文件资料后请致电0573-82270515确认）。申领时提供以下资料：（1）法人营业执照副本复印件；（</w:t>
      </w:r>
      <w:r>
        <w:rPr>
          <w:sz w:val="21"/>
          <w:szCs w:val="21"/>
          <w:highlight w:val="none"/>
        </w:rPr>
        <w:t>2</w:t>
      </w:r>
      <w:r>
        <w:rPr>
          <w:rFonts w:hint="eastAsia"/>
          <w:sz w:val="21"/>
          <w:szCs w:val="21"/>
          <w:highlight w:val="none"/>
        </w:rPr>
        <w:t>）法人代表身份证复印件及授权书（若为法人报名</w:t>
      </w:r>
      <w:bookmarkStart w:id="322" w:name="_GoBack"/>
      <w:bookmarkEnd w:id="322"/>
      <w:r>
        <w:rPr>
          <w:rFonts w:hint="eastAsia"/>
          <w:sz w:val="21"/>
          <w:szCs w:val="21"/>
          <w:highlight w:val="none"/>
        </w:rPr>
        <w:t>的则无需提供）；（3）工本费汇款底单 ；（4）其他资质证明材料（如需）</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cs="宋体"/>
          <w:b w:val="0"/>
          <w:bCs w:val="0"/>
          <w:sz w:val="21"/>
          <w:szCs w:val="21"/>
          <w:highlight w:val="none"/>
        </w:rPr>
      </w:pPr>
      <w:r>
        <w:rPr>
          <w:rFonts w:hint="eastAsia" w:cs="宋体"/>
          <w:b w:val="0"/>
          <w:bCs w:val="0"/>
          <w:sz w:val="21"/>
          <w:szCs w:val="21"/>
          <w:highlight w:val="none"/>
        </w:rPr>
        <w:t>4.售价（元）：500元/份，请投标单位将此费用转账到以下账户：</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cs="宋体"/>
          <w:b w:val="0"/>
          <w:bCs w:val="0"/>
          <w:sz w:val="21"/>
          <w:szCs w:val="21"/>
          <w:highlight w:val="none"/>
        </w:rPr>
      </w:pPr>
      <w:r>
        <w:rPr>
          <w:rFonts w:hint="eastAsia" w:cs="宋体"/>
          <w:b w:val="0"/>
          <w:bCs w:val="0"/>
          <w:sz w:val="21"/>
          <w:szCs w:val="21"/>
          <w:highlight w:val="none"/>
        </w:rPr>
        <w:t>开户名称：浙江天钫工程管理咨询有限公司嘉兴分公司</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cs="宋体"/>
          <w:b w:val="0"/>
          <w:bCs w:val="0"/>
          <w:sz w:val="21"/>
          <w:szCs w:val="21"/>
          <w:highlight w:val="none"/>
        </w:rPr>
      </w:pPr>
      <w:r>
        <w:rPr>
          <w:rFonts w:hint="eastAsia" w:cs="宋体"/>
          <w:b w:val="0"/>
          <w:bCs w:val="0"/>
          <w:sz w:val="21"/>
          <w:szCs w:val="21"/>
          <w:highlight w:val="none"/>
        </w:rPr>
        <w:t>开户银行：中国农业银行嘉兴秀洲新区支行</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cs="宋体"/>
          <w:b w:val="0"/>
          <w:bCs w:val="0"/>
          <w:sz w:val="21"/>
          <w:szCs w:val="21"/>
          <w:highlight w:val="none"/>
        </w:rPr>
      </w:pPr>
      <w:r>
        <w:rPr>
          <w:rFonts w:hint="eastAsia" w:cs="宋体"/>
          <w:b w:val="0"/>
          <w:bCs w:val="0"/>
          <w:sz w:val="21"/>
          <w:szCs w:val="21"/>
          <w:highlight w:val="none"/>
        </w:rPr>
        <w:t>账号：19320401040017405</w:t>
      </w:r>
    </w:p>
    <w:p>
      <w:pPr>
        <w:pStyle w:val="42"/>
        <w:spacing w:before="204" w:beforeAutospacing="0" w:after="204" w:afterAutospacing="0" w:line="360" w:lineRule="auto"/>
        <w:jc w:val="both"/>
        <w:rPr>
          <w:rFonts w:cs="宋体"/>
          <w:sz w:val="21"/>
          <w:szCs w:val="21"/>
          <w:highlight w:val="none"/>
        </w:rPr>
      </w:pPr>
      <w:r>
        <w:rPr>
          <w:rStyle w:val="51"/>
          <w:rFonts w:hint="eastAsia" w:cs="宋体"/>
          <w:sz w:val="21"/>
          <w:szCs w:val="21"/>
          <w:highlight w:val="none"/>
        </w:rPr>
        <w:t>四、提交投标文件截止时间、开标时间和地点</w:t>
      </w:r>
    </w:p>
    <w:p>
      <w:pPr>
        <w:pStyle w:val="42"/>
        <w:spacing w:before="60" w:beforeAutospacing="0" w:after="60" w:afterAutospacing="0" w:line="360" w:lineRule="auto"/>
        <w:ind w:firstLine="210" w:firstLineChars="100"/>
        <w:rPr>
          <w:rFonts w:cs="宋体"/>
          <w:sz w:val="21"/>
          <w:szCs w:val="21"/>
          <w:highlight w:val="none"/>
        </w:rPr>
      </w:pPr>
      <w:r>
        <w:rPr>
          <w:rFonts w:hint="eastAsia" w:cs="宋体"/>
          <w:sz w:val="21"/>
          <w:szCs w:val="21"/>
          <w:highlight w:val="none"/>
        </w:rPr>
        <w:t>1.提交投标文件截止时间及地点：投标人应于</w:t>
      </w:r>
      <w:r>
        <w:rPr>
          <w:rFonts w:hint="eastAsia" w:cs="宋体"/>
          <w:b/>
          <w:bCs/>
          <w:color w:val="FF0000"/>
          <w:sz w:val="21"/>
          <w:szCs w:val="21"/>
          <w:highlight w:val="none"/>
        </w:rPr>
        <w:t>2024年</w:t>
      </w:r>
      <w:r>
        <w:rPr>
          <w:rFonts w:hint="eastAsia" w:cs="宋体"/>
          <w:b/>
          <w:bCs/>
          <w:color w:val="FF0000"/>
          <w:sz w:val="21"/>
          <w:szCs w:val="21"/>
          <w:highlight w:val="none"/>
          <w:lang w:val="en-US" w:eastAsia="zh-CN"/>
        </w:rPr>
        <w:t>9</w:t>
      </w:r>
      <w:r>
        <w:rPr>
          <w:rFonts w:hint="eastAsia" w:cs="宋体"/>
          <w:b/>
          <w:bCs/>
          <w:color w:val="FF0000"/>
          <w:sz w:val="21"/>
          <w:szCs w:val="21"/>
          <w:highlight w:val="none"/>
        </w:rPr>
        <w:t>月</w:t>
      </w:r>
      <w:r>
        <w:rPr>
          <w:rFonts w:hint="eastAsia" w:cs="宋体"/>
          <w:b/>
          <w:bCs/>
          <w:color w:val="FF0000"/>
          <w:sz w:val="21"/>
          <w:szCs w:val="21"/>
          <w:highlight w:val="none"/>
          <w:lang w:val="en-US" w:eastAsia="zh-CN"/>
        </w:rPr>
        <w:t>26</w:t>
      </w:r>
      <w:r>
        <w:rPr>
          <w:rFonts w:hint="eastAsia" w:cs="宋体"/>
          <w:b/>
          <w:bCs/>
          <w:color w:val="FF0000"/>
          <w:sz w:val="21"/>
          <w:szCs w:val="21"/>
          <w:highlight w:val="none"/>
        </w:rPr>
        <w:t>日</w:t>
      </w:r>
      <w:r>
        <w:rPr>
          <w:rFonts w:hint="eastAsia" w:cs="宋体"/>
          <w:b/>
          <w:bCs/>
          <w:color w:val="FF0000"/>
          <w:sz w:val="21"/>
          <w:szCs w:val="21"/>
          <w:highlight w:val="none"/>
          <w:lang w:val="en-US" w:eastAsia="zh-CN"/>
        </w:rPr>
        <w:t>09</w:t>
      </w:r>
      <w:r>
        <w:rPr>
          <w:rFonts w:hint="eastAsia" w:cs="宋体"/>
          <w:b/>
          <w:bCs/>
          <w:color w:val="FF0000"/>
          <w:sz w:val="21"/>
          <w:szCs w:val="21"/>
          <w:highlight w:val="none"/>
        </w:rPr>
        <w:t>:</w:t>
      </w:r>
      <w:r>
        <w:rPr>
          <w:rFonts w:hint="eastAsia" w:cs="宋体"/>
          <w:b/>
          <w:bCs/>
          <w:color w:val="FF0000"/>
          <w:sz w:val="21"/>
          <w:szCs w:val="21"/>
          <w:highlight w:val="none"/>
          <w:lang w:val="en-US" w:eastAsia="zh-CN"/>
        </w:rPr>
        <w:t>3</w:t>
      </w:r>
      <w:r>
        <w:rPr>
          <w:rFonts w:hint="eastAsia" w:cs="宋体"/>
          <w:b/>
          <w:bCs/>
          <w:color w:val="FF0000"/>
          <w:sz w:val="21"/>
          <w:szCs w:val="21"/>
          <w:highlight w:val="none"/>
        </w:rPr>
        <w:t>0分</w:t>
      </w:r>
      <w:r>
        <w:rPr>
          <w:rFonts w:hint="eastAsia" w:cs="宋体"/>
          <w:sz w:val="21"/>
          <w:szCs w:val="21"/>
          <w:highlight w:val="none"/>
        </w:rPr>
        <w:t>（北京时间）前将投标文件密封送交到嘉兴市消防救援支队4楼开标室（嘉兴市长水路1500号），代理公司提前半小时接标，逾期送达不予接收。</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2.开标时间和地点：</w:t>
      </w:r>
      <w:r>
        <w:rPr>
          <w:rFonts w:hint="eastAsia" w:cs="宋体"/>
          <w:b/>
          <w:bCs/>
          <w:color w:val="FF0000"/>
          <w:sz w:val="21"/>
          <w:szCs w:val="21"/>
          <w:highlight w:val="none"/>
        </w:rPr>
        <w:t>2024年</w:t>
      </w:r>
      <w:r>
        <w:rPr>
          <w:rFonts w:hint="eastAsia" w:cs="宋体"/>
          <w:b/>
          <w:bCs/>
          <w:color w:val="FF0000"/>
          <w:sz w:val="21"/>
          <w:szCs w:val="21"/>
          <w:highlight w:val="none"/>
          <w:lang w:val="en-US" w:eastAsia="zh-CN"/>
        </w:rPr>
        <w:t>9</w:t>
      </w:r>
      <w:r>
        <w:rPr>
          <w:rFonts w:hint="eastAsia" w:cs="宋体"/>
          <w:b/>
          <w:bCs/>
          <w:color w:val="FF0000"/>
          <w:sz w:val="21"/>
          <w:szCs w:val="21"/>
          <w:highlight w:val="none"/>
        </w:rPr>
        <w:t>月</w:t>
      </w:r>
      <w:r>
        <w:rPr>
          <w:rFonts w:hint="eastAsia" w:cs="宋体"/>
          <w:b/>
          <w:bCs/>
          <w:color w:val="FF0000"/>
          <w:sz w:val="21"/>
          <w:szCs w:val="21"/>
          <w:highlight w:val="none"/>
          <w:lang w:val="en-US" w:eastAsia="zh-CN"/>
        </w:rPr>
        <w:t>26</w:t>
      </w:r>
      <w:r>
        <w:rPr>
          <w:rFonts w:hint="eastAsia" w:cs="宋体"/>
          <w:b/>
          <w:bCs/>
          <w:color w:val="FF0000"/>
          <w:sz w:val="21"/>
          <w:szCs w:val="21"/>
          <w:highlight w:val="none"/>
        </w:rPr>
        <w:t>日</w:t>
      </w:r>
      <w:r>
        <w:rPr>
          <w:rFonts w:hint="eastAsia" w:cs="宋体"/>
          <w:b/>
          <w:bCs/>
          <w:color w:val="FF0000"/>
          <w:sz w:val="21"/>
          <w:szCs w:val="21"/>
          <w:highlight w:val="none"/>
          <w:lang w:val="en-US" w:eastAsia="zh-CN"/>
        </w:rPr>
        <w:t>09</w:t>
      </w:r>
      <w:r>
        <w:rPr>
          <w:rFonts w:hint="eastAsia" w:cs="宋体"/>
          <w:b/>
          <w:bCs/>
          <w:color w:val="FF0000"/>
          <w:sz w:val="21"/>
          <w:szCs w:val="21"/>
          <w:highlight w:val="none"/>
        </w:rPr>
        <w:t>:30分</w:t>
      </w:r>
      <w:r>
        <w:rPr>
          <w:rFonts w:hint="eastAsia" w:cs="宋体"/>
          <w:sz w:val="21"/>
          <w:szCs w:val="21"/>
          <w:highlight w:val="none"/>
        </w:rPr>
        <w:t>（北京时间）在嘉兴市消防救援支队4楼开标室（嘉兴市长水路1500号）开标，</w:t>
      </w:r>
      <w:r>
        <w:rPr>
          <w:rFonts w:hint="eastAsia" w:cs="宋体"/>
          <w:b/>
          <w:bCs/>
          <w:sz w:val="21"/>
          <w:szCs w:val="21"/>
          <w:highlight w:val="none"/>
        </w:rPr>
        <w:t>请投标单位派1名授权代表前往参加。</w:t>
      </w:r>
    </w:p>
    <w:p>
      <w:pPr>
        <w:snapToGrid w:val="0"/>
        <w:spacing w:before="204" w:after="204" w:line="360" w:lineRule="auto"/>
        <w:contextualSpacing/>
        <w:rPr>
          <w:rFonts w:ascii="宋体" w:hAnsi="宋体" w:cs="宋体"/>
          <w:szCs w:val="21"/>
          <w:highlight w:val="none"/>
        </w:rPr>
      </w:pPr>
      <w:r>
        <w:rPr>
          <w:rStyle w:val="51"/>
          <w:rFonts w:hint="eastAsia" w:ascii="宋体" w:hAnsi="宋体" w:cs="宋体"/>
          <w:szCs w:val="21"/>
          <w:highlight w:val="none"/>
        </w:rPr>
        <w:t>五、</w:t>
      </w:r>
      <w:r>
        <w:rPr>
          <w:rFonts w:hint="eastAsia" w:ascii="宋体" w:hAnsi="宋体" w:cs="宋体"/>
          <w:b/>
          <w:szCs w:val="21"/>
          <w:highlight w:val="none"/>
        </w:rPr>
        <w:t>公告期限</w:t>
      </w:r>
    </w:p>
    <w:p>
      <w:pPr>
        <w:ind w:firstLine="420" w:firstLineChars="200"/>
        <w:rPr>
          <w:rFonts w:ascii="宋体" w:hAnsi="宋体" w:cs="宋体"/>
          <w:kern w:val="0"/>
          <w:sz w:val="28"/>
          <w:szCs w:val="28"/>
          <w:highlight w:val="none"/>
        </w:rPr>
      </w:pPr>
      <w:r>
        <w:rPr>
          <w:rFonts w:hint="eastAsia" w:ascii="宋体" w:hAnsi="宋体" w:cs="宋体"/>
          <w:kern w:val="0"/>
          <w:szCs w:val="21"/>
          <w:highlight w:val="none"/>
        </w:rPr>
        <w:t>自本公告发布之日起5个工作日。</w:t>
      </w:r>
    </w:p>
    <w:p>
      <w:pPr>
        <w:pStyle w:val="42"/>
        <w:spacing w:before="204" w:beforeAutospacing="0" w:after="204" w:afterAutospacing="0" w:line="360" w:lineRule="auto"/>
        <w:jc w:val="both"/>
        <w:rPr>
          <w:rFonts w:cs="宋体"/>
          <w:sz w:val="21"/>
          <w:szCs w:val="21"/>
          <w:highlight w:val="none"/>
        </w:rPr>
      </w:pPr>
      <w:r>
        <w:rPr>
          <w:rStyle w:val="51"/>
          <w:rFonts w:hint="eastAsia" w:cs="宋体"/>
          <w:sz w:val="21"/>
          <w:szCs w:val="21"/>
          <w:highlight w:val="none"/>
        </w:rPr>
        <w:t>六、其他补充事宜</w:t>
      </w:r>
    </w:p>
    <w:p>
      <w:pPr>
        <w:pStyle w:val="42"/>
        <w:spacing w:before="60" w:beforeAutospacing="0" w:after="60" w:afterAutospacing="0" w:line="360" w:lineRule="auto"/>
        <w:ind w:firstLine="420" w:firstLineChars="200"/>
        <w:rPr>
          <w:rFonts w:cs="宋体"/>
          <w:sz w:val="21"/>
          <w:szCs w:val="21"/>
          <w:highlight w:val="none"/>
        </w:rPr>
      </w:pPr>
      <w:r>
        <w:rPr>
          <w:rFonts w:hint="eastAsia" w:cs="宋体"/>
          <w:sz w:val="21"/>
          <w:szCs w:val="21"/>
          <w:highlight w:val="none"/>
        </w:rPr>
        <w:t>1.供应商认为采购文件使自己的权益受到损害的，可以自获取采购文件之日或者采购文件公告期限届满之日（公告期限届满后获取采购文件的，以公告期限届满之日为准）起 7 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42"/>
        <w:spacing w:before="60" w:beforeAutospacing="0" w:after="60" w:afterAutospacing="0" w:line="360" w:lineRule="auto"/>
        <w:ind w:firstLine="420" w:firstLineChars="200"/>
        <w:rPr>
          <w:rFonts w:cs="宋体"/>
          <w:sz w:val="21"/>
          <w:szCs w:val="21"/>
          <w:highlight w:val="none"/>
        </w:rPr>
      </w:pPr>
      <w:r>
        <w:rPr>
          <w:rFonts w:hint="eastAsia" w:cs="宋体"/>
          <w:sz w:val="21"/>
          <w:szCs w:val="21"/>
          <w:highlight w:val="none"/>
        </w:rPr>
        <w:t>2.单位负责人为同一人或者存在直接控股、管理关系的不同供应商，不得同时参加同一合同项下的投标。</w:t>
      </w:r>
    </w:p>
    <w:p>
      <w:pPr>
        <w:pStyle w:val="42"/>
        <w:spacing w:before="60" w:beforeAutospacing="0" w:after="60" w:afterAutospacing="0" w:line="360" w:lineRule="auto"/>
        <w:ind w:firstLine="420" w:firstLineChars="200"/>
        <w:rPr>
          <w:rFonts w:cs="宋体"/>
          <w:sz w:val="21"/>
          <w:szCs w:val="21"/>
          <w:highlight w:val="none"/>
        </w:rPr>
      </w:pPr>
      <w:r>
        <w:rPr>
          <w:rFonts w:hint="eastAsia" w:cs="宋体"/>
          <w:sz w:val="21"/>
          <w:szCs w:val="21"/>
          <w:highlight w:val="none"/>
        </w:rPr>
        <w:t>3.为项目提供整体设计、规范编制或者项目管理、监理、检测等服务的供应商，不得再参加该采购项目的其他采购活动。</w:t>
      </w:r>
    </w:p>
    <w:p>
      <w:pPr>
        <w:pStyle w:val="42"/>
        <w:spacing w:before="60" w:beforeAutospacing="0" w:after="60" w:afterAutospacing="0" w:line="360" w:lineRule="auto"/>
        <w:ind w:firstLine="420" w:firstLineChars="200"/>
        <w:rPr>
          <w:rFonts w:cs="宋体"/>
          <w:sz w:val="21"/>
          <w:szCs w:val="21"/>
          <w:highlight w:val="none"/>
        </w:rPr>
      </w:pPr>
      <w:r>
        <w:rPr>
          <w:rFonts w:hint="eastAsia" w:cs="宋体"/>
          <w:sz w:val="21"/>
          <w:szCs w:val="21"/>
          <w:highlight w:val="none"/>
        </w:rPr>
        <w:t>4.本项目不收取投标保证金。</w:t>
      </w:r>
    </w:p>
    <w:p>
      <w:pPr>
        <w:pStyle w:val="42"/>
        <w:spacing w:before="60" w:beforeAutospacing="0" w:after="60" w:afterAutospacing="0" w:line="360" w:lineRule="auto"/>
        <w:ind w:firstLine="420" w:firstLineChars="200"/>
        <w:rPr>
          <w:rFonts w:cs="宋体"/>
          <w:sz w:val="21"/>
          <w:szCs w:val="21"/>
          <w:highlight w:val="none"/>
        </w:rPr>
      </w:pPr>
      <w:r>
        <w:rPr>
          <w:rFonts w:hint="eastAsia" w:cs="宋体"/>
          <w:sz w:val="21"/>
          <w:szCs w:val="21"/>
          <w:highlight w:val="none"/>
        </w:rPr>
        <w:t>5.本项目执行促进中小企业发展。</w:t>
      </w:r>
    </w:p>
    <w:p>
      <w:pPr>
        <w:pStyle w:val="42"/>
        <w:spacing w:before="60" w:beforeAutospacing="0" w:after="60" w:afterAutospacing="0" w:line="360" w:lineRule="auto"/>
        <w:ind w:firstLine="420" w:firstLineChars="200"/>
        <w:rPr>
          <w:rFonts w:cs="宋体"/>
          <w:szCs w:val="21"/>
          <w:highlight w:val="none"/>
        </w:rPr>
      </w:pPr>
      <w:r>
        <w:rPr>
          <w:rFonts w:hint="eastAsia" w:cs="宋体"/>
          <w:sz w:val="21"/>
          <w:szCs w:val="21"/>
          <w:highlight w:val="none"/>
        </w:rPr>
        <w:t>6.本项目的采购公告、补充（答疑、澄清）文件及中标公告等需公告的有关信息均在中国政府采购网(http://www.ccgp.gov.cn/)、浙江政府采购网(</w:t>
      </w:r>
      <w:r>
        <w:rPr>
          <w:highlight w:val="none"/>
        </w:rPr>
        <w:fldChar w:fldCharType="begin"/>
      </w:r>
      <w:r>
        <w:rPr>
          <w:highlight w:val="none"/>
        </w:rPr>
        <w:instrText xml:space="preserve"> HYPERLINK "http://zfcg.czt.zj.gov.cn/" </w:instrText>
      </w:r>
      <w:r>
        <w:rPr>
          <w:highlight w:val="none"/>
        </w:rPr>
        <w:fldChar w:fldCharType="separate"/>
      </w:r>
      <w:r>
        <w:rPr>
          <w:rFonts w:hint="eastAsia" w:cs="宋体"/>
          <w:sz w:val="21"/>
          <w:szCs w:val="21"/>
          <w:highlight w:val="none"/>
        </w:rPr>
        <w:t>http://zfcg.czt.zj.gov.cn/</w:t>
      </w:r>
      <w:r>
        <w:rPr>
          <w:rFonts w:hint="eastAsia" w:cs="宋体"/>
          <w:sz w:val="21"/>
          <w:szCs w:val="21"/>
          <w:highlight w:val="none"/>
        </w:rPr>
        <w:fldChar w:fldCharType="end"/>
      </w:r>
      <w:r>
        <w:rPr>
          <w:rFonts w:hint="eastAsia" w:cs="宋体"/>
          <w:sz w:val="21"/>
          <w:szCs w:val="21"/>
          <w:highlight w:val="none"/>
        </w:rPr>
        <w:t>)、嘉兴市公共资源交易网（https://jxszwsjb.jiaxing.gov.cn/）上发布信息，请投标人自行及时关注，采购人及采购代理机构可不再另行通知相关情况，投标人因自身贻误行为导致响应失败的，责任自负。</w:t>
      </w:r>
    </w:p>
    <w:p>
      <w:pPr>
        <w:pStyle w:val="42"/>
        <w:spacing w:before="204" w:beforeAutospacing="0" w:after="204" w:afterAutospacing="0" w:line="360" w:lineRule="auto"/>
        <w:jc w:val="both"/>
        <w:rPr>
          <w:rFonts w:cs="宋体"/>
          <w:sz w:val="21"/>
          <w:szCs w:val="21"/>
          <w:highlight w:val="none"/>
        </w:rPr>
      </w:pPr>
      <w:r>
        <w:rPr>
          <w:rStyle w:val="51"/>
          <w:rFonts w:hint="eastAsia" w:cs="宋体"/>
          <w:sz w:val="21"/>
          <w:szCs w:val="21"/>
          <w:highlight w:val="none"/>
        </w:rPr>
        <w:t>七、对本次采购提出询问、质疑、投诉，请按以下方式联系</w:t>
      </w:r>
    </w:p>
    <w:p>
      <w:pPr>
        <w:pStyle w:val="42"/>
        <w:spacing w:before="60" w:beforeAutospacing="0" w:after="60" w:afterAutospacing="0" w:line="360" w:lineRule="auto"/>
        <w:ind w:firstLine="210" w:firstLineChars="100"/>
        <w:rPr>
          <w:rFonts w:cs="宋体"/>
          <w:sz w:val="21"/>
          <w:szCs w:val="21"/>
          <w:highlight w:val="none"/>
        </w:rPr>
      </w:pPr>
      <w:r>
        <w:rPr>
          <w:rFonts w:hint="eastAsia" w:cs="宋体"/>
          <w:sz w:val="21"/>
          <w:szCs w:val="21"/>
          <w:highlight w:val="none"/>
        </w:rPr>
        <w:t>1.采购人信息</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名 称：嘉兴市南湖区消防救援大队</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地址：</w:t>
      </w:r>
      <w:r>
        <w:rPr>
          <w:rFonts w:cs="宋体"/>
          <w:sz w:val="21"/>
          <w:szCs w:val="21"/>
          <w:highlight w:val="none"/>
        </w:rPr>
        <w:t>浙江省嘉兴市南湖区南溪东路230号</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传 真：/</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项目联系人（询问）：王先生</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项目联系方式（询问）：18368305060</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质疑联系人：嘉兴市消防救援支队采购办公室</w:t>
      </w:r>
    </w:p>
    <w:p>
      <w:pPr>
        <w:pStyle w:val="42"/>
        <w:spacing w:before="60" w:beforeAutospacing="0" w:after="60" w:afterAutospacing="0" w:line="360" w:lineRule="auto"/>
        <w:ind w:firstLine="210" w:firstLineChars="100"/>
        <w:rPr>
          <w:rFonts w:cs="宋体"/>
          <w:sz w:val="21"/>
          <w:szCs w:val="21"/>
          <w:highlight w:val="none"/>
        </w:rPr>
      </w:pPr>
      <w:r>
        <w:rPr>
          <w:rFonts w:hint="eastAsia" w:cs="宋体"/>
          <w:sz w:val="21"/>
          <w:szCs w:val="21"/>
          <w:highlight w:val="none"/>
        </w:rPr>
        <w:t>质疑联系方式：0573-82630533</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2.采购代理机构信息</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名 称：浙江天钫工程管理咨询有限公司</w:t>
      </w:r>
    </w:p>
    <w:p>
      <w:pPr>
        <w:pStyle w:val="42"/>
        <w:spacing w:before="60" w:beforeAutospacing="0" w:after="60" w:afterAutospacing="0" w:line="360" w:lineRule="auto"/>
        <w:ind w:left="210" w:hanging="210" w:hangingChars="100"/>
        <w:rPr>
          <w:rFonts w:cs="宋体"/>
          <w:sz w:val="21"/>
          <w:szCs w:val="21"/>
          <w:highlight w:val="none"/>
        </w:rPr>
      </w:pPr>
      <w:r>
        <w:rPr>
          <w:rFonts w:hint="eastAsia" w:cs="宋体"/>
          <w:sz w:val="21"/>
          <w:szCs w:val="21"/>
          <w:highlight w:val="none"/>
        </w:rPr>
        <w:t xml:space="preserve">  地 址：浙江省嘉兴市秀洲区新城街道秀洲大道138号未来科技广场E座902-2室</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传 真：/     </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项目联系人（询问）：张先生</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项目联系方式（询问）：0573-82270515/18057310623</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质疑联系人：朱女士</w:t>
      </w:r>
    </w:p>
    <w:p>
      <w:pPr>
        <w:pStyle w:val="42"/>
        <w:spacing w:before="60" w:beforeAutospacing="0" w:after="60" w:afterAutospacing="0" w:line="360" w:lineRule="auto"/>
        <w:rPr>
          <w:rFonts w:cs="宋体"/>
          <w:sz w:val="21"/>
          <w:szCs w:val="21"/>
          <w:highlight w:val="none"/>
        </w:rPr>
      </w:pPr>
      <w:r>
        <w:rPr>
          <w:rFonts w:hint="eastAsia" w:cs="宋体"/>
          <w:sz w:val="21"/>
          <w:szCs w:val="21"/>
          <w:highlight w:val="none"/>
        </w:rPr>
        <w:t xml:space="preserve">  质疑联系方式：0573-82271253</w:t>
      </w:r>
    </w:p>
    <w:p>
      <w:pPr>
        <w:pStyle w:val="42"/>
        <w:spacing w:before="60" w:beforeAutospacing="0" w:after="60" w:afterAutospacing="0" w:line="360" w:lineRule="auto"/>
        <w:ind w:firstLine="735" w:firstLineChars="350"/>
        <w:rPr>
          <w:rFonts w:cs="宋体"/>
          <w:sz w:val="21"/>
          <w:szCs w:val="21"/>
          <w:highlight w:val="none"/>
        </w:rPr>
        <w:sectPr>
          <w:footerReference r:id="rId9" w:type="default"/>
          <w:pgSz w:w="11906" w:h="16838"/>
          <w:pgMar w:top="1474" w:right="1797" w:bottom="1440" w:left="1797" w:header="851" w:footer="851" w:gutter="0"/>
          <w:pgNumType w:start="1"/>
          <w:cols w:space="720" w:num="1"/>
          <w:docGrid w:linePitch="312" w:charSpace="0"/>
        </w:sectPr>
      </w:pPr>
      <w:r>
        <w:rPr>
          <w:rFonts w:hint="eastAsia" w:cs="宋体"/>
          <w:sz w:val="21"/>
          <w:szCs w:val="21"/>
          <w:highlight w:val="none"/>
        </w:rPr>
        <w:t xml:space="preserve"> </w:t>
      </w:r>
    </w:p>
    <w:bookmarkEnd w:id="4"/>
    <w:bookmarkEnd w:id="5"/>
    <w:p>
      <w:pPr>
        <w:pStyle w:val="42"/>
        <w:spacing w:before="60" w:after="60"/>
        <w:jc w:val="center"/>
        <w:rPr>
          <w:rStyle w:val="132"/>
          <w:rFonts w:ascii="宋体" w:eastAsia="宋体" w:cs="宋体"/>
          <w:bCs/>
          <w:kern w:val="2"/>
          <w:szCs w:val="52"/>
          <w:highlight w:val="none"/>
        </w:rPr>
      </w:pPr>
      <w:bookmarkStart w:id="6" w:name="_Toc31093"/>
      <w:bookmarkStart w:id="7" w:name="_Toc493511542"/>
      <w:bookmarkStart w:id="8" w:name="_Toc177870534"/>
      <w:r>
        <w:rPr>
          <w:rStyle w:val="132"/>
          <w:rFonts w:hint="eastAsia" w:ascii="宋体" w:eastAsia="宋体" w:cs="宋体"/>
          <w:bCs/>
          <w:kern w:val="2"/>
          <w:szCs w:val="52"/>
          <w:highlight w:val="none"/>
        </w:rPr>
        <w:t>第二章  采购需求</w:t>
      </w:r>
    </w:p>
    <w:p>
      <w:pPr>
        <w:widowControl/>
        <w:spacing w:line="440" w:lineRule="exact"/>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一、项目概况</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浙江省嘉兴支队南湖区消防救援大队2024年度食堂大宗物品配送采购项目，嘉兴市南湖区消防救援大队用餐人数约为180人，该服务为嘉兴市南湖区消防救援大队提供全年的食堂物品采购配送服务（实际配送物品以采购人实际需求为准）。因采购人食堂大宗物品采购量大，涉及广大指战员的饮食安全，为了保证采购配送物的质量，依据《中华人民共和国食品安全法》、《食品安全法实施条例》、《餐饮服务食品安全监督管理法》、《中华人民共和国农产品质量安全法》、《中华人民共和国产品质量法》等相关规定进行公开招标。配送供货企业需采购如下菜品（包括但不限于）：</w:t>
      </w:r>
    </w:p>
    <w:p>
      <w:pPr>
        <w:widowControl/>
        <w:spacing w:line="360" w:lineRule="auto"/>
        <w:ind w:firstLine="420" w:firstLineChars="200"/>
        <w:contextualSpacing/>
        <w:rPr>
          <w:rFonts w:cs="宋体"/>
          <w:szCs w:val="21"/>
          <w:highlight w:val="none"/>
        </w:rPr>
      </w:pPr>
      <w:r>
        <w:rPr>
          <w:rFonts w:hint="eastAsia" w:cs="宋体"/>
          <w:szCs w:val="21"/>
          <w:highlight w:val="none"/>
        </w:rPr>
        <w:t>蔬菜类：大白菜、包心菜、胡萝卜、山药、冬瓜等其他蔬菜</w:t>
      </w:r>
    </w:p>
    <w:p>
      <w:pPr>
        <w:widowControl/>
        <w:spacing w:line="360" w:lineRule="auto"/>
        <w:ind w:firstLine="420" w:firstLineChars="200"/>
        <w:contextualSpacing/>
        <w:rPr>
          <w:rFonts w:cs="宋体"/>
          <w:szCs w:val="21"/>
          <w:highlight w:val="none"/>
        </w:rPr>
      </w:pPr>
      <w:r>
        <w:rPr>
          <w:rFonts w:hint="eastAsia" w:cs="宋体"/>
          <w:szCs w:val="21"/>
          <w:highlight w:val="none"/>
        </w:rPr>
        <w:t>水果类：浆果（葡萄、蓝莓、猕猴桃）、瓜果（哈密瓜）、橘果（橘子）、核果（樱桃、李子）、仁果（苹果、梨）等其他水果</w:t>
      </w:r>
    </w:p>
    <w:p>
      <w:pPr>
        <w:widowControl/>
        <w:spacing w:line="360" w:lineRule="auto"/>
        <w:ind w:firstLine="420" w:firstLineChars="200"/>
        <w:contextualSpacing/>
        <w:rPr>
          <w:rFonts w:cs="宋体"/>
          <w:szCs w:val="21"/>
          <w:highlight w:val="none"/>
        </w:rPr>
      </w:pPr>
      <w:r>
        <w:rPr>
          <w:rFonts w:hint="eastAsia" w:cs="宋体"/>
          <w:szCs w:val="21"/>
          <w:highlight w:val="none"/>
        </w:rPr>
        <w:t>饮品类：凉茶、果汁、汽水、椰汁等其他饮品</w:t>
      </w:r>
    </w:p>
    <w:p>
      <w:pPr>
        <w:widowControl/>
        <w:spacing w:line="360" w:lineRule="auto"/>
        <w:ind w:firstLine="420" w:firstLineChars="200"/>
        <w:contextualSpacing/>
        <w:rPr>
          <w:rFonts w:cs="宋体"/>
          <w:szCs w:val="21"/>
          <w:highlight w:val="none"/>
        </w:rPr>
      </w:pPr>
      <w:r>
        <w:rPr>
          <w:rFonts w:hint="eastAsia" w:cs="宋体"/>
          <w:szCs w:val="21"/>
          <w:highlight w:val="none"/>
        </w:rPr>
        <w:t>肉类：猪肉、牛肉、羊肉、鸡肉、鸭肉等其他肉类</w:t>
      </w:r>
    </w:p>
    <w:p>
      <w:pPr>
        <w:widowControl/>
        <w:spacing w:line="360" w:lineRule="auto"/>
        <w:ind w:firstLine="420" w:firstLineChars="200"/>
        <w:contextualSpacing/>
        <w:rPr>
          <w:rFonts w:hint="eastAsia" w:cs="宋体"/>
          <w:szCs w:val="21"/>
          <w:highlight w:val="none"/>
        </w:rPr>
      </w:pPr>
      <w:r>
        <w:rPr>
          <w:rFonts w:hint="eastAsia" w:cs="宋体"/>
          <w:szCs w:val="21"/>
          <w:highlight w:val="none"/>
        </w:rPr>
        <w:t>禽蛋类：鸡蛋、鸭蛋、鹌鹑蛋等其他蛋类</w:t>
      </w:r>
    </w:p>
    <w:p>
      <w:pPr>
        <w:widowControl/>
        <w:spacing w:line="360" w:lineRule="auto"/>
        <w:ind w:firstLine="420" w:firstLineChars="200"/>
        <w:contextualSpacing/>
        <w:rPr>
          <w:rFonts w:cs="宋体"/>
          <w:szCs w:val="21"/>
          <w:highlight w:val="none"/>
        </w:rPr>
      </w:pPr>
      <w:r>
        <w:rPr>
          <w:rFonts w:hint="eastAsia" w:cs="宋体"/>
          <w:szCs w:val="21"/>
          <w:highlight w:val="none"/>
        </w:rPr>
        <w:t>冷冻品类：鸡腿、鸡翅、牛肋骨、虾仁等其他冷冻食品</w:t>
      </w:r>
    </w:p>
    <w:p>
      <w:pPr>
        <w:widowControl/>
        <w:spacing w:line="360" w:lineRule="auto"/>
        <w:ind w:firstLine="420" w:firstLineChars="200"/>
        <w:contextualSpacing/>
        <w:rPr>
          <w:rFonts w:cs="宋体"/>
          <w:szCs w:val="21"/>
          <w:highlight w:val="none"/>
        </w:rPr>
      </w:pPr>
      <w:r>
        <w:rPr>
          <w:rFonts w:hint="eastAsia" w:cs="宋体"/>
          <w:szCs w:val="21"/>
          <w:highlight w:val="none"/>
        </w:rPr>
        <w:t>干货类：黑木耳、干香菇、笋干、榨菜、紫菜等其他干货</w:t>
      </w:r>
    </w:p>
    <w:p>
      <w:pPr>
        <w:widowControl/>
        <w:spacing w:line="360" w:lineRule="auto"/>
        <w:ind w:firstLine="420" w:firstLineChars="200"/>
        <w:contextualSpacing/>
        <w:rPr>
          <w:rFonts w:cs="宋体"/>
          <w:szCs w:val="21"/>
          <w:highlight w:val="none"/>
        </w:rPr>
      </w:pPr>
      <w:r>
        <w:rPr>
          <w:rFonts w:hint="eastAsia" w:cs="宋体"/>
          <w:szCs w:val="21"/>
          <w:highlight w:val="none"/>
        </w:rPr>
        <w:t>豆制品类:豆腐干、油豆腐、千张、素鸡、面筋等其他豆制品</w:t>
      </w:r>
    </w:p>
    <w:p>
      <w:pPr>
        <w:widowControl/>
        <w:spacing w:line="360" w:lineRule="auto"/>
        <w:ind w:firstLine="420" w:firstLineChars="200"/>
        <w:contextualSpacing/>
        <w:rPr>
          <w:rFonts w:cs="宋体"/>
          <w:szCs w:val="21"/>
          <w:highlight w:val="none"/>
        </w:rPr>
      </w:pPr>
      <w:r>
        <w:rPr>
          <w:rFonts w:hint="eastAsia" w:cs="宋体"/>
          <w:szCs w:val="21"/>
          <w:highlight w:val="none"/>
        </w:rPr>
        <w:t>水产类：淡水鱼、海水鱼、河鲜、海鲜等其他水产品</w:t>
      </w:r>
    </w:p>
    <w:p>
      <w:pPr>
        <w:widowControl/>
        <w:spacing w:line="360" w:lineRule="auto"/>
        <w:ind w:firstLine="420" w:firstLineChars="200"/>
        <w:contextualSpacing/>
        <w:rPr>
          <w:rFonts w:ascii="宋体" w:hAnsi="宋体" w:cs="宋体"/>
          <w:color w:val="000000"/>
          <w:kern w:val="0"/>
          <w:szCs w:val="21"/>
          <w:highlight w:val="none"/>
        </w:rPr>
      </w:pPr>
      <w:r>
        <w:rPr>
          <w:rFonts w:hint="eastAsia" w:cs="宋体"/>
          <w:szCs w:val="21"/>
          <w:highlight w:val="none"/>
        </w:rPr>
        <w:t>其他类：其他农副产品等与食品安全密切相关的原辅材料</w:t>
      </w:r>
    </w:p>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二、服务需求</w:t>
      </w:r>
    </w:p>
    <w:p>
      <w:pPr>
        <w:widowControl/>
        <w:spacing w:line="360" w:lineRule="auto"/>
        <w:ind w:firstLine="422" w:firstLineChars="200"/>
        <w:contextualSpacing/>
        <w:rPr>
          <w:rFonts w:ascii="宋体" w:hAnsi="宋体" w:cs="宋体"/>
          <w:b/>
          <w:bCs/>
          <w:color w:val="000000"/>
          <w:kern w:val="0"/>
          <w:szCs w:val="21"/>
          <w:highlight w:val="none"/>
        </w:rPr>
      </w:pPr>
      <w:r>
        <w:rPr>
          <w:rFonts w:hint="eastAsia" w:ascii="宋体" w:hAnsi="宋体" w:cs="宋体"/>
          <w:b/>
          <w:bCs/>
          <w:color w:val="000000"/>
          <w:kern w:val="0"/>
          <w:szCs w:val="21"/>
          <w:highlight w:val="none"/>
        </w:rPr>
        <w:t>1.服务范围</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u w:val="single"/>
        </w:rPr>
        <w:t>浙江省嘉兴市南湖区南溪东路230号  浙江省嘉兴市南湖区纺工路198号  浙江省嘉兴市南湖区清河埭39号</w:t>
      </w:r>
      <w:r>
        <w:rPr>
          <w:rFonts w:hint="eastAsia" w:ascii="宋体" w:hAnsi="宋体" w:cs="宋体"/>
          <w:color w:val="000000"/>
          <w:kern w:val="0"/>
          <w:szCs w:val="21"/>
          <w:highlight w:val="none"/>
        </w:rPr>
        <w:t>，如遇采购人要求需要紧急临时增加配送食材时，按照采购人要求时限提供配送。</w:t>
      </w:r>
    </w:p>
    <w:p>
      <w:pPr>
        <w:widowControl/>
        <w:spacing w:line="360" w:lineRule="auto"/>
        <w:ind w:firstLine="422" w:firstLineChars="200"/>
        <w:contextualSpacing/>
        <w:rPr>
          <w:rFonts w:ascii="宋体" w:hAnsi="宋体" w:cs="宋体"/>
          <w:b/>
          <w:bCs/>
          <w:color w:val="000000"/>
          <w:kern w:val="0"/>
          <w:szCs w:val="21"/>
          <w:highlight w:val="none"/>
        </w:rPr>
      </w:pPr>
      <w:r>
        <w:rPr>
          <w:rFonts w:hint="eastAsia" w:ascii="宋体" w:hAnsi="宋体" w:cs="宋体"/>
          <w:b/>
          <w:bCs/>
          <w:color w:val="000000"/>
          <w:kern w:val="0"/>
          <w:szCs w:val="21"/>
          <w:highlight w:val="none"/>
        </w:rPr>
        <w:t>2.服务要求</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 xml:space="preserve">2.1投标人严格执行《中华人民共和国食品卫生法》、《中华人民共和国食品安全法实施条例》等所有相关法律法规及规定的要求采购，并建立采购台账。投标人供应的各类副食品，需符合国家《产品质量法》、《食品安全法》等相关法律法规的要求，确保所供副食品优质新鲜，符合卫生防疫部门、检验检疫部门的各项合格指标，并有完整的销售合格标注或证书，所有的货品应可追溯供货源头。供应的蔬菜食品，需符合国家《农产品安全质量无公害蔬菜安全要求》、《食品中污染限量》、《食品中农药最大残留限量》等规定和采购人有关的质量要求，严格遵守《无公害农产品管理办法》，供应质量需经过粗加工，食用率达 95％以上。供应的肉类、禽蛋类、水产类食品，需符合相关环境保护、知识产权等方面的法律要求，符合采购人提出的有关特殊要求和质量标准。 </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2.2中标人应严格遵守相关法律法规的相关规定，一经发现供应以下食品，除全部退货外，将取消中标人的供货资格，未结清款项不再支付，中标人承担由此造成的经济责任和法律责任：</w:t>
      </w:r>
    </w:p>
    <w:p>
      <w:pPr>
        <w:widowControl/>
        <w:spacing w:line="360" w:lineRule="auto"/>
        <w:contextualSpacing/>
        <w:rPr>
          <w:rFonts w:ascii="宋体" w:hAnsi="宋体" w:cs="宋体"/>
          <w:color w:val="000000"/>
          <w:kern w:val="0"/>
          <w:szCs w:val="21"/>
          <w:highlight w:val="none"/>
        </w:rPr>
      </w:pPr>
      <w:r>
        <w:rPr>
          <w:rFonts w:hint="eastAsia" w:ascii="宋体" w:hAnsi="宋体" w:cs="宋体"/>
          <w:color w:val="000000"/>
          <w:kern w:val="0"/>
          <w:szCs w:val="21"/>
          <w:highlight w:val="none"/>
        </w:rPr>
        <w:t>（1）腐败变质、油脂酸败、霉变、生虫、污秽不洁、混有异物或者其他感官性状异常，对人体健康有害的；</w:t>
      </w:r>
    </w:p>
    <w:p>
      <w:pPr>
        <w:widowControl/>
        <w:spacing w:line="360" w:lineRule="auto"/>
        <w:contextualSpacing/>
        <w:rPr>
          <w:rFonts w:ascii="宋体" w:hAnsi="宋体" w:cs="宋体"/>
          <w:color w:val="000000"/>
          <w:kern w:val="0"/>
          <w:szCs w:val="21"/>
          <w:highlight w:val="none"/>
        </w:rPr>
      </w:pPr>
      <w:r>
        <w:rPr>
          <w:rFonts w:hint="eastAsia" w:ascii="宋体" w:hAnsi="宋体" w:cs="宋体"/>
          <w:color w:val="000000"/>
          <w:kern w:val="0"/>
          <w:szCs w:val="21"/>
          <w:highlight w:val="none"/>
        </w:rPr>
        <w:t>（2）含有毒、有害物质或者被有害物质污染，对人体健康有害的；</w:t>
      </w:r>
    </w:p>
    <w:p>
      <w:pPr>
        <w:widowControl/>
        <w:spacing w:line="360" w:lineRule="auto"/>
        <w:contextualSpacing/>
        <w:rPr>
          <w:rFonts w:ascii="宋体" w:hAnsi="宋体" w:cs="宋体"/>
          <w:color w:val="000000"/>
          <w:kern w:val="0"/>
          <w:szCs w:val="21"/>
          <w:highlight w:val="none"/>
        </w:rPr>
      </w:pPr>
      <w:r>
        <w:rPr>
          <w:rFonts w:hint="eastAsia" w:ascii="宋体" w:hAnsi="宋体" w:cs="宋体"/>
          <w:color w:val="000000"/>
          <w:kern w:val="0"/>
          <w:szCs w:val="21"/>
          <w:highlight w:val="none"/>
        </w:rPr>
        <w:t>（3）含有致病性寄生虫、微生物或者微生物含量超过国家限定标准的；</w:t>
      </w:r>
    </w:p>
    <w:p>
      <w:pPr>
        <w:widowControl/>
        <w:spacing w:line="360" w:lineRule="auto"/>
        <w:contextualSpacing/>
        <w:rPr>
          <w:rFonts w:ascii="宋体" w:hAnsi="宋体" w:cs="宋体"/>
          <w:color w:val="000000"/>
          <w:kern w:val="0"/>
          <w:szCs w:val="21"/>
          <w:highlight w:val="none"/>
        </w:rPr>
      </w:pPr>
      <w:r>
        <w:rPr>
          <w:rFonts w:hint="eastAsia" w:ascii="宋体" w:hAnsi="宋体" w:cs="宋体"/>
          <w:color w:val="000000"/>
          <w:kern w:val="0"/>
          <w:szCs w:val="21"/>
          <w:highlight w:val="none"/>
        </w:rPr>
        <w:t>（4）未经动物检疫部门检疫、检验或者检疫、检验不合格的肉类及其制品；</w:t>
      </w:r>
    </w:p>
    <w:p>
      <w:pPr>
        <w:widowControl/>
        <w:spacing w:line="360" w:lineRule="auto"/>
        <w:contextualSpacing/>
        <w:rPr>
          <w:rFonts w:ascii="宋体" w:hAnsi="宋体" w:cs="宋体"/>
          <w:color w:val="000000"/>
          <w:kern w:val="0"/>
          <w:szCs w:val="21"/>
          <w:highlight w:val="none"/>
        </w:rPr>
      </w:pPr>
      <w:r>
        <w:rPr>
          <w:rFonts w:hint="eastAsia" w:ascii="宋体" w:hAnsi="宋体" w:cs="宋体"/>
          <w:color w:val="000000"/>
          <w:kern w:val="0"/>
          <w:szCs w:val="21"/>
          <w:highlight w:val="none"/>
        </w:rPr>
        <w:t>（5）病死、毒死或者死因不明的禽、蓄、兽、水产动物等及其制品；</w:t>
      </w:r>
    </w:p>
    <w:p>
      <w:pPr>
        <w:widowControl/>
        <w:spacing w:line="360" w:lineRule="auto"/>
        <w:contextualSpacing/>
        <w:rPr>
          <w:rFonts w:ascii="宋体" w:hAnsi="宋体" w:cs="宋体"/>
          <w:color w:val="000000"/>
          <w:kern w:val="0"/>
          <w:szCs w:val="21"/>
          <w:highlight w:val="none"/>
        </w:rPr>
      </w:pPr>
      <w:r>
        <w:rPr>
          <w:rFonts w:hint="eastAsia" w:ascii="宋体" w:hAnsi="宋体" w:cs="宋体"/>
          <w:color w:val="000000"/>
          <w:kern w:val="0"/>
          <w:szCs w:val="21"/>
          <w:highlight w:val="none"/>
        </w:rPr>
        <w:t>（6）掺假、掺杂、伪造，影响营养、卫生的；</w:t>
      </w:r>
    </w:p>
    <w:p>
      <w:pPr>
        <w:widowControl/>
        <w:spacing w:line="360" w:lineRule="auto"/>
        <w:contextualSpacing/>
        <w:rPr>
          <w:rFonts w:ascii="宋体" w:hAnsi="宋体" w:cs="宋体"/>
          <w:color w:val="000000"/>
          <w:kern w:val="0"/>
          <w:szCs w:val="21"/>
          <w:highlight w:val="none"/>
        </w:rPr>
      </w:pPr>
      <w:r>
        <w:rPr>
          <w:rFonts w:hint="eastAsia" w:ascii="宋体" w:hAnsi="宋体" w:cs="宋体"/>
          <w:color w:val="000000"/>
          <w:kern w:val="0"/>
          <w:szCs w:val="21"/>
          <w:highlight w:val="none"/>
        </w:rPr>
        <w:t>（7）用非食品原料加工的，加入非食品用化学物质或者将非食品当作食品的；</w:t>
      </w:r>
    </w:p>
    <w:p>
      <w:pPr>
        <w:widowControl/>
        <w:spacing w:line="360" w:lineRule="auto"/>
        <w:contextualSpacing/>
        <w:rPr>
          <w:rFonts w:ascii="宋体" w:hAnsi="宋体" w:cs="宋体"/>
          <w:color w:val="000000"/>
          <w:kern w:val="0"/>
          <w:szCs w:val="21"/>
          <w:highlight w:val="none"/>
        </w:rPr>
      </w:pPr>
      <w:r>
        <w:rPr>
          <w:rFonts w:hint="eastAsia" w:ascii="宋体" w:hAnsi="宋体" w:cs="宋体"/>
          <w:color w:val="000000"/>
          <w:kern w:val="0"/>
          <w:szCs w:val="21"/>
          <w:highlight w:val="none"/>
        </w:rPr>
        <w:t>（8）超过保质期限的；</w:t>
      </w:r>
    </w:p>
    <w:p>
      <w:pPr>
        <w:widowControl/>
        <w:spacing w:line="360" w:lineRule="auto"/>
        <w:contextualSpacing/>
        <w:rPr>
          <w:rFonts w:ascii="宋体" w:hAnsi="宋体" w:cs="宋体"/>
          <w:color w:val="000000"/>
          <w:kern w:val="0"/>
          <w:szCs w:val="21"/>
          <w:highlight w:val="none"/>
        </w:rPr>
      </w:pPr>
      <w:r>
        <w:rPr>
          <w:rFonts w:hint="eastAsia" w:ascii="宋体" w:hAnsi="宋体" w:cs="宋体"/>
          <w:color w:val="000000"/>
          <w:kern w:val="0"/>
          <w:szCs w:val="21"/>
          <w:highlight w:val="none"/>
        </w:rPr>
        <w:t>（9）使用有毒塑料制品包装食材的。</w:t>
      </w:r>
    </w:p>
    <w:p>
      <w:pPr>
        <w:widowControl/>
        <w:spacing w:line="360" w:lineRule="auto"/>
        <w:ind w:firstLine="420" w:firstLineChars="200"/>
        <w:contextualSpacing/>
        <w:rPr>
          <w:rFonts w:ascii="宋体" w:hAnsi="宋体" w:cs="宋体"/>
          <w:kern w:val="0"/>
          <w:szCs w:val="21"/>
          <w:highlight w:val="none"/>
        </w:rPr>
      </w:pPr>
      <w:r>
        <w:rPr>
          <w:rFonts w:hint="eastAsia" w:ascii="宋体" w:hAnsi="宋体" w:cs="宋体"/>
          <w:color w:val="000000"/>
          <w:kern w:val="0"/>
          <w:szCs w:val="21"/>
          <w:highlight w:val="none"/>
        </w:rPr>
        <w:t>2.3货物有合法的产品溯源性；供货时提供应相关部门出具的食材检测报告、食品检验合格证、检验检疫证明等；禽蛋类产品、肉类产品需提供营业执照、《动物防疫条件合格证》、《生猪定点屠宰许可证》等；对实行食品质量（QS）（以SC编码作为标准，取代QS）安全</w:t>
      </w:r>
      <w:r>
        <w:rPr>
          <w:rFonts w:hint="eastAsia" w:ascii="宋体" w:hAnsi="宋体" w:cs="宋体"/>
          <w:kern w:val="0"/>
          <w:szCs w:val="21"/>
          <w:highlight w:val="none"/>
        </w:rPr>
        <w:t>市场准入制的食品，须提供QS 认证的相关证明资料。目前国家实行食品质量（QS）安全市场准入制的食品共28 类：大米、小麦粉、酱油、醋、食用植物油、肉制品、乳制品、饮料、味精、方便面、饼干、罐头食品、冷冻饮品、速冻面米食品、膨化食品、糖果制品、茶叶、葡萄酒、果酒、啤酒、黄酒、白酒、酱腌菜、蜜饯、炒货食品、蛋制品、可可制品、水产加工品、淀粉及淀粉制品（包括粉丝、粉条）（以最新现行清单为准）。投标人配送食材送达时，不得超过食材生产日期至保质期限日的 1/3，</w:t>
      </w:r>
      <w:r>
        <w:rPr>
          <w:rFonts w:hint="eastAsia" w:ascii="宋体" w:hAnsi="宋体" w:cs="宋体"/>
          <w:bCs/>
          <w:kern w:val="0"/>
          <w:szCs w:val="21"/>
          <w:highlight w:val="none"/>
        </w:rPr>
        <w:t>(例如:食材保质期限为10天的，送达时剩余保质期限不得少于6天，食材保质期为6个月的，送达时剩余保质期限不得少于4个月，其他同理以此类推)。超过不足上述保质期规定的，采购人有权拒收并实施无条件退货</w:t>
      </w:r>
      <w:r>
        <w:rPr>
          <w:rFonts w:hint="eastAsia" w:ascii="宋体" w:hAnsi="宋体" w:cs="宋体"/>
          <w:kern w:val="0"/>
          <w:szCs w:val="21"/>
          <w:highlight w:val="none"/>
        </w:rPr>
        <w:t>。</w:t>
      </w:r>
    </w:p>
    <w:p>
      <w:pPr>
        <w:widowControl/>
        <w:spacing w:line="360" w:lineRule="auto"/>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2.4中标人不管远近，必须做到鲜肉类、蔬菜类实行每天配送，粮油类等耐储存的大宗物品按照采购人需要按时配送。</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2.5中标人尽量满足采购人合理的其他需求（如采购人有特殊紧急情况下，能确保在半小时内响应采购人需求等）。</w:t>
      </w:r>
    </w:p>
    <w:p>
      <w:pPr>
        <w:widowControl/>
        <w:spacing w:line="360" w:lineRule="auto"/>
        <w:ind w:firstLine="422" w:firstLineChars="200"/>
        <w:contextualSpacing/>
        <w:rPr>
          <w:rFonts w:ascii="宋体" w:hAnsi="宋体" w:cs="宋体"/>
          <w:b/>
          <w:bCs/>
          <w:color w:val="000000"/>
          <w:kern w:val="0"/>
          <w:szCs w:val="21"/>
          <w:highlight w:val="none"/>
        </w:rPr>
      </w:pPr>
      <w:r>
        <w:rPr>
          <w:rFonts w:hint="eastAsia" w:ascii="宋体" w:hAnsi="宋体" w:cs="宋体"/>
          <w:b/>
          <w:bCs/>
          <w:color w:val="000000"/>
          <w:kern w:val="0"/>
          <w:szCs w:val="21"/>
          <w:highlight w:val="none"/>
        </w:rPr>
        <w:t>3.运输及配送要求</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3.1运输要求：做到配送人员和机动车辆固定。提供的冷链装置要达到冻品的标准温度和冷藏保鲜温度。食品运输必须采用符合卫生要求的外包装和运载工具，并且要保持清洁和定期消毒，保持性能稳定，符合规定的温度要求；运输工具应清洁卫生无污染，运输车厢的内仓，包括地面、墙面和顶，应为抗腐蚀、防潮，防虫、防鼠的设计，车厢内无不良气味、异味；运输途中严防日晒、雨淋，注意通风散热；蔬菜瓜果类蔬菜应小心轻卸，严防机械损伤；冷藏、冷冻食品必须用专用冷藏、冷冻载具运输在整个运输过程中保持安全的冷藏，保证食品在运输全过程符合储存温度要求，并记录存档；肉类送货车辆实行1小时配送圈运作，1小时以外的用制冷车配送，保证肉类中心温度控制在-2-7℃的范围之内，保证运输过程冷链不中断；整个运输过程应科学合理。</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3.2配送方式：专人专车，严格履行采购人进出门岗要求。</w:t>
      </w:r>
    </w:p>
    <w:p>
      <w:pPr>
        <w:widowControl/>
        <w:spacing w:line="360" w:lineRule="auto"/>
        <w:ind w:firstLine="420" w:firstLineChars="200"/>
        <w:contextualSpacing/>
        <w:rPr>
          <w:rFonts w:ascii="宋体" w:hAnsi="宋体" w:cs="宋体"/>
          <w:kern w:val="0"/>
          <w:szCs w:val="21"/>
          <w:highlight w:val="none"/>
        </w:rPr>
      </w:pPr>
      <w:r>
        <w:rPr>
          <w:rFonts w:hint="eastAsia" w:ascii="宋体" w:hAnsi="宋体" w:cs="宋体"/>
          <w:color w:val="000000"/>
          <w:kern w:val="0"/>
          <w:szCs w:val="21"/>
          <w:highlight w:val="none"/>
        </w:rPr>
        <w:t>3.3配送服务需求：配送时必须进行两次消毒，（库房消毒、到达卸货位置消毒），每次消毒都作视频记录，采购人有权查看，必须全程佩戴口罩、手套。需有较强的货源组织和配送保障能力，全力保障和满足采购人的食材供应需求。同时按照当地政府要求，做好工作人员的</w:t>
      </w:r>
      <w:r>
        <w:rPr>
          <w:rFonts w:hint="eastAsia" w:ascii="宋体" w:hAnsi="宋体" w:cs="宋体"/>
          <w:kern w:val="0"/>
          <w:szCs w:val="21"/>
          <w:highlight w:val="none"/>
        </w:rPr>
        <w:t>自我管控、食材检测和质量把关，对仓储配送场地、设施、车辆进行清洁消毒，确保食材和人员安全。</w:t>
      </w:r>
    </w:p>
    <w:p>
      <w:pPr>
        <w:widowControl/>
        <w:spacing w:line="360" w:lineRule="auto"/>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3.4配送时间要求：</w:t>
      </w:r>
      <w:r>
        <w:rPr>
          <w:rFonts w:hint="eastAsia" w:ascii="宋体" w:hAnsi="宋体" w:cs="宋体"/>
          <w:bCs/>
          <w:kern w:val="0"/>
          <w:szCs w:val="21"/>
          <w:highlight w:val="none"/>
        </w:rPr>
        <w:t>采购人每天16点前</w:t>
      </w:r>
      <w:r>
        <w:rPr>
          <w:rFonts w:hint="eastAsia" w:ascii="宋体" w:hAnsi="宋体" w:cs="宋体"/>
          <w:kern w:val="0"/>
          <w:szCs w:val="21"/>
          <w:highlight w:val="none"/>
        </w:rPr>
        <w:t>将次日需要配送的食材名称、数量提供给中标人，中标人根据采购人的要求，必须在指定时间（每日早上</w:t>
      </w:r>
      <w:r>
        <w:rPr>
          <w:rFonts w:hint="eastAsia" w:ascii="宋体" w:hAnsi="宋体" w:cs="宋体"/>
          <w:kern w:val="0"/>
          <w:szCs w:val="21"/>
          <w:highlight w:val="none"/>
          <w:u w:val="single"/>
        </w:rPr>
        <w:t>7</w:t>
      </w:r>
      <w:r>
        <w:rPr>
          <w:rFonts w:hint="eastAsia" w:ascii="宋体" w:hAnsi="宋体" w:cs="宋体"/>
          <w:kern w:val="0"/>
          <w:szCs w:val="21"/>
          <w:highlight w:val="none"/>
        </w:rPr>
        <w:t>点前）把食材送达采购人指定地点。采购人因需要临时订货的，有权随时向中标人发送订单，中标人应按照采购人订单要求的配送时间、地点、食材名称、品牌和数量配送。</w:t>
      </w:r>
    </w:p>
    <w:p>
      <w:pPr>
        <w:widowControl/>
        <w:spacing w:line="360" w:lineRule="auto"/>
        <w:ind w:firstLine="422" w:firstLineChars="200"/>
        <w:contextualSpacing/>
        <w:rPr>
          <w:rFonts w:ascii="宋体" w:hAnsi="宋体" w:cs="宋体"/>
          <w:b/>
          <w:bCs/>
          <w:kern w:val="0"/>
          <w:szCs w:val="21"/>
          <w:highlight w:val="none"/>
        </w:rPr>
      </w:pPr>
      <w:r>
        <w:rPr>
          <w:rFonts w:hint="eastAsia" w:ascii="宋体" w:hAnsi="宋体" w:cs="宋体"/>
          <w:b/>
          <w:bCs/>
          <w:kern w:val="0"/>
          <w:szCs w:val="21"/>
          <w:highlight w:val="none"/>
        </w:rPr>
        <w:t>4.验收要求</w:t>
      </w:r>
    </w:p>
    <w:p>
      <w:pPr>
        <w:widowControl/>
        <w:spacing w:line="360" w:lineRule="auto"/>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4.1采购人有权按照中标人提供食品的数量、质量、卫生、新鲜程度及相关检验文件（动物检疫证明、农产品农药残留证明）等进行验收。</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kern w:val="0"/>
          <w:szCs w:val="21"/>
          <w:highlight w:val="none"/>
        </w:rPr>
        <w:t>4.2采购人有权指定中标人在规定时间、地</w:t>
      </w:r>
      <w:r>
        <w:rPr>
          <w:rFonts w:hint="eastAsia" w:ascii="宋体" w:hAnsi="宋体" w:cs="宋体"/>
          <w:color w:val="000000"/>
          <w:kern w:val="0"/>
          <w:szCs w:val="21"/>
          <w:highlight w:val="none"/>
        </w:rPr>
        <w:t>点将配送品种送达，中标人没有按照采购人提出的要求落实，采购人有权拒收、退货且不承担任何责任。</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4.3采购人有权对不符合标准要求的农副产品作退货处理，中标人在规定时限内补货。</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4.4采购品种发生变化时，采购人应第一时间告知中标人，中标人根据通知进行调整和配送。</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4.5中标人在送货过程中出现错送、漏送、少送、多送， 采购人有权要求中标人按照采购人提出的要求，立即整改并在2小时内更换、补充到位，造成的损失由中标人承担。</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4.6退货依据</w:t>
      </w:r>
    </w:p>
    <w:tbl>
      <w:tblPr>
        <w:tblStyle w:val="47"/>
        <w:tblW w:w="9526" w:type="dxa"/>
        <w:jc w:val="center"/>
        <w:tblLayout w:type="fixed"/>
        <w:tblCellMar>
          <w:top w:w="0" w:type="dxa"/>
          <w:left w:w="108" w:type="dxa"/>
          <w:bottom w:w="0" w:type="dxa"/>
          <w:right w:w="108" w:type="dxa"/>
        </w:tblCellMar>
      </w:tblPr>
      <w:tblGrid>
        <w:gridCol w:w="1617"/>
        <w:gridCol w:w="4394"/>
        <w:gridCol w:w="3515"/>
      </w:tblGrid>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bottom"/>
          </w:tcPr>
          <w:p>
            <w:pPr>
              <w:spacing w:line="460" w:lineRule="exact"/>
              <w:jc w:val="center"/>
              <w:rPr>
                <w:rFonts w:ascii="宋体" w:hAnsi="宋体" w:cs="宋体"/>
                <w:b/>
                <w:bCs/>
                <w:szCs w:val="21"/>
                <w:highlight w:val="none"/>
                <w:lang w:val="zh-CN"/>
              </w:rPr>
            </w:pPr>
            <w:r>
              <w:rPr>
                <w:rFonts w:hint="eastAsia" w:ascii="宋体" w:hAnsi="宋体" w:cs="宋体"/>
                <w:b/>
                <w:bCs/>
                <w:szCs w:val="21"/>
                <w:highlight w:val="none"/>
                <w:lang w:val="zh-CN"/>
              </w:rPr>
              <w:t>种类</w:t>
            </w:r>
          </w:p>
        </w:tc>
        <w:tc>
          <w:tcPr>
            <w:tcW w:w="4394" w:type="dxa"/>
            <w:tcBorders>
              <w:top w:val="single" w:color="000000" w:sz="2" w:space="0"/>
              <w:left w:val="single" w:color="000000" w:sz="2" w:space="0"/>
              <w:bottom w:val="single" w:color="000000" w:sz="2" w:space="0"/>
              <w:right w:val="single" w:color="000000" w:sz="2" w:space="0"/>
            </w:tcBorders>
            <w:vAlign w:val="bottom"/>
          </w:tcPr>
          <w:p>
            <w:pPr>
              <w:spacing w:line="460" w:lineRule="exact"/>
              <w:jc w:val="center"/>
              <w:rPr>
                <w:rFonts w:ascii="宋体" w:hAnsi="宋体" w:cs="宋体"/>
                <w:b/>
                <w:bCs/>
                <w:szCs w:val="21"/>
                <w:highlight w:val="none"/>
                <w:lang w:val="zh-CN"/>
              </w:rPr>
            </w:pPr>
            <w:r>
              <w:rPr>
                <w:rFonts w:hint="eastAsia" w:ascii="宋体" w:hAnsi="宋体" w:cs="宋体"/>
                <w:b/>
                <w:bCs/>
                <w:szCs w:val="21"/>
                <w:highlight w:val="none"/>
                <w:lang w:val="zh-CN"/>
              </w:rPr>
              <w:t>验收标准</w:t>
            </w:r>
          </w:p>
        </w:tc>
        <w:tc>
          <w:tcPr>
            <w:tcW w:w="3515" w:type="dxa"/>
            <w:tcBorders>
              <w:top w:val="single" w:color="000000" w:sz="2" w:space="0"/>
              <w:left w:val="single" w:color="000000" w:sz="2" w:space="0"/>
              <w:bottom w:val="single" w:color="000000" w:sz="2" w:space="0"/>
              <w:right w:val="single" w:color="000000" w:sz="2" w:space="0"/>
            </w:tcBorders>
            <w:vAlign w:val="bottom"/>
          </w:tcPr>
          <w:p>
            <w:pPr>
              <w:spacing w:line="460" w:lineRule="exact"/>
              <w:jc w:val="center"/>
              <w:rPr>
                <w:rFonts w:ascii="宋体" w:hAnsi="宋体" w:cs="宋体"/>
                <w:b/>
                <w:bCs/>
                <w:szCs w:val="21"/>
                <w:highlight w:val="none"/>
                <w:lang w:val="zh-CN"/>
              </w:rPr>
            </w:pPr>
            <w:r>
              <w:rPr>
                <w:rFonts w:hint="eastAsia" w:ascii="宋体" w:hAnsi="宋体" w:cs="宋体"/>
                <w:b/>
                <w:bCs/>
                <w:szCs w:val="21"/>
                <w:highlight w:val="none"/>
                <w:lang w:val="zh-CN"/>
              </w:rPr>
              <w:t>退货依据</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lang w:val="zh-CN"/>
              </w:rPr>
            </w:pPr>
            <w:r>
              <w:rPr>
                <w:rFonts w:hint="eastAsia" w:ascii="宋体" w:hAnsi="宋体" w:cs="宋体"/>
                <w:szCs w:val="21"/>
                <w:highlight w:val="none"/>
                <w:lang w:val="zh-CN"/>
              </w:rPr>
              <w:t>叶菜类</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外形正常，叶梗光滑幼嫩，不干瘪凋萎，无过多黄叶，色泽正常。去除根须，不含土，无虫害，大白菜、卷心菜切开心不变黑，无腐烂情形，无明显浸水现象；农药残留不超标。</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味苦，鲜度嫩度明显不佳，含黄叶须根，泥土、虫害严重，萎捏严重，浸水后仍不可恢复；农药残留超标。</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根茎类（如香芋、土豆、莴笋等）</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无虫咬、发芽、发霉现象，新鲜，形态大小与采购人自购标准相当。农药残留不超标。</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发芽严重、发霉，新鲜度不佳，形态大小与采购人自购标准存在较大负偏差。农药残留超标。</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花果类，如西兰花、白菜花</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无虫害，成熟度良好，新鲜固有的色泽鲜明，无发霉发黄，农药残留不超标。</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不新鲜，发霉，虫害过多。农药残留超标。</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瓜果类</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外表光亮无斑点，有新鲜连接的秧，形状正常、大小均匀，无软塌，成熟度适度。无腐烂，无污染，清洁、新鲜，无异味、无病虫损害。农药残留不超标。</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不新鲜、软塌、腐烂，有异味。病虫损害严重，形状不太正常，大小不适中。农药残留超标。</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豆制品</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品牌产品，保质期限内，包装无破损，感官上色泽正常，硬度弹性正常，无异味。</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由于蛋白质的分解等原因，豆制品硬度和弹性下降，表面发粘，颜色发暗、发红、或变黄，或表面出现各种颜色的霉斑，产生酸馊气味或异味，有黄色液体流出等。</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鱼类</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体表色暗淡无光黏液透明度较差、浑浊且有腐败味；鳞不完整松弛、易剥落；鳃盖松弛，鳃丝粘连，呈淡红暗红或灰红褐色，有显著腥味；眼球凹陷，角膜混沌或发糊；腹部膨胀或变软，表面发暗色或淡绿色斑点；肌肉松弛，弹性差。</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虾类</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体表色泽正常，甲壳无“黑变”或轻度“黑变”，无破损或脱节；虾肉组织紧密有弹性，无异味；肉质清洁完整。</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虾体色泽及光泽褪色，甲壳“黑变”严重，外表暗淡无光泽；虾肉组织韧性差，肉质松软，甲壳与虾体分离；有异味、氨味、腥臭。</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软体动物（章鱼、鱿鱼等）</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体表具有本品种固有新鲜色泽，色素斑清晰，黏液多而清亮；眼球饱满；肌肉柔软，有弹性。</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体表色泽较差，黏液浑浊、有味，体表僵硬发红；眼球凹陷；肌肉弹性差；切面颜色发暗，有异味。</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生鲜牡蛎肉</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牡蛎饱满或稍软，呈乳白色，体液澄清，无色或淡灰色，有牡蛎固有气味，无杂质。</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牡蛎杂质多，色泽异常，体液浑浊等。</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海螺肉</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海螺肉呈乳黄色或浅黄色，有光泽有弹性，局部有玫瑰紫色斑点。</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海螺肉呈白色或灰白色，无光泽，无弹性。</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海带</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色泽深褐色或褐绿色，叶片长而宽阔，肉厚且不带根；表面有微呈白色粉状的甘露醇，含砂量和杂质量少。</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色泽呈黄绿色，叶片短狭而肉薄，含砂量高。</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畜肉类</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放血刀口粗糙、切而外翻、刀口周围的血液浸润；血管口无残留或少残留血液；皮肤呈白色或淡黄色，畜肉脂肪呈白色或乳白色；畜肉有弹性、有光泽。</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放血刀口切线平整、切面整齐、无血液浸润；血管内有较多血液，呈紫红色，血液中可见气泡；皮肤有出血、充血点和黄染等病理变化，畜肉脂肪由于放血不全呈粉红色、黄色或绿色；畜肉无弹性、暗紫色，昏暗甚至粘软，有异味。</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猪肉类</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一般为三至五成夹花）；心、肝、腰：个形整齐、无打水、无病态、无异味、肉色鲜艳，注意粉肝；净猪肚：不带油，不带小肠，无粘液。</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与验收标准不符，病死或者死因不明的畜禽及其制品等。</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牛肉类</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牛腩：无杂碎、不带骨、无病变、块形整齐、无注水、色泽新鲜；牛排：整块、头尾带肉不能过多，排骨带肉约一寸厚。</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与验收标准不符，病死或者死因不明的畜禽及其制品等。</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禽畜类</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与验收标准不符，病死或者死因不明的畜禽及其制品等。</w:t>
            </w:r>
          </w:p>
        </w:tc>
      </w:tr>
      <w:tr>
        <w:tblPrEx>
          <w:tblCellMar>
            <w:top w:w="0" w:type="dxa"/>
            <w:left w:w="108" w:type="dxa"/>
            <w:bottom w:w="0" w:type="dxa"/>
            <w:right w:w="108" w:type="dxa"/>
          </w:tblCellMar>
        </w:tblPrEx>
        <w:trPr>
          <w:trHeight w:val="567" w:hRule="atLeast"/>
          <w:jc w:val="center"/>
        </w:trPr>
        <w:tc>
          <w:tcPr>
            <w:tcW w:w="161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辅料及其他</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根据采购人要求提供各类货品，保证新鲜度，注意保质期，外包装清洁卫生，完整坚固，且包装上的商品名称、厂址、规格等与内容物相符，标识清晰，批次清楚等</w:t>
            </w:r>
          </w:p>
        </w:tc>
        <w:tc>
          <w:tcPr>
            <w:tcW w:w="351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Cs w:val="21"/>
                <w:highlight w:val="none"/>
              </w:rPr>
            </w:pPr>
            <w:r>
              <w:rPr>
                <w:rFonts w:hint="eastAsia" w:ascii="宋体" w:hAnsi="宋体" w:cs="宋体"/>
                <w:szCs w:val="21"/>
                <w:highlight w:val="none"/>
              </w:rPr>
              <w:t>(1)不符合验收标准的、无“SC”标志的产品。</w:t>
            </w:r>
          </w:p>
          <w:p>
            <w:pPr>
              <w:spacing w:line="460" w:lineRule="exact"/>
              <w:rPr>
                <w:rFonts w:ascii="宋体" w:hAnsi="宋体" w:cs="宋体"/>
                <w:szCs w:val="21"/>
                <w:highlight w:val="none"/>
              </w:rPr>
            </w:pPr>
            <w:r>
              <w:rPr>
                <w:rFonts w:hint="eastAsia" w:ascii="宋体" w:hAnsi="宋体" w:cs="宋体"/>
                <w:szCs w:val="21"/>
                <w:highlight w:val="none"/>
              </w:rPr>
              <w:t>(2)无品名、产地、厂名、生产日期、保质期及中文标识及原料说明的定型包装食品.</w:t>
            </w:r>
          </w:p>
          <w:p>
            <w:pPr>
              <w:spacing w:line="460" w:lineRule="exact"/>
              <w:rPr>
                <w:rFonts w:ascii="宋体" w:hAnsi="宋体" w:cs="宋体"/>
                <w:szCs w:val="21"/>
                <w:highlight w:val="none"/>
              </w:rPr>
            </w:pPr>
            <w:r>
              <w:rPr>
                <w:rFonts w:hint="eastAsia" w:ascii="宋体" w:hAnsi="宋体" w:cs="宋体"/>
                <w:szCs w:val="21"/>
                <w:highlight w:val="none"/>
              </w:rPr>
              <w:t>(3)超过保质期限或不符合食品标签规定的定型包装食品.</w:t>
            </w:r>
          </w:p>
          <w:p>
            <w:pPr>
              <w:spacing w:line="460" w:lineRule="exact"/>
              <w:rPr>
                <w:rFonts w:ascii="宋体" w:hAnsi="宋体" w:cs="宋体"/>
                <w:szCs w:val="21"/>
                <w:highlight w:val="none"/>
              </w:rPr>
            </w:pPr>
            <w:r>
              <w:rPr>
                <w:rFonts w:hint="eastAsia" w:ascii="宋体" w:hAnsi="宋体" w:cs="宋体"/>
                <w:szCs w:val="21"/>
                <w:highlight w:val="none"/>
              </w:rPr>
              <w:t>(4)腐败变质,油脂酸败,霉变,生虫,污秽不洁,混有异物或者其他感官性状异常,有害物质污染,可能对人体健康有害的食品.</w:t>
            </w:r>
          </w:p>
        </w:tc>
      </w:tr>
    </w:tbl>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注：冷冻产品到货时产品表面温度不高于-9℃，冷藏产品到货时产品表面温度不高于12℃。</w:t>
      </w:r>
    </w:p>
    <w:p>
      <w:pPr>
        <w:widowControl/>
        <w:spacing w:line="360" w:lineRule="auto"/>
        <w:ind w:firstLine="422" w:firstLineChars="200"/>
        <w:contextualSpacing/>
        <w:rPr>
          <w:rFonts w:ascii="宋体" w:hAnsi="宋体" w:cs="宋体"/>
          <w:b/>
          <w:bCs/>
          <w:color w:val="000000"/>
          <w:kern w:val="0"/>
          <w:szCs w:val="21"/>
          <w:highlight w:val="none"/>
        </w:rPr>
      </w:pPr>
      <w:r>
        <w:rPr>
          <w:rFonts w:hint="eastAsia" w:ascii="宋体" w:hAnsi="宋体" w:cs="宋体"/>
          <w:b/>
          <w:bCs/>
          <w:color w:val="000000"/>
          <w:kern w:val="0"/>
          <w:szCs w:val="21"/>
          <w:highlight w:val="none"/>
        </w:rPr>
        <w:t>5.采购配送方案合理完善</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本次采购配送的内容为采购人食堂所需的</w:t>
      </w:r>
      <w:r>
        <w:rPr>
          <w:rFonts w:hint="eastAsia" w:ascii="宋体" w:hAnsi="宋体" w:cs="宋体"/>
          <w:color w:val="C00000"/>
          <w:kern w:val="0"/>
          <w:szCs w:val="21"/>
          <w:highlight w:val="none"/>
          <w:u w:val="single"/>
        </w:rPr>
        <w:t>10</w:t>
      </w:r>
      <w:r>
        <w:rPr>
          <w:rFonts w:hint="eastAsia" w:ascii="宋体" w:hAnsi="宋体" w:cs="宋体"/>
          <w:color w:val="000000"/>
          <w:kern w:val="0"/>
          <w:szCs w:val="21"/>
          <w:highlight w:val="none"/>
        </w:rPr>
        <w:t>大类大宗物品（实际配送物品以业主实际需求为准进行调整），因此配送供货企业除了自己生产的食品原料，还需要大量采购的物品。配送供货企业制定采购配送方案应合理完善。</w:t>
      </w:r>
    </w:p>
    <w:p>
      <w:pPr>
        <w:widowControl/>
        <w:spacing w:line="360" w:lineRule="auto"/>
        <w:ind w:firstLine="422" w:firstLineChars="200"/>
        <w:contextualSpacing/>
        <w:rPr>
          <w:rFonts w:ascii="宋体" w:hAnsi="宋体" w:cs="宋体"/>
          <w:b/>
          <w:bCs/>
          <w:color w:val="000000"/>
          <w:kern w:val="0"/>
          <w:szCs w:val="21"/>
          <w:highlight w:val="none"/>
        </w:rPr>
      </w:pPr>
      <w:r>
        <w:rPr>
          <w:rFonts w:hint="eastAsia" w:ascii="宋体" w:hAnsi="宋体" w:cs="宋体"/>
          <w:b/>
          <w:bCs/>
          <w:color w:val="000000"/>
          <w:kern w:val="0"/>
          <w:szCs w:val="21"/>
          <w:highlight w:val="none"/>
        </w:rPr>
        <w:t>6.采购配送方案确保安全</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6.1大宗物品配送涉及饮食安全。确保食品安全是配送供货企业的主要职责。配送供货企业应有质量保证体系、必要的硬件设备，确保到食堂的大宗物品符合食品安全要求。</w:t>
      </w:r>
    </w:p>
    <w:p>
      <w:pPr>
        <w:spacing w:line="360" w:lineRule="auto"/>
        <w:ind w:firstLine="420" w:firstLineChars="200"/>
        <w:rPr>
          <w:rFonts w:ascii="宋体" w:hAnsi="宋体" w:cs="宋体"/>
          <w:szCs w:val="21"/>
          <w:highlight w:val="none"/>
        </w:rPr>
      </w:pPr>
      <w:r>
        <w:rPr>
          <w:rFonts w:hint="eastAsia" w:ascii="宋体" w:hAnsi="宋体" w:cs="宋体"/>
          <w:color w:val="000000"/>
          <w:kern w:val="0"/>
          <w:szCs w:val="21"/>
          <w:highlight w:val="none"/>
        </w:rPr>
        <w:t>6.2</w:t>
      </w:r>
      <w:r>
        <w:rPr>
          <w:rFonts w:hint="eastAsia" w:ascii="宋体" w:hAnsi="宋体" w:cs="宋体"/>
          <w:szCs w:val="21"/>
          <w:highlight w:val="none"/>
        </w:rPr>
        <w:t>供应商必须保证对每批次配送的食品出具相应的食品检测合格报告，索证有效率应达到100%。凡是《食品安全法》禁止经营的食品，供应商一律不得采购和使用。严格禁止向采购方配送“三无”食品、有毒有害、过期变质、假冒伪劣等不合格产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①供应商所经营的食品是工业化生产的食品，均应按规定索取生产企业的营业执照、生产许可证、食品质量安全定点检测有效检验报告、食品包装上所示的各类荣誉证书等各种有效证明，其索证有效率应达到100%。在市场上采购的食品也应向供应商索取有效凭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②供应商所经销的食品是农产品，如蔬菜、干货类、豆制品类等，供应商应进行检测并提供合格有效凭证，保证提供食品“安全、卫生、健康、放心”。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③所有蔬菜等食品必须以正规渠道采购（如蔬菜生产基地等），确保安全、放心食用。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④所供蔬菜无枯萎黄叶、清洁新鲜、品质优良。干货类清洁新鲜、无变质，符合国家有关卫生标准，并做到每批次均经检验，四十八小时留样备查。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⑤鲜猪肉的要求及标准：供应商提供的猪肉必须经国家检疫部门检疫，送货时要提供经过检疫部门检疫的有关证明。质量应符合国家有关单位及行业制订的一级鲜猪肉标准。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⑥冷冻品、调味品等，必须严格按要求指定的品牌以正规单位采购，品牌要正宗并进行认真验收，杜绝假冒、变质、过期的食品配送到采购方。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⑦其他食品也必须确保“安全、卫生、健康、放心”。</w:t>
      </w:r>
    </w:p>
    <w:p>
      <w:pPr>
        <w:spacing w:line="360" w:lineRule="auto"/>
        <w:ind w:firstLine="420" w:firstLineChars="200"/>
        <w:rPr>
          <w:rFonts w:ascii="宋体" w:hAnsi="宋体" w:cs="宋体"/>
          <w:szCs w:val="21"/>
          <w:highlight w:val="none"/>
        </w:rPr>
      </w:pPr>
      <w:r>
        <w:rPr>
          <w:rFonts w:hint="eastAsia" w:ascii="宋体" w:hAnsi="宋体" w:cs="宋体"/>
          <w:color w:val="000000"/>
          <w:kern w:val="0"/>
          <w:szCs w:val="21"/>
          <w:highlight w:val="none"/>
        </w:rPr>
        <w:t>6.3</w:t>
      </w:r>
      <w:r>
        <w:rPr>
          <w:rFonts w:hint="eastAsia" w:ascii="宋体" w:hAnsi="宋体" w:cs="宋体"/>
          <w:szCs w:val="21"/>
          <w:highlight w:val="none"/>
        </w:rPr>
        <w:t>供应商必须做到服务态度良好、配送及时。所有的食品应严格检测及验收，确保食品安全。同时供应商要确保进货源头安全，建立进货台账，确保食品质量。</w:t>
      </w:r>
    </w:p>
    <w:p>
      <w:pPr>
        <w:spacing w:line="360" w:lineRule="auto"/>
        <w:ind w:firstLine="420" w:firstLineChars="200"/>
        <w:rPr>
          <w:rFonts w:ascii="宋体" w:hAnsi="宋体" w:cs="宋体"/>
          <w:szCs w:val="21"/>
          <w:highlight w:val="none"/>
        </w:rPr>
      </w:pPr>
      <w:r>
        <w:rPr>
          <w:rFonts w:hint="eastAsia" w:ascii="宋体" w:hAnsi="宋体" w:cs="宋体"/>
          <w:color w:val="000000"/>
          <w:kern w:val="0"/>
          <w:szCs w:val="21"/>
          <w:highlight w:val="none"/>
        </w:rPr>
        <w:t>6.4</w:t>
      </w:r>
      <w:r>
        <w:rPr>
          <w:rFonts w:hint="eastAsia" w:ascii="宋体" w:hAnsi="宋体" w:cs="宋体"/>
          <w:szCs w:val="21"/>
          <w:highlight w:val="none"/>
        </w:rPr>
        <w:t>供应商必须及时向采购人保质、按量配送食品，并附有该食品安全检测报告，不无故推诿或缓送，并自觉接受各职能部门的检查。</w:t>
      </w:r>
    </w:p>
    <w:p>
      <w:pPr>
        <w:spacing w:line="360" w:lineRule="auto"/>
        <w:ind w:firstLine="420" w:firstLineChars="200"/>
        <w:rPr>
          <w:rFonts w:ascii="宋体" w:hAnsi="宋体" w:cs="宋体"/>
          <w:szCs w:val="21"/>
          <w:highlight w:val="none"/>
        </w:rPr>
      </w:pPr>
      <w:r>
        <w:rPr>
          <w:rFonts w:hint="eastAsia" w:ascii="宋体" w:hAnsi="宋体" w:cs="宋体"/>
          <w:color w:val="000000"/>
          <w:kern w:val="0"/>
          <w:szCs w:val="21"/>
          <w:highlight w:val="none"/>
        </w:rPr>
        <w:t>6.5</w:t>
      </w:r>
      <w:r>
        <w:rPr>
          <w:rFonts w:hint="eastAsia" w:ascii="宋体" w:hAnsi="宋体" w:cs="宋体"/>
          <w:szCs w:val="21"/>
          <w:highlight w:val="none"/>
        </w:rPr>
        <w:t>采购人对供应商实行动态管理。采购人及相关部门代表将成立食堂食品配送工作考评小组，对照招标文件及投标文件要求，根据部门工作人员、机关监管人员的反馈情况和日常监督、检查情况，对供应商的食品配送工作进行考核评估。供应商在食品配送过程中，如果出现下列情形之一的，将取消配送资格，并赔偿由此造成的所有经济损失，触犯法律的，将追究法律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①所供的蔬菜等食品中含有毒有害物质等原因引发安全事故的；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②经营场地、设施设备、从业人员弄虚作假；生产、经营者的生产经营条件发生变化，不符合食品生产经营要求，有发生食品安全事故的潜在风险，所供应产品不符合食品安全标准；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③未按相关要求按时向采购人提供相关证件、产品年度质检部门抽检报告、分批次厂内自检报告、销售凭证等资料；未建立进销台账或台帐资料与采购人台帐不符；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④违法违规经营，受到市场监督、卫生、物价等职能部门行政处罚，并认定为情节严重的；向监督管理部门、采购人的采购工作人员行贿或提供其他不正当利益；向采购方虚开销售凭证；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⑤送货不及时，影响正常用餐，社会影响较大的；履约服务承诺差，投诉多，反映问题集中；在食堂食品配送工作考评中考评不合格的；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⑥涉嫌垄断经营，故意串通哄抬价格的；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⑦发现并查实中标供应商转包或委托他人经营的；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⑧有其他违反《中华人民共和国食品安全法》、《中华人民共和国食品安全法实施条例》相关条款行为。</w:t>
      </w:r>
    </w:p>
    <w:p>
      <w:pPr>
        <w:widowControl/>
        <w:spacing w:line="360" w:lineRule="auto"/>
        <w:ind w:firstLine="422" w:firstLineChars="200"/>
        <w:contextualSpacing/>
        <w:rPr>
          <w:rFonts w:ascii="宋体" w:hAnsi="宋体" w:cs="宋体"/>
          <w:b/>
          <w:bCs/>
          <w:color w:val="000000"/>
          <w:kern w:val="0"/>
          <w:szCs w:val="21"/>
          <w:highlight w:val="none"/>
        </w:rPr>
      </w:pPr>
      <w:r>
        <w:rPr>
          <w:rFonts w:hint="eastAsia" w:ascii="宋体" w:hAnsi="宋体" w:cs="宋体"/>
          <w:b/>
          <w:bCs/>
          <w:color w:val="000000"/>
          <w:kern w:val="0"/>
          <w:szCs w:val="21"/>
          <w:highlight w:val="none"/>
        </w:rPr>
        <w:t>7.采购配送物品合理低价</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食堂大宗物品采购量大，但配送要求较高。采购人具有相应的验收结算制度，控制物品采购价格。配送供货企业的采购配送方案在确保质量的前提下尽量低价并做好台账记录。</w:t>
      </w:r>
    </w:p>
    <w:p>
      <w:pPr>
        <w:widowControl/>
        <w:spacing w:line="360" w:lineRule="auto"/>
        <w:ind w:firstLine="422" w:firstLineChars="200"/>
        <w:contextualSpacing/>
        <w:rPr>
          <w:rFonts w:ascii="宋体" w:hAnsi="宋体" w:cs="宋体"/>
          <w:b/>
          <w:bCs/>
          <w:color w:val="000000"/>
          <w:kern w:val="0"/>
          <w:szCs w:val="21"/>
          <w:highlight w:val="none"/>
        </w:rPr>
      </w:pPr>
      <w:r>
        <w:rPr>
          <w:rFonts w:hint="eastAsia" w:ascii="宋体" w:hAnsi="宋体" w:cs="宋体"/>
          <w:b/>
          <w:bCs/>
          <w:color w:val="000000"/>
          <w:kern w:val="0"/>
          <w:szCs w:val="21"/>
          <w:highlight w:val="none"/>
        </w:rPr>
        <w:t>8.食品质量安全要求</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采购配送食品安全要求：农产品、副食产品等货物配送必须依托采购人食堂菜谱餐单信息，严格遵守采购人《食品安全管理规定》，做好以下几个方面工作：</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8.1蔬菜类：蔬菜必须根据季节变换实施跟进，购买新鲜应季蔬菜，严禁购买生、烂、过季的蔬菜，符合《中华人民共和国农产品质量安全法》的基本要求,不能配送带有农药、粪便等不卫生蔬菜。根茎食材应头尾粗细均匀，表皮完整，水分充足，无泥土；叶类食材叶片应肥厚、嫩滑无虫害，农药残留符合国家检验标准。</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8.2水果类：水果必须根据季节变换实施跟进，购买新鲜应季水果，严禁购买生、烂、过季的水果，符合《中华人民共和国农产品质量安全法》的基本要求,不能配送带有农药、粪便等不卫生水果。农药残留符合国家检验标准。水果表皮完整、色泽自然、口感适中，大小均匀，无破损，无虫害。</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8.3饮品类：饮品类必须从正规的商场、超市及专门的正规饮品厂家购买，购买符合产品的质量标准，必须在有效生产周期内。</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8.4肉类：必须从正规肉联厂购买新鲜肉食，必须有正规卫生防疫检疫部门的盖章标志，有厂家提供的卫生防疫证明，符合国际质检部门规定的上限，不能从无正规手续、黑市、肉贩子手中购买。肉品须表皮洁净、膘厚适中、色泽鲜亮、纹理清晰、肉质细腻、无异味、去骨、无毛、按压无水迹。盐酸克伦特罗和莱克多巴胺含量不得超过国家限定标准，感官质量要求 ①猪肉（含猪排骨）：有可溯源，非疫区（如猪瘟期间需要提供非洲猪瘟检测的阴性结果）；并有动物检验检疫票（票据上的数量需要大于等于采购方当天采购的数量）；不得有公、母、病等异常猪肉。外观：无奶头、无色素沉着物、不带黄汁，无甲状腺和肾上腺，无病变巴结，无淤血，碎骨、软骨≤4粒/10kg。外表及其切面微微湿润，不粘手；无臭味、无异味、无氨味及酸味儿，无注水、无寄生虫、脂肪无氧化味，有新鲜猪肉的轻微血腥气，肉质紧密，有坚实感，用手按压凹陷后能立即复原；肉汤透明，芳香，气味和滋味鲜美。猪排骨：带肉不带肥油，厚实、完整，不得剔除，骨肉不分离。汤骨：骨头洁白有光亮，附着在上面得肉和筋腱有弹性，有生肉固有得气味，无异味。可以圆管形，浅黄骨髓充满全部管状骨腔，带部分肌肉。猪肘：皮肉白净，无毛，脂肪洁白，肌肉红润，肥瘦比例适中，外表湿润，不粘手，弹性良好，气味正常，无血污，肉边整齐，无碎肉，碎骨。②鲜牛肉：肉色深红，肉质有弹性，指压凹陷部分会立即恢复，切面有光泽及微微湿润，极少渗出物；具有浓郁得牛肉气味儿，脂肪白色或者乳白色，无寄生虫，无注水。③鲜羊肉： 肉色为均匀的红色，有光泽，肉质紧密而细腻，有弹性，外表微干，不粘手，无注水。</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4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④</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鲜鸡肉类：具有该品种具有的外形特征，大小符合要求，肌肉切而发光，外表微干或者微湿润，不粘手；指压后的凹陷立即恢复，具有鲜鸡肉正常的气味儿，无打水。</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5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⑤</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鲜鸭肉：表皮光滑而有光泽，肉质弹性好且丰满，表皮无破损，无花皮，无显眼淤块；无注水，无血水，无异味。</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6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⑥</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鹅肉：眼球平坦或稍有凹陷；皮肤有光泽，呈淡黄色、乳白色、淡红色，肌肉切面有光泽；皮肤湿润不黏手，肌肉有弹性，指压后凹陷不明显；有鹅固有的气味。</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7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⑦</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驴肉：色泽须呈红褐色,脂肪颜色淡黄,富有光泽,肌肉组织应结实富有弹性。外表微干，不粘手，无注水。</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8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⑧</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兔肉：具有该品种的外形特征，大小符合要求，切而发光，外表微干或者微湿润，不粘手；指压后的凹陷立即恢复，具有鲜兔肉正常的气味儿，无打水。</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8.5禽蛋类：必须有正规卫生防疫检疫部门的盖章标志，有厂家提供的卫生防疫证明，符合国际质检部门规定的上限，不能从无正规手续、黑市、肉贩子手中购买。</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8.6冷冻品：具有动物检验检疫合格证明、“QS”或“SC”食品质量认证标志。品质良好、包装完好、无异味、无病毒，有生产日期和保质期，且在保质期内，来自非疫区。冷藏或冷冻储存，保质期12个月。外观检查无异味无酸败味。内衬食品袋包装，冷藏车或冷冻车运输交付。感官质量要求①鸡类：去皮称重。②鸭类：去皮称重。③冷冻鸡（解冻后）： 眼球饱满或平坦；皮肤有光泽，呈淡黄、淡红、灰白色等，肌肉切面有光泽；指压后凹陷恢复的慢，且不能完全恢复；鸡肉的正常气味。</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4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④</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冷冻鸭、鹅（解冻后）： 眼球平坦或稍有凹陷；皮肤有光泽，呈淡黄色、乳白色、淡红色，肌肉切面有光泽；皮肤湿润不黏手，肌肉有弹性，指压后凹陷不明显；有鸭、鹅固有的气味。</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5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⑤</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鸡腿：皮颜色淡黄，肉颜色鲜红，有光泽，皮光洁紧缩，肉与皮结合紧密，弹性好，无异味。</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6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⑥</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鸡翅： 颜色淡黄有光泽，皮光洁紧缩，肉与皮结合紧密，无异味。</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7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⑦</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禽心： 颜色紫褐色，形状完整、紧密结实，弹性好。</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8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⑧</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白条鸡/乌鸡： 眼睛明亮饱满，形态完整，表皮颜色因品种不同而呈乳白、淡黄、粉红色或乌黑色，有光泽且皮肉结合紧密，肉质弹性好，按之可以立即恢复，表面干湿度合适、不黏手，无异味。</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9 \* GB3 \* MERGEFORMAT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⑨</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白条鸭： 眼睛明亮饱满，形态完整，表皮颜色因品种不同而呈乳白、淡黄色，有光泽且皮肉结合紧密，毛少，肉质弹性好，按之可立即恢复，表面干湿度合适，不黏手，无异味。冷冻水产类食品解冻后净重量不少于85%，（解冻方式：20℃室温解冻4小时以内）。冷冻水产品必须有包装，并清晰列出的产地、品牌、规格、类型、包装方式、包装净重、含冰量、上市期等相关参数。</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8.7干货类：干爽、不霉烂无虫蛀、整齐均匀、完整 ，产品质量符合国家质量检疫部门的标准。</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8.8豆制品：原材料不得使用转基因大豆等非法原材料，产品质量符合国家质量检疫部门的标准。</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8.9水产类：鱼眼睛明亮、鱼身结实而富弹性；虾身硬挺、光滑、明亮而饱满、虾身完整，无腐臭味，必须保鲜、保质，足斤足量。对于要求提供鲜活海鲜、水产品的订单，须保证验收时是鲜活、无残缺的。如采购人有加工需求，投标人应按照招标人的使用标准给予免费加工。冰鲜水产品，要确保当日上市的新鲜水产，理化检验Ph值应保持在6.5至6.8之间。</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8.10其他类：</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8.10.1粮油类：粮油类食品必须符合卫生标准，必须从正规厂家或商家购买， 符合食品卫生检疫标准，必须在有效生产周期内，必须为非转基因油。</w:t>
      </w:r>
    </w:p>
    <w:p>
      <w:pPr>
        <w:widowControl/>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8.10.2调料类：食品调料必须从正规的商场、超市以及调料专业机构购买，产品质量符合国家质量检疫部门的标准。</w:t>
      </w:r>
    </w:p>
    <w:p>
      <w:pPr>
        <w:widowControl/>
        <w:spacing w:line="360" w:lineRule="auto"/>
        <w:ind w:firstLine="422" w:firstLineChars="200"/>
        <w:contextualSpacing/>
        <w:rPr>
          <w:rFonts w:ascii="宋体" w:hAnsi="宋体" w:cs="宋体"/>
          <w:b/>
          <w:bCs/>
          <w:color w:val="000000"/>
          <w:kern w:val="0"/>
          <w:szCs w:val="21"/>
          <w:highlight w:val="none"/>
        </w:rPr>
      </w:pPr>
      <w:r>
        <w:rPr>
          <w:rFonts w:hint="eastAsia" w:ascii="宋体" w:hAnsi="宋体" w:cs="宋体"/>
          <w:b/>
          <w:bCs/>
          <w:color w:val="000000"/>
          <w:kern w:val="0"/>
          <w:szCs w:val="21"/>
          <w:highlight w:val="none"/>
        </w:rPr>
        <w:t>9.人员配备</w:t>
      </w:r>
    </w:p>
    <w:p>
      <w:pPr>
        <w:widowControl/>
        <w:spacing w:line="360" w:lineRule="auto"/>
        <w:contextualSpacing/>
        <w:rPr>
          <w:rFonts w:ascii="宋体" w:hAnsi="宋体" w:cs="宋体"/>
          <w:b/>
          <w:kern w:val="0"/>
          <w:szCs w:val="21"/>
          <w:highlight w:val="none"/>
        </w:rPr>
      </w:pPr>
      <w:r>
        <w:rPr>
          <w:rFonts w:hint="eastAsia" w:ascii="宋体" w:hAnsi="宋体" w:cs="宋体"/>
          <w:color w:val="000000"/>
          <w:kern w:val="0"/>
          <w:szCs w:val="21"/>
          <w:highlight w:val="none"/>
        </w:rPr>
        <w:t>要求人员持有《公共卫生从业人员健康检查证》，做到持证上岗。同时，做到配送人员和机动车辆固定。配送人员固定在</w:t>
      </w:r>
      <w:r>
        <w:rPr>
          <w:rFonts w:hint="eastAsia" w:ascii="宋体" w:hAnsi="宋体" w:cs="宋体"/>
          <w:color w:val="000000"/>
          <w:kern w:val="0"/>
          <w:szCs w:val="21"/>
          <w:highlight w:val="none"/>
          <w:u w:val="single"/>
          <w:lang w:val="en-US" w:eastAsia="zh-CN"/>
        </w:rPr>
        <w:t>3人</w:t>
      </w:r>
      <w:r>
        <w:rPr>
          <w:rFonts w:hint="eastAsia" w:ascii="宋体" w:hAnsi="宋体" w:cs="宋体"/>
          <w:color w:val="000000"/>
          <w:kern w:val="0"/>
          <w:szCs w:val="21"/>
          <w:highlight w:val="none"/>
        </w:rPr>
        <w:t>（合同中需明确具体人员名单）。</w:t>
      </w:r>
    </w:p>
    <w:p>
      <w:pPr>
        <w:widowControl/>
        <w:numPr>
          <w:ilvl w:val="0"/>
          <w:numId w:val="2"/>
        </w:numPr>
        <w:spacing w:line="360" w:lineRule="auto"/>
        <w:contextualSpacing/>
        <w:rPr>
          <w:rFonts w:ascii="宋体" w:hAnsi="宋体" w:cs="宋体"/>
          <w:kern w:val="0"/>
          <w:szCs w:val="21"/>
          <w:highlight w:val="none"/>
        </w:rPr>
      </w:pPr>
      <w:r>
        <w:rPr>
          <w:rFonts w:hint="eastAsia" w:ascii="宋体" w:hAnsi="宋体" w:cs="宋体"/>
          <w:b/>
          <w:kern w:val="0"/>
          <w:szCs w:val="21"/>
          <w:highlight w:val="none"/>
        </w:rPr>
        <w:t>报价及结算要求</w:t>
      </w:r>
    </w:p>
    <w:p>
      <w:pPr>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1.</w:t>
      </w:r>
      <w:r>
        <w:rPr>
          <w:rFonts w:hint="eastAsia" w:ascii="宋体" w:hAnsi="宋体" w:cs="宋体"/>
          <w:szCs w:val="21"/>
          <w:highlight w:val="none"/>
        </w:rPr>
        <w:t>“基准价”确认原则及报价方式：</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投标人根据嘉兴市发展和改革委员会网站中公布的《嘉兴市主要商品和服务价格监测报表》中各产品三个菜场的平均价为基准价（查询路径：网页https://fzggw.jiaxing.gov.cn/→发改专题→成本建设与价格管理→价格监测→《嘉兴市主要商品和服务价格监测报表》→一、市区部分农贸市场食品零售价格监测表），原则上每月公布一次，投标人根据嘉兴市发展和改革委员网站中公布的价格按投标</w:t>
      </w:r>
      <w:r>
        <w:rPr>
          <w:rFonts w:hint="eastAsia" w:ascii="宋体" w:hAnsi="宋体" w:cs="宋体"/>
          <w:szCs w:val="21"/>
          <w:highlight w:val="none"/>
          <w:lang w:eastAsia="zh-CN"/>
        </w:rPr>
        <w:t>折扣率</w:t>
      </w:r>
      <w:r>
        <w:rPr>
          <w:rFonts w:hint="eastAsia" w:ascii="宋体" w:hAnsi="宋体" w:cs="宋体"/>
          <w:szCs w:val="21"/>
          <w:highlight w:val="none"/>
        </w:rPr>
        <w:t>进行报价</w:t>
      </w:r>
      <w:r>
        <w:rPr>
          <w:rFonts w:hint="eastAsia" w:ascii="宋体" w:hAnsi="宋体" w:cs="宋体"/>
          <w:b/>
          <w:bCs/>
          <w:szCs w:val="21"/>
          <w:highlight w:val="none"/>
        </w:rPr>
        <w:t>（如：投标报价为90%，嘉兴市发展和改革委员会网站中7月公布的东北米（长粒香）单价平均价=（2.8+3.5+3）=3.1元/500克，则东北米（长粒香）结算单价=3.1*90%=2.79元/500克）</w:t>
      </w:r>
      <w:r>
        <w:rPr>
          <w:rFonts w:hint="eastAsia" w:ascii="宋体" w:hAnsi="宋体" w:cs="宋体"/>
          <w:szCs w:val="21"/>
          <w:highlight w:val="none"/>
        </w:rPr>
        <w:t>；若嘉兴市发展和改革委员会网站上未公布的产品则根据大润发优鲜app中对应产品当日单价作为基准价（有促销价的，若中标</w:t>
      </w:r>
      <w:r>
        <w:rPr>
          <w:rFonts w:hint="eastAsia" w:ascii="宋体" w:hAnsi="宋体" w:cs="宋体"/>
          <w:szCs w:val="21"/>
          <w:highlight w:val="none"/>
          <w:lang w:eastAsia="zh-CN"/>
        </w:rPr>
        <w:t>折扣率</w:t>
      </w:r>
      <w:r>
        <w:rPr>
          <w:rFonts w:hint="eastAsia" w:ascii="宋体" w:hAnsi="宋体" w:cs="宋体"/>
          <w:szCs w:val="21"/>
          <w:highlight w:val="none"/>
        </w:rPr>
        <w:t>乘以原价高于该产品促销价的则按促销价结算）</w:t>
      </w:r>
      <w:r>
        <w:rPr>
          <w:rFonts w:hint="eastAsia" w:ascii="宋体" w:hAnsi="宋体" w:cs="宋体"/>
          <w:b/>
          <w:bCs/>
          <w:szCs w:val="21"/>
          <w:highlight w:val="none"/>
        </w:rPr>
        <w:t>（如：投标报价为90%，大润发优鲜app中公布的东北米（清香稻长粒香米）单价86.9元/10000克，则东北米（清香稻长粒香米）结算单价=86.9*90%=86元/10000克，若东北米（清香稻长粒香米）结算当日促销价低于86元/10000克的则按促销价结算）</w:t>
      </w:r>
      <w:r>
        <w:rPr>
          <w:rFonts w:hint="eastAsia" w:ascii="宋体" w:hAnsi="宋体" w:cs="宋体"/>
          <w:szCs w:val="21"/>
          <w:highlight w:val="none"/>
        </w:rPr>
        <w:t>；若嘉兴市发展和改革委员会网站、大润发优鲜app中均未公布的产品则中标人根据就近农贸市场的价格作为基准价，价格需经采购人确认后方可采用。</w:t>
      </w:r>
      <w:r>
        <w:rPr>
          <w:rFonts w:hint="eastAsia" w:ascii="宋体" w:hAnsi="宋体" w:cs="宋体"/>
          <w:b/>
          <w:bCs/>
          <w:szCs w:val="21"/>
          <w:highlight w:val="none"/>
        </w:rPr>
        <w:t>（如：投标报价为90%，农贸市场的东北米（清香稻长粒香米）单价86.9元/10000克，则东北米（清香稻长粒香米）结算单价=86.9*90%=86元/10000克）</w:t>
      </w:r>
    </w:p>
    <w:p>
      <w:pPr>
        <w:widowControl/>
        <w:spacing w:line="360" w:lineRule="auto"/>
        <w:ind w:firstLine="420" w:firstLineChars="200"/>
        <w:contextualSpacing/>
        <w:rPr>
          <w:rFonts w:eastAsia="仿宋_GB2312"/>
          <w:color w:val="000000"/>
          <w:kern w:val="0"/>
          <w:sz w:val="24"/>
          <w:highlight w:val="none"/>
        </w:rPr>
      </w:pPr>
      <w:r>
        <w:rPr>
          <w:rFonts w:hint="eastAsia" w:ascii="宋体" w:hAnsi="宋体" w:cs="宋体"/>
          <w:szCs w:val="21"/>
          <w:highlight w:val="none"/>
        </w:rPr>
        <w:t>2.结算方式：按每周对公结算一次，采购人食堂管理人员每天依据结算价统计食堂大宗物品的配送金额上报财务结算，每周由采购人食堂管理人员统计上周的发生额与中标人相关人员确认，双方核对无误，中标人开具发票。采购人在收到发票后，按照10个工作日结算期限将货款转至中标人账户（如遇节假日顺延），因中标人延迟提供发票导致采购人逾期付款的，采购人不因此承担违约责任。以嘉兴市发展和改革委员会网站中发布的为基准，原则上每月公布一次，结算时按已公布的最近一个月的单价作为结算依据，若结算当日有最新更新的则按最新单价结算；以大润发优鲜app为基准的则根据app上每日对应产品单价结算</w:t>
      </w:r>
      <w:r>
        <w:rPr>
          <w:rFonts w:hint="eastAsia" w:eastAsia="仿宋_GB2312"/>
          <w:color w:val="000000"/>
          <w:kern w:val="0"/>
          <w:sz w:val="24"/>
          <w:highlight w:val="none"/>
        </w:rPr>
        <w:t>。</w:t>
      </w:r>
    </w:p>
    <w:p>
      <w:pPr>
        <w:widowControl/>
        <w:spacing w:line="360" w:lineRule="auto"/>
        <w:contextualSpacing/>
        <w:rPr>
          <w:rFonts w:ascii="宋体" w:hAnsi="宋体" w:cs="宋体"/>
          <w:b/>
          <w:kern w:val="0"/>
          <w:szCs w:val="21"/>
          <w:highlight w:val="none"/>
        </w:rPr>
      </w:pPr>
      <w:r>
        <w:rPr>
          <w:rFonts w:hint="eastAsia" w:ascii="宋体" w:hAnsi="宋体" w:cs="宋体"/>
          <w:b/>
          <w:kern w:val="0"/>
          <w:szCs w:val="21"/>
          <w:highlight w:val="none"/>
        </w:rPr>
        <w:t>四、其他要求</w:t>
      </w:r>
    </w:p>
    <w:p>
      <w:pPr>
        <w:widowControl/>
        <w:spacing w:line="360" w:lineRule="auto"/>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1.在项目实施的阶段，中标人需确保现场有足够、合适的人员做好物品采购、整理、配送、索证索票等工作。</w:t>
      </w:r>
    </w:p>
    <w:p>
      <w:pPr>
        <w:widowControl/>
        <w:spacing w:line="360" w:lineRule="auto"/>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2.中标人应提供一定量的培训，确保配送过程中采购方验收交接过程中的食品安全。</w:t>
      </w:r>
    </w:p>
    <w:p>
      <w:pPr>
        <w:widowControl/>
        <w:spacing w:line="360" w:lineRule="auto"/>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3.采购配送单位的考核：</w:t>
      </w:r>
    </w:p>
    <w:p>
      <w:pPr>
        <w:widowControl/>
        <w:spacing w:line="360" w:lineRule="auto"/>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配送任务完成后，采购人每</w:t>
      </w:r>
      <w:r>
        <w:rPr>
          <w:rFonts w:hint="eastAsia" w:ascii="宋体" w:hAnsi="宋体" w:cs="宋体"/>
          <w:kern w:val="0"/>
          <w:szCs w:val="21"/>
          <w:highlight w:val="none"/>
          <w:lang w:val="en-US" w:eastAsia="zh-CN"/>
        </w:rPr>
        <w:t>月（分站点分别考核）</w:t>
      </w:r>
      <w:r>
        <w:rPr>
          <w:rFonts w:hint="eastAsia" w:ascii="宋体" w:hAnsi="宋体" w:cs="宋体"/>
          <w:kern w:val="0"/>
          <w:szCs w:val="21"/>
          <w:highlight w:val="none"/>
        </w:rPr>
        <w:t>对中标人配送服务实行一次考核评分。本动态考核细则为暂定内容,采购人有权根据配送具体情况修改及添加考核条款。</w:t>
      </w:r>
    </w:p>
    <w:p>
      <w:pPr>
        <w:snapToGrid w:val="0"/>
        <w:spacing w:line="460" w:lineRule="exact"/>
        <w:jc w:val="center"/>
        <w:rPr>
          <w:rFonts w:eastAsia="新宋体"/>
          <w:b/>
          <w:sz w:val="22"/>
          <w:szCs w:val="22"/>
          <w:highlight w:val="none"/>
        </w:rPr>
      </w:pPr>
      <w:r>
        <w:rPr>
          <w:rFonts w:eastAsia="新宋体"/>
          <w:b/>
          <w:sz w:val="22"/>
          <w:szCs w:val="22"/>
          <w:highlight w:val="none"/>
        </w:rPr>
        <w:t>食材供应商评价表</w:t>
      </w:r>
    </w:p>
    <w:p>
      <w:pPr>
        <w:snapToGrid w:val="0"/>
        <w:spacing w:line="460" w:lineRule="exact"/>
        <w:jc w:val="left"/>
        <w:rPr>
          <w:rFonts w:eastAsia="新宋体"/>
          <w:sz w:val="22"/>
          <w:szCs w:val="22"/>
          <w:highlight w:val="none"/>
        </w:rPr>
      </w:pPr>
      <w:r>
        <w:rPr>
          <w:rFonts w:eastAsia="新宋体"/>
          <w:sz w:val="22"/>
          <w:szCs w:val="22"/>
          <w:highlight w:val="none"/>
        </w:rPr>
        <w:t>供应商名称：                                                        月度：</w:t>
      </w:r>
    </w:p>
    <w:tbl>
      <w:tblPr>
        <w:tblStyle w:val="47"/>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8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新宋体"/>
                <w:sz w:val="22"/>
                <w:szCs w:val="22"/>
                <w:highlight w:val="none"/>
              </w:rPr>
            </w:pPr>
            <w:r>
              <w:rPr>
                <w:rFonts w:eastAsia="新宋体"/>
                <w:sz w:val="22"/>
                <w:szCs w:val="22"/>
                <w:highlight w:val="none"/>
              </w:rPr>
              <w:t>评价指标</w:t>
            </w: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新宋体"/>
                <w:sz w:val="22"/>
                <w:szCs w:val="22"/>
                <w:highlight w:val="none"/>
              </w:rPr>
            </w:pPr>
            <w:r>
              <w:rPr>
                <w:rFonts w:eastAsia="新宋体"/>
                <w:sz w:val="22"/>
                <w:szCs w:val="22"/>
                <w:highlight w:val="none"/>
              </w:rPr>
              <w:t>评价细则</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新宋体"/>
                <w:sz w:val="22"/>
                <w:szCs w:val="22"/>
                <w:highlight w:val="none"/>
              </w:rPr>
            </w:pPr>
            <w:r>
              <w:rPr>
                <w:rFonts w:eastAsia="新宋体"/>
                <w:sz w:val="22"/>
                <w:szCs w:val="22"/>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restart"/>
            <w:tcBorders>
              <w:top w:val="single" w:color="auto" w:sz="4" w:space="0"/>
              <w:left w:val="single" w:color="auto" w:sz="4" w:space="0"/>
              <w:right w:val="single" w:color="auto" w:sz="4" w:space="0"/>
            </w:tcBorders>
            <w:vAlign w:val="center"/>
          </w:tcPr>
          <w:p>
            <w:pPr>
              <w:snapToGrid w:val="0"/>
              <w:spacing w:line="460" w:lineRule="exact"/>
              <w:jc w:val="center"/>
              <w:rPr>
                <w:rFonts w:eastAsia="新宋体"/>
                <w:sz w:val="22"/>
                <w:szCs w:val="22"/>
                <w:highlight w:val="none"/>
              </w:rPr>
            </w:pPr>
            <w:r>
              <w:rPr>
                <w:rFonts w:eastAsia="新宋体"/>
                <w:sz w:val="22"/>
                <w:szCs w:val="22"/>
                <w:highlight w:val="none"/>
              </w:rPr>
              <w:t>流程管理（30分）</w:t>
            </w: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eastAsia="新宋体"/>
                <w:sz w:val="22"/>
                <w:szCs w:val="22"/>
                <w:highlight w:val="none"/>
              </w:rPr>
            </w:pPr>
            <w:r>
              <w:rPr>
                <w:rFonts w:eastAsia="新宋体"/>
                <w:sz w:val="22"/>
                <w:szCs w:val="22"/>
                <w:highlight w:val="none"/>
              </w:rPr>
              <w:t>准时送货（15分）：每</w:t>
            </w:r>
            <w:r>
              <w:rPr>
                <w:rFonts w:hint="eastAsia" w:eastAsia="新宋体"/>
                <w:sz w:val="22"/>
                <w:szCs w:val="22"/>
                <w:highlight w:val="none"/>
              </w:rPr>
              <w:t>周</w:t>
            </w:r>
            <w:r>
              <w:rPr>
                <w:rFonts w:eastAsia="新宋体"/>
                <w:sz w:val="22"/>
                <w:szCs w:val="22"/>
                <w:highlight w:val="none"/>
              </w:rPr>
              <w:t>根据配送响应时间、应急供应情况等内容进行评价，未准时送货，非不可抗拒情况下延误一次扣3分，超出约定时间2小时以上的，或拒绝提供应急供应的，每出现一次，扣10分(以此类推，扣完为止)。</w:t>
            </w:r>
          </w:p>
        </w:tc>
        <w:tc>
          <w:tcPr>
            <w:tcW w:w="960" w:type="dxa"/>
            <w:tcBorders>
              <w:top w:val="single" w:color="auto" w:sz="4" w:space="0"/>
              <w:left w:val="single" w:color="auto" w:sz="4" w:space="0"/>
              <w:right w:val="single" w:color="auto" w:sz="4" w:space="0"/>
            </w:tcBorders>
            <w:vAlign w:val="center"/>
          </w:tcPr>
          <w:p>
            <w:pPr>
              <w:snapToGrid w:val="0"/>
              <w:spacing w:line="460" w:lineRule="exact"/>
              <w:jc w:val="left"/>
              <w:rPr>
                <w:rFonts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pPr>
              <w:snapToGrid w:val="0"/>
              <w:spacing w:line="460" w:lineRule="exact"/>
              <w:jc w:val="center"/>
              <w:rPr>
                <w:rFonts w:eastAsia="新宋体"/>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eastAsia="新宋体"/>
                <w:sz w:val="22"/>
                <w:szCs w:val="22"/>
                <w:highlight w:val="none"/>
              </w:rPr>
            </w:pPr>
            <w:r>
              <w:rPr>
                <w:rFonts w:eastAsia="新宋体"/>
                <w:sz w:val="22"/>
                <w:szCs w:val="22"/>
                <w:highlight w:val="none"/>
              </w:rPr>
              <w:t>服务态度（6分）：工作人员工作认真，服务热情周到，运送搬装文明(运送人员野蛮运装或无正当理由与食堂人员争执，每出现一次，扣3分，以此类推，扣完为止)；</w:t>
            </w:r>
          </w:p>
        </w:tc>
        <w:tc>
          <w:tcPr>
            <w:tcW w:w="960" w:type="dxa"/>
            <w:tcBorders>
              <w:top w:val="single" w:color="auto" w:sz="4" w:space="0"/>
              <w:left w:val="single" w:color="auto" w:sz="4" w:space="0"/>
              <w:right w:val="single" w:color="auto" w:sz="4" w:space="0"/>
            </w:tcBorders>
            <w:vAlign w:val="center"/>
          </w:tcPr>
          <w:p>
            <w:pPr>
              <w:snapToGrid w:val="0"/>
              <w:spacing w:line="460" w:lineRule="exact"/>
              <w:jc w:val="left"/>
              <w:rPr>
                <w:rFonts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pPr>
              <w:snapToGrid w:val="0"/>
              <w:spacing w:line="460" w:lineRule="exact"/>
              <w:jc w:val="center"/>
              <w:rPr>
                <w:rFonts w:eastAsia="新宋体"/>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eastAsia="新宋体"/>
                <w:sz w:val="22"/>
                <w:szCs w:val="22"/>
                <w:highlight w:val="none"/>
              </w:rPr>
            </w:pPr>
            <w:r>
              <w:rPr>
                <w:rFonts w:eastAsia="新宋体"/>
                <w:sz w:val="22"/>
                <w:szCs w:val="22"/>
                <w:highlight w:val="none"/>
              </w:rPr>
              <w:t>工作细致（6分）：配送物品清单与实际配送无差错，出现差错一次，扣3分，以此类推，扣完为止)；</w:t>
            </w:r>
          </w:p>
        </w:tc>
        <w:tc>
          <w:tcPr>
            <w:tcW w:w="960" w:type="dxa"/>
            <w:tcBorders>
              <w:top w:val="single" w:color="auto" w:sz="4" w:space="0"/>
              <w:left w:val="single" w:color="auto" w:sz="4" w:space="0"/>
              <w:right w:val="single" w:color="auto" w:sz="4" w:space="0"/>
            </w:tcBorders>
            <w:vAlign w:val="center"/>
          </w:tcPr>
          <w:p>
            <w:pPr>
              <w:snapToGrid w:val="0"/>
              <w:spacing w:line="460" w:lineRule="exact"/>
              <w:jc w:val="left"/>
              <w:rPr>
                <w:rFonts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pPr>
              <w:snapToGrid w:val="0"/>
              <w:spacing w:line="460" w:lineRule="exact"/>
              <w:jc w:val="center"/>
              <w:rPr>
                <w:rFonts w:eastAsia="新宋体"/>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eastAsia="新宋体"/>
                <w:sz w:val="22"/>
                <w:szCs w:val="22"/>
                <w:highlight w:val="none"/>
              </w:rPr>
            </w:pPr>
            <w:r>
              <w:rPr>
                <w:rFonts w:eastAsia="新宋体"/>
                <w:sz w:val="22"/>
                <w:szCs w:val="22"/>
                <w:highlight w:val="none"/>
              </w:rPr>
              <w:t>单据清晰（3分）：送货清单（结算凭证）项目齐全，机器打印清晰得</w:t>
            </w:r>
            <w:r>
              <w:rPr>
                <w:rFonts w:hint="eastAsia" w:eastAsia="新宋体"/>
                <w:sz w:val="22"/>
                <w:szCs w:val="22"/>
                <w:highlight w:val="none"/>
              </w:rPr>
              <w:t>3</w:t>
            </w:r>
            <w:r>
              <w:rPr>
                <w:rFonts w:eastAsia="新宋体"/>
                <w:sz w:val="22"/>
                <w:szCs w:val="22"/>
                <w:highlight w:val="none"/>
              </w:rPr>
              <w:t>分，否则不得分。</w:t>
            </w:r>
          </w:p>
        </w:tc>
        <w:tc>
          <w:tcPr>
            <w:tcW w:w="960" w:type="dxa"/>
            <w:tcBorders>
              <w:top w:val="single" w:color="auto" w:sz="4" w:space="0"/>
              <w:left w:val="single" w:color="auto" w:sz="4" w:space="0"/>
              <w:right w:val="single" w:color="auto" w:sz="4" w:space="0"/>
            </w:tcBorders>
            <w:vAlign w:val="center"/>
          </w:tcPr>
          <w:p>
            <w:pPr>
              <w:snapToGrid w:val="0"/>
              <w:spacing w:line="460" w:lineRule="exact"/>
              <w:jc w:val="left"/>
              <w:rPr>
                <w:rFonts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8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新宋体"/>
                <w:sz w:val="22"/>
                <w:szCs w:val="22"/>
                <w:highlight w:val="none"/>
              </w:rPr>
            </w:pPr>
            <w:r>
              <w:rPr>
                <w:rFonts w:eastAsia="新宋体"/>
                <w:sz w:val="22"/>
                <w:szCs w:val="22"/>
                <w:highlight w:val="none"/>
              </w:rPr>
              <w:t>质量管理</w:t>
            </w:r>
          </w:p>
          <w:p>
            <w:pPr>
              <w:snapToGrid w:val="0"/>
              <w:spacing w:line="460" w:lineRule="exact"/>
              <w:jc w:val="center"/>
              <w:rPr>
                <w:rFonts w:eastAsia="新宋体"/>
                <w:sz w:val="22"/>
                <w:szCs w:val="22"/>
                <w:highlight w:val="none"/>
              </w:rPr>
            </w:pPr>
            <w:r>
              <w:rPr>
                <w:rFonts w:eastAsia="新宋体"/>
                <w:sz w:val="22"/>
                <w:szCs w:val="22"/>
                <w:highlight w:val="none"/>
              </w:rPr>
              <w:t>（50分）</w:t>
            </w: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eastAsia="新宋体"/>
                <w:sz w:val="22"/>
                <w:szCs w:val="22"/>
                <w:highlight w:val="none"/>
              </w:rPr>
            </w:pPr>
            <w:r>
              <w:rPr>
                <w:rFonts w:eastAsia="新宋体"/>
                <w:sz w:val="22"/>
                <w:szCs w:val="22"/>
                <w:highlight w:val="none"/>
              </w:rPr>
              <w:t>每日选10个菜品，发现一个菜品不新鲜度扣2分，每发现一个菜品不足量扣2分。</w:t>
            </w:r>
            <w:r>
              <w:rPr>
                <w:rFonts w:hint="eastAsia" w:eastAsia="新宋体"/>
                <w:sz w:val="22"/>
                <w:szCs w:val="22"/>
                <w:highlight w:val="none"/>
              </w:rPr>
              <w:t>每日进行评审每月50分，扣完为止</w:t>
            </w:r>
            <w:r>
              <w:rPr>
                <w:rFonts w:eastAsia="新宋体"/>
                <w:sz w:val="22"/>
                <w:szCs w:val="22"/>
                <w:highlight w:val="none"/>
              </w:rPr>
              <w:t>。</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8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新宋体"/>
                <w:sz w:val="22"/>
                <w:szCs w:val="22"/>
                <w:highlight w:val="none"/>
              </w:rPr>
            </w:pPr>
            <w:r>
              <w:rPr>
                <w:rFonts w:hint="eastAsia" w:eastAsia="新宋体"/>
                <w:sz w:val="22"/>
                <w:szCs w:val="22"/>
                <w:highlight w:val="none"/>
              </w:rPr>
              <w:t>退换货（20分）</w:t>
            </w: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eastAsia="新宋体"/>
                <w:sz w:val="22"/>
                <w:szCs w:val="22"/>
                <w:highlight w:val="none"/>
              </w:rPr>
            </w:pPr>
            <w:r>
              <w:rPr>
                <w:rFonts w:hint="eastAsia" w:eastAsia="新宋体"/>
                <w:sz w:val="22"/>
                <w:szCs w:val="22"/>
                <w:highlight w:val="none"/>
              </w:rPr>
              <w:t>退还货未按约定时间完成的发现一次扣2分。每月20分，扣完为止。</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3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新宋体"/>
                <w:sz w:val="22"/>
                <w:szCs w:val="22"/>
                <w:highlight w:val="none"/>
              </w:rPr>
            </w:pPr>
            <w:r>
              <w:rPr>
                <w:rFonts w:eastAsia="新宋体"/>
                <w:sz w:val="22"/>
                <w:szCs w:val="22"/>
                <w:highlight w:val="none"/>
              </w:rPr>
              <w:t>合计得分</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eastAsia="新宋体"/>
                <w:b/>
                <w:bCs/>
                <w:sz w:val="22"/>
                <w:szCs w:val="22"/>
                <w:highlight w:val="none"/>
              </w:rPr>
            </w:pPr>
            <w:r>
              <w:rPr>
                <w:rFonts w:eastAsia="新宋体"/>
                <w:b/>
                <w:bCs/>
                <w:sz w:val="22"/>
                <w:szCs w:val="22"/>
                <w:highlight w:val="none"/>
              </w:rPr>
              <w:t>扣分项目说明：</w:t>
            </w:r>
            <w:r>
              <w:rPr>
                <w:rFonts w:hint="eastAsia" w:eastAsia="新宋体"/>
                <w:b/>
                <w:bCs/>
                <w:sz w:val="22"/>
                <w:szCs w:val="22"/>
                <w:highlight w:val="none"/>
              </w:rPr>
              <w:t>中标人</w:t>
            </w:r>
            <w:r>
              <w:rPr>
                <w:rFonts w:eastAsia="新宋体"/>
                <w:b/>
                <w:bCs/>
                <w:sz w:val="22"/>
                <w:szCs w:val="22"/>
                <w:highlight w:val="none"/>
              </w:rPr>
              <w:t>如在配送期间出现上述评价问题，必须及时纠正。</w:t>
            </w:r>
          </w:p>
          <w:p>
            <w:pPr>
              <w:pStyle w:val="2"/>
              <w:jc w:val="left"/>
              <w:rPr>
                <w:rFonts w:hint="eastAsia" w:eastAsia="新宋体"/>
                <w:b/>
                <w:bCs/>
                <w:sz w:val="22"/>
                <w:szCs w:val="22"/>
                <w:highlight w:val="none"/>
              </w:rPr>
            </w:pPr>
            <w:r>
              <w:rPr>
                <w:rFonts w:hint="eastAsia" w:eastAsia="新宋体"/>
                <w:b/>
                <w:bCs/>
                <w:sz w:val="22"/>
                <w:szCs w:val="22"/>
                <w:highlight w:val="none"/>
              </w:rPr>
              <w:t>1、一个月评价总分在 85 分-89 分（含 85分)，扣当月结算金额的 1%作为罚金;</w:t>
            </w:r>
          </w:p>
          <w:p>
            <w:pPr>
              <w:pStyle w:val="2"/>
              <w:jc w:val="left"/>
              <w:rPr>
                <w:rFonts w:hint="eastAsia" w:eastAsia="新宋体"/>
                <w:b/>
                <w:bCs/>
                <w:sz w:val="22"/>
                <w:szCs w:val="22"/>
                <w:highlight w:val="none"/>
              </w:rPr>
            </w:pPr>
            <w:r>
              <w:rPr>
                <w:rFonts w:hint="eastAsia" w:eastAsia="新宋体"/>
                <w:b/>
                <w:bCs/>
                <w:sz w:val="22"/>
                <w:szCs w:val="22"/>
                <w:highlight w:val="none"/>
                <w:lang w:val="en-US" w:eastAsia="zh-CN"/>
              </w:rPr>
              <w:t>一</w:t>
            </w:r>
            <w:r>
              <w:rPr>
                <w:rFonts w:hint="eastAsia" w:eastAsia="新宋体"/>
                <w:b/>
                <w:bCs/>
                <w:sz w:val="22"/>
                <w:szCs w:val="22"/>
                <w:highlight w:val="none"/>
              </w:rPr>
              <w:t>个季度内出现二次以上(含)在 85 分-89 分（含 85 分)，扣当</w:t>
            </w:r>
            <w:r>
              <w:rPr>
                <w:rFonts w:hint="eastAsia" w:eastAsia="新宋体"/>
                <w:b/>
                <w:bCs/>
                <w:sz w:val="22"/>
                <w:szCs w:val="22"/>
                <w:highlight w:val="none"/>
                <w:lang w:val="en-US" w:eastAsia="zh-CN"/>
              </w:rPr>
              <w:t>季度</w:t>
            </w:r>
            <w:r>
              <w:rPr>
                <w:rFonts w:hint="eastAsia" w:eastAsia="新宋体"/>
                <w:b/>
                <w:bCs/>
                <w:sz w:val="22"/>
                <w:szCs w:val="22"/>
                <w:highlight w:val="none"/>
              </w:rPr>
              <w:t>结算金额的5%作为罚金。</w:t>
            </w:r>
          </w:p>
          <w:p>
            <w:pPr>
              <w:pStyle w:val="2"/>
              <w:jc w:val="left"/>
              <w:rPr>
                <w:rFonts w:hint="eastAsia" w:eastAsia="新宋体"/>
                <w:b/>
                <w:bCs/>
                <w:sz w:val="22"/>
                <w:szCs w:val="22"/>
                <w:highlight w:val="none"/>
              </w:rPr>
            </w:pPr>
            <w:r>
              <w:rPr>
                <w:rFonts w:hint="eastAsia" w:eastAsia="新宋体"/>
                <w:b/>
                <w:bCs/>
                <w:sz w:val="22"/>
                <w:szCs w:val="22"/>
                <w:highlight w:val="none"/>
              </w:rPr>
              <w:t>3、一个月评价总分在 80 -84分（含 80 分)，约谈配送公司并予以警告，并扣当月结算金额的扣 5%作为罚金;</w:t>
            </w:r>
          </w:p>
          <w:p>
            <w:pPr>
              <w:pStyle w:val="2"/>
              <w:jc w:val="left"/>
              <w:rPr>
                <w:rFonts w:hint="eastAsia" w:eastAsia="新宋体"/>
                <w:b/>
                <w:bCs/>
                <w:sz w:val="22"/>
                <w:szCs w:val="22"/>
                <w:highlight w:val="none"/>
              </w:rPr>
            </w:pPr>
            <w:r>
              <w:rPr>
                <w:rFonts w:hint="eastAsia" w:eastAsia="新宋体"/>
                <w:b/>
                <w:bCs/>
                <w:sz w:val="22"/>
                <w:szCs w:val="22"/>
                <w:highlight w:val="none"/>
              </w:rPr>
              <w:t>4、一个季度内出现二次及以上，评价总分在 80-84 分（含 84 分)，采购人有权解除合同。</w:t>
            </w:r>
          </w:p>
          <w:p>
            <w:pPr>
              <w:pStyle w:val="2"/>
              <w:jc w:val="left"/>
              <w:rPr>
                <w:rFonts w:hint="default" w:eastAsia="新宋体"/>
                <w:highlight w:val="none"/>
                <w:lang w:val="en-US" w:eastAsia="zh-CN"/>
              </w:rPr>
            </w:pPr>
            <w:r>
              <w:rPr>
                <w:rFonts w:hint="eastAsia" w:eastAsia="新宋体"/>
                <w:b/>
                <w:bCs/>
                <w:sz w:val="22"/>
                <w:szCs w:val="22"/>
                <w:highlight w:val="none"/>
                <w:lang w:val="en-US" w:eastAsia="zh-CN"/>
              </w:rPr>
              <w:t>备注：评价总分为3个站点分项评分的平均分。</w:t>
            </w:r>
          </w:p>
        </w:tc>
      </w:tr>
    </w:tbl>
    <w:p>
      <w:pPr>
        <w:autoSpaceDE w:val="0"/>
        <w:autoSpaceDN w:val="0"/>
        <w:adjustRightInd w:val="0"/>
        <w:spacing w:line="360" w:lineRule="auto"/>
        <w:ind w:firstLine="420"/>
        <w:rPr>
          <w:rFonts w:ascii="宋体"/>
          <w:sz w:val="24"/>
          <w:highlight w:val="none"/>
        </w:rPr>
      </w:pPr>
    </w:p>
    <w:p>
      <w:pPr>
        <w:widowControl/>
        <w:spacing w:line="440" w:lineRule="exact"/>
        <w:contextualSpacing/>
        <w:rPr>
          <w:rFonts w:ascii="宋体" w:hAnsi="宋体" w:cs="宋体"/>
          <w:b/>
          <w:kern w:val="0"/>
          <w:szCs w:val="21"/>
          <w:highlight w:val="none"/>
        </w:rPr>
      </w:pPr>
      <w:r>
        <w:rPr>
          <w:rFonts w:hint="eastAsia" w:ascii="宋体" w:hAnsi="宋体" w:cs="宋体"/>
          <w:b/>
          <w:kern w:val="0"/>
          <w:szCs w:val="21"/>
          <w:highlight w:val="none"/>
        </w:rPr>
        <w:t>五、服务期限</w:t>
      </w:r>
    </w:p>
    <w:p>
      <w:pPr>
        <w:widowControl/>
        <w:spacing w:line="440" w:lineRule="exact"/>
        <w:ind w:firstLine="420" w:firstLineChars="200"/>
        <w:contextualSpacing/>
        <w:rPr>
          <w:rFonts w:hint="eastAsia" w:ascii="宋体" w:hAnsi="宋体" w:eastAsia="宋体" w:cs="宋体"/>
          <w:kern w:val="0"/>
          <w:szCs w:val="21"/>
          <w:highlight w:val="none"/>
          <w:lang w:eastAsia="zh-CN"/>
        </w:rPr>
      </w:pPr>
      <w:r>
        <w:rPr>
          <w:rFonts w:hint="eastAsia" w:ascii="宋体" w:hAnsi="宋体" w:cs="宋体"/>
          <w:color w:val="C00000"/>
          <w:szCs w:val="21"/>
          <w:highlight w:val="none"/>
        </w:rPr>
        <w:t>合同签订后壹年或配送金额达到预算金额（以先到为准）</w:t>
      </w:r>
      <w:r>
        <w:rPr>
          <w:rFonts w:hint="eastAsia" w:ascii="宋体" w:hAnsi="宋体" w:cs="宋体"/>
          <w:color w:val="C00000"/>
          <w:szCs w:val="21"/>
          <w:highlight w:val="none"/>
          <w:lang w:eastAsia="zh-CN"/>
        </w:rPr>
        <w:t>。</w:t>
      </w:r>
    </w:p>
    <w:p>
      <w:pPr>
        <w:widowControl/>
        <w:spacing w:line="440" w:lineRule="exact"/>
        <w:ind w:firstLine="420" w:firstLineChars="200"/>
        <w:contextualSpacing/>
        <w:rPr>
          <w:rFonts w:ascii="宋体" w:hAnsi="宋体" w:cs="宋体"/>
          <w:kern w:val="0"/>
          <w:szCs w:val="21"/>
          <w:highlight w:val="none"/>
        </w:rPr>
      </w:pPr>
    </w:p>
    <w:p>
      <w:pPr>
        <w:pStyle w:val="2"/>
        <w:rPr>
          <w:highlight w:val="none"/>
        </w:rPr>
      </w:pPr>
    </w:p>
    <w:p>
      <w:pPr>
        <w:rPr>
          <w:rFonts w:ascii="宋体" w:hAnsi="宋体" w:cs="宋体"/>
          <w:highlight w:val="none"/>
        </w:rPr>
      </w:pPr>
      <w:r>
        <w:rPr>
          <w:rFonts w:hint="eastAsia" w:ascii="宋体" w:hAnsi="宋体" w:cs="宋体"/>
          <w:highlight w:val="none"/>
        </w:rPr>
        <w:br w:type="page"/>
      </w:r>
    </w:p>
    <w:p>
      <w:pPr>
        <w:pStyle w:val="79"/>
        <w:rPr>
          <w:rStyle w:val="132"/>
          <w:rFonts w:ascii="宋体" w:eastAsia="宋体" w:cs="宋体"/>
          <w:b/>
          <w:highlight w:val="none"/>
        </w:rPr>
      </w:pPr>
      <w:r>
        <w:rPr>
          <w:rStyle w:val="132"/>
          <w:rFonts w:hint="eastAsia" w:ascii="宋体" w:eastAsia="宋体" w:cs="宋体"/>
          <w:b/>
          <w:highlight w:val="none"/>
        </w:rPr>
        <w:t>第三章  投标人须知</w:t>
      </w:r>
    </w:p>
    <w:p>
      <w:pPr>
        <w:spacing w:line="360" w:lineRule="auto"/>
        <w:ind w:firstLine="422" w:firstLineChars="200"/>
        <w:jc w:val="center"/>
        <w:outlineLvl w:val="1"/>
        <w:rPr>
          <w:rFonts w:ascii="宋体" w:hAnsi="宋体" w:cs="宋体"/>
          <w:b/>
          <w:szCs w:val="21"/>
          <w:highlight w:val="none"/>
        </w:rPr>
      </w:pPr>
      <w:bookmarkStart w:id="9" w:name="_Toc493511543"/>
      <w:bookmarkStart w:id="10" w:name="_Toc17413"/>
      <w:bookmarkStart w:id="11" w:name="_Toc177870535"/>
      <w:bookmarkStart w:id="12" w:name="_Toc50012816"/>
      <w:r>
        <w:rPr>
          <w:rFonts w:hint="eastAsia" w:ascii="宋体" w:hAnsi="宋体" w:cs="宋体"/>
          <w:b/>
          <w:szCs w:val="21"/>
          <w:highlight w:val="none"/>
        </w:rPr>
        <w:t>前附表</w:t>
      </w:r>
      <w:bookmarkEnd w:id="9"/>
      <w:bookmarkEnd w:id="10"/>
      <w:bookmarkEnd w:id="11"/>
      <w:bookmarkEnd w:id="12"/>
    </w:p>
    <w:tbl>
      <w:tblPr>
        <w:tblStyle w:val="47"/>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b/>
                <w:szCs w:val="21"/>
                <w:highlight w:val="none"/>
              </w:rPr>
              <w:t>浙江省嘉兴支队南湖区消防救援大队 2024 年度食堂大宗物品配送采购项目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rPr>
              <w:t>嘉消采-GK2024008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highlight w:val="none"/>
              </w:rPr>
            </w:pPr>
            <w:r>
              <w:rPr>
                <w:rFonts w:hint="eastAsia" w:ascii="宋体" w:hAnsi="宋体" w:cs="宋体"/>
                <w:szCs w:val="21"/>
                <w:highlight w:val="none"/>
              </w:rPr>
              <w:t>投标报价及费用：</w:t>
            </w:r>
          </w:p>
          <w:p>
            <w:pPr>
              <w:spacing w:line="400" w:lineRule="exact"/>
              <w:rPr>
                <w:rFonts w:ascii="宋体" w:hAnsi="宋体" w:cs="宋体"/>
                <w:szCs w:val="21"/>
                <w:highlight w:val="none"/>
              </w:rPr>
            </w:pPr>
            <w:r>
              <w:rPr>
                <w:rFonts w:hint="eastAsia" w:ascii="宋体" w:hAnsi="宋体" w:cs="宋体"/>
                <w:szCs w:val="21"/>
                <w:highlight w:val="none"/>
              </w:rPr>
              <w:t>1、不论投标结果如何，供应商均应自行承担所有与投标有关的全部费用；</w:t>
            </w:r>
          </w:p>
          <w:p>
            <w:pPr>
              <w:spacing w:line="400" w:lineRule="exact"/>
              <w:rPr>
                <w:rFonts w:ascii="宋体" w:hAnsi="宋体" w:cs="宋体"/>
                <w:szCs w:val="21"/>
                <w:highlight w:val="none"/>
              </w:rPr>
            </w:pPr>
            <w:r>
              <w:rPr>
                <w:rFonts w:hint="eastAsia" w:ascii="宋体" w:hAnsi="宋体" w:cs="宋体"/>
                <w:szCs w:val="21"/>
                <w:highlight w:val="none"/>
              </w:rPr>
              <w:t>2、标书费：人民币500元整；</w:t>
            </w:r>
          </w:p>
          <w:p>
            <w:pPr>
              <w:snapToGrid w:val="0"/>
              <w:spacing w:line="400" w:lineRule="exact"/>
              <w:jc w:val="left"/>
              <w:rPr>
                <w:rFonts w:ascii="宋体" w:hAnsi="宋体" w:cs="宋体"/>
                <w:b/>
                <w:bCs/>
                <w:szCs w:val="21"/>
                <w:highlight w:val="none"/>
              </w:rPr>
            </w:pPr>
            <w:r>
              <w:rPr>
                <w:rFonts w:hint="eastAsia" w:ascii="宋体" w:hAnsi="宋体" w:cs="宋体"/>
                <w:szCs w:val="21"/>
                <w:highlight w:val="none"/>
              </w:rPr>
              <w:t>3、</w:t>
            </w:r>
            <w:r>
              <w:rPr>
                <w:rFonts w:hint="eastAsia" w:ascii="宋体" w:hAnsi="宋体" w:cs="宋体"/>
                <w:b/>
                <w:bCs/>
                <w:szCs w:val="21"/>
                <w:highlight w:val="none"/>
              </w:rPr>
              <w:t>本项目招标代理费以预算金额为基数按计价格(2002)1980号收费标准70%计取，由中标单位领取中标通知书时一次性支付，请各投标单位投标报价时综合考虑此费用。计费基数为预算价*下浮率；单个项目招标代理服务费保底费用4000元。</w:t>
            </w:r>
          </w:p>
          <w:p>
            <w:pPr>
              <w:snapToGrid w:val="0"/>
              <w:spacing w:line="400" w:lineRule="exact"/>
              <w:jc w:val="left"/>
              <w:rPr>
                <w:rFonts w:ascii="宋体" w:hAnsi="宋体" w:cs="宋体"/>
                <w:b/>
                <w:bCs/>
                <w:szCs w:val="21"/>
                <w:highlight w:val="none"/>
              </w:rPr>
            </w:pPr>
            <w:r>
              <w:rPr>
                <w:rFonts w:hint="eastAsia" w:ascii="宋体" w:hAnsi="宋体" w:cs="宋体"/>
                <w:b/>
                <w:bCs/>
                <w:szCs w:val="21"/>
                <w:highlight w:val="none"/>
              </w:rPr>
              <w:t>开户名称：浙江天钫工程管理咨询有限公司嘉兴分公司</w:t>
            </w:r>
          </w:p>
          <w:p>
            <w:pPr>
              <w:snapToGrid w:val="0"/>
              <w:spacing w:line="400" w:lineRule="exact"/>
              <w:jc w:val="left"/>
              <w:rPr>
                <w:rFonts w:ascii="宋体" w:hAnsi="宋体" w:cs="宋体"/>
                <w:b/>
                <w:bCs/>
                <w:szCs w:val="21"/>
                <w:highlight w:val="none"/>
              </w:rPr>
            </w:pPr>
            <w:r>
              <w:rPr>
                <w:rFonts w:hint="eastAsia" w:ascii="宋体" w:hAnsi="宋体" w:cs="宋体"/>
                <w:b/>
                <w:bCs/>
                <w:szCs w:val="21"/>
                <w:highlight w:val="none"/>
              </w:rPr>
              <w:t>开户银行：中国农业银行嘉兴秀洲新区支行</w:t>
            </w:r>
          </w:p>
          <w:p>
            <w:pPr>
              <w:snapToGrid w:val="0"/>
              <w:spacing w:line="400" w:lineRule="exact"/>
              <w:jc w:val="left"/>
              <w:rPr>
                <w:rFonts w:ascii="宋体" w:hAnsi="宋体" w:cs="宋体"/>
                <w:szCs w:val="21"/>
                <w:highlight w:val="none"/>
              </w:rPr>
            </w:pPr>
            <w:r>
              <w:rPr>
                <w:rFonts w:hint="eastAsia" w:ascii="宋体" w:hAnsi="宋体" w:cs="宋体"/>
                <w:b/>
                <w:bCs/>
                <w:szCs w:val="21"/>
                <w:highlight w:val="none"/>
              </w:rPr>
              <w:t>账号：19320401040017405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0" w:beforeAutospacing="0" w:after="0" w:afterAutospacing="0" w:line="400" w:lineRule="exact"/>
              <w:contextualSpacing/>
              <w:rPr>
                <w:rFonts w:cs="宋体"/>
                <w:szCs w:val="21"/>
                <w:highlight w:val="none"/>
              </w:rPr>
            </w:pPr>
            <w:r>
              <w:rPr>
                <w:rFonts w:hint="eastAsia" w:cs="宋体"/>
                <w:sz w:val="21"/>
                <w:szCs w:val="21"/>
                <w:highlight w:val="none"/>
              </w:rPr>
              <w:t>▲预算金额：220.1万元(其中：预留中小企业份额</w:t>
            </w:r>
            <w:r>
              <w:rPr>
                <w:rFonts w:hint="eastAsia" w:cs="宋体"/>
                <w:sz w:val="21"/>
                <w:szCs w:val="21"/>
                <w:highlight w:val="none"/>
                <w:u w:val="single"/>
              </w:rPr>
              <w:t xml:space="preserve">   220.1   </w:t>
            </w:r>
            <w:r>
              <w:rPr>
                <w:rFonts w:hint="eastAsia" w:cs="宋体"/>
                <w:sz w:val="21"/>
                <w:szCs w:val="21"/>
                <w:highlight w:val="none"/>
              </w:rPr>
              <w:t xml:space="preserve">万元，占比 </w:t>
            </w:r>
            <w:r>
              <w:rPr>
                <w:rFonts w:hint="eastAsia" w:cs="宋体"/>
                <w:sz w:val="21"/>
                <w:szCs w:val="21"/>
                <w:highlight w:val="none"/>
                <w:u w:val="single"/>
              </w:rPr>
              <w:t xml:space="preserve">  100  </w:t>
            </w:r>
            <w:r>
              <w:rPr>
                <w:rFonts w:hint="eastAsia" w:cs="宋体"/>
                <w:sz w:val="21"/>
                <w:szCs w:val="21"/>
                <w:highlight w:val="none"/>
              </w:rPr>
              <w:t xml:space="preserve"> %)，本项目投标报价按折扣率报价，根据嘉兴市发展和改革委员会网站中公布的《嘉兴市主要商品和服务价格监测报表》中各产品三个菜场的平均价为基准价（查询路径：网页https://fzggw.jiaxing.gov.cn/→发改专题→成本建设与价格管理→价格监测→《嘉兴市主要商品和服务价格监测报表》→一、市区部分农贸市场食品零售价格监测表），原则上每月公布一次，投标人根据嘉兴市发展和改革委员网站中公布的价格按投标</w:t>
            </w:r>
            <w:r>
              <w:rPr>
                <w:rFonts w:hint="eastAsia" w:cs="宋体"/>
                <w:sz w:val="21"/>
                <w:szCs w:val="21"/>
                <w:highlight w:val="none"/>
                <w:lang w:eastAsia="zh-CN"/>
              </w:rPr>
              <w:t>折扣率</w:t>
            </w:r>
            <w:r>
              <w:rPr>
                <w:rFonts w:hint="eastAsia" w:cs="宋体"/>
                <w:sz w:val="21"/>
                <w:szCs w:val="21"/>
                <w:highlight w:val="none"/>
              </w:rPr>
              <w:t>进行报价（如：投标报价为90%，嘉兴市发展和改革委员会网站中7月公布的东北米（长粒香）单价平均价=（2.8+3.5+3）=3.1元/500克，则东北米（长粒香）结算单价=3.1*90%=2.79元/500克）；若嘉兴市发展和改革委员会网站上未公布的产品则根据大润发优鲜app中对应产品当日单价作为基准价（有促销价的，若中标</w:t>
            </w:r>
            <w:r>
              <w:rPr>
                <w:rFonts w:hint="eastAsia" w:cs="宋体"/>
                <w:sz w:val="21"/>
                <w:szCs w:val="21"/>
                <w:highlight w:val="none"/>
                <w:lang w:eastAsia="zh-CN"/>
              </w:rPr>
              <w:t>折扣率</w:t>
            </w:r>
            <w:r>
              <w:rPr>
                <w:rFonts w:hint="eastAsia" w:cs="宋体"/>
                <w:sz w:val="21"/>
                <w:szCs w:val="21"/>
                <w:highlight w:val="none"/>
              </w:rPr>
              <w:t>乘以原价高于该产品促销价的则按促销价结算）（如：投标报价为90%，大润发优鲜app中公布的东北米（清香稻长粒香米）单价86.9元/10000克，则东北米（清香稻长粒香米）结算单价=86.9*90%=86元/10000克，若东北米（清香稻长粒香米）结算当日促销价低于86元/10000克的则按促销价结算）；若嘉兴市发展和改革委员会网站、大润发优鲜app中均未公布的产品则中标人根据就近农贸市场的价格作为基准价，价格需经采购人确认后方可采用。（如：投标报价为90%，农贸市场的东北米（清香稻长粒香米）单价86.9元/10000克，则东北米（清香稻长粒香米）结算单价=86.9*90%=86元/10000克）。报价折扣率超过100%的其投标文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highlight w:val="none"/>
              </w:rPr>
            </w:pPr>
            <w:r>
              <w:rPr>
                <w:rFonts w:hint="eastAsia" w:ascii="宋体" w:hAnsi="宋体" w:cs="宋体"/>
                <w:szCs w:val="21"/>
                <w:highlight w:val="none"/>
              </w:rPr>
              <w:t>投标保证金：本项目不设投标保证金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highlight w:val="none"/>
              </w:rPr>
            </w:pPr>
            <w:r>
              <w:rPr>
                <w:rFonts w:hint="eastAsia" w:ascii="宋体" w:hAnsi="宋体" w:cs="宋体"/>
                <w:szCs w:val="21"/>
                <w:highlight w:val="none"/>
              </w:rPr>
              <w:t>现场踏勘：自行踏勘（费用自理）若因投标人未踏勘造成的报价不准确，由投标人自行承担所有责任。联系人：王先生，联系方式：18368305060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highlight w:val="none"/>
              </w:rPr>
            </w:pPr>
            <w:r>
              <w:rPr>
                <w:rFonts w:hint="eastAsia" w:ascii="宋体" w:hAnsi="宋体" w:cs="宋体"/>
                <w:highlight w:val="none"/>
              </w:rPr>
              <w:t>演示时间及地点：</w:t>
            </w:r>
          </w:p>
          <w:p>
            <w:pPr>
              <w:snapToGrid w:val="0"/>
              <w:spacing w:line="400" w:lineRule="exact"/>
              <w:jc w:val="left"/>
              <w:rPr>
                <w:rFonts w:ascii="宋体" w:hAnsi="宋体" w:cs="宋体"/>
                <w:szCs w:val="21"/>
                <w:highlight w:val="none"/>
              </w:rPr>
            </w:pPr>
            <w:sdt>
              <w:sdtPr>
                <w:rPr>
                  <w:rFonts w:hint="eastAsia" w:ascii="宋体" w:hAnsi="宋体" w:cs="宋体"/>
                  <w:szCs w:val="21"/>
                  <w:highlight w:val="none"/>
                </w:rPr>
                <w:id w:val="-1859348549"/>
              </w:sdtPr>
              <w:sdtEndPr>
                <w:rPr>
                  <w:rFonts w:hint="eastAsia" w:ascii="宋体" w:hAnsi="宋体" w:cs="宋体"/>
                  <w:szCs w:val="21"/>
                  <w:highlight w:val="none"/>
                </w:rPr>
              </w:sdtEndPr>
              <w:sdtContent>
                <w:r>
                  <w:rPr>
                    <w:rFonts w:hint="eastAsia" w:ascii="宋体" w:hAnsi="宋体" w:cs="宋体"/>
                    <w:kern w:val="0"/>
                    <w:szCs w:val="21"/>
                    <w:highlight w:val="none"/>
                  </w:rPr>
                  <w:sym w:font="Wingdings" w:char="00FE"/>
                </w:r>
              </w:sdtContent>
            </w:sdt>
            <w:r>
              <w:rPr>
                <w:rFonts w:hint="eastAsia" w:ascii="宋体" w:hAnsi="宋体" w:cs="宋体"/>
                <w:szCs w:val="21"/>
                <w:highlight w:val="none"/>
              </w:rPr>
              <w:t>A不组织。</w:t>
            </w:r>
          </w:p>
          <w:p>
            <w:pPr>
              <w:snapToGrid w:val="0"/>
              <w:spacing w:line="400" w:lineRule="exact"/>
              <w:jc w:val="left"/>
              <w:rPr>
                <w:rFonts w:ascii="宋体" w:hAnsi="宋体" w:cs="宋体"/>
                <w:szCs w:val="21"/>
                <w:highlight w:val="none"/>
              </w:rPr>
            </w:pPr>
            <w:sdt>
              <w:sdtPr>
                <w:rPr>
                  <w:rFonts w:hint="eastAsia" w:ascii="宋体" w:hAnsi="宋体" w:cs="宋体"/>
                  <w:szCs w:val="21"/>
                  <w:highlight w:val="none"/>
                </w:rPr>
                <w:id w:val="1174071719"/>
              </w:sdtPr>
              <w:sdtEndPr>
                <w:rPr>
                  <w:rFonts w:hint="eastAsia" w:ascii="宋体" w:hAnsi="宋体" w:cs="宋体"/>
                  <w:szCs w:val="21"/>
                  <w:highlight w:val="none"/>
                </w:rPr>
              </w:sdtEndPr>
              <w:sdtContent>
                <w:r>
                  <w:rPr>
                    <w:rFonts w:hint="eastAsia" w:ascii="宋体" w:hAnsi="宋体" w:cs="宋体"/>
                    <w:szCs w:val="21"/>
                    <w:highlight w:val="none"/>
                  </w:rPr>
                  <w:t>☐</w:t>
                </w:r>
              </w:sdtContent>
            </w:sdt>
            <w:r>
              <w:rPr>
                <w:rFonts w:hint="eastAsia" w:ascii="宋体" w:hAnsi="宋体" w:cs="宋体"/>
                <w:szCs w:val="21"/>
                <w:highlight w:val="none"/>
              </w:rPr>
              <w:t>B组织。</w:t>
            </w:r>
          </w:p>
          <w:p>
            <w:pPr>
              <w:snapToGrid w:val="0"/>
              <w:spacing w:line="400" w:lineRule="exact"/>
              <w:jc w:val="left"/>
              <w:rPr>
                <w:rFonts w:ascii="宋体" w:hAnsi="宋体" w:cs="宋体"/>
                <w:szCs w:val="21"/>
                <w:highlight w:val="none"/>
              </w:rPr>
            </w:pPr>
            <w:r>
              <w:rPr>
                <w:rFonts w:hint="eastAsia" w:ascii="宋体" w:hAnsi="宋体" w:cs="宋体"/>
                <w:szCs w:val="21"/>
                <w:highlight w:val="none"/>
              </w:rPr>
              <w:t>（1）在评标时安排每个投标人进行方案讲解演示。每个投标人时间不超过20（编制时可根据项目情况进行调整）分钟，讲解次序以投标文件解密时间先后次序为准，讲解演示人员不超过1（编制时可根据项目情况进行调整）人。讲解演示结束后按要求解答评标委员会提问。</w:t>
            </w:r>
          </w:p>
          <w:p>
            <w:pPr>
              <w:snapToGrid w:val="0"/>
              <w:spacing w:line="400" w:lineRule="exact"/>
              <w:jc w:val="left"/>
              <w:rPr>
                <w:rFonts w:ascii="宋体" w:hAnsi="宋体" w:cs="宋体"/>
                <w:szCs w:val="21"/>
                <w:highlight w:val="none"/>
              </w:rPr>
            </w:pPr>
            <w:r>
              <w:rPr>
                <w:rFonts w:hint="eastAsia" w:ascii="宋体" w:hAnsi="宋体" w:cs="宋体"/>
                <w:szCs w:val="21"/>
                <w:highlight w:val="none"/>
              </w:rPr>
              <w:t>（2）方案讲解演示可选择以下其中一种方式：</w:t>
            </w:r>
          </w:p>
          <w:p>
            <w:pPr>
              <w:snapToGrid w:val="0"/>
              <w:spacing w:line="400" w:lineRule="exact"/>
              <w:jc w:val="left"/>
              <w:rPr>
                <w:rFonts w:ascii="宋体" w:hAnsi="宋体" w:cs="宋体"/>
                <w:szCs w:val="21"/>
                <w:highlight w:val="none"/>
              </w:rPr>
            </w:pPr>
            <w:r>
              <w:rPr>
                <w:rFonts w:hint="eastAsia" w:ascii="宋体" w:hAnsi="宋体" w:cs="宋体"/>
                <w:szCs w:val="21"/>
                <w:highlight w:val="none"/>
              </w:rPr>
              <w:t>方式一：钉钉在线讲解演示。钉钉会议视频功能在线讲解需投标人根据钉钉软件操作要求做好准备工作，提前完善软硬件配置环境。</w:t>
            </w:r>
          </w:p>
          <w:p>
            <w:pPr>
              <w:snapToGrid w:val="0"/>
              <w:spacing w:line="400" w:lineRule="exact"/>
              <w:jc w:val="left"/>
              <w:rPr>
                <w:rFonts w:ascii="宋体" w:hAnsi="宋体" w:cs="宋体"/>
                <w:szCs w:val="21"/>
                <w:highlight w:val="none"/>
              </w:rPr>
            </w:pPr>
            <w:r>
              <w:rPr>
                <w:rFonts w:hint="eastAsia" w:ascii="宋体" w:hAnsi="宋体" w:cs="宋体"/>
                <w:szCs w:val="21"/>
                <w:highlight w:val="none"/>
              </w:rPr>
              <w:t>方式二：现场讲解演示。现场讲解地点为在评标现场，讲解演示所用电脑等设备由投标人自备。现场讲解演示人员进场时提供讲解人员名单（加盖公章或授权代表签名）及身份证明，否则不得讲解演示。</w:t>
            </w:r>
          </w:p>
          <w:p>
            <w:pPr>
              <w:snapToGrid w:val="0"/>
              <w:spacing w:line="400" w:lineRule="exact"/>
              <w:jc w:val="left"/>
              <w:rPr>
                <w:rFonts w:ascii="宋体" w:hAnsi="宋体" w:cs="宋体"/>
                <w:highlight w:val="none"/>
              </w:rPr>
            </w:pPr>
            <w:r>
              <w:rPr>
                <w:rFonts w:hint="eastAsia" w:ascii="宋体" w:hAnsi="宋体" w:cs="宋体"/>
                <w:szCs w:val="21"/>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2"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highlight w:val="none"/>
              </w:rPr>
            </w:pPr>
            <w:r>
              <w:rPr>
                <w:rFonts w:hint="eastAsia" w:ascii="宋体" w:hAnsi="宋体" w:cs="宋体"/>
                <w:szCs w:val="21"/>
                <w:highlight w:val="none"/>
              </w:rPr>
              <w:t>分包：</w:t>
            </w:r>
          </w:p>
          <w:p>
            <w:pPr>
              <w:snapToGrid w:val="0"/>
              <w:spacing w:line="400" w:lineRule="exact"/>
              <w:jc w:val="left"/>
              <w:rPr>
                <w:rFonts w:ascii="宋体" w:hAnsi="宋体" w:cs="宋体"/>
                <w:szCs w:val="21"/>
                <w:highlight w:val="none"/>
              </w:rPr>
            </w:pPr>
            <w:sdt>
              <w:sdtPr>
                <w:rPr>
                  <w:rFonts w:hint="eastAsia" w:ascii="宋体" w:hAnsi="宋体" w:cs="宋体"/>
                  <w:szCs w:val="21"/>
                  <w:highlight w:val="none"/>
                </w:rPr>
                <w:id w:val="-1477286927"/>
              </w:sdtPr>
              <w:sdtEndPr>
                <w:rPr>
                  <w:rFonts w:hint="eastAsia" w:ascii="宋体" w:hAnsi="宋体" w:cs="宋体"/>
                  <w:szCs w:val="21"/>
                  <w:highlight w:val="none"/>
                </w:rPr>
              </w:sdtEndPr>
              <w:sdtContent>
                <w:r>
                  <w:rPr>
                    <w:rFonts w:hint="eastAsia" w:ascii="宋体" w:hAnsi="宋体" w:cs="宋体"/>
                    <w:szCs w:val="21"/>
                    <w:highlight w:val="none"/>
                  </w:rPr>
                  <w:t>☐</w:t>
                </w:r>
              </w:sdtContent>
            </w:sdt>
            <w:r>
              <w:rPr>
                <w:rFonts w:hint="eastAsia" w:ascii="宋体" w:hAnsi="宋体" w:cs="宋体"/>
                <w:szCs w:val="21"/>
                <w:highlight w:val="none"/>
              </w:rPr>
              <w:t xml:space="preserve"> A同意将非主体、非关键性的</w:t>
            </w:r>
            <w:r>
              <w:rPr>
                <w:rFonts w:hint="eastAsia" w:ascii="宋体" w:hAnsi="宋体" w:cs="宋体"/>
                <w:szCs w:val="21"/>
                <w:highlight w:val="none"/>
                <w:u w:val="single"/>
              </w:rPr>
              <w:t xml:space="preserve">            </w:t>
            </w:r>
            <w:r>
              <w:rPr>
                <w:rFonts w:hint="eastAsia" w:ascii="宋体" w:hAnsi="宋体" w:cs="宋体"/>
                <w:szCs w:val="21"/>
                <w:highlight w:val="none"/>
              </w:rPr>
              <w:t xml:space="preserve"> 工作分包。</w:t>
            </w:r>
          </w:p>
          <w:p>
            <w:pPr>
              <w:spacing w:line="400" w:lineRule="exact"/>
              <w:jc w:val="left"/>
              <w:rPr>
                <w:rFonts w:ascii="宋体" w:hAnsi="宋体" w:cs="宋体"/>
                <w:szCs w:val="21"/>
                <w:highlight w:val="none"/>
              </w:rPr>
            </w:pPr>
            <w:r>
              <w:rPr>
                <w:rFonts w:hint="eastAsia" w:ascii="宋体" w:hAnsi="宋体" w:cs="宋体"/>
                <w:szCs w:val="21"/>
                <w:highlight w:val="none"/>
              </w:rPr>
              <w:t>共分为</w:t>
            </w:r>
            <w:r>
              <w:rPr>
                <w:rFonts w:hint="eastAsia" w:ascii="宋体" w:hAnsi="宋体" w:cs="宋体"/>
                <w:szCs w:val="21"/>
                <w:highlight w:val="none"/>
                <w:u w:val="single"/>
              </w:rPr>
              <w:t xml:space="preserve">   </w:t>
            </w:r>
            <w:r>
              <w:rPr>
                <w:rFonts w:hint="eastAsia" w:ascii="宋体" w:hAnsi="宋体" w:cs="宋体"/>
                <w:szCs w:val="21"/>
                <w:highlight w:val="none"/>
              </w:rPr>
              <w:t>个包，第1包:分包名称，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万元，第2包:分包名称，</w:t>
            </w:r>
            <w:r>
              <w:rPr>
                <w:rFonts w:hint="eastAsia" w:ascii="宋体" w:hAnsi="宋体" w:cs="宋体"/>
                <w:szCs w:val="21"/>
                <w:highlight w:val="none"/>
                <w:u w:val="single"/>
              </w:rPr>
              <w:t xml:space="preserve">   </w:t>
            </w:r>
            <w:r>
              <w:rPr>
                <w:rFonts w:hint="eastAsia" w:ascii="宋体" w:hAnsi="宋体" w:cs="宋体"/>
                <w:szCs w:val="21"/>
                <w:highlight w:val="none"/>
              </w:rPr>
              <w:t>万元，第3包:分包名称，</w:t>
            </w:r>
            <w:r>
              <w:rPr>
                <w:rFonts w:hint="eastAsia" w:ascii="宋体" w:hAnsi="宋体" w:cs="宋体"/>
                <w:szCs w:val="21"/>
                <w:highlight w:val="none"/>
                <w:u w:val="single"/>
              </w:rPr>
              <w:t xml:space="preserve">   </w:t>
            </w:r>
            <w:r>
              <w:rPr>
                <w:rFonts w:hint="eastAsia" w:ascii="宋体" w:hAnsi="宋体" w:cs="宋体"/>
                <w:szCs w:val="21"/>
                <w:highlight w:val="none"/>
              </w:rPr>
              <w:t>万元…………</w:t>
            </w:r>
          </w:p>
          <w:p>
            <w:pPr>
              <w:pStyle w:val="5"/>
              <w:spacing w:line="400" w:lineRule="exact"/>
              <w:rPr>
                <w:rFonts w:ascii="宋体" w:hAnsi="宋体" w:cs="宋体"/>
                <w:highlight w:val="none"/>
              </w:rPr>
            </w:pPr>
            <w:r>
              <w:rPr>
                <w:rFonts w:hint="eastAsia" w:ascii="宋体" w:hAnsi="宋体" w:cs="宋体"/>
                <w:szCs w:val="21"/>
                <w:highlight w:val="none"/>
              </w:rPr>
              <w:t>注：每个分包需注明预留中小企业份额</w:t>
            </w:r>
          </w:p>
          <w:p>
            <w:pPr>
              <w:snapToGrid w:val="0"/>
              <w:spacing w:line="400" w:lineRule="exact"/>
              <w:jc w:val="left"/>
              <w:rPr>
                <w:rFonts w:ascii="宋体" w:hAnsi="宋体" w:cs="宋体"/>
                <w:szCs w:val="21"/>
                <w:highlight w:val="none"/>
              </w:rPr>
            </w:pPr>
            <w:sdt>
              <w:sdtPr>
                <w:rPr>
                  <w:rFonts w:hint="eastAsia" w:ascii="宋体" w:hAnsi="宋体" w:cs="宋体"/>
                  <w:szCs w:val="21"/>
                  <w:highlight w:val="none"/>
                </w:rPr>
                <w:id w:val="-1276331357"/>
              </w:sdtPr>
              <w:sdtEndPr>
                <w:rPr>
                  <w:rFonts w:hint="eastAsia" w:ascii="宋体" w:hAnsi="宋体" w:cs="宋体"/>
                  <w:szCs w:val="21"/>
                  <w:highlight w:val="none"/>
                </w:rPr>
              </w:sdtEndPr>
              <w:sdtContent>
                <w:r>
                  <w:rPr>
                    <w:rFonts w:hint="eastAsia" w:ascii="宋体" w:hAnsi="宋体" w:cs="宋体"/>
                    <w:kern w:val="0"/>
                    <w:szCs w:val="21"/>
                    <w:highlight w:val="none"/>
                  </w:rPr>
                  <w:sym w:font="Wingdings" w:char="00FE"/>
                </w:r>
              </w:sdtContent>
            </w:sdt>
            <w:r>
              <w:rPr>
                <w:rFonts w:hint="eastAsia" w:ascii="宋体" w:hAnsi="宋体" w:cs="宋体"/>
                <w:szCs w:val="21"/>
                <w:highlight w:val="none"/>
              </w:rPr>
              <w:t>B不同意分包。</w:t>
            </w:r>
          </w:p>
          <w:p>
            <w:pPr>
              <w:snapToGrid w:val="0"/>
              <w:spacing w:line="400" w:lineRule="exact"/>
              <w:jc w:val="left"/>
              <w:rPr>
                <w:rFonts w:ascii="宋体" w:hAnsi="宋体" w:cs="宋体"/>
                <w:szCs w:val="21"/>
                <w:highlight w:val="none"/>
              </w:rPr>
            </w:pPr>
            <w:r>
              <w:rPr>
                <w:rFonts w:hint="eastAsia" w:ascii="宋体" w:hAnsi="宋体" w:cs="宋体"/>
                <w:szCs w:val="21"/>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highlight w:val="none"/>
              </w:rPr>
            </w:pPr>
            <w:r>
              <w:rPr>
                <w:rFonts w:hint="eastAsia" w:ascii="宋体" w:hAnsi="宋体" w:cs="宋体"/>
                <w:szCs w:val="21"/>
                <w:highlight w:val="none"/>
              </w:rPr>
              <w:t>答疑与澄清：详见招标文件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left"/>
              <w:textAlignment w:val="bottom"/>
              <w:rPr>
                <w:rFonts w:ascii="宋体" w:hAnsi="宋体" w:cs="宋体"/>
                <w:szCs w:val="21"/>
                <w:highlight w:val="none"/>
              </w:rPr>
            </w:pPr>
            <w:r>
              <w:rPr>
                <w:rFonts w:hint="eastAsia" w:ascii="宋体" w:hAnsi="宋体" w:cs="宋体"/>
                <w:szCs w:val="21"/>
                <w:highlight w:val="none"/>
              </w:rPr>
              <w:t>投标文件组成：</w:t>
            </w:r>
            <w:r>
              <w:rPr>
                <w:rFonts w:hint="eastAsia" w:ascii="宋体" w:hAnsi="宋体" w:cs="宋体"/>
                <w:b/>
                <w:bCs/>
                <w:szCs w:val="21"/>
                <w:highlight w:val="none"/>
              </w:rPr>
              <w:t>报价文件、资信商务及技术文件正本各1份；副本各3份；提供响应文件的电子文档PDF一份（u盘或光盘）。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pPr>
              <w:pStyle w:val="42"/>
              <w:spacing w:before="0" w:beforeAutospacing="0" w:after="0" w:afterAutospacing="0" w:line="400" w:lineRule="exact"/>
              <w:rPr>
                <w:rFonts w:cs="宋体"/>
                <w:szCs w:val="21"/>
                <w:highlight w:val="none"/>
              </w:rPr>
            </w:pPr>
            <w:r>
              <w:rPr>
                <w:rFonts w:hint="eastAsia" w:cs="宋体"/>
                <w:sz w:val="21"/>
                <w:szCs w:val="21"/>
                <w:highlight w:val="none"/>
              </w:rPr>
              <w:t>提交投标文件截止时间及地点：投标人应于</w:t>
            </w:r>
            <w:r>
              <w:rPr>
                <w:rFonts w:hint="eastAsia" w:cs="宋体"/>
                <w:b/>
                <w:bCs/>
                <w:color w:val="FF0000"/>
                <w:sz w:val="21"/>
                <w:szCs w:val="21"/>
                <w:highlight w:val="none"/>
              </w:rPr>
              <w:t>2024年</w:t>
            </w:r>
            <w:r>
              <w:rPr>
                <w:rFonts w:hint="eastAsia" w:cs="宋体"/>
                <w:b/>
                <w:bCs/>
                <w:color w:val="FF0000"/>
                <w:sz w:val="21"/>
                <w:szCs w:val="21"/>
                <w:highlight w:val="none"/>
                <w:lang w:val="en-US" w:eastAsia="zh-CN"/>
              </w:rPr>
              <w:t>9</w:t>
            </w:r>
            <w:r>
              <w:rPr>
                <w:rFonts w:hint="eastAsia" w:cs="宋体"/>
                <w:b/>
                <w:bCs/>
                <w:color w:val="FF0000"/>
                <w:sz w:val="21"/>
                <w:szCs w:val="21"/>
                <w:highlight w:val="none"/>
              </w:rPr>
              <w:t>月</w:t>
            </w:r>
            <w:r>
              <w:rPr>
                <w:rFonts w:hint="eastAsia" w:cs="宋体"/>
                <w:b/>
                <w:bCs/>
                <w:color w:val="FF0000"/>
                <w:sz w:val="21"/>
                <w:szCs w:val="21"/>
                <w:highlight w:val="none"/>
                <w:lang w:val="en-US" w:eastAsia="zh-CN"/>
              </w:rPr>
              <w:t>26</w:t>
            </w:r>
            <w:r>
              <w:rPr>
                <w:rFonts w:hint="eastAsia" w:cs="宋体"/>
                <w:b/>
                <w:bCs/>
                <w:color w:val="FF0000"/>
                <w:sz w:val="21"/>
                <w:szCs w:val="21"/>
                <w:highlight w:val="none"/>
              </w:rPr>
              <w:t>日</w:t>
            </w:r>
            <w:r>
              <w:rPr>
                <w:rFonts w:hint="eastAsia" w:cs="宋体"/>
                <w:b/>
                <w:bCs/>
                <w:color w:val="FF0000"/>
                <w:sz w:val="21"/>
                <w:szCs w:val="21"/>
                <w:highlight w:val="none"/>
                <w:lang w:val="en-US" w:eastAsia="zh-CN"/>
              </w:rPr>
              <w:t>09</w:t>
            </w:r>
            <w:r>
              <w:rPr>
                <w:rFonts w:hint="eastAsia" w:cs="宋体"/>
                <w:b/>
                <w:bCs/>
                <w:color w:val="FF0000"/>
                <w:sz w:val="21"/>
                <w:szCs w:val="21"/>
                <w:highlight w:val="none"/>
              </w:rPr>
              <w:t>:30分</w:t>
            </w:r>
            <w:r>
              <w:rPr>
                <w:rFonts w:hint="eastAsia" w:cs="宋体"/>
                <w:sz w:val="21"/>
                <w:szCs w:val="21"/>
                <w:highlight w:val="none"/>
              </w:rPr>
              <w:t>（北京时间）前将投标文件密封送交到嘉兴市消防救援支队4楼开标室（嘉兴市长水路1500号），代理公司提前半小时接标，逾期送达不予接收。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pPr>
              <w:pStyle w:val="42"/>
              <w:spacing w:before="0" w:beforeAutospacing="0" w:after="0" w:afterAutospacing="0" w:line="400" w:lineRule="exact"/>
              <w:rPr>
                <w:rFonts w:cs="宋体"/>
                <w:sz w:val="21"/>
                <w:szCs w:val="21"/>
                <w:highlight w:val="none"/>
              </w:rPr>
            </w:pPr>
            <w:r>
              <w:rPr>
                <w:rFonts w:hint="eastAsia" w:cs="宋体"/>
                <w:sz w:val="21"/>
                <w:szCs w:val="21"/>
                <w:highlight w:val="none"/>
              </w:rPr>
              <w:t>开标时间：</w:t>
            </w:r>
            <w:r>
              <w:rPr>
                <w:rFonts w:hint="eastAsia" w:cs="宋体"/>
                <w:b/>
                <w:bCs/>
                <w:color w:val="FF0000"/>
                <w:sz w:val="21"/>
                <w:szCs w:val="21"/>
                <w:highlight w:val="none"/>
              </w:rPr>
              <w:t>2024年</w:t>
            </w:r>
            <w:r>
              <w:rPr>
                <w:rFonts w:hint="eastAsia" w:cs="宋体"/>
                <w:b/>
                <w:bCs/>
                <w:color w:val="FF0000"/>
                <w:sz w:val="21"/>
                <w:szCs w:val="21"/>
                <w:highlight w:val="none"/>
                <w:lang w:val="en-US" w:eastAsia="zh-CN"/>
              </w:rPr>
              <w:t>9</w:t>
            </w:r>
            <w:r>
              <w:rPr>
                <w:rFonts w:hint="eastAsia" w:cs="宋体"/>
                <w:b/>
                <w:bCs/>
                <w:color w:val="FF0000"/>
                <w:sz w:val="21"/>
                <w:szCs w:val="21"/>
                <w:highlight w:val="none"/>
              </w:rPr>
              <w:t>月</w:t>
            </w:r>
            <w:r>
              <w:rPr>
                <w:rFonts w:hint="eastAsia" w:cs="宋体"/>
                <w:b/>
                <w:bCs/>
                <w:color w:val="FF0000"/>
                <w:sz w:val="21"/>
                <w:szCs w:val="21"/>
                <w:highlight w:val="none"/>
                <w:lang w:val="en-US" w:eastAsia="zh-CN"/>
              </w:rPr>
              <w:t>26</w:t>
            </w:r>
            <w:r>
              <w:rPr>
                <w:rFonts w:hint="eastAsia" w:cs="宋体"/>
                <w:b/>
                <w:bCs/>
                <w:color w:val="FF0000"/>
                <w:sz w:val="21"/>
                <w:szCs w:val="21"/>
                <w:highlight w:val="none"/>
              </w:rPr>
              <w:t>日</w:t>
            </w:r>
            <w:r>
              <w:rPr>
                <w:rFonts w:hint="eastAsia" w:cs="宋体"/>
                <w:b/>
                <w:bCs/>
                <w:color w:val="FF0000"/>
                <w:sz w:val="21"/>
                <w:szCs w:val="21"/>
                <w:highlight w:val="none"/>
                <w:lang w:val="en-US" w:eastAsia="zh-CN"/>
              </w:rPr>
              <w:t>09</w:t>
            </w:r>
            <w:r>
              <w:rPr>
                <w:rFonts w:hint="eastAsia" w:cs="宋体"/>
                <w:b/>
                <w:bCs/>
                <w:color w:val="FF0000"/>
                <w:sz w:val="21"/>
                <w:szCs w:val="21"/>
                <w:highlight w:val="none"/>
              </w:rPr>
              <w:t>:30分</w:t>
            </w:r>
            <w:r>
              <w:rPr>
                <w:rFonts w:hint="eastAsia" w:cs="宋体"/>
                <w:sz w:val="21"/>
                <w:szCs w:val="21"/>
                <w:highlight w:val="none"/>
              </w:rPr>
              <w:t>（北京时间）</w:t>
            </w:r>
          </w:p>
          <w:p>
            <w:pPr>
              <w:autoSpaceDE w:val="0"/>
              <w:autoSpaceDN w:val="0"/>
              <w:snapToGrid w:val="0"/>
              <w:spacing w:line="400" w:lineRule="exact"/>
              <w:jc w:val="left"/>
              <w:textAlignment w:val="bottom"/>
              <w:rPr>
                <w:rFonts w:ascii="宋体" w:hAnsi="宋体" w:cs="宋体"/>
                <w:szCs w:val="21"/>
                <w:highlight w:val="none"/>
              </w:rPr>
            </w:pPr>
            <w:r>
              <w:rPr>
                <w:rFonts w:hint="eastAsia" w:ascii="宋体" w:hAnsi="宋体" w:cs="宋体"/>
                <w:szCs w:val="21"/>
                <w:highlight w:val="none"/>
              </w:rPr>
              <w:t>开标地点：在嘉兴市消防救援支队4楼开标室（嘉兴市长水路1500号）开标，</w:t>
            </w:r>
            <w:r>
              <w:rPr>
                <w:rFonts w:hint="eastAsia" w:ascii="宋体" w:hAnsi="宋体" w:cs="宋体"/>
                <w:b/>
                <w:bCs/>
                <w:szCs w:val="21"/>
                <w:highlight w:val="none"/>
              </w:rPr>
              <w:t>请投标单位派1名授权代表前往参加。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left"/>
              <w:textAlignment w:val="bottom"/>
              <w:rPr>
                <w:rFonts w:ascii="宋体" w:hAnsi="宋体" w:cs="宋体"/>
                <w:szCs w:val="21"/>
                <w:highlight w:val="none"/>
              </w:rPr>
            </w:pPr>
            <w:r>
              <w:rPr>
                <w:rFonts w:hint="eastAsia" w:ascii="宋体" w:hAnsi="宋体" w:cs="宋体"/>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left"/>
              <w:textAlignment w:val="bottom"/>
              <w:rPr>
                <w:rFonts w:ascii="宋体" w:hAnsi="宋体" w:cs="宋体"/>
                <w:szCs w:val="21"/>
                <w:highlight w:val="none"/>
              </w:rPr>
            </w:pPr>
            <w:r>
              <w:rPr>
                <w:rFonts w:hint="eastAsia" w:ascii="宋体" w:hAnsi="宋体" w:cs="宋体"/>
                <w:szCs w:val="21"/>
                <w:highlight w:val="none"/>
              </w:rPr>
              <w:t>履约保证金的收取及退还：</w:t>
            </w:r>
          </w:p>
          <w:p>
            <w:pPr>
              <w:autoSpaceDE w:val="0"/>
              <w:autoSpaceDN w:val="0"/>
              <w:snapToGrid w:val="0"/>
              <w:spacing w:line="400" w:lineRule="exact"/>
              <w:ind w:firstLine="420" w:firstLineChars="200"/>
              <w:jc w:val="left"/>
              <w:textAlignment w:val="bottom"/>
              <w:rPr>
                <w:rFonts w:ascii="宋体" w:hAnsi="宋体" w:cs="宋体"/>
                <w:szCs w:val="21"/>
                <w:highlight w:val="none"/>
              </w:rPr>
            </w:pPr>
            <w:sdt>
              <w:sdtPr>
                <w:rPr>
                  <w:rFonts w:hint="eastAsia" w:ascii="宋体" w:hAnsi="宋体" w:cs="宋体"/>
                  <w:szCs w:val="21"/>
                  <w:highlight w:val="none"/>
                </w:rPr>
                <w:id w:val="249396817"/>
              </w:sdtPr>
              <w:sdtEndPr>
                <w:rPr>
                  <w:rFonts w:hint="eastAsia" w:ascii="宋体" w:hAnsi="宋体" w:cs="宋体"/>
                  <w:szCs w:val="21"/>
                  <w:highlight w:val="none"/>
                </w:rPr>
              </w:sdtEndPr>
              <w:sdtContent>
                <w:r>
                  <w:rPr>
                    <w:rFonts w:hint="eastAsia" w:ascii="宋体" w:hAnsi="宋体" w:cs="宋体"/>
                    <w:szCs w:val="21"/>
                    <w:highlight w:val="none"/>
                  </w:rPr>
                  <w:t>☐</w:t>
                </w:r>
              </w:sdtContent>
            </w:sdt>
            <w:r>
              <w:rPr>
                <w:rFonts w:hint="eastAsia" w:ascii="宋体" w:hAnsi="宋体" w:cs="宋体"/>
                <w:szCs w:val="21"/>
                <w:highlight w:val="none"/>
              </w:rPr>
              <w:t>无；</w:t>
            </w:r>
          </w:p>
          <w:p>
            <w:pPr>
              <w:tabs>
                <w:tab w:val="left" w:pos="0"/>
              </w:tabs>
              <w:spacing w:line="400" w:lineRule="exact"/>
              <w:ind w:firstLine="482"/>
              <w:jc w:val="left"/>
              <w:rPr>
                <w:rFonts w:ascii="宋体" w:hAnsi="宋体" w:cs="宋体"/>
                <w:szCs w:val="21"/>
                <w:highlight w:val="none"/>
              </w:rPr>
            </w:pPr>
            <w:sdt>
              <w:sdtPr>
                <w:rPr>
                  <w:rFonts w:hint="eastAsia" w:ascii="宋体" w:hAnsi="宋体" w:cs="宋体"/>
                  <w:szCs w:val="21"/>
                  <w:highlight w:val="none"/>
                </w:rPr>
                <w:id w:val="1465620494"/>
              </w:sdtPr>
              <w:sdtEndPr>
                <w:rPr>
                  <w:rFonts w:hint="eastAsia" w:ascii="宋体" w:hAnsi="宋体" w:cs="宋体"/>
                  <w:szCs w:val="21"/>
                  <w:highlight w:val="none"/>
                </w:rPr>
              </w:sdtEndPr>
              <w:sdtContent>
                <w:sdt>
                  <w:sdtPr>
                    <w:rPr>
                      <w:rFonts w:hint="eastAsia" w:ascii="宋体" w:hAnsi="宋体" w:cs="宋体"/>
                      <w:kern w:val="0"/>
                      <w:szCs w:val="21"/>
                      <w:highlight w:val="none"/>
                    </w:rPr>
                    <w:id w:val="-1024704304"/>
                    <w:showingPlcHdr/>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FE"/>
                    </w:r>
                  </w:sdtContent>
                </w:sdt>
              </w:sdtContent>
            </w:sdt>
            <w:r>
              <w:rPr>
                <w:rFonts w:hint="eastAsia" w:ascii="宋体" w:hAnsi="宋体" w:cs="宋体"/>
                <w:szCs w:val="21"/>
                <w:highlight w:val="none"/>
              </w:rPr>
              <w:t>有：合同签订后5个工作日内，供应商向采购人缴纳</w:t>
            </w:r>
            <w:r>
              <w:rPr>
                <w:rFonts w:hint="eastAsia" w:ascii="宋体" w:hAnsi="宋体" w:cs="宋体"/>
                <w:b/>
                <w:bCs/>
                <w:szCs w:val="21"/>
                <w:highlight w:val="none"/>
              </w:rPr>
              <w:t>贰万元</w:t>
            </w:r>
            <w:r>
              <w:rPr>
                <w:rFonts w:hint="eastAsia" w:ascii="宋体" w:hAnsi="宋体" w:cs="宋体"/>
                <w:szCs w:val="21"/>
                <w:highlight w:val="none"/>
              </w:rPr>
              <w:t>履约保证金，供应商应当以支票、汇票、本票或者金融机构、担保机构出具的保函等非现金形式提交，采购单位不得拒收。履约保证金的在合同履行完毕后及时退还，延迟退还的，应当按照合同约定和法律规定承担相应的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highlight w:val="none"/>
              </w:rPr>
            </w:pPr>
            <w:r>
              <w:rPr>
                <w:rFonts w:hint="eastAsia" w:ascii="宋体" w:hAnsi="宋体" w:cs="宋体"/>
                <w:szCs w:val="21"/>
                <w:highlight w:val="none"/>
              </w:rPr>
              <w:t>投标文件有效期：</w:t>
            </w:r>
            <w:r>
              <w:rPr>
                <w:rFonts w:hint="eastAsia" w:ascii="宋体" w:hAnsi="宋体" w:cs="宋体"/>
                <w:szCs w:val="21"/>
                <w:highlight w:val="none"/>
                <w:u w:val="single"/>
              </w:rPr>
              <w:t>90</w:t>
            </w:r>
            <w:r>
              <w:rPr>
                <w:rFonts w:hint="eastAsia" w:ascii="宋体" w:hAnsi="宋体" w:cs="宋体"/>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highlight w:val="none"/>
              </w:rPr>
            </w:pPr>
            <w:r>
              <w:rPr>
                <w:rFonts w:hint="eastAsia" w:ascii="宋体" w:hAnsi="宋体" w:cs="宋体"/>
                <w:b/>
                <w:bCs/>
                <w:highlight w:val="none"/>
              </w:rPr>
              <w:t>根据《政府采购促进中小企业发展管理办法》财库〔2020〕46号文件的规定，本项目属于预留份额专门面向中小企业采购的项目。</w:t>
            </w:r>
            <w:r>
              <w:rPr>
                <w:rFonts w:hint="eastAsia" w:ascii="宋体" w:hAnsi="宋体" w:cs="宋体"/>
                <w:b/>
                <w:bCs/>
                <w:szCs w:val="21"/>
                <w:highlight w:val="none"/>
              </w:rPr>
              <w:t>本项目为服务类，所属行业为批发业。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highlight w:val="none"/>
              </w:rPr>
            </w:pPr>
            <w:r>
              <w:rPr>
                <w:rFonts w:hint="eastAsia" w:ascii="宋体" w:hAnsi="宋体" w:cs="宋体"/>
                <w:szCs w:val="21"/>
                <w:highlight w:val="none"/>
              </w:rPr>
              <w:t>评标结果公告：评标结束且采购人确认采购结果后，中标结果公告于中国政府采购网(http://www.ccgp.gov.cn/)、浙江政府采购网(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54"/>
                <w:rFonts w:hint="eastAsia" w:ascii="宋体" w:hAnsi="宋体" w:cs="宋体"/>
                <w:color w:val="auto"/>
                <w:szCs w:val="21"/>
                <w:highlight w:val="none"/>
              </w:rPr>
              <w:t>http://zfcg.czt.zj.gov.cn/</w:t>
            </w:r>
            <w:r>
              <w:rPr>
                <w:rStyle w:val="54"/>
                <w:rFonts w:hint="eastAsia" w:ascii="宋体" w:hAnsi="宋体" w:cs="宋体"/>
                <w:color w:val="auto"/>
                <w:szCs w:val="21"/>
                <w:highlight w:val="none"/>
              </w:rPr>
              <w:fldChar w:fldCharType="end"/>
            </w:r>
            <w:r>
              <w:rPr>
                <w:rFonts w:hint="eastAsia" w:ascii="宋体" w:hAnsi="宋体" w:cs="宋体"/>
                <w:szCs w:val="21"/>
                <w:highlight w:val="none"/>
              </w:rPr>
              <w:t>)、嘉兴市公共资源交易网（https://jxszwsjb.jiaxing.gov.cn/）。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highlight w:val="none"/>
              </w:rPr>
            </w:pPr>
            <w:r>
              <w:rPr>
                <w:rFonts w:hint="eastAsia" w:ascii="宋体" w:hAnsi="宋体" w:cs="宋体"/>
                <w:szCs w:val="21"/>
                <w:highlight w:val="none"/>
              </w:rPr>
              <w:t>解释：本招标文件的解释权属于招标采购单位。</w:t>
            </w:r>
          </w:p>
        </w:tc>
      </w:tr>
      <w:bookmarkEnd w:id="6"/>
      <w:bookmarkEnd w:id="7"/>
      <w:bookmarkEnd w:id="8"/>
    </w:tbl>
    <w:p>
      <w:pPr>
        <w:snapToGrid w:val="0"/>
        <w:spacing w:line="360" w:lineRule="auto"/>
        <w:ind w:firstLine="422" w:firstLineChars="200"/>
        <w:jc w:val="left"/>
        <w:outlineLvl w:val="1"/>
        <w:rPr>
          <w:rFonts w:ascii="宋体" w:hAnsi="宋体" w:cs="宋体"/>
          <w:b/>
          <w:szCs w:val="21"/>
          <w:highlight w:val="none"/>
        </w:rPr>
      </w:pPr>
      <w:bookmarkStart w:id="13" w:name="_Toc177870536"/>
      <w:bookmarkStart w:id="14" w:name="_Toc50012817"/>
      <w:bookmarkStart w:id="15" w:name="_Toc493511580"/>
    </w:p>
    <w:p>
      <w:pPr>
        <w:rPr>
          <w:rFonts w:ascii="宋体" w:hAnsi="宋体" w:cs="宋体"/>
          <w:b/>
          <w:szCs w:val="21"/>
          <w:highlight w:val="none"/>
        </w:rPr>
      </w:pPr>
      <w:bookmarkStart w:id="16" w:name="_Toc2096"/>
      <w:r>
        <w:rPr>
          <w:rFonts w:hint="eastAsia" w:ascii="宋体" w:hAnsi="宋体" w:cs="宋体"/>
          <w:b/>
          <w:szCs w:val="21"/>
          <w:highlight w:val="none"/>
        </w:rPr>
        <w:br w:type="page"/>
      </w:r>
    </w:p>
    <w:p>
      <w:pPr>
        <w:snapToGrid w:val="0"/>
        <w:spacing w:line="420" w:lineRule="exact"/>
        <w:ind w:firstLine="422" w:firstLineChars="200"/>
        <w:jc w:val="left"/>
        <w:outlineLvl w:val="1"/>
        <w:rPr>
          <w:rFonts w:ascii="宋体" w:hAnsi="宋体" w:cs="宋体"/>
          <w:b/>
          <w:szCs w:val="21"/>
          <w:highlight w:val="none"/>
        </w:rPr>
      </w:pPr>
      <w:r>
        <w:rPr>
          <w:rFonts w:hint="eastAsia" w:ascii="宋体" w:hAnsi="宋体" w:cs="宋体"/>
          <w:b/>
          <w:szCs w:val="21"/>
          <w:highlight w:val="none"/>
        </w:rPr>
        <w:t>一、总  则</w:t>
      </w:r>
      <w:bookmarkEnd w:id="13"/>
      <w:bookmarkEnd w:id="14"/>
      <w:bookmarkEnd w:id="15"/>
      <w:bookmarkEnd w:id="16"/>
    </w:p>
    <w:p>
      <w:pPr>
        <w:snapToGrid w:val="0"/>
        <w:spacing w:line="420" w:lineRule="exact"/>
        <w:ind w:firstLine="420" w:firstLineChars="200"/>
        <w:jc w:val="left"/>
        <w:outlineLvl w:val="1"/>
        <w:rPr>
          <w:rFonts w:ascii="宋体" w:hAnsi="宋体" w:cs="宋体"/>
          <w:szCs w:val="21"/>
          <w:highlight w:val="none"/>
        </w:rPr>
      </w:pPr>
      <w:bookmarkStart w:id="17" w:name="_Toc493511581"/>
      <w:bookmarkStart w:id="18" w:name="_Toc177825120"/>
      <w:bookmarkStart w:id="19" w:name="_Toc177870537"/>
      <w:bookmarkStart w:id="20" w:name="_Toc50012818"/>
      <w:bookmarkStart w:id="21" w:name="_Toc8394"/>
      <w:bookmarkStart w:id="22" w:name="_Toc177824872"/>
      <w:bookmarkStart w:id="23" w:name="_Toc427915759"/>
      <w:bookmarkStart w:id="24" w:name="_Toc177824939"/>
      <w:r>
        <w:rPr>
          <w:rFonts w:hint="eastAsia" w:ascii="宋体" w:hAnsi="宋体" w:cs="宋体"/>
          <w:szCs w:val="21"/>
          <w:highlight w:val="none"/>
        </w:rPr>
        <w:t>1、 适用范围</w:t>
      </w:r>
      <w:bookmarkEnd w:id="17"/>
      <w:bookmarkEnd w:id="18"/>
      <w:bookmarkEnd w:id="19"/>
      <w:bookmarkEnd w:id="20"/>
      <w:bookmarkEnd w:id="21"/>
      <w:bookmarkEnd w:id="22"/>
      <w:bookmarkEnd w:id="23"/>
      <w:bookmarkEnd w:id="24"/>
    </w:p>
    <w:p>
      <w:pPr>
        <w:snapToGrid w:val="0"/>
        <w:spacing w:line="420" w:lineRule="exact"/>
        <w:ind w:firstLine="420" w:firstLineChars="200"/>
        <w:jc w:val="left"/>
        <w:outlineLvl w:val="1"/>
        <w:rPr>
          <w:rFonts w:ascii="宋体" w:hAnsi="宋体" w:cs="宋体"/>
          <w:szCs w:val="21"/>
          <w:highlight w:val="none"/>
        </w:rPr>
      </w:pPr>
      <w:bookmarkStart w:id="25" w:name="_Toc50012819"/>
      <w:bookmarkStart w:id="26" w:name="_Toc30106"/>
      <w:bookmarkStart w:id="27" w:name="_Toc493511582"/>
      <w:r>
        <w:rPr>
          <w:rFonts w:hint="eastAsia" w:ascii="宋体" w:hAnsi="宋体" w:cs="宋体"/>
          <w:szCs w:val="21"/>
          <w:highlight w:val="none"/>
        </w:rPr>
        <w:t>1.1、本招标文件适用于本次所述项目的招标。</w:t>
      </w:r>
      <w:bookmarkEnd w:id="25"/>
      <w:bookmarkEnd w:id="26"/>
      <w:bookmarkEnd w:id="27"/>
      <w:bookmarkStart w:id="28" w:name="_Toc427915760"/>
      <w:bookmarkStart w:id="29" w:name="_Toc177870538"/>
      <w:bookmarkStart w:id="30" w:name="_Toc177825121"/>
      <w:bookmarkStart w:id="31" w:name="_Toc177824873"/>
      <w:bookmarkStart w:id="32" w:name="_Toc177824940"/>
    </w:p>
    <w:p>
      <w:pPr>
        <w:snapToGrid w:val="0"/>
        <w:spacing w:line="420" w:lineRule="exact"/>
        <w:ind w:firstLine="420" w:firstLineChars="200"/>
        <w:jc w:val="left"/>
        <w:outlineLvl w:val="1"/>
        <w:rPr>
          <w:rFonts w:ascii="宋体" w:hAnsi="宋体" w:cs="宋体"/>
          <w:szCs w:val="21"/>
          <w:highlight w:val="none"/>
        </w:rPr>
      </w:pPr>
      <w:bookmarkStart w:id="33" w:name="_Toc493511583"/>
      <w:bookmarkStart w:id="34" w:name="_Toc50012820"/>
      <w:bookmarkStart w:id="35" w:name="_Toc29052"/>
      <w:r>
        <w:rPr>
          <w:rFonts w:hint="eastAsia" w:ascii="宋体" w:hAnsi="宋体" w:cs="宋体"/>
          <w:szCs w:val="21"/>
          <w:highlight w:val="none"/>
        </w:rPr>
        <w:t>2、定义</w:t>
      </w:r>
      <w:bookmarkEnd w:id="28"/>
      <w:bookmarkEnd w:id="29"/>
      <w:bookmarkEnd w:id="30"/>
      <w:bookmarkEnd w:id="31"/>
      <w:bookmarkEnd w:id="32"/>
      <w:bookmarkEnd w:id="33"/>
      <w:bookmarkEnd w:id="34"/>
      <w:bookmarkEnd w:id="35"/>
    </w:p>
    <w:p>
      <w:pPr>
        <w:snapToGrid w:val="0"/>
        <w:spacing w:line="420" w:lineRule="exact"/>
        <w:ind w:firstLine="420" w:firstLineChars="200"/>
        <w:jc w:val="left"/>
        <w:outlineLvl w:val="1"/>
        <w:rPr>
          <w:rFonts w:ascii="宋体" w:hAnsi="宋体" w:cs="宋体"/>
          <w:szCs w:val="21"/>
          <w:highlight w:val="none"/>
        </w:rPr>
      </w:pPr>
      <w:bookmarkStart w:id="36" w:name="_Toc493511584"/>
      <w:bookmarkStart w:id="37" w:name="_Toc19542"/>
      <w:bookmarkStart w:id="38" w:name="_Toc50012821"/>
      <w:r>
        <w:rPr>
          <w:rFonts w:hint="eastAsia" w:ascii="宋体" w:hAnsi="宋体" w:cs="宋体"/>
          <w:szCs w:val="21"/>
          <w:highlight w:val="none"/>
        </w:rPr>
        <w:t>2.1、“招标人”系指组织本次招标的代理机构或采购人。</w:t>
      </w:r>
      <w:bookmarkEnd w:id="36"/>
      <w:bookmarkEnd w:id="37"/>
      <w:bookmarkEnd w:id="38"/>
    </w:p>
    <w:p>
      <w:pPr>
        <w:snapToGrid w:val="0"/>
        <w:spacing w:line="420" w:lineRule="exact"/>
        <w:ind w:firstLine="420" w:firstLineChars="200"/>
        <w:jc w:val="left"/>
        <w:outlineLvl w:val="1"/>
        <w:rPr>
          <w:rFonts w:ascii="宋体" w:hAnsi="宋体" w:cs="宋体"/>
          <w:szCs w:val="21"/>
          <w:highlight w:val="none"/>
        </w:rPr>
      </w:pPr>
      <w:bookmarkStart w:id="39" w:name="_Toc493511585"/>
      <w:bookmarkStart w:id="40" w:name="_Toc22525"/>
      <w:bookmarkStart w:id="41" w:name="_Toc50012822"/>
      <w:r>
        <w:rPr>
          <w:rFonts w:hint="eastAsia" w:ascii="宋体" w:hAnsi="宋体" w:cs="宋体"/>
          <w:szCs w:val="21"/>
          <w:highlight w:val="none"/>
        </w:rPr>
        <w:t>2.2、“投标人”系指向招标方提交投标文件的投标人。</w:t>
      </w:r>
      <w:bookmarkEnd w:id="39"/>
      <w:bookmarkEnd w:id="40"/>
      <w:bookmarkEnd w:id="41"/>
    </w:p>
    <w:p>
      <w:pPr>
        <w:snapToGrid w:val="0"/>
        <w:spacing w:line="420" w:lineRule="exact"/>
        <w:ind w:firstLine="420" w:firstLineChars="200"/>
        <w:jc w:val="left"/>
        <w:outlineLvl w:val="1"/>
        <w:rPr>
          <w:rFonts w:ascii="宋体" w:hAnsi="宋体" w:cs="宋体"/>
          <w:szCs w:val="21"/>
          <w:highlight w:val="none"/>
        </w:rPr>
      </w:pPr>
      <w:bookmarkStart w:id="42" w:name="_Toc50012823"/>
      <w:bookmarkStart w:id="43" w:name="_Toc493511586"/>
      <w:bookmarkStart w:id="44" w:name="_Toc2392"/>
      <w:r>
        <w:rPr>
          <w:rFonts w:hint="eastAsia" w:ascii="宋体" w:hAnsi="宋体" w:cs="宋体"/>
          <w:szCs w:val="21"/>
          <w:highlight w:val="none"/>
        </w:rPr>
        <w:t>2.3、“产品”系指供方按招标文件规定，须向采购人提供的一切设备、保险、税金、备品备件、工具、手册及其他有关技术资料和材料。</w:t>
      </w:r>
      <w:bookmarkEnd w:id="42"/>
      <w:bookmarkEnd w:id="43"/>
      <w:bookmarkEnd w:id="44"/>
    </w:p>
    <w:p>
      <w:pPr>
        <w:snapToGrid w:val="0"/>
        <w:spacing w:line="420" w:lineRule="exact"/>
        <w:ind w:firstLine="420" w:firstLineChars="200"/>
        <w:jc w:val="left"/>
        <w:outlineLvl w:val="1"/>
        <w:rPr>
          <w:rFonts w:ascii="宋体" w:hAnsi="宋体" w:cs="宋体"/>
          <w:szCs w:val="21"/>
          <w:highlight w:val="none"/>
        </w:rPr>
      </w:pPr>
      <w:bookmarkStart w:id="45" w:name="_Toc15752"/>
      <w:bookmarkStart w:id="46" w:name="_Toc493511587"/>
      <w:bookmarkStart w:id="47" w:name="_Toc50012824"/>
      <w:r>
        <w:rPr>
          <w:rFonts w:hint="eastAsia" w:ascii="宋体" w:hAnsi="宋体" w:cs="宋体"/>
          <w:szCs w:val="21"/>
          <w:highlight w:val="none"/>
        </w:rPr>
        <w:t>2.4、“服务”系指招标文件规定投标人须承担的安装、调试、技术协助、校准、培训、技术指导以及其他类似的义务。</w:t>
      </w:r>
      <w:bookmarkEnd w:id="45"/>
      <w:bookmarkEnd w:id="46"/>
      <w:bookmarkEnd w:id="47"/>
    </w:p>
    <w:p>
      <w:pPr>
        <w:snapToGrid w:val="0"/>
        <w:spacing w:line="420" w:lineRule="exact"/>
        <w:ind w:firstLine="420" w:firstLineChars="200"/>
        <w:jc w:val="left"/>
        <w:outlineLvl w:val="1"/>
        <w:rPr>
          <w:rFonts w:ascii="宋体" w:hAnsi="宋体" w:cs="宋体"/>
          <w:szCs w:val="21"/>
          <w:highlight w:val="none"/>
        </w:rPr>
      </w:pPr>
      <w:bookmarkStart w:id="48" w:name="_Toc14499"/>
      <w:bookmarkStart w:id="49" w:name="_Toc50012825"/>
      <w:bookmarkStart w:id="50" w:name="_Toc493511588"/>
      <w:r>
        <w:rPr>
          <w:rFonts w:hint="eastAsia" w:ascii="宋体" w:hAnsi="宋体" w:cs="宋体"/>
          <w:szCs w:val="21"/>
          <w:highlight w:val="none"/>
        </w:rPr>
        <w:t>2.5、“项目”系指投标人按招标文件规定向采购人提供的产品和服务。</w:t>
      </w:r>
      <w:bookmarkEnd w:id="48"/>
      <w:bookmarkEnd w:id="49"/>
      <w:bookmarkEnd w:id="50"/>
    </w:p>
    <w:p>
      <w:pPr>
        <w:snapToGrid w:val="0"/>
        <w:spacing w:line="420" w:lineRule="exact"/>
        <w:ind w:firstLine="420" w:firstLineChars="200"/>
        <w:jc w:val="left"/>
        <w:outlineLvl w:val="1"/>
        <w:rPr>
          <w:rFonts w:ascii="宋体" w:hAnsi="宋体" w:cs="宋体"/>
          <w:szCs w:val="21"/>
          <w:highlight w:val="none"/>
        </w:rPr>
      </w:pPr>
      <w:bookmarkStart w:id="51" w:name="_Toc493511589"/>
      <w:bookmarkStart w:id="52" w:name="_Toc28414"/>
      <w:bookmarkStart w:id="53" w:name="_Toc50012826"/>
      <w:r>
        <w:rPr>
          <w:rFonts w:hint="eastAsia" w:ascii="宋体" w:hAnsi="宋体" w:cs="宋体"/>
          <w:szCs w:val="21"/>
          <w:highlight w:val="none"/>
        </w:rPr>
        <w:t>2.6、“书面形式”包括信函、传真、电报、电子文档等。</w:t>
      </w:r>
      <w:bookmarkEnd w:id="51"/>
      <w:bookmarkEnd w:id="52"/>
      <w:bookmarkEnd w:id="53"/>
    </w:p>
    <w:p>
      <w:pPr>
        <w:snapToGrid w:val="0"/>
        <w:spacing w:line="420" w:lineRule="exact"/>
        <w:ind w:firstLine="420" w:firstLineChars="200"/>
        <w:jc w:val="left"/>
        <w:outlineLvl w:val="1"/>
        <w:rPr>
          <w:rFonts w:ascii="宋体" w:hAnsi="宋体" w:cs="宋体"/>
          <w:szCs w:val="21"/>
          <w:highlight w:val="none"/>
        </w:rPr>
      </w:pPr>
      <w:bookmarkStart w:id="54" w:name="_Toc50012827"/>
      <w:bookmarkStart w:id="55" w:name="_Toc18649"/>
      <w:bookmarkStart w:id="56" w:name="_Toc493511590"/>
      <w:r>
        <w:rPr>
          <w:rFonts w:hint="eastAsia" w:ascii="宋体" w:hAnsi="宋体" w:cs="宋体"/>
          <w:szCs w:val="21"/>
          <w:highlight w:val="none"/>
        </w:rPr>
        <w:t>2.7、</w:t>
      </w:r>
      <w:bookmarkEnd w:id="54"/>
      <w:bookmarkEnd w:id="55"/>
      <w:bookmarkEnd w:id="56"/>
      <w:bookmarkStart w:id="57" w:name="_Toc427915761"/>
      <w:bookmarkStart w:id="58" w:name="_Toc177870539"/>
      <w:r>
        <w:rPr>
          <w:rFonts w:hint="eastAsia" w:ascii="宋体" w:hAnsi="宋体" w:cs="宋体"/>
          <w:szCs w:val="21"/>
          <w:highlight w:val="none"/>
        </w:rPr>
        <w:t>“▲”为重要技术指标，一项不满足的作无效标处理。“</w:t>
      </w:r>
      <w:r>
        <w:rPr>
          <w:rFonts w:hint="eastAsia" w:ascii="宋体" w:hAnsi="宋体" w:cs="宋体"/>
          <w:kern w:val="0"/>
          <w:szCs w:val="21"/>
          <w:highlight w:val="none"/>
        </w:rPr>
        <w:t>○</w:t>
      </w:r>
      <w:r>
        <w:rPr>
          <w:rFonts w:hint="eastAsia" w:ascii="宋体" w:hAnsi="宋体" w:cs="宋体"/>
          <w:szCs w:val="21"/>
          <w:highlight w:val="none"/>
        </w:rPr>
        <w:t>”为主要技术指标,投标时产生偏离的将影响评分。</w:t>
      </w:r>
    </w:p>
    <w:p>
      <w:pPr>
        <w:snapToGrid w:val="0"/>
        <w:spacing w:line="420" w:lineRule="exact"/>
        <w:ind w:firstLine="420" w:firstLineChars="200"/>
        <w:jc w:val="left"/>
        <w:outlineLvl w:val="1"/>
        <w:rPr>
          <w:rFonts w:ascii="宋体" w:hAnsi="宋体" w:cs="宋体"/>
          <w:szCs w:val="21"/>
          <w:highlight w:val="none"/>
        </w:rPr>
      </w:pPr>
      <w:bookmarkStart w:id="59" w:name="_Toc10422"/>
      <w:bookmarkStart w:id="60" w:name="_Toc493511591"/>
      <w:bookmarkStart w:id="61" w:name="_Toc50012828"/>
      <w:r>
        <w:rPr>
          <w:rFonts w:hint="eastAsia" w:ascii="宋体" w:hAnsi="宋体" w:cs="宋体"/>
          <w:szCs w:val="21"/>
          <w:highlight w:val="none"/>
        </w:rPr>
        <w:t>3、招标方式</w:t>
      </w:r>
      <w:bookmarkEnd w:id="57"/>
      <w:bookmarkEnd w:id="58"/>
      <w:bookmarkEnd w:id="59"/>
      <w:bookmarkEnd w:id="60"/>
      <w:bookmarkEnd w:id="61"/>
    </w:p>
    <w:p>
      <w:pPr>
        <w:snapToGrid w:val="0"/>
        <w:spacing w:line="420" w:lineRule="exact"/>
        <w:ind w:firstLine="420" w:firstLineChars="200"/>
        <w:jc w:val="left"/>
        <w:outlineLvl w:val="1"/>
        <w:rPr>
          <w:rFonts w:ascii="宋体" w:hAnsi="宋体" w:cs="宋体"/>
          <w:szCs w:val="21"/>
          <w:highlight w:val="none"/>
        </w:rPr>
      </w:pPr>
      <w:bookmarkStart w:id="62" w:name="_Toc493511592"/>
      <w:bookmarkStart w:id="63" w:name="_Toc21572"/>
      <w:bookmarkStart w:id="64" w:name="_Toc50012829"/>
      <w:r>
        <w:rPr>
          <w:rFonts w:hint="eastAsia" w:ascii="宋体" w:hAnsi="宋体" w:cs="宋体"/>
          <w:szCs w:val="21"/>
          <w:highlight w:val="none"/>
        </w:rPr>
        <w:t>本次招标采用公开招标方式进行。</w:t>
      </w:r>
      <w:bookmarkEnd w:id="62"/>
      <w:bookmarkEnd w:id="63"/>
      <w:bookmarkEnd w:id="64"/>
    </w:p>
    <w:p>
      <w:pPr>
        <w:snapToGrid w:val="0"/>
        <w:spacing w:line="420" w:lineRule="exact"/>
        <w:ind w:firstLine="420" w:firstLineChars="200"/>
        <w:jc w:val="left"/>
        <w:outlineLvl w:val="1"/>
        <w:rPr>
          <w:rFonts w:ascii="宋体" w:hAnsi="宋体" w:cs="宋体"/>
          <w:szCs w:val="21"/>
          <w:highlight w:val="none"/>
        </w:rPr>
      </w:pPr>
      <w:bookmarkStart w:id="65" w:name="_Toc30170"/>
      <w:bookmarkStart w:id="66" w:name="_Toc493511593"/>
      <w:bookmarkStart w:id="67" w:name="_Toc50012830"/>
      <w:r>
        <w:rPr>
          <w:rFonts w:hint="eastAsia" w:ascii="宋体" w:hAnsi="宋体" w:cs="宋体"/>
          <w:szCs w:val="21"/>
          <w:highlight w:val="none"/>
        </w:rPr>
        <w:t>4、本次招标设定上限价详见前附表。</w:t>
      </w:r>
      <w:bookmarkEnd w:id="65"/>
      <w:bookmarkEnd w:id="66"/>
      <w:bookmarkEnd w:id="67"/>
      <w:bookmarkStart w:id="68" w:name="_Toc177870540"/>
      <w:bookmarkStart w:id="69" w:name="_Toc177824941"/>
      <w:bookmarkStart w:id="70" w:name="_Toc427915762"/>
      <w:bookmarkStart w:id="71" w:name="_Toc177824874"/>
      <w:bookmarkStart w:id="72" w:name="_Toc177825122"/>
    </w:p>
    <w:bookmarkEnd w:id="68"/>
    <w:bookmarkEnd w:id="69"/>
    <w:bookmarkEnd w:id="70"/>
    <w:bookmarkEnd w:id="71"/>
    <w:bookmarkEnd w:id="72"/>
    <w:p>
      <w:pPr>
        <w:snapToGrid w:val="0"/>
        <w:spacing w:line="420" w:lineRule="exact"/>
        <w:ind w:firstLine="420" w:firstLineChars="200"/>
        <w:jc w:val="left"/>
        <w:outlineLvl w:val="1"/>
        <w:rPr>
          <w:rFonts w:ascii="宋体" w:hAnsi="宋体" w:cs="宋体"/>
          <w:szCs w:val="21"/>
          <w:highlight w:val="none"/>
        </w:rPr>
      </w:pPr>
      <w:bookmarkStart w:id="73" w:name="_Toc427915763"/>
      <w:bookmarkStart w:id="74" w:name="_Toc177870541"/>
      <w:bookmarkStart w:id="75" w:name="_Toc493511596"/>
      <w:bookmarkStart w:id="76" w:name="_Toc177824942"/>
      <w:bookmarkStart w:id="77" w:name="_Toc177825123"/>
      <w:bookmarkStart w:id="78" w:name="_Toc2927"/>
      <w:bookmarkStart w:id="79" w:name="_Toc177824875"/>
      <w:bookmarkStart w:id="80" w:name="_Toc50012833"/>
      <w:r>
        <w:rPr>
          <w:rFonts w:hint="eastAsia" w:ascii="宋体" w:hAnsi="宋体" w:cs="宋体"/>
          <w:szCs w:val="21"/>
          <w:highlight w:val="none"/>
        </w:rPr>
        <w:t>5、投标费用</w:t>
      </w:r>
      <w:bookmarkEnd w:id="73"/>
      <w:bookmarkEnd w:id="74"/>
      <w:bookmarkEnd w:id="75"/>
      <w:bookmarkEnd w:id="76"/>
      <w:bookmarkEnd w:id="77"/>
      <w:bookmarkEnd w:id="78"/>
      <w:bookmarkEnd w:id="79"/>
      <w:bookmarkEnd w:id="80"/>
    </w:p>
    <w:p>
      <w:pPr>
        <w:snapToGrid w:val="0"/>
        <w:spacing w:line="420" w:lineRule="exact"/>
        <w:ind w:firstLine="420" w:firstLineChars="200"/>
        <w:jc w:val="left"/>
        <w:outlineLvl w:val="1"/>
        <w:rPr>
          <w:rFonts w:ascii="宋体" w:hAnsi="宋体" w:cs="宋体"/>
          <w:szCs w:val="21"/>
          <w:highlight w:val="none"/>
        </w:rPr>
      </w:pPr>
      <w:bookmarkStart w:id="81" w:name="_Toc50012834"/>
      <w:bookmarkStart w:id="82" w:name="_Toc2682"/>
      <w:bookmarkStart w:id="83" w:name="_Toc493511597"/>
      <w:r>
        <w:rPr>
          <w:rFonts w:hint="eastAsia" w:ascii="宋体" w:hAnsi="宋体" w:cs="宋体"/>
          <w:szCs w:val="21"/>
          <w:highlight w:val="none"/>
        </w:rPr>
        <w:t>不论投标结果如何，投标人均应自行承担所有与投标有关的全部费用。</w:t>
      </w:r>
      <w:bookmarkEnd w:id="81"/>
      <w:bookmarkEnd w:id="82"/>
      <w:bookmarkEnd w:id="83"/>
    </w:p>
    <w:p>
      <w:pPr>
        <w:snapToGrid w:val="0"/>
        <w:spacing w:line="420" w:lineRule="exact"/>
        <w:ind w:firstLine="420" w:firstLineChars="200"/>
        <w:jc w:val="left"/>
        <w:outlineLvl w:val="1"/>
        <w:rPr>
          <w:rFonts w:ascii="宋体" w:hAnsi="宋体" w:cs="宋体"/>
          <w:szCs w:val="21"/>
          <w:highlight w:val="none"/>
        </w:rPr>
      </w:pPr>
      <w:bookmarkStart w:id="84" w:name="_Toc26432"/>
      <w:bookmarkStart w:id="85" w:name="_Toc50012835"/>
      <w:bookmarkStart w:id="86" w:name="_Toc493511598"/>
      <w:r>
        <w:rPr>
          <w:rFonts w:hint="eastAsia" w:ascii="宋体" w:hAnsi="宋体" w:cs="宋体"/>
          <w:szCs w:val="21"/>
          <w:highlight w:val="none"/>
        </w:rPr>
        <w:t>6、联合体投标</w:t>
      </w:r>
      <w:bookmarkEnd w:id="84"/>
      <w:bookmarkEnd w:id="85"/>
      <w:bookmarkEnd w:id="86"/>
    </w:p>
    <w:p>
      <w:pPr>
        <w:snapToGrid w:val="0"/>
        <w:spacing w:line="420" w:lineRule="exact"/>
        <w:ind w:firstLine="420" w:firstLineChars="200"/>
        <w:jc w:val="left"/>
        <w:outlineLvl w:val="1"/>
        <w:rPr>
          <w:rFonts w:ascii="宋体" w:hAnsi="宋体" w:cs="宋体"/>
          <w:szCs w:val="21"/>
          <w:highlight w:val="none"/>
        </w:rPr>
      </w:pPr>
      <w:bookmarkStart w:id="87" w:name="_Toc493511599"/>
      <w:bookmarkStart w:id="88" w:name="_Toc30057"/>
      <w:bookmarkStart w:id="89" w:name="_Toc50012836"/>
      <w:r>
        <w:rPr>
          <w:rFonts w:hint="eastAsia" w:ascii="宋体" w:hAnsi="宋体" w:cs="宋体"/>
          <w:szCs w:val="21"/>
          <w:highlight w:val="none"/>
        </w:rPr>
        <w:t>本项目不接受联合体投标。</w:t>
      </w:r>
      <w:bookmarkEnd w:id="87"/>
      <w:bookmarkEnd w:id="88"/>
      <w:bookmarkEnd w:id="89"/>
      <w:bookmarkStart w:id="90" w:name="_Toc177870544"/>
    </w:p>
    <w:p>
      <w:pPr>
        <w:snapToGrid w:val="0"/>
        <w:spacing w:line="420" w:lineRule="exact"/>
        <w:ind w:firstLine="422" w:firstLineChars="200"/>
        <w:jc w:val="left"/>
        <w:outlineLvl w:val="1"/>
        <w:rPr>
          <w:rFonts w:ascii="宋体" w:hAnsi="宋体" w:cs="宋体"/>
          <w:b/>
          <w:szCs w:val="21"/>
          <w:highlight w:val="none"/>
        </w:rPr>
      </w:pPr>
      <w:bookmarkStart w:id="91" w:name="_Toc1772"/>
      <w:bookmarkStart w:id="92" w:name="_Toc50012837"/>
      <w:r>
        <w:rPr>
          <w:rFonts w:hint="eastAsia" w:ascii="宋体" w:hAnsi="宋体" w:cs="宋体"/>
          <w:b/>
          <w:szCs w:val="21"/>
          <w:highlight w:val="none"/>
        </w:rPr>
        <w:t>7.转包与分包</w:t>
      </w:r>
      <w:bookmarkEnd w:id="91"/>
      <w:bookmarkEnd w:id="92"/>
    </w:p>
    <w:p>
      <w:pPr>
        <w:snapToGrid w:val="0"/>
        <w:spacing w:line="420" w:lineRule="exact"/>
        <w:ind w:firstLine="420" w:firstLineChars="200"/>
        <w:jc w:val="left"/>
        <w:outlineLvl w:val="1"/>
        <w:rPr>
          <w:rFonts w:ascii="宋体" w:hAnsi="宋体" w:cs="宋体"/>
          <w:szCs w:val="21"/>
          <w:highlight w:val="none"/>
        </w:rPr>
      </w:pPr>
      <w:bookmarkStart w:id="93" w:name="_Toc50012838"/>
      <w:bookmarkStart w:id="94" w:name="_Toc25115"/>
      <w:r>
        <w:rPr>
          <w:rFonts w:hint="eastAsia" w:ascii="宋体" w:hAnsi="宋体" w:cs="宋体"/>
          <w:szCs w:val="21"/>
          <w:highlight w:val="none"/>
        </w:rPr>
        <w:t>7.1本项目不允许转包；</w:t>
      </w:r>
      <w:bookmarkEnd w:id="93"/>
      <w:bookmarkEnd w:id="94"/>
    </w:p>
    <w:p>
      <w:pPr>
        <w:snapToGrid w:val="0"/>
        <w:spacing w:line="420" w:lineRule="exact"/>
        <w:ind w:firstLine="420" w:firstLineChars="200"/>
        <w:jc w:val="left"/>
        <w:outlineLvl w:val="1"/>
        <w:rPr>
          <w:rFonts w:ascii="宋体" w:hAnsi="宋体" w:cs="宋体"/>
          <w:kern w:val="0"/>
          <w:szCs w:val="21"/>
          <w:highlight w:val="none"/>
        </w:rPr>
      </w:pPr>
      <w:bookmarkStart w:id="95" w:name="_Toc5717"/>
      <w:bookmarkStart w:id="96" w:name="_Toc50012839"/>
      <w:r>
        <w:rPr>
          <w:rFonts w:hint="eastAsia" w:ascii="宋体" w:hAnsi="宋体" w:cs="宋体"/>
          <w:kern w:val="0"/>
          <w:szCs w:val="21"/>
          <w:highlight w:val="none"/>
        </w:rPr>
        <w:t>7.2</w:t>
      </w:r>
      <w:r>
        <w:rPr>
          <w:rFonts w:hint="eastAsia" w:ascii="宋体" w:hAnsi="宋体" w:cs="宋体"/>
          <w:szCs w:val="21"/>
          <w:highlight w:val="none"/>
        </w:rPr>
        <w:t>本项目不可以分包。</w:t>
      </w:r>
      <w:bookmarkEnd w:id="95"/>
      <w:bookmarkEnd w:id="96"/>
      <w:bookmarkStart w:id="97" w:name="_Toc177870542"/>
      <w:bookmarkStart w:id="98" w:name="_Toc430786267"/>
    </w:p>
    <w:p>
      <w:pPr>
        <w:snapToGrid w:val="0"/>
        <w:spacing w:line="420" w:lineRule="exact"/>
        <w:ind w:firstLine="422" w:firstLineChars="200"/>
        <w:jc w:val="left"/>
        <w:outlineLvl w:val="1"/>
        <w:rPr>
          <w:rFonts w:ascii="宋体" w:hAnsi="宋体" w:cs="宋体"/>
          <w:b/>
          <w:szCs w:val="21"/>
          <w:highlight w:val="none"/>
        </w:rPr>
      </w:pPr>
      <w:bookmarkStart w:id="99" w:name="_Toc50012840"/>
      <w:bookmarkStart w:id="100" w:name="_Toc2435"/>
      <w:r>
        <w:rPr>
          <w:rFonts w:hint="eastAsia" w:ascii="宋体" w:hAnsi="宋体" w:cs="宋体"/>
          <w:b/>
          <w:szCs w:val="21"/>
          <w:highlight w:val="none"/>
        </w:rPr>
        <w:t>8.特别说明：</w:t>
      </w:r>
      <w:bookmarkEnd w:id="97"/>
      <w:bookmarkEnd w:id="98"/>
      <w:bookmarkEnd w:id="99"/>
      <w:bookmarkEnd w:id="100"/>
    </w:p>
    <w:p>
      <w:pPr>
        <w:snapToGrid w:val="0"/>
        <w:spacing w:line="420" w:lineRule="exact"/>
        <w:ind w:firstLine="420" w:firstLineChars="200"/>
        <w:jc w:val="left"/>
        <w:outlineLvl w:val="1"/>
        <w:rPr>
          <w:rFonts w:ascii="宋体" w:hAnsi="宋体" w:cs="宋体"/>
          <w:szCs w:val="21"/>
          <w:highlight w:val="none"/>
        </w:rPr>
      </w:pPr>
      <w:bookmarkStart w:id="101" w:name="_Toc430786268"/>
      <w:bookmarkStart w:id="102" w:name="_Toc495603533"/>
      <w:bookmarkStart w:id="103" w:name="_Toc177870543"/>
      <w:r>
        <w:rPr>
          <w:rFonts w:hint="eastAsia" w:ascii="宋体" w:hAnsi="宋体" w:cs="宋体"/>
          <w:szCs w:val="21"/>
          <w:highlight w:val="none"/>
        </w:rPr>
        <w:t>8.1投标人投标所使用的资格、信誉、荣誉、业绩与企业认证必须为本法人所拥有。投标人投标所使用的采购项目实施人员必须为本法人员工（或必须为本法人或控股公司正式员工）。</w:t>
      </w:r>
    </w:p>
    <w:p>
      <w:pPr>
        <w:snapToGrid w:val="0"/>
        <w:spacing w:line="420" w:lineRule="exact"/>
        <w:ind w:firstLine="420" w:firstLineChars="200"/>
        <w:jc w:val="left"/>
        <w:outlineLvl w:val="1"/>
        <w:rPr>
          <w:rFonts w:ascii="宋体" w:hAnsi="宋体" w:cs="宋体"/>
          <w:szCs w:val="21"/>
          <w:highlight w:val="none"/>
        </w:rPr>
      </w:pPr>
      <w:bookmarkStart w:id="104" w:name="_Toc7381"/>
      <w:bookmarkStart w:id="105" w:name="_Toc50012841"/>
      <w:r>
        <w:rPr>
          <w:rFonts w:hint="eastAsia" w:ascii="宋体" w:hAnsi="宋体" w:cs="宋体"/>
          <w:szCs w:val="21"/>
          <w:highlight w:val="none"/>
        </w:rPr>
        <w:t>8.2投标人应仔细阅读招标文件的所有内容，按照招标文件的要求提交投标文件，并对所提供的全部资料的真实性承担法律责任。</w:t>
      </w:r>
    </w:p>
    <w:p>
      <w:pPr>
        <w:snapToGrid w:val="0"/>
        <w:spacing w:line="420" w:lineRule="exact"/>
        <w:ind w:firstLine="420" w:firstLineChars="200"/>
        <w:jc w:val="left"/>
        <w:outlineLvl w:val="1"/>
        <w:rPr>
          <w:rFonts w:ascii="宋体" w:hAnsi="宋体" w:cs="宋体"/>
          <w:szCs w:val="21"/>
          <w:highlight w:val="none"/>
        </w:rPr>
      </w:pPr>
      <w:r>
        <w:rPr>
          <w:rFonts w:hint="eastAsia" w:ascii="宋体" w:hAnsi="宋体" w:cs="宋体"/>
          <w:szCs w:val="21"/>
          <w:highlight w:val="none"/>
        </w:rPr>
        <w:t>8.3投标人在投标活动中提供任何虚假材料，其投标无效，并报监管部门查处；中标后发现的，根据相关规定由中标人赔偿采购人，且民事赔偿并不免除违法投标人的行政与刑事责任。</w:t>
      </w:r>
    </w:p>
    <w:p>
      <w:pPr>
        <w:snapToGrid w:val="0"/>
        <w:spacing w:line="420" w:lineRule="exact"/>
        <w:ind w:firstLine="422" w:firstLineChars="200"/>
        <w:jc w:val="left"/>
        <w:outlineLvl w:val="1"/>
        <w:rPr>
          <w:rFonts w:ascii="宋体" w:hAnsi="宋体" w:cs="宋体"/>
          <w:b/>
          <w:szCs w:val="21"/>
          <w:highlight w:val="none"/>
        </w:rPr>
      </w:pPr>
      <w:r>
        <w:rPr>
          <w:rFonts w:hint="eastAsia" w:ascii="宋体" w:hAnsi="宋体" w:cs="宋体"/>
          <w:b/>
          <w:szCs w:val="21"/>
          <w:highlight w:val="none"/>
        </w:rPr>
        <w:t>9.质疑</w:t>
      </w:r>
      <w:bookmarkEnd w:id="101"/>
      <w:bookmarkEnd w:id="102"/>
      <w:bookmarkEnd w:id="103"/>
      <w:bookmarkEnd w:id="104"/>
      <w:bookmarkEnd w:id="105"/>
    </w:p>
    <w:p>
      <w:pPr>
        <w:pStyle w:val="25"/>
        <w:spacing w:line="420" w:lineRule="exact"/>
        <w:ind w:firstLine="422" w:firstLineChars="200"/>
        <w:jc w:val="left"/>
        <w:outlineLvl w:val="1"/>
        <w:rPr>
          <w:rFonts w:hAnsi="宋体" w:cs="宋体"/>
          <w:b/>
          <w:szCs w:val="21"/>
          <w:highlight w:val="none"/>
        </w:rPr>
      </w:pPr>
      <w:bookmarkStart w:id="106" w:name="_Toc50012842"/>
      <w:bookmarkStart w:id="107" w:name="_Toc495603534"/>
      <w:bookmarkStart w:id="108" w:name="_Toc1791"/>
      <w:r>
        <w:rPr>
          <w:rFonts w:hint="eastAsia" w:hAnsi="宋体" w:cs="宋体"/>
          <w:b/>
          <w:szCs w:val="21"/>
          <w:highlight w:val="none"/>
        </w:rPr>
        <w:t>9.1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作出答复的，可以在答复期满后十五个工作日内向同级采购监管部门投诉。</w:t>
      </w:r>
      <w:bookmarkEnd w:id="106"/>
      <w:bookmarkEnd w:id="107"/>
      <w:bookmarkEnd w:id="108"/>
      <w:bookmarkStart w:id="109" w:name="_Toc495603535"/>
    </w:p>
    <w:p>
      <w:pPr>
        <w:pStyle w:val="25"/>
        <w:spacing w:line="420" w:lineRule="exact"/>
        <w:ind w:firstLine="422" w:firstLineChars="200"/>
        <w:jc w:val="left"/>
        <w:outlineLvl w:val="1"/>
        <w:rPr>
          <w:rFonts w:hAnsi="宋体" w:cs="宋体"/>
          <w:b/>
          <w:szCs w:val="21"/>
          <w:highlight w:val="none"/>
        </w:rPr>
      </w:pPr>
      <w:bookmarkStart w:id="110" w:name="_Toc23570"/>
      <w:bookmarkStart w:id="111" w:name="_Toc50012843"/>
      <w:r>
        <w:rPr>
          <w:rFonts w:hint="eastAsia" w:hAnsi="宋体" w:cs="宋体"/>
          <w:b/>
          <w:szCs w:val="21"/>
          <w:highlight w:val="none"/>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109"/>
      <w:bookmarkEnd w:id="110"/>
      <w:bookmarkEnd w:id="111"/>
    </w:p>
    <w:p>
      <w:pPr>
        <w:snapToGrid w:val="0"/>
        <w:spacing w:line="420" w:lineRule="exact"/>
        <w:ind w:firstLine="422" w:firstLineChars="200"/>
        <w:jc w:val="left"/>
        <w:outlineLvl w:val="2"/>
        <w:rPr>
          <w:rFonts w:ascii="宋体" w:hAnsi="宋体" w:cs="宋体"/>
          <w:b/>
          <w:highlight w:val="none"/>
        </w:rPr>
      </w:pPr>
      <w:r>
        <w:rPr>
          <w:rFonts w:hint="eastAsia" w:ascii="宋体" w:hAnsi="宋体" w:cs="宋体"/>
          <w:b/>
          <w:szCs w:val="21"/>
          <w:highlight w:val="none"/>
        </w:rPr>
        <w:t>10.</w:t>
      </w:r>
      <w:r>
        <w:rPr>
          <w:rFonts w:hint="eastAsia" w:ascii="宋体" w:hAnsi="宋体" w:cs="宋体"/>
          <w:b/>
          <w:highlight w:val="none"/>
        </w:rPr>
        <w:t>相关政府采购政策</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10.1支持中小企业发展</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10.1.1中小企业，是指在中华人民共和国境内依法设立，依据国务院批准的中小企业划分标准确定的中型企业、小型企业和微型企业，但与大企业的负责人为同一人，或者与大企业存在直接控股、管理关系的除外。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10.1.2在政府采购活动中，投标供应商提供的货物、工程或者服务符合下列情形的，享受中小企业扶持政策：</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10.1.2.1在货物采购项目中，货物由中小企业制造，即货物由中小企业生产且使用该中小企业商号或者注册商标；</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10.1.2.2在工程采购项目中，工程由中小企业承建，即工程施工单位为中小企业；</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10.1.2.3在服务采购项目中，服务由中小企业承接，即提供服务的人员为中小企业依照民法典订立劳动合同的从业人员。</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在货物采购项目中，投标供应商提供的货物既有中小企业制造货物，也有大型企业制造货物的，不享受中小企业扶持政策。</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10.1.3符合《关于促进残疾人就业政府采购政策的通知》（财库〔2017〕141号）规定的条件并提供《残疾人福利性单位声明函》的残疾人福利性单位视同小型、微型企业；</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10.1.4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10.1.5可享受中小企业扶持政策的投标供应商应按照招标文件格式要求提供《中小企业声明函》，投标供应商提供的《中小企业声明函》与实际情况不符的，不享受中小企业扶持政策。声明内容不实的，属于提供虚假材料谋取中标、成交的，依法承担法律责任。</w:t>
      </w:r>
    </w:p>
    <w:p>
      <w:pPr>
        <w:pStyle w:val="25"/>
        <w:spacing w:line="420" w:lineRule="exact"/>
        <w:ind w:firstLine="420" w:firstLineChars="200"/>
        <w:jc w:val="left"/>
        <w:outlineLvl w:val="1"/>
        <w:rPr>
          <w:rFonts w:hAnsi="宋体" w:cs="宋体"/>
          <w:szCs w:val="21"/>
          <w:highlight w:val="none"/>
        </w:rPr>
      </w:pPr>
      <w:r>
        <w:rPr>
          <w:rFonts w:hint="eastAsia" w:hAnsi="宋体" w:cs="宋体"/>
          <w:szCs w:val="21"/>
          <w:highlight w:val="none"/>
        </w:rPr>
        <w:t>10.1.6中小企业享受扶持政策获得政府采购合同的，小微企业不得将合同分包给大中型企业，中型企业不得将合同分包给大型企业。</w:t>
      </w:r>
    </w:p>
    <w:p>
      <w:pPr>
        <w:snapToGrid w:val="0"/>
        <w:spacing w:line="420" w:lineRule="exact"/>
        <w:ind w:firstLine="422" w:firstLineChars="200"/>
        <w:jc w:val="left"/>
        <w:outlineLvl w:val="1"/>
        <w:rPr>
          <w:rFonts w:ascii="宋体" w:hAnsi="宋体" w:cs="宋体"/>
          <w:b/>
          <w:szCs w:val="21"/>
          <w:highlight w:val="none"/>
        </w:rPr>
      </w:pPr>
      <w:bookmarkStart w:id="112" w:name="_Toc50012844"/>
      <w:bookmarkStart w:id="113" w:name="_Toc493511613"/>
      <w:bookmarkStart w:id="114" w:name="_Toc25169"/>
      <w:r>
        <w:rPr>
          <w:rFonts w:hint="eastAsia" w:ascii="宋体" w:hAnsi="宋体" w:cs="宋体"/>
          <w:b/>
          <w:szCs w:val="21"/>
          <w:highlight w:val="none"/>
        </w:rPr>
        <w:t>二、招标文件</w:t>
      </w:r>
      <w:bookmarkEnd w:id="90"/>
      <w:bookmarkEnd w:id="112"/>
      <w:bookmarkEnd w:id="113"/>
      <w:bookmarkEnd w:id="114"/>
    </w:p>
    <w:p>
      <w:pPr>
        <w:snapToGrid w:val="0"/>
        <w:spacing w:line="420" w:lineRule="exact"/>
        <w:ind w:firstLine="422" w:firstLineChars="200"/>
        <w:jc w:val="left"/>
        <w:outlineLvl w:val="1"/>
        <w:rPr>
          <w:rFonts w:ascii="宋体" w:hAnsi="宋体" w:cs="宋体"/>
          <w:b/>
          <w:szCs w:val="21"/>
          <w:highlight w:val="none"/>
        </w:rPr>
      </w:pPr>
      <w:bookmarkStart w:id="115" w:name="_Toc50012845"/>
      <w:bookmarkStart w:id="116" w:name="_Toc16026"/>
      <w:bookmarkStart w:id="117" w:name="_Toc493511614"/>
      <w:r>
        <w:rPr>
          <w:rFonts w:hint="eastAsia" w:ascii="宋体" w:hAnsi="宋体" w:cs="宋体"/>
          <w:b/>
          <w:szCs w:val="21"/>
          <w:highlight w:val="none"/>
        </w:rPr>
        <w:t>1、招标文件的构成</w:t>
      </w:r>
      <w:bookmarkEnd w:id="115"/>
      <w:bookmarkEnd w:id="116"/>
      <w:bookmarkEnd w:id="117"/>
    </w:p>
    <w:p>
      <w:pPr>
        <w:snapToGrid w:val="0"/>
        <w:spacing w:line="420" w:lineRule="exact"/>
        <w:ind w:firstLine="420" w:firstLineChars="200"/>
        <w:jc w:val="left"/>
        <w:outlineLvl w:val="1"/>
        <w:rPr>
          <w:rFonts w:ascii="宋体" w:hAnsi="宋体" w:cs="宋体"/>
          <w:szCs w:val="21"/>
          <w:highlight w:val="none"/>
        </w:rPr>
      </w:pPr>
      <w:bookmarkStart w:id="118" w:name="_Toc7778"/>
      <w:bookmarkStart w:id="119" w:name="_Toc50012846"/>
      <w:bookmarkStart w:id="120" w:name="_Toc493511615"/>
      <w:r>
        <w:rPr>
          <w:rFonts w:hint="eastAsia" w:ascii="宋体" w:hAnsi="宋体" w:cs="宋体"/>
          <w:szCs w:val="21"/>
          <w:highlight w:val="none"/>
        </w:rPr>
        <w:t>1.1、公开招标采购公告</w:t>
      </w:r>
      <w:bookmarkEnd w:id="118"/>
      <w:bookmarkEnd w:id="119"/>
      <w:bookmarkEnd w:id="120"/>
    </w:p>
    <w:p>
      <w:pPr>
        <w:snapToGrid w:val="0"/>
        <w:spacing w:line="420" w:lineRule="exact"/>
        <w:ind w:firstLine="420" w:firstLineChars="200"/>
        <w:jc w:val="left"/>
        <w:outlineLvl w:val="1"/>
        <w:rPr>
          <w:rFonts w:ascii="宋体" w:hAnsi="宋体" w:cs="宋体"/>
          <w:szCs w:val="21"/>
          <w:highlight w:val="none"/>
        </w:rPr>
      </w:pPr>
      <w:bookmarkStart w:id="121" w:name="_Toc493511616"/>
      <w:bookmarkStart w:id="122" w:name="_Toc50012847"/>
      <w:bookmarkStart w:id="123" w:name="_Toc7186"/>
      <w:r>
        <w:rPr>
          <w:rFonts w:hint="eastAsia" w:ascii="宋体" w:hAnsi="宋体" w:cs="宋体"/>
          <w:szCs w:val="21"/>
          <w:highlight w:val="none"/>
        </w:rPr>
        <w:t>1.2、采购需求</w:t>
      </w:r>
      <w:bookmarkEnd w:id="121"/>
      <w:bookmarkEnd w:id="122"/>
      <w:bookmarkEnd w:id="123"/>
    </w:p>
    <w:p>
      <w:pPr>
        <w:snapToGrid w:val="0"/>
        <w:spacing w:line="420" w:lineRule="exact"/>
        <w:ind w:firstLine="420" w:firstLineChars="200"/>
        <w:jc w:val="left"/>
        <w:outlineLvl w:val="1"/>
        <w:rPr>
          <w:rFonts w:ascii="宋体" w:hAnsi="宋体" w:cs="宋体"/>
          <w:szCs w:val="21"/>
          <w:highlight w:val="none"/>
        </w:rPr>
      </w:pPr>
      <w:bookmarkStart w:id="124" w:name="_Toc6933"/>
      <w:bookmarkStart w:id="125" w:name="_Toc50012848"/>
      <w:bookmarkStart w:id="126" w:name="_Toc493511617"/>
      <w:r>
        <w:rPr>
          <w:rFonts w:hint="eastAsia" w:ascii="宋体" w:hAnsi="宋体" w:cs="宋体"/>
          <w:szCs w:val="21"/>
          <w:highlight w:val="none"/>
        </w:rPr>
        <w:t>1.3、投标人须知</w:t>
      </w:r>
      <w:bookmarkEnd w:id="124"/>
      <w:bookmarkEnd w:id="125"/>
      <w:bookmarkEnd w:id="126"/>
    </w:p>
    <w:p>
      <w:pPr>
        <w:snapToGrid w:val="0"/>
        <w:spacing w:line="420" w:lineRule="exact"/>
        <w:ind w:firstLine="420" w:firstLineChars="200"/>
        <w:jc w:val="left"/>
        <w:outlineLvl w:val="1"/>
        <w:rPr>
          <w:rFonts w:ascii="宋体" w:hAnsi="宋体" w:cs="宋体"/>
          <w:szCs w:val="21"/>
          <w:highlight w:val="none"/>
        </w:rPr>
      </w:pPr>
      <w:bookmarkStart w:id="127" w:name="_Toc493511618"/>
      <w:bookmarkStart w:id="128" w:name="_Toc2119"/>
      <w:bookmarkStart w:id="129" w:name="_Toc50012849"/>
      <w:r>
        <w:rPr>
          <w:rFonts w:hint="eastAsia" w:ascii="宋体" w:hAnsi="宋体" w:cs="宋体"/>
          <w:szCs w:val="21"/>
          <w:highlight w:val="none"/>
        </w:rPr>
        <w:t>1.4、评标办法</w:t>
      </w:r>
      <w:bookmarkEnd w:id="127"/>
      <w:bookmarkEnd w:id="128"/>
      <w:bookmarkEnd w:id="129"/>
    </w:p>
    <w:p>
      <w:pPr>
        <w:snapToGrid w:val="0"/>
        <w:spacing w:line="420" w:lineRule="exact"/>
        <w:ind w:firstLine="420" w:firstLineChars="200"/>
        <w:jc w:val="left"/>
        <w:outlineLvl w:val="1"/>
        <w:rPr>
          <w:rFonts w:ascii="宋体" w:hAnsi="宋体" w:cs="宋体"/>
          <w:szCs w:val="21"/>
          <w:highlight w:val="none"/>
        </w:rPr>
      </w:pPr>
      <w:bookmarkStart w:id="130" w:name="_Toc50012850"/>
      <w:bookmarkStart w:id="131" w:name="_Toc19120"/>
      <w:bookmarkStart w:id="132" w:name="_Toc493511619"/>
      <w:r>
        <w:rPr>
          <w:rFonts w:hint="eastAsia" w:ascii="宋体" w:hAnsi="宋体" w:cs="宋体"/>
          <w:szCs w:val="21"/>
          <w:highlight w:val="none"/>
        </w:rPr>
        <w:t>1.5、政府采购合同</w:t>
      </w:r>
      <w:bookmarkEnd w:id="130"/>
      <w:bookmarkEnd w:id="131"/>
      <w:bookmarkEnd w:id="132"/>
    </w:p>
    <w:p>
      <w:pPr>
        <w:snapToGrid w:val="0"/>
        <w:spacing w:line="420" w:lineRule="exact"/>
        <w:ind w:firstLine="420" w:firstLineChars="200"/>
        <w:jc w:val="left"/>
        <w:outlineLvl w:val="1"/>
        <w:rPr>
          <w:rFonts w:ascii="宋体" w:hAnsi="宋体" w:cs="宋体"/>
          <w:szCs w:val="21"/>
          <w:highlight w:val="none"/>
        </w:rPr>
      </w:pPr>
      <w:bookmarkStart w:id="133" w:name="_Toc50012851"/>
      <w:bookmarkStart w:id="134" w:name="_Toc19300"/>
      <w:bookmarkStart w:id="135" w:name="_Toc493511620"/>
      <w:r>
        <w:rPr>
          <w:rFonts w:hint="eastAsia" w:ascii="宋体" w:hAnsi="宋体" w:cs="宋体"/>
          <w:szCs w:val="21"/>
          <w:highlight w:val="none"/>
        </w:rPr>
        <w:t>1.6、投标文件相关文件格式</w:t>
      </w:r>
      <w:bookmarkEnd w:id="133"/>
      <w:bookmarkEnd w:id="134"/>
      <w:bookmarkEnd w:id="135"/>
      <w:bookmarkStart w:id="136" w:name="_Toc482363722"/>
    </w:p>
    <w:p>
      <w:pPr>
        <w:snapToGrid w:val="0"/>
        <w:spacing w:line="420" w:lineRule="exact"/>
        <w:ind w:firstLine="420" w:firstLineChars="200"/>
        <w:jc w:val="left"/>
        <w:outlineLvl w:val="1"/>
        <w:rPr>
          <w:rFonts w:ascii="宋体" w:hAnsi="宋体" w:cs="宋体"/>
          <w:szCs w:val="21"/>
          <w:highlight w:val="none"/>
        </w:rPr>
      </w:pPr>
      <w:bookmarkStart w:id="137" w:name="_Toc50012852"/>
      <w:bookmarkStart w:id="138" w:name="_Toc32687"/>
      <w:bookmarkStart w:id="139" w:name="_Toc493511621"/>
      <w:r>
        <w:rPr>
          <w:rFonts w:hint="eastAsia" w:ascii="宋体" w:hAnsi="宋体" w:cs="宋体"/>
          <w:szCs w:val="21"/>
          <w:highlight w:val="none"/>
        </w:rPr>
        <w:t>1.7、本项目招标文件的澄清、答复、修改、补充的内容（所有内容将以邮件形式发送给已成功申领招标文件的有效投标人）。澄清、答复、修改、补充的内容均作为招标文件的组成部分，具有约束作用。）</w:t>
      </w:r>
      <w:bookmarkEnd w:id="136"/>
      <w:bookmarkEnd w:id="137"/>
      <w:bookmarkEnd w:id="138"/>
      <w:bookmarkEnd w:id="139"/>
    </w:p>
    <w:p>
      <w:pPr>
        <w:snapToGrid w:val="0"/>
        <w:spacing w:line="420" w:lineRule="exact"/>
        <w:ind w:firstLine="422" w:firstLineChars="200"/>
        <w:jc w:val="left"/>
        <w:outlineLvl w:val="1"/>
        <w:rPr>
          <w:rFonts w:ascii="宋体" w:hAnsi="宋体" w:cs="宋体"/>
          <w:b/>
          <w:szCs w:val="21"/>
          <w:highlight w:val="none"/>
        </w:rPr>
      </w:pPr>
      <w:bookmarkStart w:id="140" w:name="_Toc493511622"/>
      <w:bookmarkStart w:id="141" w:name="_Toc50012853"/>
      <w:bookmarkStart w:id="142" w:name="_Toc21770"/>
      <w:r>
        <w:rPr>
          <w:rFonts w:hint="eastAsia" w:ascii="宋体" w:hAnsi="宋体" w:cs="宋体"/>
          <w:b/>
          <w:szCs w:val="21"/>
          <w:highlight w:val="none"/>
        </w:rPr>
        <w:t>2、存在的风险</w:t>
      </w:r>
      <w:bookmarkEnd w:id="140"/>
      <w:bookmarkEnd w:id="141"/>
      <w:bookmarkEnd w:id="142"/>
    </w:p>
    <w:p>
      <w:pPr>
        <w:snapToGrid w:val="0"/>
        <w:spacing w:line="420" w:lineRule="exact"/>
        <w:ind w:firstLine="420" w:firstLineChars="200"/>
        <w:jc w:val="left"/>
        <w:outlineLvl w:val="1"/>
        <w:rPr>
          <w:rFonts w:ascii="宋体" w:hAnsi="宋体" w:cs="宋体"/>
          <w:szCs w:val="21"/>
          <w:highlight w:val="none"/>
        </w:rPr>
      </w:pPr>
      <w:bookmarkStart w:id="143" w:name="_Toc50012854"/>
      <w:bookmarkStart w:id="144" w:name="_Toc32245"/>
      <w:bookmarkStart w:id="145" w:name="_Toc493511623"/>
      <w:r>
        <w:rPr>
          <w:rFonts w:hint="eastAsia" w:ascii="宋体" w:hAnsi="宋体" w:cs="宋体"/>
          <w:szCs w:val="21"/>
          <w:highlight w:val="none"/>
        </w:rPr>
        <w:t>投标人没有按照招标文件要求提供全部资料，或者投标人没有对招标文件在各方面作出实质性响应是投标人的风险，并可能导致其投标无效。</w:t>
      </w:r>
      <w:bookmarkEnd w:id="143"/>
      <w:bookmarkEnd w:id="144"/>
      <w:bookmarkEnd w:id="145"/>
    </w:p>
    <w:p>
      <w:pPr>
        <w:snapToGrid w:val="0"/>
        <w:spacing w:line="420" w:lineRule="exact"/>
        <w:ind w:firstLine="422" w:firstLineChars="200"/>
        <w:jc w:val="left"/>
        <w:outlineLvl w:val="1"/>
        <w:rPr>
          <w:rFonts w:ascii="宋体" w:hAnsi="宋体" w:cs="宋体"/>
          <w:b/>
          <w:szCs w:val="21"/>
          <w:highlight w:val="none"/>
        </w:rPr>
      </w:pPr>
      <w:bookmarkStart w:id="146" w:name="_Toc493511624"/>
      <w:bookmarkStart w:id="147" w:name="_Toc18736"/>
      <w:bookmarkStart w:id="148" w:name="_Toc50012855"/>
      <w:r>
        <w:rPr>
          <w:rFonts w:hint="eastAsia" w:ascii="宋体" w:hAnsi="宋体" w:cs="宋体"/>
          <w:b/>
          <w:szCs w:val="21"/>
          <w:highlight w:val="none"/>
        </w:rPr>
        <w:t>3、招标文件的澄清与修改</w:t>
      </w:r>
      <w:bookmarkEnd w:id="146"/>
      <w:bookmarkEnd w:id="147"/>
      <w:bookmarkEnd w:id="148"/>
    </w:p>
    <w:p>
      <w:pPr>
        <w:snapToGrid w:val="0"/>
        <w:spacing w:line="420" w:lineRule="exact"/>
        <w:ind w:firstLine="420" w:firstLineChars="200"/>
        <w:jc w:val="left"/>
        <w:outlineLvl w:val="1"/>
        <w:rPr>
          <w:rFonts w:ascii="宋体" w:hAnsi="宋体" w:cs="宋体"/>
          <w:szCs w:val="21"/>
          <w:highlight w:val="none"/>
        </w:rPr>
      </w:pPr>
      <w:bookmarkStart w:id="149" w:name="_Toc8175"/>
      <w:bookmarkStart w:id="150" w:name="_Toc177870545"/>
      <w:bookmarkStart w:id="151" w:name="_Toc493511630"/>
      <w:bookmarkStart w:id="152" w:name="_Toc50012861"/>
      <w:r>
        <w:rPr>
          <w:rFonts w:hint="eastAsia" w:ascii="宋体" w:hAnsi="宋体" w:cs="宋体"/>
          <w:szCs w:val="21"/>
          <w:highlight w:val="none"/>
        </w:rPr>
        <w:t>3.1已获取招标文件的潜在投标人应认真阅读本采购文件，若发现其中有误或有要求不合理的，投标人必须在投标截止时间15天前以书面形式要求招标采购单位澄清，逾期对招标文件提出异议的，招标采购单位将不予受理及答复。</w:t>
      </w:r>
    </w:p>
    <w:p>
      <w:pPr>
        <w:snapToGrid w:val="0"/>
        <w:spacing w:line="420" w:lineRule="exact"/>
        <w:ind w:firstLine="420" w:firstLineChars="200"/>
        <w:jc w:val="left"/>
        <w:outlineLvl w:val="1"/>
        <w:rPr>
          <w:rFonts w:ascii="宋体" w:hAnsi="宋体" w:cs="宋体"/>
          <w:szCs w:val="21"/>
          <w:highlight w:val="none"/>
        </w:rPr>
      </w:pPr>
      <w:r>
        <w:rPr>
          <w:rFonts w:hint="eastAsia" w:ascii="宋体" w:hAnsi="宋体" w:cs="宋体"/>
          <w:szCs w:val="21"/>
          <w:highlight w:val="none"/>
        </w:rPr>
        <w:t>3.2不论招标采购单位向投标人发送的资料文件，还是投标人提出的问题，均采用书面形式，任何口头提问及答复一律无效。</w:t>
      </w:r>
    </w:p>
    <w:p>
      <w:pPr>
        <w:snapToGrid w:val="0"/>
        <w:spacing w:line="420" w:lineRule="exact"/>
        <w:ind w:firstLine="420" w:firstLineChars="200"/>
        <w:jc w:val="left"/>
        <w:outlineLvl w:val="1"/>
        <w:rPr>
          <w:rFonts w:ascii="宋体" w:hAnsi="宋体" w:cs="宋体"/>
          <w:szCs w:val="21"/>
          <w:highlight w:val="none"/>
        </w:rPr>
      </w:pPr>
      <w:r>
        <w:rPr>
          <w:rFonts w:hint="eastAsia" w:ascii="宋体" w:hAnsi="宋体" w:cs="宋体"/>
          <w:szCs w:val="21"/>
          <w:highlight w:val="none"/>
        </w:rPr>
        <w:t>3.3招标采购单位对已发出的采购文件进行必要澄清、答复、修改或补充的，应当在采购文件要求提交投标文件截止时间15天前，在财政部门指定的政府采购信息发布媒体上发布更正公告的形式通知所有已获取采购文件的潜在投标人。且自采购文件的答复、澄清、修改、补充通知发出之日起至投标截止时间止不足15天的，招标采购单位可视情况推迟投标截止时间和开标时间，按规定在财政部门指定的政府采购信息发布媒体上发布更正公告的形式通知所有已获取采购文件的潜在投标人。但至少应当在招标文件要求提交投标文件的截止时间3日前在财政部门指定的政府采购信息发布媒体上发布变更公告。</w:t>
      </w:r>
    </w:p>
    <w:p>
      <w:pPr>
        <w:snapToGrid w:val="0"/>
        <w:spacing w:line="420" w:lineRule="exact"/>
        <w:ind w:firstLine="420" w:firstLineChars="200"/>
        <w:jc w:val="left"/>
        <w:outlineLvl w:val="1"/>
        <w:rPr>
          <w:rFonts w:ascii="宋体" w:hAnsi="宋体" w:cs="宋体"/>
          <w:szCs w:val="21"/>
          <w:highlight w:val="none"/>
        </w:rPr>
      </w:pPr>
      <w:r>
        <w:rPr>
          <w:rFonts w:hint="eastAsia" w:ascii="宋体" w:hAnsi="宋体" w:cs="宋体"/>
          <w:szCs w:val="21"/>
          <w:highlight w:val="none"/>
        </w:rPr>
        <w:t>3.4澄清或者修改的内容作为招标文件的组成部分。</w:t>
      </w:r>
    </w:p>
    <w:p>
      <w:pPr>
        <w:snapToGrid w:val="0"/>
        <w:spacing w:line="420" w:lineRule="exact"/>
        <w:ind w:firstLine="420" w:firstLineChars="200"/>
        <w:jc w:val="left"/>
        <w:outlineLvl w:val="1"/>
        <w:rPr>
          <w:rFonts w:ascii="宋体" w:hAnsi="宋体" w:cs="宋体"/>
          <w:szCs w:val="21"/>
          <w:highlight w:val="none"/>
        </w:rPr>
      </w:pPr>
      <w:r>
        <w:rPr>
          <w:rFonts w:hint="eastAsia" w:ascii="宋体" w:hAnsi="宋体" w:cs="宋体"/>
          <w:szCs w:val="21"/>
          <w:highlight w:val="none"/>
        </w:rPr>
        <w:t>3.5招标文件澄清、答复、修改、补充的内容为招标文件的组成部分。当招标文件与招标文件的答复、澄清、修改、补充通知就同一内容的表述不一致时，以最后发出的变更公告为准。</w:t>
      </w:r>
    </w:p>
    <w:p>
      <w:pPr>
        <w:snapToGrid w:val="0"/>
        <w:spacing w:line="420" w:lineRule="exact"/>
        <w:ind w:firstLine="420" w:firstLineChars="200"/>
        <w:jc w:val="left"/>
        <w:outlineLvl w:val="1"/>
        <w:rPr>
          <w:rFonts w:ascii="宋体" w:hAnsi="宋体" w:cs="宋体"/>
          <w:szCs w:val="21"/>
          <w:highlight w:val="none"/>
        </w:rPr>
      </w:pPr>
      <w:r>
        <w:rPr>
          <w:rFonts w:hint="eastAsia" w:ascii="宋体" w:hAnsi="宋体" w:cs="宋体"/>
          <w:szCs w:val="21"/>
          <w:highlight w:val="none"/>
        </w:rPr>
        <w:t>3.6招标文件的澄清、答复、修改或补充都应该通过本代理机构以法定形式发布，采购人非通过本机构，不得擅自澄清、答复、修改或补充招标文件。</w:t>
      </w:r>
    </w:p>
    <w:p>
      <w:pPr>
        <w:snapToGrid w:val="0"/>
        <w:spacing w:line="420" w:lineRule="exact"/>
        <w:ind w:firstLine="422" w:firstLineChars="200"/>
        <w:jc w:val="left"/>
        <w:outlineLvl w:val="1"/>
        <w:rPr>
          <w:rFonts w:ascii="宋体" w:hAnsi="宋体" w:cs="宋体"/>
          <w:b/>
          <w:szCs w:val="21"/>
          <w:highlight w:val="none"/>
        </w:rPr>
      </w:pPr>
      <w:r>
        <w:rPr>
          <w:rFonts w:hint="eastAsia" w:ascii="宋体" w:hAnsi="宋体" w:cs="宋体"/>
          <w:b/>
          <w:szCs w:val="21"/>
          <w:highlight w:val="none"/>
        </w:rPr>
        <w:t>三、投标文件的编制</w:t>
      </w:r>
      <w:bookmarkEnd w:id="149"/>
      <w:bookmarkEnd w:id="150"/>
      <w:bookmarkEnd w:id="151"/>
      <w:bookmarkEnd w:id="152"/>
    </w:p>
    <w:p>
      <w:pPr>
        <w:pStyle w:val="25"/>
        <w:snapToGrid w:val="0"/>
        <w:spacing w:line="420" w:lineRule="exact"/>
        <w:ind w:firstLine="422" w:firstLineChars="200"/>
        <w:jc w:val="left"/>
        <w:outlineLvl w:val="1"/>
        <w:rPr>
          <w:rFonts w:hAnsi="宋体" w:cs="宋体"/>
          <w:b/>
          <w:szCs w:val="21"/>
          <w:highlight w:val="none"/>
        </w:rPr>
      </w:pPr>
      <w:bookmarkStart w:id="153" w:name="_Toc33535356"/>
      <w:bookmarkStart w:id="154" w:name="_Toc12349"/>
      <w:bookmarkStart w:id="155" w:name="_Toc50012862"/>
      <w:bookmarkStart w:id="156" w:name="_Toc493511643"/>
      <w:bookmarkStart w:id="157" w:name="_Toc177870547"/>
      <w:bookmarkStart w:id="158" w:name="_Toc177824877"/>
      <w:bookmarkStart w:id="159" w:name="_Toc177825125"/>
      <w:bookmarkStart w:id="160" w:name="_Toc177824944"/>
      <w:r>
        <w:rPr>
          <w:rFonts w:hint="eastAsia" w:hAnsi="宋体" w:cs="宋体"/>
          <w:b/>
          <w:szCs w:val="21"/>
          <w:highlight w:val="none"/>
        </w:rPr>
        <w:t>本项目所涉投标文件格式请详见第六章，未给出的格式请自拟。</w:t>
      </w:r>
      <w:bookmarkEnd w:id="153"/>
      <w:bookmarkEnd w:id="154"/>
      <w:bookmarkEnd w:id="155"/>
    </w:p>
    <w:p>
      <w:pPr>
        <w:snapToGrid w:val="0"/>
        <w:spacing w:line="420" w:lineRule="exact"/>
        <w:ind w:firstLine="422" w:firstLineChars="200"/>
        <w:jc w:val="left"/>
        <w:outlineLvl w:val="0"/>
        <w:rPr>
          <w:rFonts w:ascii="宋体" w:hAnsi="宋体" w:cs="宋体"/>
          <w:b/>
          <w:szCs w:val="21"/>
          <w:highlight w:val="none"/>
        </w:rPr>
      </w:pPr>
      <w:bookmarkStart w:id="161" w:name="_Toc406402988"/>
      <w:bookmarkStart w:id="162" w:name="_Toc50012864"/>
      <w:bookmarkStart w:id="163" w:name="_Toc33535358"/>
      <w:bookmarkStart w:id="164" w:name="_Toc406402944"/>
      <w:bookmarkStart w:id="165" w:name="_Toc1053"/>
      <w:r>
        <w:rPr>
          <w:rFonts w:hint="eastAsia" w:ascii="宋体" w:hAnsi="宋体" w:cs="宋体"/>
          <w:b/>
          <w:szCs w:val="21"/>
          <w:highlight w:val="none"/>
        </w:rPr>
        <w:t>（一）投标文件的组成</w:t>
      </w:r>
      <w:bookmarkEnd w:id="161"/>
      <w:bookmarkEnd w:id="162"/>
      <w:bookmarkEnd w:id="163"/>
      <w:bookmarkEnd w:id="164"/>
      <w:bookmarkEnd w:id="165"/>
    </w:p>
    <w:p>
      <w:pPr>
        <w:snapToGrid w:val="0"/>
        <w:spacing w:line="420" w:lineRule="exact"/>
        <w:ind w:left="420" w:leftChars="200"/>
        <w:jc w:val="left"/>
        <w:rPr>
          <w:rFonts w:ascii="宋体" w:hAnsi="宋体" w:cs="宋体"/>
          <w:b/>
          <w:bCs/>
          <w:szCs w:val="21"/>
          <w:highlight w:val="none"/>
        </w:rPr>
      </w:pPr>
      <w:r>
        <w:rPr>
          <w:rFonts w:hint="eastAsia" w:ascii="宋体" w:hAnsi="宋体" w:cs="宋体"/>
          <w:b/>
          <w:bCs/>
          <w:szCs w:val="21"/>
          <w:highlight w:val="none"/>
        </w:rPr>
        <w:t>1、资信商务及技术文件：</w:t>
      </w:r>
    </w:p>
    <w:p>
      <w:pPr>
        <w:snapToGrid w:val="0"/>
        <w:spacing w:line="420" w:lineRule="exact"/>
        <w:ind w:firstLine="422" w:firstLineChars="200"/>
        <w:jc w:val="left"/>
        <w:rPr>
          <w:rFonts w:ascii="宋体" w:hAnsi="宋体" w:cs="宋体"/>
          <w:szCs w:val="21"/>
          <w:highlight w:val="none"/>
        </w:rPr>
      </w:pPr>
      <w:r>
        <w:rPr>
          <w:rFonts w:hint="eastAsia" w:ascii="宋体" w:hAnsi="宋体" w:cs="宋体"/>
          <w:b/>
          <w:szCs w:val="21"/>
          <w:highlight w:val="none"/>
        </w:rPr>
        <w:t>1.1、资信文件：</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1.1.1、承诺函：提供具有独立承担民事责任的能力、具有良好的商业信誉和健全的财务会计制度、具有履行合同所必需的设备和专业技术能力、有依法缴纳税收和社会保障资金的良好记录、参加政府采购活动前三年，在经营活动中没有重大违法记录、自招标公告发布之日起至投标截止日内任意时间的“信用中国”网站（www.creditchina.gov.cn）（未被信用中国网站</w:t>
      </w:r>
      <w:r>
        <w:rPr>
          <w:highlight w:val="none"/>
        </w:rPr>
        <w:fldChar w:fldCharType="begin"/>
      </w:r>
      <w:r>
        <w:rPr>
          <w:highlight w:val="none"/>
        </w:rPr>
        <w:instrText xml:space="preserve"> HYPERLINK \t "_blank" </w:instrText>
      </w:r>
      <w:r>
        <w:rPr>
          <w:highlight w:val="none"/>
        </w:rPr>
        <w:fldChar w:fldCharType="separate"/>
      </w:r>
      <w:r>
        <w:rPr>
          <w:rFonts w:hint="eastAsia" w:ascii="宋体" w:hAnsi="宋体" w:cs="宋体"/>
          <w:szCs w:val="21"/>
          <w:highlight w:val="none"/>
        </w:rPr>
        <w:t>列入失信被执行人、重大税收违法案件当事人名单</w:t>
      </w:r>
      <w:r>
        <w:rPr>
          <w:rFonts w:hint="eastAsia" w:ascii="宋体" w:hAnsi="宋体" w:cs="宋体"/>
          <w:szCs w:val="21"/>
          <w:highlight w:val="none"/>
        </w:rPr>
        <w:fldChar w:fldCharType="end"/>
      </w:r>
      <w:r>
        <w:rPr>
          <w:rFonts w:hint="eastAsia" w:ascii="宋体" w:hAnsi="宋体" w:cs="宋体"/>
          <w:szCs w:val="21"/>
          <w:highlight w:val="none"/>
        </w:rPr>
        <w:t>的）、中国政府采购网（www.ccgp.gov.cn）（未被中国政府采购网</w:t>
      </w:r>
      <w:r>
        <w:rPr>
          <w:highlight w:val="none"/>
        </w:rPr>
        <w:fldChar w:fldCharType="begin"/>
      </w:r>
      <w:r>
        <w:rPr>
          <w:highlight w:val="none"/>
        </w:rPr>
        <w:instrText xml:space="preserve"> HYPERLINK \t "_blank" </w:instrText>
      </w:r>
      <w:r>
        <w:rPr>
          <w:highlight w:val="none"/>
        </w:rPr>
        <w:fldChar w:fldCharType="separate"/>
      </w:r>
      <w:r>
        <w:rPr>
          <w:rFonts w:hint="eastAsia" w:ascii="宋体" w:hAnsi="宋体" w:cs="宋体"/>
          <w:szCs w:val="21"/>
          <w:highlight w:val="none"/>
        </w:rPr>
        <w:t>列入政府采购严重违法失信行为记录名单</w:t>
      </w:r>
      <w:r>
        <w:rPr>
          <w:rFonts w:hint="eastAsia" w:ascii="宋体" w:hAnsi="宋体" w:cs="宋体"/>
          <w:szCs w:val="21"/>
          <w:highlight w:val="none"/>
        </w:rPr>
        <w:fldChar w:fldCharType="end"/>
      </w:r>
      <w:r>
        <w:rPr>
          <w:rFonts w:hint="eastAsia" w:ascii="宋体" w:hAnsi="宋体" w:cs="宋体"/>
          <w:szCs w:val="21"/>
          <w:highlight w:val="none"/>
        </w:rPr>
        <w:t>的）也没有因违反《浙江省政府采购投标人注册及诚信管理暂行办法》被列入“黑名单”，正在处罚有效期（详见格式）的承诺函；</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1.1.2、营业执照（副本）复印件加盖投标人公章；</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1.1.3、中小企业声明函或残疾人福利性单位声明函或其他符合政策性条件的承诺函；</w:t>
      </w:r>
    </w:p>
    <w:p>
      <w:pPr>
        <w:snapToGrid w:val="0"/>
        <w:spacing w:line="4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1.1.4、法定代表人授权委托书</w:t>
      </w:r>
      <w:r>
        <w:rPr>
          <w:rFonts w:hint="eastAsia" w:ascii="宋体" w:hAnsi="宋体" w:cs="宋体"/>
          <w:szCs w:val="21"/>
          <w:highlight w:val="none"/>
          <w:lang w:eastAsia="zh-CN"/>
        </w:rPr>
        <w:t>；</w:t>
      </w:r>
    </w:p>
    <w:p>
      <w:pPr>
        <w:snapToGrid w:val="0"/>
        <w:spacing w:line="420" w:lineRule="exact"/>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1.1.5、有效期内的食品经营许可证复印件加盖投标人公章。</w:t>
      </w:r>
    </w:p>
    <w:p>
      <w:pPr>
        <w:spacing w:line="420" w:lineRule="exact"/>
        <w:ind w:firstLine="422" w:firstLineChars="200"/>
        <w:jc w:val="left"/>
        <w:rPr>
          <w:rFonts w:ascii="宋体" w:hAnsi="宋体" w:cs="宋体"/>
          <w:szCs w:val="21"/>
          <w:highlight w:val="none"/>
        </w:rPr>
      </w:pPr>
      <w:r>
        <w:rPr>
          <w:rFonts w:hint="eastAsia" w:ascii="宋体" w:hAnsi="宋体" w:cs="宋体"/>
          <w:b/>
          <w:szCs w:val="21"/>
          <w:highlight w:val="none"/>
        </w:rPr>
        <w:t>1.2、商务技术文件</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1.2.1、投标声明书；</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1.2.2、类似案例成功的业绩</w:t>
      </w:r>
      <w:r>
        <w:rPr>
          <w:rFonts w:hint="eastAsia" w:ascii="宋体" w:hAnsi="宋体" w:cs="宋体"/>
          <w:b/>
          <w:szCs w:val="21"/>
          <w:highlight w:val="none"/>
        </w:rPr>
        <w:t>（合同复印件并加盖投标人公章）</w:t>
      </w:r>
      <w:r>
        <w:rPr>
          <w:rFonts w:hint="eastAsia" w:ascii="宋体" w:hAnsi="宋体" w:cs="宋体"/>
          <w:szCs w:val="21"/>
          <w:highlight w:val="none"/>
        </w:rPr>
        <w:t>；</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1.2.3、与本项目实施相关的投标人各类资质证书、认证证书、许可证等（如信誉荣誉、本地化服务等。</w:t>
      </w:r>
      <w:r>
        <w:rPr>
          <w:rFonts w:hint="eastAsia" w:ascii="宋体" w:hAnsi="宋体" w:cs="宋体"/>
          <w:b/>
          <w:szCs w:val="21"/>
          <w:highlight w:val="none"/>
        </w:rPr>
        <w:t>提供复印件并加盖投标人公章）（如有）</w:t>
      </w:r>
      <w:r>
        <w:rPr>
          <w:rFonts w:hint="eastAsia" w:ascii="宋体" w:hAnsi="宋体" w:cs="宋体"/>
          <w:szCs w:val="21"/>
          <w:highlight w:val="none"/>
        </w:rPr>
        <w:t>；</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1.2.4、投标人情况介绍；</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1.2.5、商务、技术响应表；</w:t>
      </w:r>
    </w:p>
    <w:p>
      <w:pPr>
        <w:snapToGrid w:val="0"/>
        <w:spacing w:line="420" w:lineRule="exact"/>
        <w:ind w:firstLine="420" w:firstLineChars="200"/>
        <w:jc w:val="left"/>
        <w:rPr>
          <w:rFonts w:ascii="宋体" w:hAnsi="宋体" w:cs="宋体"/>
          <w:highlight w:val="none"/>
        </w:rPr>
      </w:pPr>
      <w:r>
        <w:rPr>
          <w:rFonts w:hint="eastAsia" w:ascii="宋体" w:hAnsi="宋体" w:cs="宋体"/>
          <w:szCs w:val="21"/>
          <w:highlight w:val="none"/>
        </w:rPr>
        <w:t>1.2.6、项目实施人员（格式见附件）</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1.2.7、对招标项目的理解；（格式自拟）</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1.2.8、工作的实施方案；（格式自拟）</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1.2.9、质量保障、服务保障；（格式自拟）</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1.2.10、拟提供产品的品牌；（格式自拟，包含品牌、产地等，如有）</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1.2.11、投标人承诺给予招标人的各种优惠条件，包括售后服务等方面的优惠；（格式自拟）</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1.2.12、投标人截止投标时间前三年内的奖惩情况说明，格式自拟.</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1.2.13、投标单位对本项目的合理化建议和改进措施；</w:t>
      </w:r>
    </w:p>
    <w:p>
      <w:pPr>
        <w:snapToGrid w:val="0"/>
        <w:spacing w:line="420" w:lineRule="exact"/>
        <w:ind w:firstLine="420" w:firstLineChars="200"/>
        <w:jc w:val="left"/>
        <w:rPr>
          <w:rFonts w:ascii="宋体" w:hAnsi="宋体" w:cs="宋体"/>
          <w:b/>
          <w:bCs/>
          <w:szCs w:val="21"/>
          <w:highlight w:val="none"/>
          <w:shd w:val="pct10" w:color="auto" w:fill="FFFFFF"/>
        </w:rPr>
      </w:pPr>
      <w:r>
        <w:rPr>
          <w:rFonts w:hint="eastAsia" w:ascii="宋体" w:hAnsi="宋体" w:cs="宋体"/>
          <w:szCs w:val="21"/>
          <w:highlight w:val="none"/>
        </w:rPr>
        <w:t>1.2.14、</w:t>
      </w:r>
      <w:r>
        <w:rPr>
          <w:rFonts w:hint="eastAsia" w:ascii="宋体" w:hAnsi="宋体" w:cs="宋体"/>
          <w:b/>
          <w:bCs/>
          <w:szCs w:val="21"/>
          <w:highlight w:val="none"/>
          <w:shd w:val="pct10" w:color="auto" w:fill="FFFFFF"/>
        </w:rPr>
        <w:t>未尽事宜请各投标人按评分细则制作。</w:t>
      </w:r>
    </w:p>
    <w:p>
      <w:pPr>
        <w:spacing w:line="420" w:lineRule="exact"/>
        <w:ind w:firstLine="422" w:firstLineChars="200"/>
        <w:jc w:val="left"/>
        <w:rPr>
          <w:rFonts w:ascii="宋体" w:hAnsi="宋体" w:cs="宋体"/>
          <w:b/>
          <w:szCs w:val="21"/>
          <w:highlight w:val="none"/>
        </w:rPr>
      </w:pPr>
      <w:r>
        <w:rPr>
          <w:rFonts w:hint="eastAsia" w:ascii="宋体" w:hAnsi="宋体" w:cs="宋体"/>
          <w:b/>
          <w:szCs w:val="21"/>
          <w:highlight w:val="none"/>
        </w:rPr>
        <w:t>2、投标报价文件：</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2.1、投标函； </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2.2、开标一览表；</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2.3、投标人针对报价需要说明的其他文件和说明。</w:t>
      </w:r>
    </w:p>
    <w:bookmarkEnd w:id="156"/>
    <w:p>
      <w:pPr>
        <w:snapToGrid w:val="0"/>
        <w:spacing w:line="420" w:lineRule="exact"/>
        <w:ind w:firstLine="420" w:firstLineChars="200"/>
        <w:contextualSpacing/>
        <w:jc w:val="left"/>
        <w:outlineLvl w:val="1"/>
        <w:rPr>
          <w:rFonts w:ascii="宋体" w:hAnsi="宋体" w:cs="宋体"/>
          <w:szCs w:val="21"/>
          <w:highlight w:val="none"/>
        </w:rPr>
      </w:pPr>
      <w:bookmarkStart w:id="166" w:name="_Toc8745"/>
      <w:bookmarkStart w:id="167" w:name="_Toc50012865"/>
      <w:bookmarkStart w:id="168" w:name="_Toc493511656"/>
      <w:r>
        <w:rPr>
          <w:rFonts w:hint="eastAsia" w:ascii="宋体" w:hAnsi="宋体" w:cs="宋体"/>
          <w:szCs w:val="21"/>
          <w:highlight w:val="none"/>
        </w:rPr>
        <w:t>▲注：法定代表人授权委托书、投标声明书、投标函、开标一览表必须由法定代表人或负责人或授权代表签名并加盖单位公章。</w:t>
      </w:r>
      <w:bookmarkEnd w:id="166"/>
      <w:bookmarkEnd w:id="167"/>
      <w:bookmarkEnd w:id="168"/>
    </w:p>
    <w:bookmarkEnd w:id="157"/>
    <w:bookmarkEnd w:id="158"/>
    <w:bookmarkEnd w:id="159"/>
    <w:bookmarkEnd w:id="160"/>
    <w:p>
      <w:pPr>
        <w:snapToGrid w:val="0"/>
        <w:spacing w:line="420" w:lineRule="exact"/>
        <w:ind w:firstLine="422" w:firstLineChars="200"/>
        <w:jc w:val="left"/>
        <w:outlineLvl w:val="0"/>
        <w:rPr>
          <w:rFonts w:ascii="宋体" w:hAnsi="宋体" w:cs="宋体"/>
          <w:b/>
          <w:szCs w:val="21"/>
          <w:highlight w:val="none"/>
        </w:rPr>
      </w:pPr>
      <w:bookmarkStart w:id="169" w:name="_Toc402963084"/>
      <w:bookmarkStart w:id="170" w:name="_Toc406402990"/>
      <w:bookmarkStart w:id="171" w:name="_Toc406402946"/>
      <w:bookmarkStart w:id="172" w:name="_Toc33535360"/>
      <w:bookmarkStart w:id="173" w:name="_Toc31513"/>
      <w:bookmarkStart w:id="174" w:name="_Toc402963117"/>
      <w:bookmarkStart w:id="175" w:name="_Toc50012866"/>
      <w:bookmarkStart w:id="176" w:name="_Toc385854146"/>
      <w:bookmarkStart w:id="177" w:name="_Toc385854100"/>
      <w:bookmarkStart w:id="178" w:name="_Toc493511751"/>
      <w:r>
        <w:rPr>
          <w:rFonts w:hint="eastAsia" w:ascii="宋体" w:hAnsi="宋体" w:cs="宋体"/>
          <w:b/>
          <w:szCs w:val="21"/>
          <w:highlight w:val="none"/>
        </w:rPr>
        <w:t>（二）投标文件的语言及计量</w:t>
      </w:r>
      <w:bookmarkEnd w:id="169"/>
      <w:bookmarkEnd w:id="170"/>
      <w:bookmarkEnd w:id="171"/>
      <w:bookmarkEnd w:id="172"/>
      <w:bookmarkEnd w:id="173"/>
      <w:bookmarkEnd w:id="174"/>
      <w:bookmarkEnd w:id="175"/>
      <w:bookmarkEnd w:id="176"/>
      <w:bookmarkEnd w:id="177"/>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420" w:lineRule="exact"/>
        <w:ind w:firstLine="422" w:firstLineChars="200"/>
        <w:jc w:val="left"/>
        <w:outlineLvl w:val="0"/>
        <w:rPr>
          <w:rFonts w:ascii="宋体" w:hAnsi="宋体" w:cs="宋体"/>
          <w:b/>
          <w:szCs w:val="21"/>
          <w:highlight w:val="none"/>
        </w:rPr>
      </w:pPr>
      <w:bookmarkStart w:id="179" w:name="_Toc406402947"/>
      <w:bookmarkStart w:id="180" w:name="_Toc50012867"/>
      <w:bookmarkStart w:id="181" w:name="_Toc402963085"/>
      <w:bookmarkStart w:id="182" w:name="_Toc385854147"/>
      <w:bookmarkStart w:id="183" w:name="_Toc33535361"/>
      <w:bookmarkStart w:id="184" w:name="_Toc402963118"/>
      <w:bookmarkStart w:id="185" w:name="_Toc385854101"/>
      <w:bookmarkStart w:id="186" w:name="_Toc18686"/>
      <w:bookmarkStart w:id="187" w:name="_Toc406402991"/>
      <w:r>
        <w:rPr>
          <w:rFonts w:hint="eastAsia" w:ascii="宋体" w:hAnsi="宋体" w:cs="宋体"/>
          <w:b/>
          <w:szCs w:val="21"/>
          <w:highlight w:val="none"/>
        </w:rPr>
        <w:t>（三）投标报价</w:t>
      </w:r>
      <w:bookmarkEnd w:id="179"/>
      <w:bookmarkEnd w:id="180"/>
      <w:bookmarkEnd w:id="181"/>
      <w:bookmarkEnd w:id="182"/>
      <w:bookmarkEnd w:id="183"/>
      <w:bookmarkEnd w:id="184"/>
      <w:bookmarkEnd w:id="185"/>
      <w:bookmarkEnd w:id="186"/>
      <w:bookmarkEnd w:id="187"/>
    </w:p>
    <w:p>
      <w:pPr>
        <w:pStyle w:val="25"/>
        <w:snapToGrid w:val="0"/>
        <w:spacing w:line="420" w:lineRule="exact"/>
        <w:ind w:firstLine="420" w:firstLineChars="200"/>
        <w:jc w:val="left"/>
        <w:rPr>
          <w:rFonts w:hAnsi="宋体" w:cs="宋体"/>
          <w:szCs w:val="21"/>
          <w:highlight w:val="none"/>
        </w:rPr>
      </w:pPr>
      <w:r>
        <w:rPr>
          <w:rFonts w:hint="eastAsia" w:hAnsi="宋体" w:cs="宋体"/>
          <w:szCs w:val="21"/>
          <w:highlight w:val="none"/>
        </w:rPr>
        <w:t>1、投标报价应按招标文件中相关附表格式填写。</w:t>
      </w:r>
    </w:p>
    <w:p>
      <w:pPr>
        <w:pStyle w:val="25"/>
        <w:snapToGrid w:val="0"/>
        <w:spacing w:line="420" w:lineRule="exact"/>
        <w:ind w:firstLine="420" w:firstLineChars="200"/>
        <w:jc w:val="left"/>
        <w:rPr>
          <w:rFonts w:hAnsi="宋体" w:cs="宋体"/>
          <w:szCs w:val="21"/>
          <w:highlight w:val="none"/>
        </w:rPr>
      </w:pPr>
      <w:r>
        <w:rPr>
          <w:rFonts w:hint="eastAsia" w:hAnsi="宋体" w:cs="宋体"/>
          <w:szCs w:val="21"/>
          <w:highlight w:val="none"/>
        </w:rPr>
        <w:t>2、</w:t>
      </w:r>
      <w:r>
        <w:rPr>
          <w:rFonts w:hint="eastAsia" w:hAnsi="宋体" w:cs="宋体"/>
          <w:b/>
          <w:szCs w:val="21"/>
          <w:highlight w:val="none"/>
        </w:rPr>
        <w:t>投标报价是必须包括提供项目服务所需的一切人员费用（人员工资、奖金、各种加班费、各种社会保险（基本养老保险、基本医疗保险、工伤保险、失业保险、公积金等）、食宿与交通、高温补偿费）、货款、管理费用（意外保险、车辆、培训、税费、利润等完成合同所需的一切本身和不可或缺的所有工作开支、政策性文件规定及合同包含的所有风险、责任等各项全部费用并承担一切风险责任。</w:t>
      </w:r>
    </w:p>
    <w:p>
      <w:pPr>
        <w:pStyle w:val="25"/>
        <w:snapToGrid w:val="0"/>
        <w:spacing w:line="420" w:lineRule="exact"/>
        <w:ind w:firstLine="420" w:firstLineChars="200"/>
        <w:jc w:val="left"/>
        <w:rPr>
          <w:rFonts w:hAnsi="宋体" w:cs="宋体"/>
          <w:szCs w:val="21"/>
          <w:highlight w:val="none"/>
        </w:rPr>
      </w:pPr>
      <w:r>
        <w:rPr>
          <w:rFonts w:hint="eastAsia" w:hAnsi="宋体" w:cs="宋体"/>
          <w:szCs w:val="21"/>
          <w:highlight w:val="none"/>
        </w:rPr>
        <w:t>3、投标文件只允许有一个报价，有选择的或有条件的报价将不予接受。</w:t>
      </w:r>
    </w:p>
    <w:p>
      <w:pPr>
        <w:pStyle w:val="14"/>
        <w:widowControl w:val="0"/>
        <w:tabs>
          <w:tab w:val="clear" w:pos="454"/>
        </w:tabs>
        <w:snapToGrid w:val="0"/>
        <w:spacing w:afterLines="0" w:line="420" w:lineRule="exact"/>
        <w:ind w:left="0" w:firstLine="422" w:firstLineChars="200"/>
        <w:rPr>
          <w:rFonts w:ascii="宋体" w:hAnsi="宋体" w:cs="宋体"/>
          <w:b/>
          <w:sz w:val="21"/>
          <w:szCs w:val="21"/>
          <w:highlight w:val="none"/>
        </w:rPr>
      </w:pPr>
      <w:r>
        <w:rPr>
          <w:rFonts w:hint="eastAsia" w:ascii="宋体" w:hAnsi="宋体" w:cs="宋体"/>
          <w:b/>
          <w:sz w:val="21"/>
          <w:szCs w:val="21"/>
          <w:highlight w:val="none"/>
        </w:rPr>
        <w:t>（四）投标文件的有效期</w:t>
      </w:r>
    </w:p>
    <w:p>
      <w:pPr>
        <w:pStyle w:val="14"/>
        <w:widowControl w:val="0"/>
        <w:tabs>
          <w:tab w:val="left" w:pos="4500"/>
          <w:tab w:val="clear" w:pos="454"/>
        </w:tabs>
        <w:snapToGrid w:val="0"/>
        <w:spacing w:afterLines="0" w:line="420" w:lineRule="exact"/>
        <w:ind w:left="0" w:firstLine="420" w:firstLineChars="200"/>
        <w:rPr>
          <w:rFonts w:ascii="宋体" w:hAnsi="宋体" w:cs="宋体"/>
          <w:sz w:val="21"/>
          <w:szCs w:val="21"/>
          <w:highlight w:val="none"/>
        </w:rPr>
      </w:pPr>
      <w:r>
        <w:rPr>
          <w:rFonts w:hint="eastAsia" w:ascii="宋体" w:hAnsi="宋体" w:cs="宋体"/>
          <w:sz w:val="21"/>
          <w:szCs w:val="21"/>
          <w:highlight w:val="none"/>
        </w:rPr>
        <w:t>1、自投标截止日起</w:t>
      </w:r>
      <w:r>
        <w:rPr>
          <w:rFonts w:hint="eastAsia" w:ascii="宋体" w:hAnsi="宋体" w:cs="宋体"/>
          <w:sz w:val="21"/>
          <w:szCs w:val="21"/>
          <w:highlight w:val="none"/>
          <w:u w:val="single"/>
        </w:rPr>
        <w:t>90</w:t>
      </w:r>
      <w:r>
        <w:rPr>
          <w:rFonts w:hint="eastAsia" w:ascii="宋体" w:hAnsi="宋体" w:cs="宋体"/>
          <w:sz w:val="21"/>
          <w:szCs w:val="21"/>
          <w:highlight w:val="none"/>
        </w:rPr>
        <w:t>天投标文件应保持有效。有效期不足的投标文件将被拒绝。</w:t>
      </w:r>
    </w:p>
    <w:p>
      <w:pPr>
        <w:pStyle w:val="14"/>
        <w:widowControl w:val="0"/>
        <w:tabs>
          <w:tab w:val="clear" w:pos="454"/>
        </w:tabs>
        <w:snapToGrid w:val="0"/>
        <w:spacing w:afterLines="0" w:line="420" w:lineRule="exact"/>
        <w:ind w:left="0" w:firstLine="420" w:firstLineChars="200"/>
        <w:rPr>
          <w:rFonts w:ascii="宋体" w:hAnsi="宋体" w:cs="宋体"/>
          <w:sz w:val="21"/>
          <w:szCs w:val="21"/>
          <w:highlight w:val="none"/>
        </w:rPr>
      </w:pPr>
      <w:r>
        <w:rPr>
          <w:rFonts w:hint="eastAsia" w:ascii="宋体" w:hAnsi="宋体" w:cs="宋体"/>
          <w:sz w:val="21"/>
          <w:szCs w:val="21"/>
          <w:highlight w:val="none"/>
        </w:rPr>
        <w:t>2、在特殊情况下，采购人可与投标人协商延长投标书的有效期，这种要求和答复均以书面形式进行。</w:t>
      </w:r>
    </w:p>
    <w:p>
      <w:pPr>
        <w:pStyle w:val="14"/>
        <w:widowControl w:val="0"/>
        <w:tabs>
          <w:tab w:val="left" w:pos="4500"/>
          <w:tab w:val="clear" w:pos="454"/>
        </w:tabs>
        <w:snapToGrid w:val="0"/>
        <w:spacing w:afterLines="0" w:line="420" w:lineRule="exact"/>
        <w:ind w:left="0" w:firstLine="420" w:firstLineChars="200"/>
        <w:rPr>
          <w:rFonts w:ascii="宋体" w:hAnsi="宋体" w:cs="宋体"/>
          <w:sz w:val="21"/>
          <w:szCs w:val="21"/>
          <w:highlight w:val="none"/>
        </w:rPr>
      </w:pPr>
      <w:bookmarkStart w:id="188" w:name="_Toc385854102"/>
      <w:bookmarkStart w:id="189" w:name="_Toc50012868"/>
      <w:bookmarkStart w:id="190" w:name="_Toc33535362"/>
      <w:bookmarkStart w:id="191" w:name="_Toc385854148"/>
      <w:bookmarkStart w:id="192" w:name="_Toc406402948"/>
      <w:bookmarkStart w:id="193" w:name="_Toc402963086"/>
      <w:bookmarkStart w:id="194" w:name="_Toc406402992"/>
      <w:bookmarkStart w:id="195" w:name="_Toc402963119"/>
      <w:r>
        <w:rPr>
          <w:rFonts w:hint="eastAsia" w:ascii="宋体" w:hAnsi="宋体" w:cs="宋体"/>
          <w:sz w:val="21"/>
          <w:szCs w:val="21"/>
          <w:highlight w:val="none"/>
        </w:rPr>
        <w:t>3、投标人可拒绝接受延期要求。同意延长有效期的投标人不能修改投标文件。</w:t>
      </w:r>
      <w:bookmarkEnd w:id="188"/>
      <w:bookmarkEnd w:id="189"/>
      <w:bookmarkEnd w:id="190"/>
      <w:bookmarkEnd w:id="191"/>
      <w:bookmarkEnd w:id="192"/>
      <w:bookmarkEnd w:id="193"/>
      <w:bookmarkEnd w:id="194"/>
      <w:bookmarkEnd w:id="195"/>
    </w:p>
    <w:p>
      <w:pPr>
        <w:pStyle w:val="14"/>
        <w:widowControl w:val="0"/>
        <w:tabs>
          <w:tab w:val="left" w:pos="4500"/>
          <w:tab w:val="clear" w:pos="454"/>
        </w:tabs>
        <w:snapToGrid w:val="0"/>
        <w:spacing w:afterLines="0" w:line="420" w:lineRule="exact"/>
        <w:ind w:left="0" w:firstLine="420" w:firstLineChars="200"/>
        <w:rPr>
          <w:rFonts w:ascii="宋体" w:hAnsi="宋体" w:cs="宋体"/>
          <w:sz w:val="21"/>
          <w:szCs w:val="21"/>
          <w:highlight w:val="none"/>
        </w:rPr>
      </w:pPr>
      <w:bookmarkStart w:id="196" w:name="_Toc50012869"/>
      <w:bookmarkStart w:id="197" w:name="_Toc402963120"/>
      <w:bookmarkStart w:id="198" w:name="_Toc406402993"/>
      <w:bookmarkStart w:id="199" w:name="_Toc33535363"/>
      <w:bookmarkStart w:id="200" w:name="_Toc385854103"/>
      <w:bookmarkStart w:id="201" w:name="_Toc385854149"/>
      <w:bookmarkStart w:id="202" w:name="_Toc406402949"/>
      <w:bookmarkStart w:id="203" w:name="_Toc402963087"/>
      <w:r>
        <w:rPr>
          <w:rFonts w:hint="eastAsia" w:ascii="宋体" w:hAnsi="宋体" w:cs="宋体"/>
          <w:sz w:val="21"/>
          <w:szCs w:val="21"/>
          <w:highlight w:val="none"/>
        </w:rPr>
        <w:t>4、中标人的投标文件自开标之日起至合同履行完毕止均应保持有效。</w:t>
      </w:r>
      <w:bookmarkEnd w:id="196"/>
      <w:bookmarkEnd w:id="197"/>
      <w:bookmarkEnd w:id="198"/>
      <w:bookmarkEnd w:id="199"/>
      <w:bookmarkEnd w:id="200"/>
      <w:bookmarkEnd w:id="201"/>
      <w:bookmarkEnd w:id="202"/>
      <w:bookmarkEnd w:id="203"/>
    </w:p>
    <w:p>
      <w:pPr>
        <w:snapToGrid w:val="0"/>
        <w:spacing w:line="420" w:lineRule="exact"/>
        <w:ind w:firstLine="422" w:firstLineChars="200"/>
        <w:jc w:val="left"/>
        <w:outlineLvl w:val="0"/>
        <w:rPr>
          <w:rFonts w:ascii="宋体" w:hAnsi="宋体" w:cs="宋体"/>
          <w:b/>
          <w:szCs w:val="21"/>
          <w:highlight w:val="none"/>
        </w:rPr>
      </w:pPr>
      <w:bookmarkStart w:id="204" w:name="_Toc16226"/>
      <w:bookmarkStart w:id="205" w:name="_Toc402963089"/>
      <w:bookmarkStart w:id="206" w:name="_Toc406402995"/>
      <w:bookmarkStart w:id="207" w:name="_Toc385854105"/>
      <w:bookmarkStart w:id="208" w:name="_Toc406402951"/>
      <w:bookmarkStart w:id="209" w:name="_Toc402963122"/>
      <w:bookmarkStart w:id="210" w:name="_Toc50012870"/>
      <w:bookmarkStart w:id="211" w:name="_Toc33535364"/>
      <w:bookmarkStart w:id="212" w:name="_Toc385854151"/>
      <w:r>
        <w:rPr>
          <w:rFonts w:hint="eastAsia" w:ascii="宋体" w:hAnsi="宋体" w:cs="宋体"/>
          <w:b/>
          <w:szCs w:val="21"/>
          <w:highlight w:val="none"/>
        </w:rPr>
        <w:t>（五）投标文件的签署和份数</w:t>
      </w:r>
      <w:bookmarkEnd w:id="204"/>
      <w:bookmarkEnd w:id="205"/>
      <w:bookmarkEnd w:id="206"/>
      <w:bookmarkEnd w:id="207"/>
      <w:bookmarkEnd w:id="208"/>
      <w:bookmarkEnd w:id="209"/>
      <w:bookmarkEnd w:id="210"/>
      <w:bookmarkEnd w:id="211"/>
      <w:bookmarkEnd w:id="212"/>
    </w:p>
    <w:p>
      <w:pPr>
        <w:wordWrap w:val="0"/>
        <w:snapToGrid w:val="0"/>
        <w:spacing w:line="420" w:lineRule="exact"/>
        <w:ind w:firstLine="420" w:firstLineChars="200"/>
        <w:jc w:val="left"/>
        <w:rPr>
          <w:rFonts w:ascii="宋体" w:hAnsi="宋体" w:cs="宋体"/>
          <w:highlight w:val="none"/>
        </w:rPr>
      </w:pPr>
      <w:bookmarkStart w:id="213" w:name="_Toc33535368"/>
      <w:r>
        <w:rPr>
          <w:rFonts w:hint="eastAsia" w:ascii="宋体" w:hAnsi="宋体" w:cs="宋体"/>
          <w:highlight w:val="none"/>
        </w:rPr>
        <w:t>1、投标人应按本招标文件规定的格式和顺序编制、装订投标文件并标注页码，投标文件内容不完整、编排混乱导致投标文件被误读、漏读或者查找不到相关内容的，是投标人的责任。</w:t>
      </w:r>
    </w:p>
    <w:p>
      <w:pPr>
        <w:tabs>
          <w:tab w:val="left" w:pos="4820"/>
        </w:tabs>
        <w:wordWrap w:val="0"/>
        <w:snapToGrid w:val="0"/>
        <w:spacing w:line="420" w:lineRule="exact"/>
        <w:ind w:firstLine="420" w:firstLineChars="200"/>
        <w:jc w:val="left"/>
        <w:rPr>
          <w:rFonts w:ascii="宋体" w:hAnsi="宋体" w:cs="宋体"/>
          <w:highlight w:val="none"/>
        </w:rPr>
      </w:pPr>
      <w:r>
        <w:rPr>
          <w:rFonts w:hint="eastAsia" w:ascii="宋体" w:hAnsi="宋体" w:cs="宋体"/>
          <w:highlight w:val="none"/>
        </w:rPr>
        <w:t>2、</w:t>
      </w:r>
      <w:r>
        <w:rPr>
          <w:rFonts w:hint="eastAsia" w:ascii="宋体" w:hAnsi="宋体" w:cs="宋体"/>
          <w:sz w:val="22"/>
          <w:highlight w:val="none"/>
        </w:rPr>
        <w:t>▲</w:t>
      </w:r>
      <w:r>
        <w:rPr>
          <w:rFonts w:hint="eastAsia" w:ascii="宋体" w:hAnsi="宋体" w:cs="宋体"/>
          <w:highlight w:val="none"/>
        </w:rPr>
        <w:t>投标人应按报价文件、资信商务及技术文件的顺序</w:t>
      </w:r>
      <w:r>
        <w:rPr>
          <w:rFonts w:hint="eastAsia" w:ascii="宋体" w:hAnsi="宋体" w:cs="宋体"/>
          <w:b/>
          <w:bCs/>
          <w:highlight w:val="none"/>
          <w:u w:val="single"/>
        </w:rPr>
        <w:t>分别单独</w:t>
      </w:r>
      <w:r>
        <w:rPr>
          <w:rFonts w:hint="eastAsia" w:ascii="宋体" w:hAnsi="宋体" w:cs="宋体"/>
          <w:highlight w:val="none"/>
        </w:rPr>
        <w:t>装订成册。所有投标文件正本各</w:t>
      </w:r>
      <w:r>
        <w:rPr>
          <w:rFonts w:hint="eastAsia" w:ascii="宋体" w:hAnsi="宋体" w:cs="宋体"/>
          <w:highlight w:val="none"/>
          <w:u w:val="single"/>
        </w:rPr>
        <w:t xml:space="preserve"> 1</w:t>
      </w:r>
      <w:r>
        <w:rPr>
          <w:rFonts w:hint="eastAsia" w:ascii="宋体" w:hAnsi="宋体" w:cs="宋体"/>
          <w:highlight w:val="none"/>
        </w:rPr>
        <w:t>份，副本各</w:t>
      </w:r>
      <w:r>
        <w:rPr>
          <w:rFonts w:hint="eastAsia" w:ascii="宋体" w:hAnsi="宋体" w:cs="宋体"/>
          <w:highlight w:val="none"/>
          <w:u w:val="single"/>
        </w:rPr>
        <w:t>3</w:t>
      </w:r>
      <w:r>
        <w:rPr>
          <w:rFonts w:hint="eastAsia" w:ascii="宋体" w:hAnsi="宋体" w:cs="宋体"/>
          <w:highlight w:val="none"/>
        </w:rPr>
        <w:t>份。提供响应文件的电子文档PDF一份（u盘或光盘），电子文件密封在报价文件中。投标文件的封面应注明“正本”、“副本”字样。未装订的投标文件将被拒绝。</w:t>
      </w:r>
    </w:p>
    <w:p>
      <w:pPr>
        <w:wordWrap w:val="0"/>
        <w:snapToGrid w:val="0"/>
        <w:spacing w:line="420" w:lineRule="exact"/>
        <w:ind w:firstLine="420" w:firstLineChars="200"/>
        <w:jc w:val="left"/>
        <w:rPr>
          <w:rFonts w:ascii="宋体" w:hAnsi="宋体" w:cs="宋体"/>
          <w:highlight w:val="none"/>
        </w:rPr>
      </w:pPr>
      <w:r>
        <w:rPr>
          <w:rFonts w:hint="eastAsia" w:ascii="宋体" w:hAnsi="宋体" w:cs="宋体"/>
          <w:highlight w:val="none"/>
        </w:rPr>
        <w:t>3、投标文件的正本需打印或用不褪色的墨水填写，投标文件正本除本《投标人须知》中规定的可提供复印件外均须提供原件。副本为正本的复印件。</w:t>
      </w:r>
    </w:p>
    <w:p>
      <w:pPr>
        <w:wordWrap w:val="0"/>
        <w:snapToGrid w:val="0"/>
        <w:spacing w:line="420" w:lineRule="exact"/>
        <w:ind w:firstLine="420" w:firstLineChars="200"/>
        <w:jc w:val="left"/>
        <w:rPr>
          <w:rFonts w:ascii="宋体" w:hAnsi="宋体" w:cs="宋体"/>
          <w:highlight w:val="none"/>
        </w:rPr>
      </w:pPr>
      <w:r>
        <w:rPr>
          <w:rFonts w:hint="eastAsia" w:ascii="宋体" w:hAnsi="宋体" w:cs="宋体"/>
          <w:highlight w:val="none"/>
        </w:rPr>
        <w:t>4、</w:t>
      </w:r>
      <w:r>
        <w:rPr>
          <w:rFonts w:hint="eastAsia" w:ascii="宋体" w:hAnsi="宋体" w:cs="宋体"/>
          <w:sz w:val="22"/>
          <w:highlight w:val="none"/>
        </w:rPr>
        <w:t>▲</w:t>
      </w:r>
      <w:r>
        <w:rPr>
          <w:rFonts w:hint="eastAsia" w:ascii="宋体" w:hAnsi="宋体" w:cs="宋体"/>
          <w:highlight w:val="none"/>
        </w:rPr>
        <w:t>投标文件须由投标人在规定位置盖章并由法定代表人或法定代表人的授权委托人签署，投标人应写全称。</w:t>
      </w:r>
    </w:p>
    <w:p>
      <w:pPr>
        <w:snapToGrid w:val="0"/>
        <w:spacing w:line="420" w:lineRule="exact"/>
        <w:ind w:firstLine="420" w:firstLineChars="200"/>
        <w:jc w:val="left"/>
        <w:outlineLvl w:val="0"/>
        <w:rPr>
          <w:rFonts w:ascii="宋体" w:hAnsi="宋体" w:cs="宋体"/>
          <w:highlight w:val="none"/>
        </w:rPr>
      </w:pPr>
      <w:r>
        <w:rPr>
          <w:rFonts w:hint="eastAsia" w:ascii="宋体" w:hAnsi="宋体" w:cs="宋体"/>
          <w:highlight w:val="none"/>
        </w:rPr>
        <w:t>5、</w:t>
      </w:r>
      <w:r>
        <w:rPr>
          <w:rFonts w:hint="eastAsia" w:ascii="宋体" w:hAnsi="宋体" w:cs="宋体"/>
          <w:sz w:val="22"/>
          <w:highlight w:val="none"/>
        </w:rPr>
        <w:t>▲</w:t>
      </w:r>
      <w:r>
        <w:rPr>
          <w:rFonts w:hint="eastAsia" w:ascii="宋体" w:hAnsi="宋体" w:cs="宋体"/>
          <w:highlight w:val="none"/>
        </w:rPr>
        <w:t>投标文件不得涂改，若有修改错漏处，须加盖单位公章或者法定代表人或法定代表人的授权委托人签字或盖章。投标文件因字迹潦草或表达不清所引起的后果由投标人负责。</w:t>
      </w:r>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（六）投标文件的包装、递交、修改和撤回</w:t>
      </w:r>
    </w:p>
    <w:p>
      <w:pPr>
        <w:wordWrap w:val="0"/>
        <w:snapToGrid w:val="0"/>
        <w:spacing w:line="420" w:lineRule="exact"/>
        <w:ind w:firstLine="420" w:firstLineChars="200"/>
        <w:jc w:val="left"/>
        <w:rPr>
          <w:rFonts w:ascii="宋体" w:hAnsi="宋体" w:cs="宋体"/>
          <w:highlight w:val="none"/>
        </w:rPr>
      </w:pPr>
      <w:r>
        <w:rPr>
          <w:rFonts w:hint="eastAsia" w:ascii="宋体" w:hAnsi="宋体" w:cs="宋体"/>
          <w:highlight w:val="none"/>
        </w:rPr>
        <w:t>1、投标人应按报价文件、资信商务及技术文</w:t>
      </w:r>
      <w:r>
        <w:rPr>
          <w:rFonts w:hint="eastAsia" w:ascii="宋体" w:hAnsi="宋体" w:cs="宋体"/>
          <w:szCs w:val="21"/>
          <w:highlight w:val="none"/>
        </w:rPr>
        <w:t>件二部分</w:t>
      </w:r>
      <w:r>
        <w:rPr>
          <w:rFonts w:hint="eastAsia" w:ascii="宋体" w:hAnsi="宋体" w:cs="宋体"/>
          <w:b/>
          <w:bCs/>
          <w:szCs w:val="21"/>
          <w:highlight w:val="none"/>
          <w:u w:val="single"/>
        </w:rPr>
        <w:t>分别</w:t>
      </w:r>
      <w:r>
        <w:rPr>
          <w:rFonts w:hint="eastAsia" w:ascii="宋体" w:hAnsi="宋体" w:cs="宋体"/>
          <w:szCs w:val="21"/>
          <w:highlight w:val="none"/>
        </w:rPr>
        <w:t>密封封</w:t>
      </w:r>
      <w:r>
        <w:rPr>
          <w:rFonts w:hint="eastAsia" w:ascii="宋体" w:hAnsi="宋体" w:cs="宋体"/>
          <w:highlight w:val="none"/>
        </w:rPr>
        <w:t>装投标文件。投标文件的包装封面上应注明投标人名称、投标人地址、投标文件名称（报价文件、资信商务及技术文件等）、投标项目名称、项目编号、标项及“开标时启封”字样，并加投标人公章。</w:t>
      </w:r>
    </w:p>
    <w:p>
      <w:pPr>
        <w:wordWrap w:val="0"/>
        <w:snapToGrid w:val="0"/>
        <w:spacing w:line="420" w:lineRule="exact"/>
        <w:ind w:firstLine="420" w:firstLineChars="200"/>
        <w:jc w:val="left"/>
        <w:rPr>
          <w:rFonts w:ascii="宋体" w:hAnsi="宋体" w:cs="宋体"/>
          <w:highlight w:val="none"/>
        </w:rPr>
      </w:pPr>
      <w:r>
        <w:rPr>
          <w:rFonts w:hint="eastAsia" w:ascii="宋体" w:hAnsi="宋体" w:cs="宋体"/>
          <w:highlight w:val="none"/>
        </w:rPr>
        <w:t>2、未按规定密封或标记的投标文件将被拒绝，由此造成投标文件被误投或提前拆封的风险由投标人承担。</w:t>
      </w:r>
    </w:p>
    <w:p>
      <w:pPr>
        <w:wordWrap w:val="0"/>
        <w:snapToGrid w:val="0"/>
        <w:spacing w:line="420" w:lineRule="exact"/>
        <w:ind w:firstLine="420" w:firstLineChars="200"/>
        <w:jc w:val="left"/>
        <w:rPr>
          <w:rFonts w:ascii="宋体" w:hAnsi="宋体" w:cs="宋体"/>
          <w:highlight w:val="none"/>
        </w:rPr>
      </w:pPr>
      <w:r>
        <w:rPr>
          <w:rFonts w:hint="eastAsia" w:ascii="宋体" w:hAnsi="宋体" w:cs="宋体"/>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line="420" w:lineRule="exact"/>
        <w:ind w:firstLine="422" w:firstLineChars="200"/>
        <w:jc w:val="left"/>
        <w:outlineLvl w:val="0"/>
        <w:rPr>
          <w:rFonts w:ascii="宋体" w:hAnsi="宋体" w:cs="宋体"/>
          <w:b/>
          <w:szCs w:val="21"/>
          <w:highlight w:val="none"/>
        </w:rPr>
      </w:pPr>
      <w:bookmarkStart w:id="214" w:name="_Toc50012882"/>
      <w:bookmarkStart w:id="215" w:name="_Toc7277"/>
      <w:r>
        <w:rPr>
          <w:rFonts w:hint="eastAsia" w:ascii="宋体" w:hAnsi="宋体" w:cs="宋体"/>
          <w:b/>
          <w:szCs w:val="21"/>
          <w:highlight w:val="none"/>
        </w:rPr>
        <w:t>（七）投标无效的情形</w:t>
      </w:r>
      <w:bookmarkEnd w:id="213"/>
      <w:bookmarkEnd w:id="214"/>
      <w:bookmarkEnd w:id="215"/>
    </w:p>
    <w:p>
      <w:pPr>
        <w:wordWrap w:val="0"/>
        <w:snapToGrid w:val="0"/>
        <w:spacing w:line="420" w:lineRule="exact"/>
        <w:ind w:firstLine="420" w:firstLineChars="200"/>
        <w:rPr>
          <w:rFonts w:ascii="宋体" w:hAnsi="宋体" w:cs="宋体"/>
          <w:bCs/>
          <w:szCs w:val="21"/>
          <w:highlight w:val="none"/>
        </w:rPr>
      </w:pPr>
      <w:r>
        <w:rPr>
          <w:rFonts w:hint="eastAsia" w:ascii="宋体" w:hAnsi="宋体" w:cs="宋体"/>
          <w:bCs/>
          <w:szCs w:val="21"/>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之前查核原件。限期内不补正或经补正后仍不符合招标文件要求的，应认定其投标无效。投标人修改、补正投标文件后，不影响评标委员会对其投标文件所作的评价和评分结果。</w:t>
      </w:r>
    </w:p>
    <w:p>
      <w:pPr>
        <w:adjustRightInd w:val="0"/>
        <w:snapToGrid w:val="0"/>
        <w:spacing w:line="42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1、投标人资格审查</w:t>
      </w:r>
    </w:p>
    <w:p>
      <w:pPr>
        <w:adjustRightInd w:val="0"/>
        <w:snapToGrid w:val="0"/>
        <w:spacing w:line="420" w:lineRule="exact"/>
        <w:ind w:firstLine="420" w:firstLineChars="200"/>
        <w:jc w:val="left"/>
        <w:rPr>
          <w:rFonts w:ascii="宋体" w:hAnsi="宋体" w:cs="宋体"/>
          <w:szCs w:val="21"/>
          <w:highlight w:val="none"/>
        </w:rPr>
      </w:pPr>
      <w:r>
        <w:rPr>
          <w:rFonts w:hint="eastAsia" w:ascii="宋体" w:hAnsi="宋体" w:cs="宋体"/>
          <w:color w:val="000000"/>
          <w:szCs w:val="21"/>
          <w:highlight w:val="none"/>
        </w:rPr>
        <w:t>采购代理机构</w:t>
      </w:r>
      <w:r>
        <w:rPr>
          <w:rFonts w:hint="eastAsia" w:ascii="宋体" w:hAnsi="宋体" w:cs="宋体"/>
          <w:szCs w:val="21"/>
          <w:highlight w:val="none"/>
        </w:rPr>
        <w:t>首先对投标人进行资格审查，投标人通过资格审查必须符合本项目对投标人的资格要求。</w:t>
      </w:r>
      <w:r>
        <w:rPr>
          <w:rFonts w:hint="eastAsia" w:ascii="宋体" w:hAnsi="宋体" w:cs="宋体"/>
          <w:b/>
          <w:bCs/>
          <w:szCs w:val="21"/>
          <w:highlight w:val="none"/>
        </w:rPr>
        <w:t>资格审查未通过的投标人，其投标文件将不再评审。</w:t>
      </w:r>
    </w:p>
    <w:p>
      <w:pPr>
        <w:adjustRightInd w:val="0"/>
        <w:snapToGrid w:val="0"/>
        <w:spacing w:line="42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2、投标文件符合性审查</w:t>
      </w:r>
    </w:p>
    <w:p>
      <w:pPr>
        <w:adjustRightInd w:val="0"/>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评标委员会对已通过资格审查的投标人进行符合性审查，如发现下列情形之一的，投标文件应当被视为无效：</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（1）未按招标文件规定密封、签字、盖章的；</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（2）投标文件规定应有法定代表人签字的，无法定代表人签字，或未提供法定代表人授权委托书、投标声明书或者填写项目不齐全的；</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（3）投标文件格式不规范、项目不齐全或者内容虚假的；</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（4）投标文件的实质性内容未使用中文表述、意思表述不明确、前后矛盾或者使用计量单位不符合招标文件要求的（经评标委员会认定允许其当场更正的笔误除外）；</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（5）投标文件的关键内容字迹模糊、无法辨认的，或者投标文件中经修正的内容字迹模糊难以辨认或者修改处未按规定签名盖章的；</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（6）投标有效期不能满足招标文件要求的；</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（7）明显不符合招标文件要求的或者与招标文件中标“▲”的招标要求发生实质性偏离的；</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（8）投标文件含有采购人不能接受的附加条件的；</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（9）法律、法规和招标文件规定的其他无效情形。</w:t>
      </w:r>
    </w:p>
    <w:p>
      <w:pPr>
        <w:spacing w:line="420" w:lineRule="exact"/>
        <w:ind w:firstLine="422" w:firstLineChars="200"/>
        <w:rPr>
          <w:rFonts w:ascii="宋体" w:hAnsi="宋体" w:cs="宋体"/>
          <w:b/>
          <w:szCs w:val="21"/>
          <w:highlight w:val="none"/>
        </w:rPr>
      </w:pPr>
      <w:r>
        <w:rPr>
          <w:rFonts w:hint="eastAsia" w:ascii="宋体" w:hAnsi="宋体" w:cs="宋体"/>
          <w:b/>
          <w:szCs w:val="21"/>
          <w:highlight w:val="none"/>
        </w:rPr>
        <w:t>投标文件符合性审查未通过的投标人，其投标文件将不再评审。</w:t>
      </w:r>
    </w:p>
    <w:p>
      <w:p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3、在报价评审时，如发现下列情形之一的，投标文件将被视为无效：</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（1）未按招标文件规定密封、签字、盖章的；</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（2）投标文件格式不规范、项目不齐全或者内容虚假的；</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（3）投标文件的关键内容字迹模糊、无法辨认的，或者投标文件中经修正的内容字迹模糊难以辨认或者修改处未按规定签名盖章的；</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（4）</w:t>
      </w:r>
      <w:r>
        <w:rPr>
          <w:rFonts w:hint="eastAsia" w:hAnsi="宋体" w:cs="宋体"/>
          <w:b/>
          <w:bCs/>
          <w:szCs w:val="21"/>
          <w:highlight w:val="none"/>
        </w:rPr>
        <w:t>报价折扣率超过100%的；</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（5）未实质性响应招标文件要求或者投标文件有招标方不能接受的附加条件的；</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（6）法律、法规和招标文件规定的其他无效情形。</w:t>
      </w:r>
    </w:p>
    <w:p>
      <w:pPr>
        <w:pStyle w:val="6"/>
        <w:wordWrap w:val="0"/>
        <w:snapToGrid w:val="0"/>
        <w:spacing w:line="420" w:lineRule="exact"/>
        <w:ind w:firstLine="406" w:firstLineChars="200"/>
        <w:rPr>
          <w:rFonts w:hAnsi="宋体"/>
          <w:b/>
          <w:sz w:val="21"/>
          <w:szCs w:val="21"/>
          <w:highlight w:val="none"/>
        </w:rPr>
      </w:pPr>
      <w:bookmarkStart w:id="216" w:name="_Toc50012885"/>
      <w:bookmarkStart w:id="217" w:name="_Toc33535369"/>
      <w:bookmarkStart w:id="218" w:name="_Toc9286"/>
      <w:r>
        <w:rPr>
          <w:rFonts w:hAnsi="宋体"/>
          <w:b/>
          <w:sz w:val="21"/>
          <w:szCs w:val="21"/>
          <w:highlight w:val="none"/>
        </w:rPr>
        <w:t>4</w:t>
      </w:r>
      <w:r>
        <w:rPr>
          <w:rFonts w:hint="eastAsia" w:hAnsi="宋体"/>
          <w:b/>
          <w:sz w:val="21"/>
          <w:szCs w:val="21"/>
          <w:highlight w:val="none"/>
        </w:rPr>
        <w:t>、</w:t>
      </w:r>
      <w:r>
        <w:rPr>
          <w:rFonts w:hAnsi="宋体"/>
          <w:b/>
          <w:bCs/>
          <w:sz w:val="21"/>
          <w:szCs w:val="21"/>
          <w:highlight w:val="none"/>
        </w:rPr>
        <w:t>在</w:t>
      </w:r>
      <w:r>
        <w:rPr>
          <w:rFonts w:hint="eastAsia" w:hAnsi="宋体"/>
          <w:b/>
          <w:bCs/>
          <w:sz w:val="21"/>
          <w:szCs w:val="21"/>
          <w:highlight w:val="none"/>
        </w:rPr>
        <w:t>其他内容</w:t>
      </w:r>
      <w:r>
        <w:rPr>
          <w:rFonts w:hAnsi="宋体"/>
          <w:b/>
          <w:bCs/>
          <w:sz w:val="21"/>
          <w:szCs w:val="21"/>
          <w:highlight w:val="none"/>
        </w:rPr>
        <w:t>评审时，如发现下列情形之一的，投标文件将被视为无效：</w:t>
      </w:r>
    </w:p>
    <w:p>
      <w:pPr>
        <w:pStyle w:val="6"/>
        <w:wordWrap w:val="0"/>
        <w:snapToGrid w:val="0"/>
        <w:spacing w:line="420" w:lineRule="exact"/>
        <w:ind w:firstLine="420" w:firstLineChars="200"/>
        <w:rPr>
          <w:rFonts w:hAnsi="宋体"/>
          <w:bCs/>
          <w:spacing w:val="0"/>
          <w:sz w:val="21"/>
          <w:szCs w:val="21"/>
          <w:highlight w:val="none"/>
        </w:rPr>
      </w:pPr>
      <w:r>
        <w:rPr>
          <w:rFonts w:hint="eastAsia" w:hAnsi="宋体"/>
          <w:bCs/>
          <w:spacing w:val="0"/>
          <w:sz w:val="21"/>
          <w:szCs w:val="21"/>
          <w:highlight w:val="none"/>
        </w:rPr>
        <w:t>（1）不同投标人的投标文件由同一单位或者个人编制（委托给同一个单位编制（有委托协议或支付费用的）、委托给同一个人编制（有委托协议或支付费用的）、投标文件电子文件编辑人员同一人或者工程类项目报价委托同一单位编制等情形）；</w:t>
      </w:r>
    </w:p>
    <w:p>
      <w:pPr>
        <w:pStyle w:val="6"/>
        <w:wordWrap w:val="0"/>
        <w:snapToGrid w:val="0"/>
        <w:spacing w:line="420" w:lineRule="exact"/>
        <w:ind w:firstLine="420" w:firstLineChars="200"/>
        <w:rPr>
          <w:rFonts w:hAnsi="宋体"/>
          <w:bCs/>
          <w:spacing w:val="0"/>
          <w:sz w:val="21"/>
          <w:szCs w:val="21"/>
          <w:highlight w:val="none"/>
        </w:rPr>
      </w:pPr>
      <w:r>
        <w:rPr>
          <w:rFonts w:hint="eastAsia" w:hAnsi="宋体"/>
          <w:bCs/>
          <w:spacing w:val="0"/>
          <w:sz w:val="21"/>
          <w:szCs w:val="21"/>
          <w:highlight w:val="none"/>
        </w:rPr>
        <w:t>（2）不同投标人委托同一单位或者个人办理投标事宜（委托书中的名字、身份证号等信息为同一人等情形）；</w:t>
      </w:r>
    </w:p>
    <w:p>
      <w:pPr>
        <w:pStyle w:val="6"/>
        <w:wordWrap w:val="0"/>
        <w:snapToGrid w:val="0"/>
        <w:spacing w:line="420" w:lineRule="exact"/>
        <w:ind w:firstLine="420" w:firstLineChars="200"/>
        <w:rPr>
          <w:rFonts w:hAnsi="宋体"/>
          <w:bCs/>
          <w:spacing w:val="0"/>
          <w:sz w:val="21"/>
          <w:szCs w:val="21"/>
          <w:highlight w:val="none"/>
        </w:rPr>
      </w:pPr>
      <w:r>
        <w:rPr>
          <w:rFonts w:hint="eastAsia" w:hAnsi="宋体"/>
          <w:bCs/>
          <w:spacing w:val="0"/>
          <w:sz w:val="21"/>
          <w:szCs w:val="21"/>
          <w:highlight w:val="none"/>
        </w:rPr>
        <w:t>（3）不同投标人的投标文件载明的项目管理成员或者联系人员为同一人（项目组成员有一名或多名相同的情形等情形）；</w:t>
      </w:r>
    </w:p>
    <w:p>
      <w:pPr>
        <w:pStyle w:val="6"/>
        <w:wordWrap w:val="0"/>
        <w:snapToGrid w:val="0"/>
        <w:spacing w:line="420" w:lineRule="exact"/>
        <w:ind w:firstLine="420" w:firstLineChars="200"/>
        <w:rPr>
          <w:rFonts w:hAnsi="宋体"/>
          <w:bCs/>
          <w:spacing w:val="0"/>
          <w:sz w:val="21"/>
          <w:szCs w:val="21"/>
          <w:highlight w:val="none"/>
        </w:rPr>
      </w:pPr>
      <w:r>
        <w:rPr>
          <w:rFonts w:hint="eastAsia" w:hAnsi="宋体"/>
          <w:bCs/>
          <w:spacing w:val="0"/>
          <w:sz w:val="21"/>
          <w:szCs w:val="21"/>
          <w:highlight w:val="none"/>
        </w:rPr>
        <w:t>（4）不同投标人的投标文件异常一致或者投标报价呈规律性差异（投标人分项报价完全一致、投标报价呈现等差或等比数列等情形）；</w:t>
      </w:r>
    </w:p>
    <w:p>
      <w:pPr>
        <w:pStyle w:val="6"/>
        <w:wordWrap w:val="0"/>
        <w:snapToGrid w:val="0"/>
        <w:spacing w:line="420" w:lineRule="exact"/>
        <w:ind w:firstLine="420" w:firstLineChars="200"/>
        <w:rPr>
          <w:rFonts w:hAnsi="宋体"/>
          <w:bCs/>
          <w:spacing w:val="0"/>
          <w:sz w:val="21"/>
          <w:szCs w:val="21"/>
          <w:highlight w:val="none"/>
        </w:rPr>
      </w:pPr>
      <w:r>
        <w:rPr>
          <w:rFonts w:hint="eastAsia" w:hAnsi="宋体"/>
          <w:bCs/>
          <w:spacing w:val="0"/>
          <w:sz w:val="21"/>
          <w:szCs w:val="21"/>
          <w:highlight w:val="none"/>
        </w:rPr>
        <w:t>（5）不同投标人的投标文件相互混装（A公司的投标文件装在B公司的密封袋内，B公司的装在A公司袋内等情形）；</w:t>
      </w:r>
    </w:p>
    <w:p>
      <w:pPr>
        <w:pStyle w:val="6"/>
        <w:wordWrap w:val="0"/>
        <w:snapToGrid w:val="0"/>
        <w:spacing w:line="420" w:lineRule="exact"/>
        <w:ind w:firstLine="420" w:firstLineChars="200"/>
        <w:rPr>
          <w:rFonts w:hAnsi="宋体"/>
          <w:bCs/>
          <w:spacing w:val="0"/>
          <w:sz w:val="21"/>
          <w:szCs w:val="21"/>
          <w:highlight w:val="none"/>
        </w:rPr>
      </w:pPr>
      <w:r>
        <w:rPr>
          <w:rFonts w:hint="eastAsia" w:hAnsi="宋体"/>
          <w:bCs/>
          <w:spacing w:val="0"/>
          <w:sz w:val="21"/>
          <w:szCs w:val="21"/>
          <w:highlight w:val="none"/>
        </w:rPr>
        <w:t>（6）不同投标人的投标保证金（若有）从同一单位或者个人的账户转出。</w:t>
      </w:r>
    </w:p>
    <w:p>
      <w:pPr>
        <w:pStyle w:val="6"/>
        <w:wordWrap w:val="0"/>
        <w:snapToGrid w:val="0"/>
        <w:spacing w:line="420" w:lineRule="exact"/>
        <w:ind w:firstLine="406" w:firstLineChars="200"/>
        <w:rPr>
          <w:rFonts w:hAnsi="宋体"/>
          <w:b/>
          <w:snapToGrid w:val="0"/>
          <w:sz w:val="21"/>
          <w:szCs w:val="21"/>
          <w:highlight w:val="none"/>
        </w:rPr>
      </w:pPr>
      <w:r>
        <w:rPr>
          <w:rFonts w:hint="eastAsia" w:hAnsi="宋体"/>
          <w:b/>
          <w:sz w:val="21"/>
          <w:szCs w:val="21"/>
          <w:highlight w:val="none"/>
        </w:rPr>
        <w:t>5、</w:t>
      </w:r>
      <w:r>
        <w:rPr>
          <w:rFonts w:hAnsi="宋体"/>
          <w:b/>
          <w:sz w:val="21"/>
          <w:szCs w:val="21"/>
          <w:highlight w:val="none"/>
        </w:rPr>
        <w:t>被拒绝的投标文件为无效。</w:t>
      </w:r>
    </w:p>
    <w:p>
      <w:pPr>
        <w:pStyle w:val="6"/>
        <w:snapToGrid w:val="0"/>
        <w:spacing w:line="420" w:lineRule="exact"/>
        <w:ind w:firstLine="406" w:firstLineChars="200"/>
        <w:jc w:val="left"/>
        <w:outlineLvl w:val="1"/>
        <w:rPr>
          <w:rFonts w:hAnsi="宋体" w:cs="宋体"/>
          <w:b/>
          <w:snapToGrid w:val="0"/>
          <w:sz w:val="21"/>
          <w:szCs w:val="21"/>
          <w:highlight w:val="none"/>
        </w:rPr>
      </w:pPr>
      <w:r>
        <w:rPr>
          <w:rFonts w:hint="eastAsia" w:hAnsi="宋体" w:cs="宋体"/>
          <w:b/>
          <w:sz w:val="21"/>
          <w:szCs w:val="21"/>
          <w:highlight w:val="none"/>
        </w:rPr>
        <w:t>四、开标</w:t>
      </w:r>
      <w:bookmarkEnd w:id="216"/>
      <w:bookmarkEnd w:id="217"/>
      <w:bookmarkEnd w:id="218"/>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1、开标准备</w:t>
      </w:r>
    </w:p>
    <w:p>
      <w:pPr>
        <w:pStyle w:val="25"/>
        <w:wordWrap w:val="0"/>
        <w:spacing w:line="420" w:lineRule="exact"/>
        <w:ind w:firstLine="420" w:firstLineChars="200"/>
        <w:rPr>
          <w:rFonts w:hAnsi="宋体" w:cs="宋体"/>
          <w:b/>
          <w:bCs/>
          <w:szCs w:val="21"/>
          <w:highlight w:val="none"/>
          <w:u w:val="single"/>
        </w:rPr>
      </w:pPr>
      <w:r>
        <w:rPr>
          <w:rFonts w:hint="eastAsia" w:hAnsi="宋体" w:cs="宋体"/>
          <w:szCs w:val="21"/>
          <w:highlight w:val="none"/>
        </w:rPr>
        <w:t>1.1、采购代理机构将在规定的时间和地点进行开标。</w:t>
      </w:r>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2、开标程序</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2.1、开标会由采购代理机构主持，主持人宣布开标会议开始；</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2.2、介绍参加开标会的人员名单；</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2.3、主持人宣布评标期间的有关事项；告知应当回避的情形,提请有关人员回避；</w:t>
      </w:r>
    </w:p>
    <w:p>
      <w:pPr>
        <w:pStyle w:val="25"/>
        <w:adjustRightInd w:val="0"/>
        <w:snapToGrid w:val="0"/>
        <w:spacing w:line="420" w:lineRule="exact"/>
        <w:ind w:firstLine="420" w:firstLineChars="200"/>
        <w:rPr>
          <w:rFonts w:hAnsi="宋体" w:cs="宋体"/>
          <w:szCs w:val="21"/>
          <w:highlight w:val="none"/>
        </w:rPr>
      </w:pPr>
      <w:bookmarkStart w:id="219" w:name="_Toc33194393"/>
      <w:bookmarkStart w:id="220" w:name="_Toc24550037"/>
      <w:r>
        <w:rPr>
          <w:rFonts w:hint="eastAsia" w:hAnsi="宋体" w:cs="宋体"/>
          <w:szCs w:val="21"/>
          <w:highlight w:val="none"/>
        </w:rPr>
        <w:t>2.4、开标顺序按供应商提交采购响应文件的先后顺序，采取先拆封资信商务及技术文件、后拆封报价文件的顺序进行，首先打开资信商务及技术文件外包装，清点资信商务及技术文件正本、副本数量，符合招标文件要求的送评标室评审；不符合要求的，当场退还投标人，并由投标人代表签字确认；密封的报价文件集中保管待资信商务及技术文件评审结束后拆封。</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2.5、资信商务及技术评审结束后，主持人宣告无效供应商名称及理由，供应商代表可收回未拆封的报价文件并签字确认；公布经资信商务及技术评审符合采购需求的供应商名单及其得分情况。</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2.6、拆封供应商报价文件，宣读《开标一览表》中的投标人名称及在其投标文件中承诺的投标报价，以及主持人认为有必要宣读的其他内容。同时当场制作并打印开标记录表，由供应商代表、唱标人、记录人在开标记录表上签字确认（不予确认的应说明理由，否则视为无异议）。唱标结束后，现场工作人员将报价文件及开标记录表送至评标室，由评审委员会对报价的合理性、准确性等进行审查核实。</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2.7、评审结束后，主持人公布中标（成交）候选供应商名单，采购人最终确定中标或成交供应商名单的时间和公告方式等。</w:t>
      </w:r>
    </w:p>
    <w:p>
      <w:pPr>
        <w:pStyle w:val="25"/>
        <w:adjustRightInd w:val="0"/>
        <w:snapToGrid w:val="0"/>
        <w:spacing w:line="420" w:lineRule="exact"/>
        <w:ind w:firstLine="420" w:firstLineChars="200"/>
        <w:rPr>
          <w:rFonts w:hAnsi="宋体" w:cs="宋体"/>
          <w:szCs w:val="21"/>
          <w:highlight w:val="none"/>
        </w:rPr>
      </w:pPr>
      <w:r>
        <w:rPr>
          <w:rFonts w:hint="eastAsia" w:hAnsi="宋体" w:cs="宋体"/>
          <w:szCs w:val="21"/>
          <w:highlight w:val="none"/>
        </w:rPr>
        <w:t>2.8、开标会议结束。</w:t>
      </w:r>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（四）</w:t>
      </w:r>
      <w:bookmarkEnd w:id="219"/>
      <w:bookmarkEnd w:id="220"/>
      <w:r>
        <w:rPr>
          <w:rFonts w:hint="eastAsia" w:ascii="宋体" w:hAnsi="宋体" w:cs="宋体"/>
          <w:b/>
          <w:szCs w:val="21"/>
          <w:highlight w:val="none"/>
        </w:rPr>
        <w:t>评标</w:t>
      </w:r>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1、评标组织</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1.1、按照《中华人民共和国政府采购法》相关要求，本项目评标委员会成员由业主专家1名，以及在专家库中随机抽取的4人，共5人组成。</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1.2、评标全过程录音录像。</w:t>
      </w:r>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2、评标的方式</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2.1、本采购项目采用不公开方式评标，评标的依据为招标文件和投标文件。</w:t>
      </w:r>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3、评标程序</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3.1、形式审查:评标委员会将审查投标文件是否真实、完整,总体编排是否有序,文件签署是否正确等。</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3.2、实质审查与比较</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3.2.1、评标委员会审查投标文件的实质性内容是否符合招标文件的实质性要求。</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3.2.2、评标委员会将根据投标人的资信技术标书进行审查、核对,如有疑问,将对投标人进行询标,投标人要向评标委员会澄清有关问题,并最终以书面形式进行答复。询标时，投标人代表未到场或者拒绝澄清或者澄清的内容改变了投标文件的实质性内容的，评标委员会有权对该投标文件作出不利于投标人的评判。</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3.2.3、各投标人的资信技术分按照评标委员会成员的独立评分结果汇总后的算术平均分计算。</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3.2.4、评标委员会将根据投标人的报价文件进行审查、核对,如有疑问,将对投标人进行询标,投标人要向评标委员会澄清有关问题,并最终以书面形式进行答复。</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3.2.5、代理公司工作人员协助评标委员会根据本项目的评分标准计算各投标人的报价得分。对明显畸高、畸低的评分（其总评分偏离平均分30%以上的），评标委员会组长应提醒相关评审人员进行复核或书面说明理由，评审人员拒绝说明的，由招标代理机构人员据实记录；评审人员的评审、修改记录应保留原件，随项目其他资料一并存档。</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3.2.6、评标委员会完成评标后,评委对各部分得分汇总,计算出本项目最终得分。评标委员会按评标原则推荐中标候选人同时起草评标报告。</w:t>
      </w:r>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4、澄清问题的形式</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4.1、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并不得超出投标文件的范围或者改变投标文件的实质性内容。</w:t>
      </w:r>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5、错误修正</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投标文件如果出现计算或表达上的错误，修正错误的原则如下：</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5.1、开标时，投标文件中开标报价一览表内容与投标报价表中明细表内容不一致的，以开标报价一览表为准。</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5.2、投标文件的大写金额和小写金额不一致的，以大写金额为准；</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5.3、总价金额与按单价汇总金额不一致的，以单价金额计算结果为准；</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5.4、对不同文字文本投标文件的解释发生异议的，以中文文本为准。</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5.5、按上述修正错误的原则及方法调整或修正投标文件的投标报价，投标人同意后，调整后的投标报价对投标人起约束作用。如果投标人不接受修正后的报价，则其投标将被拒绝。</w:t>
      </w:r>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6、评标过程的保密性</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6.1、凡是属于审查、澄清、评审和比较的有关资料以及授标建议，任何人均不得向投标人或其他无关的人员透露。投标人在评标过程中，所进行的试图影响评标结果的不公正活动，可能导致其投标被拒绝。</w:t>
      </w:r>
    </w:p>
    <w:p>
      <w:pPr>
        <w:wordWrap w:val="0"/>
        <w:spacing w:line="420" w:lineRule="exact"/>
        <w:ind w:firstLine="422" w:firstLineChars="200"/>
        <w:rPr>
          <w:rFonts w:ascii="宋体" w:hAnsi="宋体" w:cs="宋体"/>
          <w:b/>
          <w:szCs w:val="21"/>
          <w:highlight w:val="none"/>
        </w:rPr>
      </w:pPr>
      <w:r>
        <w:rPr>
          <w:rFonts w:hint="eastAsia" w:ascii="宋体" w:hAnsi="宋体" w:cs="宋体"/>
          <w:b/>
          <w:szCs w:val="21"/>
          <w:highlight w:val="none"/>
        </w:rPr>
        <w:t>7、评标原则和评标办法</w:t>
      </w:r>
    </w:p>
    <w:p>
      <w:pPr>
        <w:pStyle w:val="25"/>
        <w:wordWrap w:val="0"/>
        <w:spacing w:line="420" w:lineRule="exact"/>
        <w:ind w:firstLine="420" w:firstLineChars="200"/>
        <w:rPr>
          <w:rFonts w:hAnsi="宋体" w:cs="宋体"/>
          <w:szCs w:val="21"/>
          <w:highlight w:val="none"/>
        </w:rPr>
      </w:pPr>
      <w:r>
        <w:rPr>
          <w:rFonts w:hint="eastAsia" w:hAnsi="宋体" w:cs="宋体"/>
          <w:szCs w:val="21"/>
          <w:highlight w:val="none"/>
        </w:rPr>
        <w:t>7.1、评标原则。评标委员会必须做到公平、公正、客观，不带任何倾向性和启发性；不得向外界透露任何与评标有关的内容；任何单位和个人不得干扰、影响评标的正常进行；评标委员会及有关工作人员不得私下与投标人接触。</w:t>
      </w:r>
    </w:p>
    <w:p>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7.2、评标办法。本项目的具体评标办法详见《评标办法》。</w:t>
      </w:r>
    </w:p>
    <w:p>
      <w:pPr>
        <w:pStyle w:val="25"/>
        <w:snapToGrid w:val="0"/>
        <w:spacing w:line="420" w:lineRule="exact"/>
        <w:ind w:firstLine="422" w:firstLineChars="200"/>
        <w:jc w:val="left"/>
        <w:outlineLvl w:val="1"/>
        <w:rPr>
          <w:rFonts w:hAnsi="宋体" w:cs="宋体"/>
          <w:b/>
          <w:szCs w:val="21"/>
          <w:highlight w:val="none"/>
        </w:rPr>
      </w:pPr>
      <w:bookmarkStart w:id="221" w:name="_Toc19997"/>
      <w:bookmarkStart w:id="222" w:name="_Toc50012887"/>
      <w:bookmarkStart w:id="223" w:name="_Toc33535371"/>
      <w:r>
        <w:rPr>
          <w:rFonts w:hint="eastAsia" w:hAnsi="宋体" w:cs="宋体"/>
          <w:b/>
          <w:szCs w:val="21"/>
          <w:highlight w:val="none"/>
        </w:rPr>
        <w:t>六、定标</w:t>
      </w:r>
      <w:bookmarkEnd w:id="221"/>
      <w:bookmarkEnd w:id="222"/>
      <w:bookmarkEnd w:id="223"/>
    </w:p>
    <w:p>
      <w:pPr>
        <w:pStyle w:val="25"/>
        <w:snapToGrid w:val="0"/>
        <w:spacing w:line="420" w:lineRule="exact"/>
        <w:ind w:firstLine="422" w:firstLineChars="200"/>
        <w:jc w:val="left"/>
        <w:rPr>
          <w:rFonts w:hAnsi="宋体" w:cs="宋体"/>
          <w:b/>
          <w:bCs/>
          <w:szCs w:val="21"/>
          <w:highlight w:val="none"/>
        </w:rPr>
      </w:pPr>
      <w:r>
        <w:rPr>
          <w:rFonts w:hint="eastAsia" w:hAnsi="宋体" w:cs="宋体"/>
          <w:b/>
          <w:bCs/>
          <w:szCs w:val="21"/>
          <w:highlight w:val="none"/>
        </w:rPr>
        <w:t>（一）确定中标人。</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1、采购代理机构在评标结束后2个工作日内将评标报告交采购人确认。</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2、投标人对评标结果无异议的，采购人应在收到评标报告后5个工作日内对评标结果进行确认。如有投标人对评标结果提出质疑的，采购人可在质疑处理完毕后确定中标人。</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3.采购代理机构应当自中标人确定之日起2个工作日内发布中标结果公告，同时采购代理机构向中标人发出中标通知书。</w:t>
      </w:r>
    </w:p>
    <w:p>
      <w:pPr>
        <w:pStyle w:val="25"/>
        <w:snapToGrid w:val="0"/>
        <w:spacing w:line="420" w:lineRule="exact"/>
        <w:ind w:firstLine="422" w:firstLineChars="200"/>
        <w:jc w:val="left"/>
        <w:outlineLvl w:val="1"/>
        <w:rPr>
          <w:rFonts w:hAnsi="宋体" w:cs="宋体"/>
          <w:b/>
          <w:szCs w:val="21"/>
          <w:highlight w:val="none"/>
        </w:rPr>
      </w:pPr>
      <w:bookmarkStart w:id="224" w:name="_Toc5136"/>
      <w:bookmarkStart w:id="225" w:name="_Toc50012888"/>
      <w:bookmarkStart w:id="226" w:name="_Toc33535372"/>
      <w:r>
        <w:rPr>
          <w:rFonts w:hint="eastAsia" w:hAnsi="宋体" w:cs="宋体"/>
          <w:b/>
          <w:szCs w:val="21"/>
          <w:highlight w:val="none"/>
        </w:rPr>
        <w:t>七、合同授予</w:t>
      </w:r>
      <w:bookmarkEnd w:id="224"/>
      <w:bookmarkEnd w:id="225"/>
      <w:bookmarkEnd w:id="226"/>
    </w:p>
    <w:p>
      <w:pPr>
        <w:snapToGrid w:val="0"/>
        <w:spacing w:line="420" w:lineRule="exact"/>
        <w:ind w:firstLine="422" w:firstLineChars="200"/>
        <w:jc w:val="left"/>
        <w:rPr>
          <w:rFonts w:ascii="宋体" w:hAnsi="宋体" w:cs="宋体"/>
          <w:bCs/>
          <w:szCs w:val="21"/>
          <w:highlight w:val="none"/>
        </w:rPr>
      </w:pPr>
      <w:r>
        <w:rPr>
          <w:rFonts w:hint="eastAsia" w:ascii="宋体" w:hAnsi="宋体" w:cs="宋体"/>
          <w:b/>
          <w:bCs/>
          <w:szCs w:val="21"/>
          <w:highlight w:val="none"/>
        </w:rPr>
        <w:t>（一）签订合同</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1、采购人与中标人应当在中标公示发出之日起30日内签订政府采购合同。同时，采购机构对合同内容进行审查，如发现与采购结果和投标承诺内容不一致的，将予以纠正。</w:t>
      </w:r>
    </w:p>
    <w:p>
      <w:pPr>
        <w:snapToGri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2、中标人拖延、拒签合同的,将被取消中标资格，并报嘉兴市消防救援支队采购办公室。</w:t>
      </w:r>
    </w:p>
    <w:bookmarkEnd w:id="178"/>
    <w:p>
      <w:pPr>
        <w:rPr>
          <w:rFonts w:ascii="宋体" w:hAnsi="宋体" w:cs="宋体"/>
          <w:szCs w:val="21"/>
          <w:highlight w:val="none"/>
        </w:rPr>
      </w:pPr>
      <w:bookmarkStart w:id="227" w:name="_Toc493511776"/>
      <w:bookmarkStart w:id="228" w:name="_Toc27157"/>
      <w:bookmarkStart w:id="229" w:name="_Toc177870559"/>
      <w:bookmarkStart w:id="230" w:name="_Toc170792807"/>
      <w:r>
        <w:rPr>
          <w:rFonts w:hint="eastAsia" w:ascii="宋体" w:hAnsi="宋体" w:cs="宋体"/>
          <w:szCs w:val="21"/>
          <w:highlight w:val="none"/>
        </w:rPr>
        <w:br w:type="page"/>
      </w:r>
    </w:p>
    <w:p>
      <w:pPr>
        <w:pStyle w:val="79"/>
        <w:ind w:left="0" w:firstLine="0"/>
        <w:rPr>
          <w:rStyle w:val="132"/>
          <w:rFonts w:ascii="宋体" w:eastAsia="宋体" w:cs="宋体"/>
          <w:b/>
          <w:highlight w:val="none"/>
        </w:rPr>
      </w:pPr>
      <w:r>
        <w:rPr>
          <w:rStyle w:val="132"/>
          <w:rFonts w:hint="eastAsia" w:ascii="宋体" w:eastAsia="宋体" w:cs="宋体"/>
          <w:b/>
          <w:highlight w:val="none"/>
        </w:rPr>
        <w:t>第四章  评标办法及评分标准</w:t>
      </w:r>
      <w:bookmarkEnd w:id="227"/>
      <w:bookmarkEnd w:id="228"/>
    </w:p>
    <w:bookmarkEnd w:id="229"/>
    <w:bookmarkEnd w:id="230"/>
    <w:p>
      <w:pPr>
        <w:spacing w:line="440" w:lineRule="exact"/>
        <w:ind w:firstLine="420" w:firstLineChars="200"/>
        <w:rPr>
          <w:rFonts w:ascii="宋体" w:hAnsi="宋体" w:cs="宋体"/>
          <w:szCs w:val="21"/>
          <w:highlight w:val="none"/>
        </w:rPr>
      </w:pPr>
      <w:bookmarkStart w:id="231" w:name="_Toc170792802"/>
      <w:r>
        <w:rPr>
          <w:rFonts w:hint="eastAsia" w:ascii="宋体" w:hAnsi="宋体" w:cs="宋体"/>
          <w:szCs w:val="21"/>
          <w:highlight w:val="none"/>
        </w:rPr>
        <w:t>为公正、公平、科学地选择成交投标人，根据《中华人民共和国政府采购法》等有关法律法规的规定，并结合本项目的实际，制定本办法。</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本次评标采用综合评分法，总分为100分，其中资信技术分85分、价格分15分。评标小组按综合得分排名由高到低顺序推荐中标候选人，最终推荐排名第一的为本项目中标候选人。</w:t>
      </w:r>
    </w:p>
    <w:p>
      <w:pPr>
        <w:spacing w:line="440" w:lineRule="exact"/>
        <w:ind w:firstLine="422" w:firstLineChars="200"/>
        <w:rPr>
          <w:rFonts w:ascii="宋体" w:hAnsi="宋体" w:cs="宋体"/>
          <w:b/>
          <w:szCs w:val="21"/>
          <w:highlight w:val="none"/>
        </w:rPr>
      </w:pPr>
      <w:r>
        <w:rPr>
          <w:rFonts w:hint="eastAsia" w:ascii="宋体" w:hAnsi="宋体" w:cs="宋体"/>
          <w:b/>
          <w:szCs w:val="21"/>
          <w:highlight w:val="none"/>
        </w:rPr>
        <w:t>投标人评标综合得分=资信技术分+价格分（保留小数点后2位小数）</w:t>
      </w:r>
    </w:p>
    <w:p>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一、资信技术分：（85分）</w:t>
      </w:r>
    </w:p>
    <w:tbl>
      <w:tblPr>
        <w:tblStyle w:val="48"/>
        <w:tblpPr w:leftFromText="180" w:rightFromText="180" w:vertAnchor="text" w:horzAnchor="page" w:tblpX="1771" w:tblpY="429"/>
        <w:tblOverlap w:val="never"/>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20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20" w:type="dxa"/>
            <w:vAlign w:val="center"/>
          </w:tcPr>
          <w:p>
            <w:pPr>
              <w:spacing w:line="380" w:lineRule="exact"/>
              <w:jc w:val="center"/>
              <w:rPr>
                <w:rFonts w:ascii="宋体" w:hAnsi="宋体" w:cs="宋体"/>
                <w:b/>
                <w:bCs/>
                <w:szCs w:val="21"/>
                <w:highlight w:val="none"/>
              </w:rPr>
            </w:pPr>
            <w:r>
              <w:rPr>
                <w:rFonts w:hint="eastAsia" w:ascii="宋体" w:hAnsi="宋体" w:cs="宋体"/>
                <w:b/>
                <w:bCs/>
                <w:szCs w:val="21"/>
                <w:highlight w:val="none"/>
              </w:rPr>
              <w:t>评审项目</w:t>
            </w:r>
          </w:p>
        </w:tc>
        <w:tc>
          <w:tcPr>
            <w:tcW w:w="6206" w:type="dxa"/>
            <w:vAlign w:val="center"/>
          </w:tcPr>
          <w:p>
            <w:pPr>
              <w:spacing w:line="380" w:lineRule="exact"/>
              <w:jc w:val="center"/>
              <w:rPr>
                <w:rFonts w:ascii="宋体" w:hAnsi="宋体" w:cs="宋体"/>
                <w:b/>
                <w:bCs/>
                <w:szCs w:val="21"/>
                <w:highlight w:val="none"/>
              </w:rPr>
            </w:pPr>
            <w:r>
              <w:rPr>
                <w:rFonts w:hint="eastAsia" w:ascii="宋体" w:hAnsi="宋体" w:cs="宋体"/>
                <w:b/>
                <w:bCs/>
                <w:szCs w:val="21"/>
                <w:highlight w:val="none"/>
              </w:rPr>
              <w:t>评分内容</w:t>
            </w:r>
          </w:p>
        </w:tc>
        <w:tc>
          <w:tcPr>
            <w:tcW w:w="870" w:type="dxa"/>
            <w:vAlign w:val="center"/>
          </w:tcPr>
          <w:p>
            <w:pPr>
              <w:spacing w:line="380" w:lineRule="exact"/>
              <w:jc w:val="center"/>
              <w:rPr>
                <w:rFonts w:ascii="宋体" w:hAnsi="宋体" w:cs="宋体"/>
                <w:b/>
                <w:bCs/>
                <w:szCs w:val="21"/>
                <w:highlight w:val="none"/>
              </w:rPr>
            </w:pPr>
            <w:r>
              <w:rPr>
                <w:rFonts w:hint="eastAsia" w:ascii="宋体" w:hAnsi="宋体" w:cs="宋体"/>
                <w:b/>
                <w:bCs/>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0" w:type="dxa"/>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企业证书（2分）</w:t>
            </w:r>
          </w:p>
          <w:p>
            <w:pPr>
              <w:widowControl/>
              <w:spacing w:line="380" w:lineRule="exact"/>
              <w:contextualSpacing/>
              <w:jc w:val="center"/>
              <w:rPr>
                <w:rFonts w:ascii="宋体" w:hAnsi="宋体" w:cs="宋体"/>
                <w:bCs/>
                <w:kern w:val="0"/>
                <w:szCs w:val="21"/>
                <w:highlight w:val="none"/>
              </w:rPr>
            </w:pPr>
          </w:p>
        </w:tc>
        <w:tc>
          <w:tcPr>
            <w:tcW w:w="6206" w:type="dxa"/>
            <w:vAlign w:val="center"/>
          </w:tcPr>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1.有效的质量管理体系（ISO9001或 GB/T19001）的得0.5分；</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2.有效的环境管理体系（ISO14001或GB/T24001）的得0.5分；</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3.有效的职业健康安全管理体系（OHSAS18001 或ISO45001 或 GB/T28001）的得0.5分；</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4.有效的食品安全管理体系认证（ISO22000）的得0.5分。</w:t>
            </w:r>
          </w:p>
          <w:p>
            <w:pPr>
              <w:widowControl/>
              <w:spacing w:line="380" w:lineRule="exact"/>
              <w:contextualSpacing/>
              <w:jc w:val="left"/>
              <w:rPr>
                <w:rFonts w:ascii="宋体" w:hAnsi="宋体" w:cs="宋体"/>
                <w:szCs w:val="21"/>
                <w:highlight w:val="none"/>
              </w:rPr>
            </w:pPr>
            <w:r>
              <w:rPr>
                <w:rFonts w:hint="eastAsia" w:ascii="宋体" w:hAnsi="宋体" w:cs="宋体"/>
                <w:b/>
                <w:kern w:val="0"/>
                <w:szCs w:val="21"/>
                <w:highlight w:val="none"/>
              </w:rPr>
              <w:t>（以上体系认证证书必须提供证书及中国国家认证认可监督管理委员会网页截图http://cx.cnca.cn/CertECloud/result/skipResultList（有效期内且年检合格），否则不得分。）</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供货渠道的多样性（3分）</w:t>
            </w:r>
          </w:p>
          <w:p>
            <w:pPr>
              <w:widowControl/>
              <w:spacing w:line="380" w:lineRule="exact"/>
              <w:contextualSpacing/>
              <w:jc w:val="center"/>
              <w:rPr>
                <w:rFonts w:ascii="宋体" w:hAnsi="宋体" w:cs="宋体"/>
                <w:bCs/>
                <w:kern w:val="0"/>
                <w:szCs w:val="21"/>
                <w:highlight w:val="none"/>
              </w:rPr>
            </w:pPr>
          </w:p>
        </w:tc>
        <w:tc>
          <w:tcPr>
            <w:tcW w:w="6206" w:type="dxa"/>
            <w:vAlign w:val="center"/>
          </w:tcPr>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1.截止开标之日起24个月内自有或签约在有效期内的果蔬农场或水产基地或肉类的，每个得0.5分，最高得1.5分。</w:t>
            </w:r>
          </w:p>
          <w:p>
            <w:pPr>
              <w:widowControl/>
              <w:spacing w:line="380" w:lineRule="exact"/>
              <w:contextualSpacing/>
              <w:jc w:val="left"/>
              <w:rPr>
                <w:rFonts w:ascii="宋体" w:hAnsi="宋体" w:cs="宋体"/>
                <w:b/>
                <w:kern w:val="0"/>
                <w:szCs w:val="21"/>
                <w:highlight w:val="none"/>
              </w:rPr>
            </w:pPr>
            <w:r>
              <w:rPr>
                <w:rFonts w:hint="eastAsia" w:ascii="宋体" w:hAnsi="宋体" w:cs="宋体"/>
                <w:b/>
                <w:kern w:val="0"/>
                <w:szCs w:val="21"/>
                <w:highlight w:val="none"/>
              </w:rPr>
              <w:t>（须同时提供①合作协议或其他合作证明材料、②合作基地情况介绍。同一品类不重复计分）</w:t>
            </w:r>
          </w:p>
          <w:p>
            <w:pPr>
              <w:widowControl/>
              <w:spacing w:line="380" w:lineRule="exact"/>
              <w:contextualSpacing/>
              <w:jc w:val="left"/>
              <w:rPr>
                <w:rFonts w:ascii="宋体" w:hAnsi="宋体" w:cs="宋体"/>
                <w:szCs w:val="21"/>
                <w:highlight w:val="none"/>
              </w:rPr>
            </w:pPr>
            <w:r>
              <w:rPr>
                <w:rFonts w:hint="eastAsia" w:ascii="宋体" w:hAnsi="宋体" w:cs="宋体"/>
                <w:bCs/>
                <w:kern w:val="0"/>
                <w:szCs w:val="21"/>
                <w:highlight w:val="none"/>
              </w:rPr>
              <w:t>2.投标人具有奶品类或饮品类或调味品类商品直销或加盟商或地区代理经销商或其他代理销售相关证明的，1个产品得0.5分，最高得1.5分。</w:t>
            </w:r>
            <w:r>
              <w:rPr>
                <w:rFonts w:hint="eastAsia" w:ascii="宋体" w:hAnsi="宋体" w:cs="宋体"/>
                <w:b/>
                <w:kern w:val="0"/>
                <w:szCs w:val="21"/>
                <w:highlight w:val="none"/>
              </w:rPr>
              <w:t>（提供相关商品供货渠道的证明文件并加盖投标人公章。同一品类不重复计分）</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运输能力（5分）</w:t>
            </w:r>
          </w:p>
          <w:p>
            <w:pPr>
              <w:widowControl/>
              <w:spacing w:line="380" w:lineRule="exact"/>
              <w:contextualSpacing/>
              <w:jc w:val="center"/>
              <w:rPr>
                <w:rFonts w:ascii="宋体" w:hAnsi="宋体" w:cs="宋体"/>
                <w:bCs/>
                <w:kern w:val="0"/>
                <w:szCs w:val="21"/>
                <w:highlight w:val="none"/>
              </w:rPr>
            </w:pPr>
          </w:p>
        </w:tc>
        <w:tc>
          <w:tcPr>
            <w:tcW w:w="6206" w:type="dxa"/>
            <w:vAlign w:val="center"/>
          </w:tcPr>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1.自有或租赁冷藏车辆，每有1辆得1.5分，最高得3分。</w:t>
            </w:r>
          </w:p>
          <w:p>
            <w:pPr>
              <w:widowControl/>
              <w:spacing w:line="380" w:lineRule="exact"/>
              <w:contextualSpacing/>
              <w:jc w:val="left"/>
              <w:rPr>
                <w:rFonts w:ascii="宋体" w:hAnsi="宋体" w:cs="宋体"/>
                <w:b/>
                <w:kern w:val="0"/>
                <w:szCs w:val="21"/>
                <w:highlight w:val="none"/>
              </w:rPr>
            </w:pPr>
            <w:r>
              <w:rPr>
                <w:rFonts w:hint="eastAsia" w:ascii="宋体" w:hAnsi="宋体" w:cs="宋体"/>
                <w:b/>
                <w:kern w:val="0"/>
                <w:szCs w:val="21"/>
                <w:highlight w:val="none"/>
              </w:rPr>
              <w:t>（提供车辆行驶证（提供12123中车辆检验有效期界面截图）、车辆正面照片，若为租赁则另需提供车辆租赁合同并加盖投标人公章，若车辆行驶证中无法体现车辆为冷藏车的，则另需提供机动车销售统一发票或强制性产品认证车辆一致性证书或车辆合格证需反应车辆类型为冷藏车，车辆识别代号/车架号与行驶证中的一致）</w:t>
            </w:r>
          </w:p>
          <w:p>
            <w:pPr>
              <w:widowControl/>
              <w:numPr>
                <w:ilvl w:val="0"/>
                <w:numId w:val="3"/>
              </w:numPr>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自有或租赁配送车辆（轿车及皮卡等非封闭的车辆不予计分），每有1辆得1分，最高得2分。</w:t>
            </w:r>
          </w:p>
          <w:p>
            <w:pPr>
              <w:widowControl/>
              <w:spacing w:line="380" w:lineRule="exact"/>
              <w:contextualSpacing/>
              <w:jc w:val="left"/>
              <w:rPr>
                <w:rFonts w:ascii="宋体" w:hAnsi="宋体" w:cs="宋体"/>
                <w:bCs/>
                <w:kern w:val="0"/>
                <w:szCs w:val="21"/>
                <w:highlight w:val="none"/>
              </w:rPr>
            </w:pPr>
            <w:r>
              <w:rPr>
                <w:rFonts w:hint="eastAsia" w:ascii="宋体" w:hAnsi="宋体" w:cs="宋体"/>
                <w:b/>
                <w:kern w:val="0"/>
                <w:szCs w:val="21"/>
                <w:highlight w:val="none"/>
              </w:rPr>
              <w:t>（提供有效的车辆行驶证（提供12123中车辆检验有效期界面截图）、车辆正面照片，若为租赁则另需提供车辆租赁合同并加盖投标人公章）</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项目业绩（1分）</w:t>
            </w:r>
          </w:p>
          <w:p>
            <w:pPr>
              <w:widowControl/>
              <w:spacing w:line="380" w:lineRule="exact"/>
              <w:contextualSpacing/>
              <w:jc w:val="center"/>
              <w:rPr>
                <w:rFonts w:ascii="宋体" w:hAnsi="宋体" w:cs="宋体"/>
                <w:bCs/>
                <w:kern w:val="0"/>
                <w:szCs w:val="21"/>
                <w:highlight w:val="none"/>
              </w:rPr>
            </w:pPr>
          </w:p>
        </w:tc>
        <w:tc>
          <w:tcPr>
            <w:tcW w:w="6206" w:type="dxa"/>
            <w:vAlign w:val="center"/>
          </w:tcPr>
          <w:p>
            <w:pPr>
              <w:spacing w:line="380" w:lineRule="exact"/>
              <w:jc w:val="left"/>
              <w:rPr>
                <w:rFonts w:ascii="宋体" w:hAnsi="宋体" w:cs="宋体"/>
                <w:bCs/>
                <w:kern w:val="0"/>
                <w:szCs w:val="21"/>
                <w:highlight w:val="none"/>
              </w:rPr>
            </w:pPr>
            <w:r>
              <w:rPr>
                <w:rFonts w:hint="eastAsia" w:ascii="宋体" w:hAnsi="宋体" w:cs="宋体"/>
                <w:bCs/>
                <w:kern w:val="0"/>
                <w:szCs w:val="21"/>
                <w:highlight w:val="none"/>
              </w:rPr>
              <w:t>2021年1月1日（以合同签订日期为准）至今投标人承担的类似食材配送服务业绩，每提供1个有效业绩得0.5分，最高得1分。</w:t>
            </w:r>
            <w:r>
              <w:rPr>
                <w:rFonts w:hint="eastAsia" w:ascii="宋体" w:hAnsi="宋体" w:cs="宋体"/>
                <w:b/>
                <w:kern w:val="0"/>
                <w:szCs w:val="21"/>
                <w:highlight w:val="none"/>
              </w:rPr>
              <w:t>（须同时提供合同关键页（合同首页、信息页、签字盖章页）复印件并加盖投标人公章，复印件应清晰可见；类似食材是指全品类，合同中至少包含本项目采购品类5个或以上的按1个得分点计算，若同一业主同一时间段内提供5个品种（含）以上本项目采购品类内的合同各一份的则按1个得分点计算）</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
                <w:kern w:val="0"/>
                <w:szCs w:val="21"/>
                <w:highlight w:val="none"/>
              </w:rPr>
              <w:t>智能化管理系统（4分）</w:t>
            </w:r>
          </w:p>
        </w:tc>
        <w:tc>
          <w:tcPr>
            <w:tcW w:w="6206" w:type="dxa"/>
            <w:vAlign w:val="center"/>
          </w:tcPr>
          <w:p>
            <w:pPr>
              <w:spacing w:line="380" w:lineRule="exact"/>
              <w:jc w:val="left"/>
              <w:rPr>
                <w:rFonts w:ascii="宋体" w:hAnsi="宋体" w:cs="宋体"/>
                <w:bCs/>
                <w:kern w:val="0"/>
                <w:szCs w:val="21"/>
                <w:highlight w:val="none"/>
              </w:rPr>
            </w:pPr>
            <w:r>
              <w:rPr>
                <w:rFonts w:hint="eastAsia" w:ascii="宋体" w:hAnsi="宋体" w:cs="宋体"/>
                <w:bCs/>
                <w:kern w:val="0"/>
                <w:szCs w:val="21"/>
                <w:highlight w:val="none"/>
              </w:rPr>
              <w:t>投标人具有智能化管理系统，系统中可反应货物溯源管理的得1分，系统中可反应财务核算使用情况的得1分，系统中可反应出入库信息化管理使用情况的得1分，系统中可反应各使用单位的订单完成情况的得1分</w:t>
            </w:r>
            <w:r>
              <w:rPr>
                <w:rFonts w:hint="eastAsia" w:ascii="宋体" w:hAnsi="宋体" w:cs="宋体"/>
                <w:b/>
                <w:kern w:val="0"/>
                <w:szCs w:val="21"/>
                <w:highlight w:val="none"/>
              </w:rPr>
              <w:t>（提供系统对应界面截图并加盖投标人公章）</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restart"/>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食品质量控制（8分）</w:t>
            </w: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投标人具有严格的进货渠道，来源可追溯、质量可控的得2分</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widowControl/>
              <w:spacing w:line="380" w:lineRule="exact"/>
              <w:contextualSpacing/>
              <w:jc w:val="center"/>
              <w:rPr>
                <w:rFonts w:ascii="宋体" w:hAnsi="宋体" w:cs="宋体"/>
                <w:b/>
                <w:kern w:val="0"/>
                <w:szCs w:val="21"/>
                <w:highlight w:val="none"/>
              </w:rPr>
            </w:pPr>
          </w:p>
        </w:tc>
        <w:tc>
          <w:tcPr>
            <w:tcW w:w="6206" w:type="dxa"/>
            <w:vAlign w:val="center"/>
          </w:tcPr>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具有原材料质量管理制度的得1分</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widowControl/>
              <w:spacing w:line="380" w:lineRule="exact"/>
              <w:contextualSpacing/>
              <w:jc w:val="center"/>
              <w:rPr>
                <w:rFonts w:ascii="宋体" w:hAnsi="宋体" w:cs="宋体"/>
                <w:b/>
                <w:kern w:val="0"/>
                <w:szCs w:val="21"/>
                <w:highlight w:val="none"/>
              </w:rPr>
            </w:pPr>
          </w:p>
        </w:tc>
        <w:tc>
          <w:tcPr>
            <w:tcW w:w="6206" w:type="dxa"/>
            <w:vAlign w:val="center"/>
          </w:tcPr>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检验检疫证明齐全，食品安全和质量要求满足国家或行业标准的得2分</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widowControl/>
              <w:spacing w:line="380" w:lineRule="exact"/>
              <w:contextualSpacing/>
              <w:jc w:val="center"/>
              <w:rPr>
                <w:rFonts w:ascii="宋体" w:hAnsi="宋体" w:cs="宋体"/>
                <w:b/>
                <w:kern w:val="0"/>
                <w:szCs w:val="21"/>
                <w:highlight w:val="none"/>
              </w:rPr>
            </w:pPr>
          </w:p>
        </w:tc>
        <w:tc>
          <w:tcPr>
            <w:tcW w:w="6206" w:type="dxa"/>
            <w:vAlign w:val="center"/>
          </w:tcPr>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制定完善的食品自检、抽检流程的并制作检测台账的，检测流程有效的保障食品安全的得3分</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20" w:type="dxa"/>
            <w:vMerge w:val="restart"/>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食品安全控制（3分）</w:t>
            </w:r>
          </w:p>
        </w:tc>
        <w:tc>
          <w:tcPr>
            <w:tcW w:w="6206" w:type="dxa"/>
            <w:vAlign w:val="center"/>
          </w:tcPr>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具有食品留样制度并制作台账的得1分</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widowControl/>
              <w:spacing w:line="380" w:lineRule="exact"/>
              <w:contextualSpacing/>
              <w:jc w:val="center"/>
              <w:rPr>
                <w:rFonts w:ascii="宋体" w:hAnsi="宋体" w:cs="宋体"/>
                <w:bCs/>
                <w:kern w:val="0"/>
                <w:szCs w:val="21"/>
                <w:highlight w:val="none"/>
              </w:rPr>
            </w:pPr>
          </w:p>
        </w:tc>
        <w:tc>
          <w:tcPr>
            <w:tcW w:w="6206" w:type="dxa"/>
            <w:vAlign w:val="center"/>
          </w:tcPr>
          <w:p>
            <w:pPr>
              <w:spacing w:line="460" w:lineRule="exact"/>
              <w:contextualSpacing/>
              <w:rPr>
                <w:rFonts w:ascii="宋体" w:hAnsi="宋体" w:cs="宋体"/>
                <w:szCs w:val="21"/>
                <w:highlight w:val="none"/>
              </w:rPr>
            </w:pPr>
            <w:r>
              <w:rPr>
                <w:rFonts w:hint="eastAsia" w:ascii="宋体" w:hAnsi="宋体" w:cs="宋体"/>
                <w:bCs/>
                <w:kern w:val="0"/>
                <w:szCs w:val="21"/>
                <w:highlight w:val="none"/>
              </w:rPr>
              <w:t>购买食品安全责任险</w:t>
            </w:r>
            <w:r>
              <w:rPr>
                <w:rFonts w:hint="eastAsia" w:ascii="宋体" w:hAnsi="宋体" w:cs="宋体"/>
                <w:szCs w:val="21"/>
                <w:highlight w:val="none"/>
              </w:rPr>
              <w:t>在500万（含）-1000万（不含）元的得1分；1000万（含）-2000万（不含）之间的得1.5分；2000万元（含）以上的得2分。</w:t>
            </w:r>
          </w:p>
          <w:p>
            <w:pPr>
              <w:widowControl/>
              <w:spacing w:line="360" w:lineRule="auto"/>
              <w:contextualSpacing/>
              <w:rPr>
                <w:rFonts w:ascii="宋体" w:hAnsi="宋体" w:cs="宋体"/>
                <w:bCs/>
                <w:kern w:val="0"/>
                <w:szCs w:val="21"/>
                <w:highlight w:val="none"/>
              </w:rPr>
            </w:pPr>
            <w:r>
              <w:rPr>
                <w:rFonts w:hint="eastAsia" w:ascii="宋体" w:hAnsi="宋体" w:cs="宋体"/>
                <w:b/>
                <w:kern w:val="0"/>
                <w:szCs w:val="21"/>
                <w:highlight w:val="none"/>
              </w:rPr>
              <w:t>（提供保单复印件并加盖公章或承诺中标后购买食品安全责任险，若保单或承诺中无法体现金额等得分内容的视为未提供）；</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restart"/>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投标人仓储情况（5分）</w:t>
            </w: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（1）投标人配有冷冻库的得1分，配有冷藏库的得1分，配有常温库的得1分。（提供现场照片、照片中能反应得分项功能的）</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widowControl/>
              <w:spacing w:line="380" w:lineRule="exact"/>
              <w:contextualSpacing/>
              <w:jc w:val="center"/>
              <w:rPr>
                <w:rFonts w:ascii="宋体" w:hAnsi="宋体" w:cs="宋体"/>
                <w:b/>
                <w:kern w:val="0"/>
                <w:szCs w:val="21"/>
                <w:highlight w:val="none"/>
              </w:rPr>
            </w:pP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（2）投标人仓储场所摆放合理性，对干湿区域、冻品区域、生鲜区域等区域的布局：</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各存放区域相对独立的得1分，各类产品存放区域设置合理的得1分（提供现场照片、照片中能反应得分项功能的）</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投标人加工车间情况（5分）</w:t>
            </w: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加工分拣车间环境、布局及卫生条件合理性（提供现场照片、照片中能反应得分项功能的）</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（1）具有独立的蔬菜清洗分拣区（或蔬菜粗加工区）的得1分，具有独立猪肉分割区（或肉类粗加工区）的得1分，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（2）具有独立农药残留检测区的得1分，具有独立鱼类宰杀清洗区（或海鲜粗加工区））的得1分，具有独立的打包或包装或周转区的得1分</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restart"/>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投标人场地信息化管理（3分）</w:t>
            </w: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（1）仓库、加工车间具有视频监控等信息化设备的得1分（提供现场照片、照片中能反应得分项功能的）</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widowControl/>
              <w:spacing w:line="380" w:lineRule="exact"/>
              <w:contextualSpacing/>
              <w:jc w:val="center"/>
              <w:rPr>
                <w:rFonts w:ascii="宋体" w:hAnsi="宋体" w:cs="宋体"/>
                <w:b/>
                <w:kern w:val="0"/>
                <w:szCs w:val="21"/>
                <w:highlight w:val="none"/>
              </w:rPr>
            </w:pP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（2）投标人仓库、加工车间具有温、湿度等控制预警系统的得2分（提供现场照片、照片中能反应得分项功能的）</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投标人配套设备（3分）</w:t>
            </w: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投标人自有或合作检测机构具有独立、封闭的检测室的得1分，配备专业的农药残留、肉类检测设备的得1分，各检测设备定期校准的得1分（若设备为自有则提供设备购置发票、设备配置信息及有效的校准报告，若为合作检测机构的则提供合作协议、设备配置信息及有效的校准报告）</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需求理解（6分）</w:t>
            </w:r>
          </w:p>
          <w:p>
            <w:pPr>
              <w:widowControl/>
              <w:spacing w:line="380" w:lineRule="exact"/>
              <w:contextualSpacing/>
              <w:jc w:val="center"/>
              <w:rPr>
                <w:rFonts w:ascii="宋体" w:hAnsi="宋体" w:cs="宋体"/>
                <w:b/>
                <w:kern w:val="0"/>
                <w:szCs w:val="21"/>
                <w:highlight w:val="none"/>
              </w:rPr>
            </w:pPr>
          </w:p>
        </w:tc>
        <w:tc>
          <w:tcPr>
            <w:tcW w:w="6206" w:type="dxa"/>
            <w:vAlign w:val="center"/>
          </w:tcPr>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投标人对需求的理解，包括但不限于仓储、配送、运输、食品来源、重难点分析等，</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（1）需求理解全面准确、层级分明，调研充分，服务措施具有较强的针对性，完全满足实际需求，得 6分；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（2）需求理解较全面、层级较分明，调研较充分，服务措施具有一定的针对性，满足实际需求，得 5分；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（3）需求理解基本全面、层级基本分明，调研基本充分，服务措施具有基本的针对性，基本满足实际需求，得 4分；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（4）需求理解相对欠缺，调研充分性欠缺，服务措施针对性较弱，满足部分实际需求，得 3分；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（5）提供需求分析，但不全面不充分，不具备针对性，得 1 分； </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（6）未提供需求分析的，得 0 分</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80" w:lineRule="exact"/>
              <w:contextualSpacing/>
              <w:jc w:val="center"/>
              <w:rPr>
                <w:rFonts w:ascii="宋体" w:hAnsi="宋体" w:cs="宋体"/>
                <w:b/>
                <w:kern w:val="0"/>
                <w:szCs w:val="21"/>
                <w:highlight w:val="none"/>
              </w:rPr>
            </w:pPr>
            <w:r>
              <w:rPr>
                <w:rFonts w:hint="eastAsia" w:ascii="宋体" w:hAnsi="宋体" w:cs="宋体"/>
                <w:b/>
                <w:kern w:val="0"/>
                <w:szCs w:val="21"/>
                <w:highlight w:val="none"/>
              </w:rPr>
              <w:t>配送方案（6分）</w:t>
            </w:r>
          </w:p>
        </w:tc>
        <w:tc>
          <w:tcPr>
            <w:tcW w:w="6206" w:type="dxa"/>
            <w:vAlign w:val="center"/>
          </w:tcPr>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包括各类食材的具体配送措施、运输方案、运输途中保鲜措施等，</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（1）配送措施完整合理、具有较强的针对性，运输方案合理可行，配送途中的保鲜措施合理可行，完全满足招标文件要求，得6分；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（2）配送措施较完整、方案较合理、具有一定的针对性运输方案具有一定的可行性，配送途中的保鲜措施具有一定可行性，满足招标文件要求，得 5分；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（3）配送措施相对完整、方案相对合理，运输方案相对合理，配送途中的保鲜措施相对合理，符合招标文件要求，得4分；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（4）配送措施和方案完整性略有欠缺，运输方案针对性不强，，配送途中的保鲜措施略有欠缺，基本符合招标文件要求，得 3分；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（5）提供食品配送方案，但方案不完整，不具备针对性，未提供运输途中的保鲜措施，得 1 分； </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 xml:space="preserve">（6）未提供食品配送方案的，得 0 分。 </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
                <w:kern w:val="0"/>
                <w:szCs w:val="21"/>
                <w:highlight w:val="none"/>
              </w:rPr>
              <w:t>人员配备（5分）</w:t>
            </w: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项目团队人员配备，配置方案、配置岗位、各岗位人员稳定性，</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（1）团队配置方案完整合理、人员固定、每个岗位设置专职人员，完全满足招标文件要求，得 5分；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（2）团队配置方案较合理、人员较固定，符合招标文件要求，得 4 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（3）团队配置方案相对合理、人员相对固定，基本符合招标文件要求，得3 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（4）团队配置方案相基本合理、人员基本固定，部分符合招标文件要求，得 1 分；</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（5）团队配置方案不合理、人员不固定或未提供方案的，得 0 分。</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60" w:lineRule="auto"/>
              <w:contextualSpacing/>
              <w:rPr>
                <w:rFonts w:ascii="宋体" w:hAnsi="宋体" w:cs="宋体"/>
                <w:b/>
                <w:kern w:val="0"/>
                <w:szCs w:val="21"/>
                <w:highlight w:val="none"/>
              </w:rPr>
            </w:pPr>
            <w:r>
              <w:rPr>
                <w:rFonts w:hint="eastAsia" w:ascii="宋体" w:hAnsi="宋体" w:cs="宋体"/>
                <w:b/>
                <w:kern w:val="0"/>
                <w:szCs w:val="21"/>
                <w:highlight w:val="none"/>
              </w:rPr>
              <w:t>配送时效（5分）</w:t>
            </w:r>
          </w:p>
          <w:p>
            <w:pPr>
              <w:widowControl/>
              <w:spacing w:line="380" w:lineRule="exact"/>
              <w:contextualSpacing/>
              <w:jc w:val="center"/>
              <w:rPr>
                <w:rFonts w:ascii="宋体" w:hAnsi="宋体" w:cs="宋体"/>
                <w:bCs/>
                <w:kern w:val="0"/>
                <w:szCs w:val="21"/>
                <w:highlight w:val="none"/>
              </w:rPr>
            </w:pP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配送时效，从产品订货、分拣、加工、打包、装车各节点的时间控制措施，</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（1）对各品类产品订货、分拣、加工、打包、装车各节点时间明确、合理、科学的，完全满足招标文件要求，得5分；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（2）对各品类产品订货、分拣、加工、打包、装车各节点时间基本合理、科学的，基本满足招标文件要求，得4分；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（3）对部分产品订货、分拣、加工、打包、装车各节点时间，较合理、科学的，部分满足招标文件要求，得3分；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（4）对少部分产品订货、分拣、加工、打包、装车各节点时间基本合理、科学的，少部分满足招标文件要求，得1分；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（5）未提供方案的，得 0 分。 </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restart"/>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
                <w:kern w:val="0"/>
                <w:szCs w:val="21"/>
                <w:highlight w:val="none"/>
              </w:rPr>
              <w:t>应急保障措施（9分）</w:t>
            </w: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应急配送保障方案，对临时加单、特殊保障时期、突发事件（天气、交通、重大事件等因素）的配送保障措施，</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（1）应急配送方案完整、内容详细、采购人配送30分钟范围内设立紧急配送点的，保障措施合理可行，完全满足实际需求，得5分；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（2）应急配送方案较完整、内容较详细、采购人配送45分钟范围内设立紧急配送点的，保障措施具有可行性，满足实际需求，得4分；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（3）应急配送方案相对完整、采购人配送60分钟范围内设立配送点的，保障措施单一，基本符合实际需求，得 3分；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（4）提供应急方案保障，但内容存在明显缺陷，不符合实际需求，得 1 分； </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（5）未提供应急方案保障的，得 0 分。 </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widowControl/>
              <w:spacing w:line="380" w:lineRule="exact"/>
              <w:contextualSpacing/>
              <w:jc w:val="center"/>
              <w:rPr>
                <w:rFonts w:ascii="宋体" w:hAnsi="宋体" w:cs="宋体"/>
                <w:bCs/>
                <w:kern w:val="0"/>
                <w:szCs w:val="21"/>
                <w:highlight w:val="none"/>
              </w:rPr>
            </w:pPr>
          </w:p>
        </w:tc>
        <w:tc>
          <w:tcPr>
            <w:tcW w:w="6206" w:type="dxa"/>
            <w:vAlign w:val="center"/>
          </w:tcPr>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食品中毒应急预案，对处理时效、赔偿方案、追责方式等提供预案，</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（1）预案明确处理时效、赔偿方案、追责方式的，且时效合理，除保险外提供额外赔偿并确保追责到位的，得4分；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（2）预案基本明确处理时效、赔偿方案、追责方式的，时效较合理，仅提供保险对应赔偿金额的，得3分；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（3）未提供预案或不合理的，仅提供保险对应赔偿金额的，得1分；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 xml:space="preserve">（4）未提供预案或不合理的，未提供保险的，得 0 分。 </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
                <w:kern w:val="0"/>
                <w:szCs w:val="21"/>
                <w:highlight w:val="none"/>
              </w:rPr>
              <w:t>管理制度（5分）</w:t>
            </w:r>
          </w:p>
        </w:tc>
        <w:tc>
          <w:tcPr>
            <w:tcW w:w="6206" w:type="dxa"/>
            <w:vAlign w:val="center"/>
          </w:tcPr>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制度建设：包括但不限于财务制度（包含进销存台账等）、食品安全培训制度、从业人员健康管理制度、内控制度等，</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（1）各项制度制定全面、有效、可实施的，完全满足实际需求，得5 分；</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（2）各项制度制定较全面、有效、可实施的，满足实际需求，得3 分；</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（3）各项制度制定相对全面、有效、可实施的，基本符合实际需求，得2 分；</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（4）制定部分制度，部分可行，部分符合实际需求的，得1分；</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（5）未提供上述制度的，得0分</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20" w:type="dxa"/>
            <w:vMerge w:val="restart"/>
            <w:vAlign w:val="center"/>
          </w:tcPr>
          <w:p>
            <w:pPr>
              <w:autoSpaceDE w:val="0"/>
              <w:autoSpaceDN w:val="0"/>
              <w:adjustRightInd w:val="0"/>
              <w:spacing w:line="360" w:lineRule="auto"/>
              <w:rPr>
                <w:rFonts w:ascii="宋体" w:hAnsi="宋体" w:cs="宋体"/>
                <w:bCs/>
                <w:kern w:val="0"/>
                <w:sz w:val="24"/>
                <w:szCs w:val="21"/>
                <w:highlight w:val="none"/>
              </w:rPr>
            </w:pPr>
            <w:r>
              <w:rPr>
                <w:rFonts w:hint="eastAsia" w:ascii="宋体" w:hAnsi="宋体" w:cs="宋体"/>
                <w:b/>
                <w:kern w:val="0"/>
                <w:szCs w:val="21"/>
                <w:highlight w:val="none"/>
              </w:rPr>
              <w:t>售后服务（7分）</w:t>
            </w:r>
          </w:p>
        </w:tc>
        <w:tc>
          <w:tcPr>
            <w:tcW w:w="6206" w:type="dxa"/>
            <w:vAlign w:val="center"/>
          </w:tcPr>
          <w:p>
            <w:pPr>
              <w:autoSpaceDE w:val="0"/>
              <w:autoSpaceDN w:val="0"/>
              <w:adjustRightInd w:val="0"/>
              <w:spacing w:line="360" w:lineRule="auto"/>
              <w:rPr>
                <w:rFonts w:ascii="宋体" w:hAnsi="宋体" w:cs="宋体"/>
                <w:bCs/>
                <w:kern w:val="0"/>
                <w:szCs w:val="21"/>
                <w:highlight w:val="none"/>
              </w:rPr>
            </w:pPr>
            <w:r>
              <w:rPr>
                <w:rFonts w:hint="eastAsia" w:ascii="宋体" w:hAnsi="宋体" w:cs="宋体"/>
                <w:bCs/>
                <w:kern w:val="0"/>
                <w:szCs w:val="21"/>
                <w:highlight w:val="none"/>
              </w:rPr>
              <w:t>售后服务方案，对产品剩余质保期、货品质量（召回、补货、退货、换货）的服务方案，</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（1）投标人所供商品剩余质保期、货品质量（</w:t>
            </w:r>
            <w:r>
              <w:rPr>
                <w:rFonts w:hint="eastAsia" w:ascii="宋体" w:hAnsi="宋体"/>
                <w:szCs w:val="21"/>
                <w:highlight w:val="none"/>
              </w:rPr>
              <w:t>召回、补货、退货、换货</w:t>
            </w:r>
            <w:r>
              <w:rPr>
                <w:rFonts w:hint="eastAsia" w:ascii="宋体" w:hAnsi="宋体" w:cs="宋体"/>
                <w:bCs/>
                <w:kern w:val="0"/>
                <w:szCs w:val="21"/>
                <w:highlight w:val="none"/>
              </w:rPr>
              <w:t>）问题提供合理的相应补偿措施，完全满足采购需求，得5 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（2）投标人所供商品剩余质保期、货品质量问题（召回、补货、退货、换货）提供基本可实施的补偿措施，满足采购需求，得 3分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（3）投标人所供商品剩余质保期、货品质量问题（召回、补货、退货、换货）提供简单的补偿措施，基本符合采购需求，得2分</w:t>
            </w:r>
          </w:p>
          <w:p>
            <w:pPr>
              <w:widowControl/>
              <w:spacing w:line="360" w:lineRule="auto"/>
              <w:contextualSpacing/>
              <w:rPr>
                <w:rFonts w:ascii="宋体" w:hAnsi="宋体" w:cs="宋体"/>
                <w:bCs/>
                <w:kern w:val="0"/>
                <w:szCs w:val="21"/>
                <w:highlight w:val="none"/>
              </w:rPr>
            </w:pPr>
            <w:r>
              <w:rPr>
                <w:rFonts w:hint="eastAsia" w:ascii="宋体" w:hAnsi="宋体" w:cs="宋体"/>
                <w:bCs/>
                <w:kern w:val="0"/>
                <w:szCs w:val="21"/>
                <w:highlight w:val="none"/>
              </w:rPr>
              <w:t>（4）投标人所供商品剩余质保期、货品质量问题（召回、补货、退货、换货）提供简单的补偿措施不全面，部分符合采购需求，得1分</w:t>
            </w:r>
          </w:p>
          <w:p>
            <w:pPr>
              <w:widowControl/>
              <w:spacing w:line="360" w:lineRule="auto"/>
              <w:contextualSpacing/>
              <w:rPr>
                <w:highlight w:val="none"/>
              </w:rPr>
            </w:pPr>
            <w:r>
              <w:rPr>
                <w:rFonts w:hint="eastAsia" w:ascii="宋体" w:hAnsi="宋体" w:cs="宋体"/>
                <w:bCs/>
                <w:kern w:val="0"/>
                <w:szCs w:val="21"/>
                <w:highlight w:val="none"/>
              </w:rPr>
              <w:t>（5）未提供售后服务方案的，得0分</w:t>
            </w:r>
          </w:p>
        </w:tc>
        <w:tc>
          <w:tcPr>
            <w:tcW w:w="870" w:type="dxa"/>
            <w:vAlign w:val="center"/>
          </w:tcPr>
          <w:p>
            <w:pPr>
              <w:widowControl/>
              <w:spacing w:line="380" w:lineRule="exact"/>
              <w:contextualSpacing/>
              <w:jc w:val="center"/>
              <w:rPr>
                <w:rFonts w:ascii="宋体" w:hAnsi="宋体" w:cs="宋体"/>
                <w:szCs w:val="21"/>
                <w:highlight w:val="none"/>
              </w:rPr>
            </w:pPr>
            <w:r>
              <w:rPr>
                <w:rFonts w:hint="eastAsia" w:ascii="宋体" w:hAnsi="宋体" w:cs="宋体"/>
                <w:bCs/>
                <w:kern w:val="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20" w:type="dxa"/>
            <w:vMerge w:val="continue"/>
            <w:vAlign w:val="center"/>
          </w:tcPr>
          <w:p>
            <w:pPr>
              <w:widowControl/>
              <w:spacing w:line="380" w:lineRule="exact"/>
              <w:contextualSpacing/>
              <w:jc w:val="center"/>
              <w:rPr>
                <w:rFonts w:ascii="宋体" w:hAnsi="宋体" w:cs="宋体"/>
                <w:bCs/>
                <w:kern w:val="0"/>
                <w:szCs w:val="21"/>
                <w:highlight w:val="none"/>
              </w:rPr>
            </w:pPr>
          </w:p>
        </w:tc>
        <w:tc>
          <w:tcPr>
            <w:tcW w:w="6206" w:type="dxa"/>
            <w:vAlign w:val="center"/>
          </w:tcPr>
          <w:p>
            <w:pPr>
              <w:widowControl/>
              <w:spacing w:line="360" w:lineRule="auto"/>
              <w:contextualSpacing/>
              <w:jc w:val="left"/>
              <w:rPr>
                <w:rFonts w:ascii="宋体" w:hAnsi="宋体" w:cs="宋体"/>
                <w:bCs/>
                <w:kern w:val="0"/>
                <w:szCs w:val="21"/>
                <w:highlight w:val="none"/>
              </w:rPr>
            </w:pPr>
            <w:r>
              <w:rPr>
                <w:rFonts w:hint="eastAsia" w:ascii="宋体" w:hAnsi="宋体" w:cs="宋体"/>
                <w:bCs/>
                <w:kern w:val="0"/>
                <w:szCs w:val="21"/>
                <w:highlight w:val="none"/>
              </w:rPr>
              <w:t>承诺</w:t>
            </w:r>
          </w:p>
          <w:p>
            <w:pPr>
              <w:widowControl/>
              <w:spacing w:line="380" w:lineRule="exact"/>
              <w:contextualSpacing/>
              <w:jc w:val="left"/>
              <w:rPr>
                <w:rFonts w:ascii="宋体" w:hAnsi="宋体" w:cs="宋体"/>
                <w:bCs/>
                <w:kern w:val="0"/>
                <w:szCs w:val="21"/>
                <w:highlight w:val="none"/>
              </w:rPr>
            </w:pPr>
            <w:r>
              <w:rPr>
                <w:rFonts w:hint="eastAsia" w:ascii="宋体" w:hAnsi="宋体" w:cs="宋体"/>
                <w:bCs/>
                <w:kern w:val="0"/>
                <w:szCs w:val="21"/>
                <w:highlight w:val="none"/>
              </w:rPr>
              <w:t>补货、退货、换货响应送到时间优于采购需求的，承诺1小时内得2分；1个半小时内得1分；2个小时内（不含2小时）的得0.5分，其余不得分。（承诺书格式自拟，提供单独承诺否则不得分）</w:t>
            </w:r>
          </w:p>
        </w:tc>
        <w:tc>
          <w:tcPr>
            <w:tcW w:w="870" w:type="dxa"/>
            <w:vAlign w:val="center"/>
          </w:tcPr>
          <w:p>
            <w:pPr>
              <w:widowControl/>
              <w:spacing w:line="380" w:lineRule="exact"/>
              <w:contextualSpacing/>
              <w:jc w:val="center"/>
              <w:rPr>
                <w:rFonts w:ascii="宋体" w:hAnsi="宋体" w:cs="宋体"/>
                <w:bCs/>
                <w:kern w:val="0"/>
                <w:szCs w:val="21"/>
                <w:highlight w:val="none"/>
              </w:rPr>
            </w:pPr>
            <w:r>
              <w:rPr>
                <w:rFonts w:hint="eastAsia" w:ascii="宋体" w:hAnsi="宋体" w:cs="宋体"/>
                <w:bCs/>
                <w:kern w:val="0"/>
                <w:szCs w:val="21"/>
                <w:highlight w:val="none"/>
              </w:rPr>
              <w:t>0-2</w:t>
            </w:r>
          </w:p>
        </w:tc>
      </w:tr>
    </w:tbl>
    <w:p>
      <w:pPr>
        <w:spacing w:line="440" w:lineRule="exact"/>
        <w:ind w:firstLine="422" w:firstLineChars="200"/>
        <w:jc w:val="left"/>
        <w:rPr>
          <w:rFonts w:ascii="宋体" w:hAnsi="宋体" w:cs="宋体"/>
          <w:b/>
          <w:bCs/>
          <w:szCs w:val="21"/>
          <w:highlight w:val="none"/>
        </w:rPr>
      </w:pPr>
    </w:p>
    <w:p>
      <w:pPr>
        <w:pStyle w:val="58"/>
        <w:spacing w:line="360" w:lineRule="auto"/>
        <w:rPr>
          <w:rFonts w:ascii="宋体" w:hAnsi="宋体" w:cs="宋体"/>
          <w:highlight w:val="none"/>
        </w:rPr>
      </w:pPr>
      <w:r>
        <w:rPr>
          <w:rFonts w:hint="eastAsia" w:ascii="宋体" w:hAnsi="宋体" w:cs="宋体"/>
          <w:highlight w:val="none"/>
        </w:rPr>
        <w:t>注：</w:t>
      </w:r>
      <w:r>
        <w:rPr>
          <w:rFonts w:hint="eastAsia" w:ascii="宋体" w:hAnsi="宋体" w:cs="宋体"/>
          <w:szCs w:val="21"/>
          <w:highlight w:val="none"/>
        </w:rPr>
        <w:t>各投标人的资信技术分按照评标委员会成员的独立评分结果汇总后的算术平均分计算</w:t>
      </w:r>
      <w:r>
        <w:rPr>
          <w:rFonts w:hint="eastAsia" w:ascii="宋体" w:hAnsi="宋体" w:cs="宋体"/>
          <w:highlight w:val="none"/>
        </w:rPr>
        <w:t>，保留小数点后2位小数。</w:t>
      </w:r>
    </w:p>
    <w:p>
      <w:pPr>
        <w:spacing w:line="360" w:lineRule="auto"/>
        <w:ind w:left="466"/>
        <w:rPr>
          <w:rFonts w:ascii="宋体" w:hAnsi="宋体" w:cs="宋体"/>
          <w:b/>
          <w:bCs/>
          <w:spacing w:val="-4"/>
          <w:kern w:val="0"/>
          <w:szCs w:val="21"/>
          <w:highlight w:val="none"/>
        </w:rPr>
      </w:pPr>
      <w:r>
        <w:rPr>
          <w:rFonts w:hint="eastAsia" w:ascii="宋体" w:hAnsi="宋体" w:cs="宋体"/>
          <w:b/>
          <w:bCs/>
          <w:spacing w:val="-4"/>
          <w:kern w:val="0"/>
          <w:szCs w:val="21"/>
          <w:highlight w:val="none"/>
        </w:rPr>
        <w:t>二、价格分（</w:t>
      </w:r>
      <w:r>
        <w:rPr>
          <w:rFonts w:hint="eastAsia" w:ascii="宋体" w:hAnsi="宋体" w:cs="宋体"/>
          <w:b/>
          <w:bCs/>
          <w:spacing w:val="-4"/>
          <w:kern w:val="0"/>
          <w:szCs w:val="21"/>
          <w:highlight w:val="none"/>
          <w:lang w:val="en-US" w:eastAsia="zh-CN"/>
        </w:rPr>
        <w:t>15</w:t>
      </w:r>
      <w:r>
        <w:rPr>
          <w:rFonts w:hint="eastAsia" w:ascii="宋体" w:hAnsi="宋体" w:cs="宋体"/>
          <w:b/>
          <w:bCs/>
          <w:spacing w:val="-4"/>
          <w:kern w:val="0"/>
          <w:szCs w:val="21"/>
          <w:highlight w:val="none"/>
        </w:rPr>
        <w:t>分）</w:t>
      </w:r>
    </w:p>
    <w:p>
      <w:pPr>
        <w:pStyle w:val="25"/>
        <w:tabs>
          <w:tab w:val="left" w:pos="630"/>
        </w:tabs>
        <w:spacing w:line="360" w:lineRule="auto"/>
        <w:ind w:right="42" w:rightChars="20" w:firstLine="420" w:firstLineChars="200"/>
        <w:jc w:val="left"/>
        <w:rPr>
          <w:rFonts w:hAnsi="宋体" w:cs="宋体"/>
          <w:bCs/>
          <w:szCs w:val="21"/>
          <w:highlight w:val="none"/>
        </w:rPr>
      </w:pPr>
      <w:r>
        <w:rPr>
          <w:rFonts w:hint="eastAsia" w:hAnsi="宋体" w:cs="宋体"/>
          <w:bCs/>
          <w:szCs w:val="21"/>
          <w:highlight w:val="none"/>
        </w:rPr>
        <w:t>1、采用低价优先法计算，即满足招标文件要求且投标价格最低的投标报价为评标基准价，其价格分为满分。其他满足招标文件要求的投标人的价格分统一按照下列公式计算：</w:t>
      </w:r>
    </w:p>
    <w:p>
      <w:pPr>
        <w:pStyle w:val="25"/>
        <w:tabs>
          <w:tab w:val="left" w:pos="630"/>
        </w:tabs>
        <w:spacing w:line="360" w:lineRule="auto"/>
        <w:ind w:right="42" w:rightChars="20" w:firstLine="420" w:firstLineChars="200"/>
        <w:jc w:val="left"/>
        <w:rPr>
          <w:rFonts w:hAnsi="宋体" w:cs="宋体"/>
          <w:highlight w:val="none"/>
          <w:lang w:val="zh-CN"/>
        </w:rPr>
      </w:pPr>
      <w:r>
        <w:rPr>
          <w:rFonts w:hint="eastAsia" w:hAnsi="宋体" w:cs="宋体"/>
          <w:bCs/>
          <w:szCs w:val="21"/>
          <w:highlight w:val="none"/>
        </w:rPr>
        <w:t>投标报价得分=(评标基准价／评标价格)×相应权重分（保留</w:t>
      </w:r>
      <w:r>
        <w:rPr>
          <w:rFonts w:hint="eastAsia" w:hAnsi="宋体" w:cs="宋体"/>
          <w:highlight w:val="none"/>
        </w:rPr>
        <w:t>小数点后</w:t>
      </w:r>
      <w:r>
        <w:rPr>
          <w:rFonts w:hint="eastAsia" w:hAnsi="宋体" w:cs="宋体"/>
          <w:bCs/>
          <w:szCs w:val="21"/>
          <w:highlight w:val="none"/>
        </w:rPr>
        <w:t>2位小数）</w:t>
      </w:r>
      <w:r>
        <w:rPr>
          <w:rFonts w:hint="eastAsia" w:hAnsi="宋体" w:cs="宋体"/>
          <w:highlight w:val="none"/>
          <w:lang w:val="zh-CN"/>
        </w:rPr>
        <w:t>。</w:t>
      </w:r>
    </w:p>
    <w:tbl>
      <w:tblPr>
        <w:tblStyle w:val="4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454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454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类别</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4545" w:type="dxa"/>
          </w:tcPr>
          <w:p>
            <w:pPr>
              <w:widowControl/>
              <w:kinsoku w:val="0"/>
              <w:autoSpaceDE w:val="0"/>
              <w:autoSpaceDN w:val="0"/>
              <w:adjustRightInd w:val="0"/>
              <w:snapToGrid w:val="0"/>
              <w:spacing w:beforeLines="50" w:afterLines="50" w:line="360" w:lineRule="auto"/>
              <w:ind w:firstLine="218" w:firstLineChars="104"/>
              <w:jc w:val="center"/>
              <w:textAlignment w:val="baseline"/>
              <w:rPr>
                <w:rFonts w:ascii="宋体" w:hAnsi="宋体" w:cs="宋体"/>
                <w:color w:val="000000"/>
                <w:szCs w:val="21"/>
                <w:highlight w:val="none"/>
              </w:rPr>
            </w:pPr>
            <w:r>
              <w:rPr>
                <w:rFonts w:hint="eastAsia" w:ascii="宋体" w:hAnsi="宋体" w:cs="宋体"/>
                <w:szCs w:val="21"/>
                <w:highlight w:val="none"/>
              </w:rPr>
              <w:t>蔬菜类</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bCs/>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4545" w:type="dxa"/>
          </w:tcPr>
          <w:p>
            <w:pPr>
              <w:widowControl/>
              <w:kinsoku w:val="0"/>
              <w:autoSpaceDE w:val="0"/>
              <w:autoSpaceDN w:val="0"/>
              <w:adjustRightInd w:val="0"/>
              <w:snapToGrid w:val="0"/>
              <w:spacing w:beforeLines="50" w:afterLines="50" w:line="360" w:lineRule="auto"/>
              <w:ind w:firstLine="218" w:firstLineChars="104"/>
              <w:jc w:val="center"/>
              <w:textAlignment w:val="baseline"/>
              <w:rPr>
                <w:rFonts w:ascii="宋体" w:hAnsi="宋体" w:cs="宋体"/>
                <w:color w:val="000000"/>
                <w:szCs w:val="21"/>
                <w:highlight w:val="none"/>
              </w:rPr>
            </w:pPr>
            <w:r>
              <w:rPr>
                <w:rFonts w:hint="eastAsia" w:ascii="宋体" w:hAnsi="宋体" w:cs="宋体"/>
                <w:szCs w:val="21"/>
                <w:highlight w:val="none"/>
              </w:rPr>
              <w:t>水果类</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bCs/>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4545" w:type="dxa"/>
          </w:tcPr>
          <w:p>
            <w:pPr>
              <w:widowControl/>
              <w:kinsoku w:val="0"/>
              <w:autoSpaceDE w:val="0"/>
              <w:autoSpaceDN w:val="0"/>
              <w:adjustRightInd w:val="0"/>
              <w:snapToGrid w:val="0"/>
              <w:spacing w:beforeLines="50" w:afterLines="50" w:line="360" w:lineRule="auto"/>
              <w:ind w:firstLine="218" w:firstLineChars="104"/>
              <w:jc w:val="center"/>
              <w:textAlignment w:val="baseline"/>
              <w:rPr>
                <w:rFonts w:ascii="宋体" w:hAnsi="宋体" w:cs="宋体"/>
                <w:color w:val="000000"/>
                <w:szCs w:val="21"/>
                <w:highlight w:val="none"/>
              </w:rPr>
            </w:pPr>
            <w:r>
              <w:rPr>
                <w:rFonts w:hint="eastAsia" w:ascii="宋体" w:hAnsi="宋体" w:cs="宋体"/>
                <w:szCs w:val="21"/>
                <w:highlight w:val="none"/>
              </w:rPr>
              <w:t>饮品类</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bCs/>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4545" w:type="dxa"/>
          </w:tcPr>
          <w:p>
            <w:pPr>
              <w:widowControl/>
              <w:kinsoku w:val="0"/>
              <w:autoSpaceDE w:val="0"/>
              <w:autoSpaceDN w:val="0"/>
              <w:adjustRightInd w:val="0"/>
              <w:snapToGrid w:val="0"/>
              <w:spacing w:beforeLines="50" w:afterLines="50" w:line="360" w:lineRule="auto"/>
              <w:ind w:firstLine="218" w:firstLineChars="104"/>
              <w:jc w:val="center"/>
              <w:textAlignment w:val="baseline"/>
              <w:rPr>
                <w:rFonts w:ascii="宋体" w:hAnsi="宋体" w:cs="宋体"/>
                <w:color w:val="000000"/>
                <w:szCs w:val="21"/>
                <w:highlight w:val="none"/>
              </w:rPr>
            </w:pPr>
            <w:r>
              <w:rPr>
                <w:rFonts w:hint="eastAsia" w:ascii="宋体" w:hAnsi="宋体" w:cs="宋体"/>
                <w:szCs w:val="21"/>
                <w:highlight w:val="none"/>
              </w:rPr>
              <w:t>肉类</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bCs/>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4545" w:type="dxa"/>
          </w:tcPr>
          <w:p>
            <w:pPr>
              <w:widowControl/>
              <w:kinsoku w:val="0"/>
              <w:autoSpaceDE w:val="0"/>
              <w:autoSpaceDN w:val="0"/>
              <w:adjustRightInd w:val="0"/>
              <w:snapToGrid w:val="0"/>
              <w:spacing w:beforeLines="50" w:afterLines="50" w:line="360" w:lineRule="auto"/>
              <w:ind w:firstLine="218" w:firstLineChars="104"/>
              <w:jc w:val="center"/>
              <w:textAlignment w:val="baseline"/>
              <w:rPr>
                <w:rFonts w:ascii="宋体" w:hAnsi="宋体" w:cs="宋体"/>
                <w:color w:val="000000"/>
                <w:szCs w:val="21"/>
                <w:highlight w:val="none"/>
              </w:rPr>
            </w:pPr>
            <w:r>
              <w:rPr>
                <w:rFonts w:hint="eastAsia" w:ascii="宋体" w:hAnsi="宋体" w:cs="宋体"/>
                <w:szCs w:val="21"/>
                <w:highlight w:val="none"/>
              </w:rPr>
              <w:t>禽蛋类</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bCs/>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4545" w:type="dxa"/>
          </w:tcPr>
          <w:p>
            <w:pPr>
              <w:widowControl/>
              <w:kinsoku w:val="0"/>
              <w:autoSpaceDE w:val="0"/>
              <w:autoSpaceDN w:val="0"/>
              <w:adjustRightInd w:val="0"/>
              <w:snapToGrid w:val="0"/>
              <w:spacing w:beforeLines="50" w:afterLines="50" w:line="360" w:lineRule="auto"/>
              <w:ind w:firstLine="218" w:firstLineChars="104"/>
              <w:jc w:val="center"/>
              <w:textAlignment w:val="baseline"/>
              <w:rPr>
                <w:rFonts w:ascii="宋体" w:hAnsi="宋体" w:cs="宋体"/>
                <w:color w:val="000000"/>
                <w:szCs w:val="21"/>
                <w:highlight w:val="none"/>
              </w:rPr>
            </w:pPr>
            <w:r>
              <w:rPr>
                <w:rFonts w:hint="eastAsia" w:ascii="宋体" w:hAnsi="宋体" w:cs="宋体"/>
                <w:szCs w:val="21"/>
                <w:highlight w:val="none"/>
              </w:rPr>
              <w:t>冷冻品类</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bCs/>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4545" w:type="dxa"/>
          </w:tcPr>
          <w:p>
            <w:pPr>
              <w:widowControl/>
              <w:kinsoku w:val="0"/>
              <w:autoSpaceDE w:val="0"/>
              <w:autoSpaceDN w:val="0"/>
              <w:adjustRightInd w:val="0"/>
              <w:snapToGrid w:val="0"/>
              <w:spacing w:beforeLines="50" w:afterLines="50" w:line="360" w:lineRule="auto"/>
              <w:ind w:firstLine="218" w:firstLineChars="104"/>
              <w:jc w:val="center"/>
              <w:textAlignment w:val="baseline"/>
              <w:rPr>
                <w:rFonts w:ascii="宋体" w:hAnsi="宋体" w:cs="宋体"/>
                <w:color w:val="000000"/>
                <w:szCs w:val="21"/>
                <w:highlight w:val="none"/>
              </w:rPr>
            </w:pPr>
            <w:r>
              <w:rPr>
                <w:rFonts w:hint="eastAsia" w:ascii="宋体" w:hAnsi="宋体" w:cs="宋体"/>
                <w:szCs w:val="21"/>
                <w:highlight w:val="none"/>
              </w:rPr>
              <w:t>干货类</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bCs/>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4545" w:type="dxa"/>
          </w:tcPr>
          <w:p>
            <w:pPr>
              <w:widowControl/>
              <w:kinsoku w:val="0"/>
              <w:autoSpaceDE w:val="0"/>
              <w:autoSpaceDN w:val="0"/>
              <w:adjustRightInd w:val="0"/>
              <w:snapToGrid w:val="0"/>
              <w:spacing w:beforeLines="50" w:afterLines="50" w:line="360" w:lineRule="auto"/>
              <w:ind w:firstLine="218" w:firstLineChars="104"/>
              <w:jc w:val="center"/>
              <w:textAlignment w:val="baseline"/>
              <w:rPr>
                <w:rFonts w:ascii="宋体" w:hAnsi="宋体" w:cs="宋体"/>
                <w:color w:val="000000"/>
                <w:szCs w:val="21"/>
                <w:highlight w:val="none"/>
              </w:rPr>
            </w:pPr>
            <w:r>
              <w:rPr>
                <w:rFonts w:hint="eastAsia" w:ascii="宋体" w:hAnsi="宋体" w:cs="宋体"/>
                <w:szCs w:val="21"/>
                <w:highlight w:val="none"/>
              </w:rPr>
              <w:t>豆制品类</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bCs/>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4545" w:type="dxa"/>
          </w:tcPr>
          <w:p>
            <w:pPr>
              <w:widowControl/>
              <w:kinsoku w:val="0"/>
              <w:autoSpaceDE w:val="0"/>
              <w:autoSpaceDN w:val="0"/>
              <w:adjustRightInd w:val="0"/>
              <w:snapToGrid w:val="0"/>
              <w:spacing w:beforeLines="50" w:afterLines="50" w:line="360" w:lineRule="auto"/>
              <w:ind w:firstLine="218" w:firstLineChars="104"/>
              <w:jc w:val="center"/>
              <w:textAlignment w:val="baseline"/>
              <w:rPr>
                <w:rFonts w:ascii="宋体" w:hAnsi="宋体" w:cs="宋体"/>
                <w:color w:val="000000"/>
                <w:szCs w:val="21"/>
                <w:highlight w:val="none"/>
              </w:rPr>
            </w:pPr>
            <w:r>
              <w:rPr>
                <w:rFonts w:hint="eastAsia" w:ascii="宋体" w:hAnsi="宋体" w:cs="宋体"/>
                <w:szCs w:val="21"/>
                <w:highlight w:val="none"/>
              </w:rPr>
              <w:t>水产类</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bCs/>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4545" w:type="dxa"/>
          </w:tcPr>
          <w:p>
            <w:pPr>
              <w:widowControl/>
              <w:kinsoku w:val="0"/>
              <w:autoSpaceDE w:val="0"/>
              <w:autoSpaceDN w:val="0"/>
              <w:adjustRightInd w:val="0"/>
              <w:snapToGrid w:val="0"/>
              <w:spacing w:beforeLines="50" w:afterLines="50" w:line="360" w:lineRule="auto"/>
              <w:ind w:firstLine="218" w:firstLineChars="104"/>
              <w:jc w:val="center"/>
              <w:textAlignment w:val="baseline"/>
              <w:rPr>
                <w:rFonts w:ascii="宋体" w:hAnsi="宋体" w:cs="宋体"/>
                <w:color w:val="000000"/>
                <w:szCs w:val="21"/>
                <w:highlight w:val="none"/>
              </w:rPr>
            </w:pPr>
            <w:r>
              <w:rPr>
                <w:rFonts w:hint="eastAsia" w:ascii="宋体" w:hAnsi="宋体" w:cs="宋体"/>
                <w:szCs w:val="21"/>
                <w:highlight w:val="none"/>
              </w:rPr>
              <w:t>其他类</w:t>
            </w:r>
          </w:p>
        </w:tc>
        <w:tc>
          <w:tcPr>
            <w:tcW w:w="2555"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bCs/>
                <w:color w:val="000000"/>
                <w:kern w:val="0"/>
                <w:szCs w:val="21"/>
                <w:highlight w:val="none"/>
              </w:rPr>
              <w:t>分</w:t>
            </w:r>
          </w:p>
        </w:tc>
      </w:tr>
    </w:tbl>
    <w:p>
      <w:pPr>
        <w:pStyle w:val="25"/>
        <w:tabs>
          <w:tab w:val="left" w:pos="630"/>
        </w:tabs>
        <w:spacing w:line="360" w:lineRule="auto"/>
        <w:ind w:right="42" w:rightChars="20" w:firstLine="420" w:firstLineChars="200"/>
        <w:jc w:val="left"/>
        <w:rPr>
          <w:rFonts w:hAnsi="宋体" w:cs="宋体"/>
          <w:szCs w:val="21"/>
          <w:highlight w:val="none"/>
        </w:rPr>
      </w:pPr>
      <w:r>
        <w:rPr>
          <w:rFonts w:hint="eastAsia" w:hAnsi="宋体" w:cs="宋体"/>
          <w:szCs w:val="21"/>
          <w:highlight w:val="none"/>
        </w:rPr>
        <w:t>2、投标人的投标报价超过采购人设定的最高限价（总价及单价），将作为无效标。</w:t>
      </w:r>
    </w:p>
    <w:p>
      <w:pPr>
        <w:pStyle w:val="25"/>
        <w:tabs>
          <w:tab w:val="left" w:pos="630"/>
        </w:tabs>
        <w:spacing w:line="360" w:lineRule="auto"/>
        <w:ind w:right="42" w:rightChars="20" w:firstLine="420" w:firstLineChars="200"/>
        <w:jc w:val="left"/>
        <w:rPr>
          <w:rFonts w:hAnsi="宋体" w:cs="宋体"/>
          <w:bCs/>
          <w:szCs w:val="21"/>
          <w:highlight w:val="none"/>
        </w:rPr>
      </w:pPr>
      <w:r>
        <w:rPr>
          <w:rFonts w:hint="eastAsia" w:hAnsi="宋体" w:cs="宋体"/>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w:t>
      </w:r>
      <w:r>
        <w:rPr>
          <w:rFonts w:hint="eastAsia" w:hAnsi="宋体" w:cs="宋体"/>
          <w:bCs/>
          <w:szCs w:val="21"/>
          <w:highlight w:val="none"/>
        </w:rPr>
        <w:t>其报价合理性的，评标委员会应当将其作为无效投标处理。</w:t>
      </w:r>
    </w:p>
    <w:p>
      <w:pPr>
        <w:rPr>
          <w:rStyle w:val="132"/>
          <w:rFonts w:ascii="宋体" w:hAnsi="宋体" w:eastAsia="宋体" w:cs="宋体"/>
          <w:b w:val="0"/>
          <w:highlight w:val="none"/>
        </w:rPr>
      </w:pPr>
      <w:bookmarkStart w:id="232" w:name="_Toc493511826"/>
      <w:bookmarkStart w:id="233" w:name="_Toc416422800"/>
      <w:bookmarkStart w:id="234" w:name="_Toc28829"/>
      <w:bookmarkStart w:id="235" w:name="_Toc417992896"/>
      <w:r>
        <w:rPr>
          <w:rStyle w:val="132"/>
          <w:rFonts w:hint="eastAsia" w:ascii="宋体" w:hAnsi="宋体" w:eastAsia="宋体" w:cs="宋体"/>
          <w:b w:val="0"/>
          <w:highlight w:val="none"/>
        </w:rPr>
        <w:br w:type="page"/>
      </w:r>
    </w:p>
    <w:p>
      <w:pPr>
        <w:pStyle w:val="79"/>
        <w:rPr>
          <w:rFonts w:ascii="宋体" w:eastAsia="宋体" w:cs="宋体"/>
          <w:bCs w:val="0"/>
          <w:highlight w:val="none"/>
        </w:rPr>
      </w:pPr>
      <w:r>
        <w:rPr>
          <w:rStyle w:val="132"/>
          <w:rFonts w:hint="eastAsia" w:ascii="宋体" w:eastAsia="宋体" w:cs="宋体"/>
          <w:b/>
          <w:bCs w:val="0"/>
          <w:highlight w:val="none"/>
        </w:rPr>
        <w:t>第五章  政府采购合同</w:t>
      </w:r>
      <w:bookmarkEnd w:id="232"/>
      <w:bookmarkEnd w:id="233"/>
      <w:bookmarkEnd w:id="234"/>
      <w:bookmarkEnd w:id="235"/>
      <w:r>
        <w:rPr>
          <w:rStyle w:val="132"/>
          <w:rFonts w:hint="eastAsia" w:ascii="宋体" w:eastAsia="宋体" w:cs="宋体"/>
          <w:b/>
          <w:bCs w:val="0"/>
          <w:highlight w:val="none"/>
        </w:rPr>
        <w:t>（参考）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eastAsia="仿宋_GB2312"/>
          <w:color w:val="000000"/>
          <w:kern w:val="0"/>
          <w:sz w:val="24"/>
          <w:highlight w:val="none"/>
        </w:rPr>
      </w:pPr>
      <w:r>
        <w:rPr>
          <w:rFonts w:hint="eastAsia" w:ascii="仿宋" w:hAnsi="仿宋" w:eastAsia="仿宋" w:cs="仿宋"/>
          <w:kern w:val="0"/>
          <w:sz w:val="24"/>
          <w:highlight w:val="none"/>
        </w:rPr>
        <w:t>项目名称：</w:t>
      </w:r>
      <w:r>
        <w:rPr>
          <w:rFonts w:hint="eastAsia" w:eastAsia="仿宋_GB2312"/>
          <w:color w:val="000000"/>
          <w:kern w:val="0"/>
          <w:sz w:val="24"/>
          <w:highlight w:val="none"/>
        </w:rPr>
        <w:t>浙江省嘉兴支队南湖区消防救援大队</w:t>
      </w:r>
      <w:r>
        <w:rPr>
          <w:rFonts w:hint="eastAsia" w:eastAsia="仿宋_GB2312"/>
          <w:color w:val="0000FF"/>
          <w:kern w:val="0"/>
          <w:sz w:val="24"/>
          <w:highlight w:val="none"/>
          <w:u w:val="single"/>
        </w:rPr>
        <w:t>2024</w:t>
      </w:r>
      <w:r>
        <w:rPr>
          <w:rFonts w:hint="eastAsia" w:eastAsia="仿宋_GB2312"/>
          <w:color w:val="000000"/>
          <w:kern w:val="0"/>
          <w:sz w:val="24"/>
          <w:highlight w:val="none"/>
        </w:rPr>
        <w:t>年度食堂大宗物品配送采购项目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 xml:space="preserve">项目编号： </w:t>
      </w:r>
      <w:r>
        <w:rPr>
          <w:rFonts w:hint="eastAsia" w:ascii="仿宋" w:hAnsi="仿宋" w:eastAsia="仿宋" w:cs="仿宋"/>
          <w:b/>
          <w:sz w:val="24"/>
          <w:highlight w:val="none"/>
        </w:rPr>
        <w:t xml:space="preserve"> </w:t>
      </w:r>
    </w:p>
    <w:p>
      <w:pPr>
        <w:pStyle w:val="5"/>
        <w:shd w:val="clear" w:color="auto" w:fill="FFFFFF"/>
        <w:spacing w:line="360" w:lineRule="auto"/>
        <w:ind w:firstLine="480" w:firstLineChars="200"/>
        <w:jc w:val="left"/>
        <w:rPr>
          <w:rFonts w:ascii="仿宋" w:hAnsi="仿宋" w:eastAsia="仿宋" w:cs="仿宋"/>
          <w:kern w:val="0"/>
          <w:sz w:val="24"/>
          <w:szCs w:val="24"/>
          <w:highlight w:val="none"/>
        </w:rPr>
      </w:pPr>
      <w:r>
        <w:rPr>
          <w:rFonts w:hint="eastAsia" w:ascii="仿宋" w:hAnsi="仿宋" w:eastAsia="仿宋" w:cs="仿宋"/>
          <w:sz w:val="24"/>
          <w:szCs w:val="24"/>
          <w:highlight w:val="none"/>
        </w:rPr>
        <w:t>合同编号：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采购人（以下称甲方）：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预算金额：   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采购代理机构：</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根据《中华人民共和国政府采购法》、《中华人民共和国民法典》等法律法规的规定，甲乙双方按照</w:t>
      </w:r>
      <w:r>
        <w:rPr>
          <w:rFonts w:hint="eastAsia" w:ascii="仿宋" w:hAnsi="仿宋" w:eastAsia="仿宋" w:cs="仿宋"/>
          <w:kern w:val="0"/>
          <w:sz w:val="24"/>
          <w:highlight w:val="none"/>
          <w:u w:val="single"/>
        </w:rPr>
        <w:t xml:space="preserve"> </w:t>
      </w:r>
      <w:r>
        <w:rPr>
          <w:rFonts w:hint="eastAsia" w:eastAsia="仿宋_GB2312"/>
          <w:color w:val="000000"/>
          <w:kern w:val="0"/>
          <w:sz w:val="24"/>
          <w:highlight w:val="none"/>
        </w:rPr>
        <w:t>浙江省嘉兴支队南湖区消防救援大队</w:t>
      </w:r>
      <w:r>
        <w:rPr>
          <w:rFonts w:hint="eastAsia" w:eastAsia="仿宋_GB2312"/>
          <w:color w:val="0000FF"/>
          <w:kern w:val="0"/>
          <w:sz w:val="24"/>
          <w:highlight w:val="none"/>
          <w:u w:val="single"/>
        </w:rPr>
        <w:t>2024</w:t>
      </w:r>
      <w:r>
        <w:rPr>
          <w:rFonts w:hint="eastAsia" w:eastAsia="仿宋_GB2312"/>
          <w:color w:val="000000"/>
          <w:kern w:val="0"/>
          <w:sz w:val="24"/>
          <w:highlight w:val="none"/>
        </w:rPr>
        <w:t>年度食堂大宗物品配送采购项目</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组成本合同的所有文件必须为书面形式。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1、本次采购的是</w:t>
      </w:r>
      <w:r>
        <w:rPr>
          <w:rFonts w:hint="eastAsia" w:ascii="仿宋" w:hAnsi="仿宋" w:eastAsia="仿宋" w:cs="仿宋"/>
          <w:kern w:val="0"/>
          <w:sz w:val="24"/>
          <w:highlight w:val="none"/>
          <w:u w:val="single"/>
        </w:rPr>
        <w:t xml:space="preserve">  </w:t>
      </w:r>
      <w:r>
        <w:rPr>
          <w:rFonts w:hint="eastAsia" w:eastAsia="仿宋_GB2312"/>
          <w:color w:val="000000"/>
          <w:kern w:val="0"/>
          <w:sz w:val="24"/>
          <w:highlight w:val="none"/>
          <w:u w:val="single"/>
        </w:rPr>
        <w:t>浙江省嘉兴支队南湖区消防救援大队</w:t>
      </w:r>
      <w:r>
        <w:rPr>
          <w:rFonts w:hint="eastAsia" w:eastAsia="仿宋_GB2312"/>
          <w:color w:val="0000FF"/>
          <w:kern w:val="0"/>
          <w:sz w:val="24"/>
          <w:highlight w:val="none"/>
          <w:u w:val="single"/>
        </w:rPr>
        <w:t>2024</w:t>
      </w:r>
      <w:r>
        <w:rPr>
          <w:rFonts w:hint="eastAsia" w:eastAsia="仿宋_GB2312"/>
          <w:color w:val="000000"/>
          <w:kern w:val="0"/>
          <w:sz w:val="24"/>
          <w:highlight w:val="none"/>
          <w:u w:val="single"/>
        </w:rPr>
        <w:t>年度食堂大宗物品配送采购项目</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2、乙方是否属于小微企业：□是  □否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1、本合同项下报价，分项价款见“价格清单”。</w:t>
      </w:r>
    </w:p>
    <w:tbl>
      <w:tblPr>
        <w:tblStyle w:val="47"/>
        <w:tblW w:w="85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2600"/>
        <w:gridCol w:w="4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序号</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品类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480" w:firstLineChars="200"/>
              <w:jc w:val="center"/>
              <w:textAlignment w:val="baseline"/>
              <w:rPr>
                <w:rFonts w:ascii="仿宋" w:hAnsi="仿宋" w:eastAsia="仿宋" w:cs="仿宋"/>
                <w:sz w:val="24"/>
                <w:highlight w:val="none"/>
              </w:rPr>
            </w:pPr>
            <w:r>
              <w:rPr>
                <w:rFonts w:hint="eastAsia" w:ascii="仿宋" w:hAnsi="仿宋" w:eastAsia="仿宋" w:cs="仿宋"/>
                <w:sz w:val="24"/>
                <w:highlight w:val="none"/>
              </w:rPr>
              <w:t>折扣率（%）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1</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center"/>
              <w:textAlignment w:val="baseline"/>
              <w:rPr>
                <w:rFonts w:ascii="仿宋" w:hAnsi="仿宋" w:eastAsia="仿宋" w:cs="仿宋"/>
                <w:sz w:val="24"/>
                <w:highlight w:val="none"/>
              </w:rPr>
            </w:pPr>
            <w:r>
              <w:rPr>
                <w:rFonts w:hint="eastAsia" w:ascii="仿宋" w:hAnsi="仿宋" w:eastAsia="仿宋" w:cs="仿宋"/>
                <w:sz w:val="24"/>
                <w:highlight w:val="none"/>
              </w:rPr>
              <w:t>蔬菜类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left"/>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2</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center"/>
              <w:textAlignment w:val="baseline"/>
              <w:rPr>
                <w:rFonts w:ascii="仿宋" w:hAnsi="仿宋" w:eastAsia="仿宋" w:cs="仿宋"/>
                <w:sz w:val="24"/>
                <w:highlight w:val="none"/>
              </w:rPr>
            </w:pPr>
            <w:r>
              <w:rPr>
                <w:rFonts w:hint="eastAsia" w:ascii="仿宋" w:hAnsi="仿宋" w:eastAsia="仿宋" w:cs="仿宋"/>
                <w:sz w:val="24"/>
                <w:highlight w:val="none"/>
              </w:rPr>
              <w:t>水果类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left"/>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3</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center"/>
              <w:textAlignment w:val="baseline"/>
              <w:rPr>
                <w:rFonts w:ascii="仿宋" w:hAnsi="仿宋" w:eastAsia="仿宋" w:cs="仿宋"/>
                <w:sz w:val="24"/>
                <w:highlight w:val="none"/>
              </w:rPr>
            </w:pPr>
            <w:r>
              <w:rPr>
                <w:rFonts w:hint="eastAsia" w:ascii="仿宋" w:hAnsi="仿宋" w:eastAsia="仿宋" w:cs="仿宋"/>
                <w:sz w:val="24"/>
                <w:highlight w:val="none"/>
              </w:rPr>
              <w:t>饮品类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left"/>
              <w:textAlignment w:val="baseline"/>
              <w:rPr>
                <w:rFonts w:ascii="仿宋" w:hAnsi="仿宋" w:eastAsia="仿宋" w:cs="仿宋"/>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4</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center"/>
              <w:textAlignment w:val="baseline"/>
              <w:rPr>
                <w:rFonts w:ascii="仿宋" w:hAnsi="仿宋" w:eastAsia="仿宋" w:cs="仿宋"/>
                <w:sz w:val="24"/>
                <w:highlight w:val="none"/>
              </w:rPr>
            </w:pPr>
            <w:r>
              <w:rPr>
                <w:rFonts w:hint="eastAsia" w:ascii="仿宋" w:hAnsi="仿宋" w:eastAsia="仿宋" w:cs="仿宋"/>
                <w:sz w:val="24"/>
                <w:highlight w:val="none"/>
              </w:rPr>
              <w:t>肉类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left"/>
              <w:textAlignment w:val="baseline"/>
              <w:rPr>
                <w:rFonts w:ascii="仿宋" w:hAnsi="仿宋" w:eastAsia="仿宋" w:cs="仿宋"/>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5</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center"/>
              <w:textAlignment w:val="baseline"/>
              <w:rPr>
                <w:rFonts w:ascii="仿宋" w:hAnsi="仿宋" w:eastAsia="仿宋" w:cs="仿宋"/>
                <w:sz w:val="24"/>
                <w:highlight w:val="none"/>
              </w:rPr>
            </w:pPr>
            <w:r>
              <w:rPr>
                <w:rFonts w:hint="eastAsia" w:ascii="仿宋" w:hAnsi="仿宋" w:eastAsia="仿宋" w:cs="仿宋"/>
                <w:sz w:val="24"/>
                <w:highlight w:val="none"/>
              </w:rPr>
              <w:t>禽蛋类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left"/>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6</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center"/>
              <w:textAlignment w:val="baseline"/>
              <w:rPr>
                <w:rFonts w:ascii="仿宋" w:hAnsi="仿宋" w:eastAsia="仿宋" w:cs="仿宋"/>
                <w:sz w:val="24"/>
                <w:highlight w:val="none"/>
              </w:rPr>
            </w:pPr>
            <w:r>
              <w:rPr>
                <w:rFonts w:hint="eastAsia" w:ascii="仿宋" w:hAnsi="仿宋" w:eastAsia="仿宋" w:cs="仿宋"/>
                <w:sz w:val="24"/>
                <w:highlight w:val="none"/>
              </w:rPr>
              <w:t>冷冻品类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left"/>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7</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center"/>
              <w:textAlignment w:val="baseline"/>
              <w:rPr>
                <w:rFonts w:ascii="仿宋" w:hAnsi="仿宋" w:eastAsia="仿宋" w:cs="仿宋"/>
                <w:sz w:val="24"/>
                <w:highlight w:val="none"/>
              </w:rPr>
            </w:pPr>
            <w:r>
              <w:rPr>
                <w:rFonts w:hint="eastAsia" w:ascii="仿宋" w:hAnsi="仿宋" w:eastAsia="仿宋" w:cs="仿宋"/>
                <w:sz w:val="24"/>
                <w:highlight w:val="none"/>
              </w:rPr>
              <w:t>干货类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left"/>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8</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center"/>
              <w:textAlignment w:val="baseline"/>
              <w:rPr>
                <w:rFonts w:ascii="仿宋" w:hAnsi="仿宋" w:eastAsia="仿宋" w:cs="仿宋"/>
                <w:sz w:val="24"/>
                <w:highlight w:val="none"/>
              </w:rPr>
            </w:pPr>
            <w:r>
              <w:rPr>
                <w:rFonts w:hint="eastAsia" w:ascii="仿宋" w:hAnsi="仿宋" w:eastAsia="仿宋" w:cs="仿宋"/>
                <w:sz w:val="24"/>
                <w:highlight w:val="none"/>
              </w:rPr>
              <w:t>豆制品类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left"/>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9</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center"/>
              <w:textAlignment w:val="baseline"/>
              <w:rPr>
                <w:rFonts w:ascii="仿宋" w:hAnsi="仿宋" w:eastAsia="仿宋" w:cs="仿宋"/>
                <w:sz w:val="24"/>
                <w:highlight w:val="none"/>
              </w:rPr>
            </w:pPr>
            <w:r>
              <w:rPr>
                <w:rFonts w:hint="eastAsia" w:ascii="仿宋" w:hAnsi="仿宋" w:eastAsia="仿宋" w:cs="仿宋"/>
                <w:sz w:val="24"/>
                <w:highlight w:val="none"/>
              </w:rPr>
              <w:t>水产类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left"/>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09"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jc w:val="center"/>
              <w:textAlignment w:val="baseline"/>
              <w:rPr>
                <w:rFonts w:ascii="仿宋" w:hAnsi="仿宋" w:eastAsia="仿宋" w:cs="仿宋"/>
                <w:sz w:val="24"/>
                <w:highlight w:val="none"/>
              </w:rPr>
            </w:pPr>
            <w:r>
              <w:rPr>
                <w:rFonts w:hint="eastAsia" w:ascii="仿宋" w:hAnsi="仿宋" w:eastAsia="仿宋" w:cs="仿宋"/>
                <w:sz w:val="24"/>
                <w:highlight w:val="none"/>
              </w:rPr>
              <w:t>10</w:t>
            </w:r>
          </w:p>
        </w:tc>
        <w:tc>
          <w:tcPr>
            <w:tcW w:w="260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center"/>
              <w:textAlignment w:val="baseline"/>
              <w:rPr>
                <w:rFonts w:ascii="仿宋" w:hAnsi="仿宋" w:eastAsia="仿宋" w:cs="仿宋"/>
                <w:sz w:val="24"/>
                <w:highlight w:val="none"/>
              </w:rPr>
            </w:pPr>
            <w:r>
              <w:rPr>
                <w:rFonts w:hint="eastAsia" w:ascii="仿宋" w:hAnsi="仿宋" w:eastAsia="仿宋" w:cs="仿宋"/>
                <w:sz w:val="24"/>
                <w:highlight w:val="none"/>
              </w:rPr>
              <w:t>其他类</w:t>
            </w:r>
          </w:p>
        </w:tc>
        <w:tc>
          <w:tcPr>
            <w:tcW w:w="4520" w:type="dxa"/>
            <w:tcBorders>
              <w:top w:val="single" w:color="000000" w:sz="2" w:space="0"/>
              <w:left w:val="single" w:color="000000" w:sz="2" w:space="0"/>
              <w:bottom w:val="single" w:color="000000" w:sz="2" w:space="0"/>
              <w:right w:val="single" w:color="000000" w:sz="2" w:space="0"/>
              <w:tl2br w:val="nil"/>
              <w:tr2bl w:val="nil"/>
            </w:tcBorders>
          </w:tcPr>
          <w:p>
            <w:pPr>
              <w:widowControl/>
              <w:kinsoku w:val="0"/>
              <w:autoSpaceDE w:val="0"/>
              <w:autoSpaceDN w:val="0"/>
              <w:adjustRightInd w:val="0"/>
              <w:snapToGrid w:val="0"/>
              <w:spacing w:beforeLines="50" w:afterLines="50" w:line="360" w:lineRule="auto"/>
              <w:ind w:firstLine="249" w:firstLineChars="104"/>
              <w:jc w:val="left"/>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tc>
      </w:tr>
    </w:tbl>
    <w:p>
      <w:pPr>
        <w:pStyle w:val="25"/>
        <w:snapToGrid w:val="0"/>
        <w:spacing w:line="360" w:lineRule="auto"/>
        <w:ind w:firstLine="480" w:firstLineChars="200"/>
        <w:jc w:val="left"/>
        <w:rPr>
          <w:rFonts w:ascii="仿宋" w:hAnsi="仿宋" w:eastAsia="仿宋" w:cs="仿宋"/>
          <w:b/>
          <w:sz w:val="24"/>
          <w:szCs w:val="24"/>
          <w:highlight w:val="none"/>
        </w:rPr>
      </w:pPr>
      <w:r>
        <w:rPr>
          <w:rFonts w:hint="eastAsia" w:ascii="仿宋" w:hAnsi="仿宋" w:eastAsia="仿宋" w:cs="仿宋"/>
          <w:sz w:val="24"/>
          <w:szCs w:val="24"/>
          <w:highlight w:val="none"/>
        </w:rPr>
        <w:t>2、本合同总价款含所有税费。</w:t>
      </w:r>
      <w:r>
        <w:rPr>
          <w:rFonts w:hint="eastAsia" w:ascii="仿宋" w:hAnsi="仿宋" w:eastAsia="仿宋" w:cs="仿宋"/>
          <w:b/>
          <w:sz w:val="24"/>
          <w:szCs w:val="24"/>
          <w:highlight w:val="none"/>
        </w:rPr>
        <w:t>(必须包括提供项目服务所需的一切人员费用（人员工资、奖金、各种加班费、各种社会保险（基本养老保险、基本医疗保险、工伤保险、失业保险、公积金等）、食宿与交通、高温补偿费）、货款、管理费用（意外保险、车辆、培训、税费、利润等完成合同所需的一切本身和不可或缺的所有工作开支、政策性文件规定及合同包含的所有风险、责任等各项全部费用并承担一切风险责任。)</w:t>
      </w:r>
    </w:p>
    <w:p>
      <w:pPr>
        <w:widowControl/>
        <w:spacing w:line="360" w:lineRule="auto"/>
        <w:ind w:firstLine="480" w:firstLineChars="200"/>
        <w:rPr>
          <w:rFonts w:ascii="仿宋" w:hAnsi="仿宋" w:eastAsia="仿宋" w:cs="仿宋"/>
          <w:kern w:val="0"/>
          <w:sz w:val="24"/>
          <w:highlight w:val="none"/>
          <w:u w:val="single"/>
        </w:rPr>
      </w:pPr>
      <w:r>
        <w:rPr>
          <w:rFonts w:hint="eastAsia" w:ascii="仿宋" w:hAnsi="仿宋" w:eastAsia="仿宋" w:cs="仿宋"/>
          <w:kern w:val="0"/>
          <w:sz w:val="24"/>
          <w:highlight w:val="none"/>
        </w:rPr>
        <w:t>3、本合同付款方式为：</w:t>
      </w:r>
      <w:r>
        <w:rPr>
          <w:rFonts w:hint="eastAsia" w:ascii="仿宋" w:hAnsi="仿宋" w:eastAsia="仿宋" w:cs="仿宋"/>
          <w:color w:val="0070C0"/>
          <w:kern w:val="0"/>
          <w:sz w:val="24"/>
          <w:highlight w:val="none"/>
          <w:u w:val="single"/>
        </w:rPr>
        <w:t xml:space="preserve"> 按每周对公结算一次，甲方食堂管理人员每天依据结算价统计食堂大宗物品的配送金额上报财务结算，每周由甲方食堂管理人员统计上周的发生额与乙方相关人员确认，双方核对无误，乙方开具发票。甲方在收到发票后，按照10个工作日结算期限将货款转至乙方账户（如遇节假日顺延），因乙方延迟提供发票导致甲方逾期付款的，甲方不因此承担违约责任。（注：基准价根据嘉兴市发展和改革委员会网站中公布的《嘉兴市主要商品和服务价格监测报表》中各产品三个菜场的平均价为基准价（查询路径：网页https://fzggw.jiaxing.gov.cn/→发改专题→成本建设与价格管理→价格监测→《嘉兴市主要商品和服务价格监测报表》→一、市区部分农贸市场食品零售价格监测表），原则上每月公布一次，投标人根据嘉兴市发展和改革委员网站中公布的价格按投标</w:t>
      </w:r>
      <w:r>
        <w:rPr>
          <w:rFonts w:hint="eastAsia" w:ascii="仿宋" w:hAnsi="仿宋" w:eastAsia="仿宋" w:cs="仿宋"/>
          <w:color w:val="0070C0"/>
          <w:kern w:val="0"/>
          <w:sz w:val="24"/>
          <w:highlight w:val="none"/>
          <w:u w:val="single"/>
          <w:lang w:eastAsia="zh-CN"/>
        </w:rPr>
        <w:t>折扣率</w:t>
      </w:r>
      <w:r>
        <w:rPr>
          <w:rFonts w:hint="eastAsia" w:ascii="仿宋" w:hAnsi="仿宋" w:eastAsia="仿宋" w:cs="仿宋"/>
          <w:color w:val="0070C0"/>
          <w:kern w:val="0"/>
          <w:sz w:val="24"/>
          <w:highlight w:val="none"/>
          <w:u w:val="single"/>
        </w:rPr>
        <w:t>进行报价（如：投标报价为90%，嘉兴市发展和改革委员会网站中7月公布的东北米（长粒香）单价平均价=（2.8+3.5+3）=3.1元/500克，则东北米（长粒香）结算单价=3.1*90%=2.79元/500克）；若嘉兴市发展和改革委员会网站上未公布的产品则根据大润发优鲜app中对应产品当日单价作为基准价（有促销价的，若中标</w:t>
      </w:r>
      <w:r>
        <w:rPr>
          <w:rFonts w:hint="eastAsia" w:ascii="仿宋" w:hAnsi="仿宋" w:eastAsia="仿宋" w:cs="仿宋"/>
          <w:color w:val="0070C0"/>
          <w:kern w:val="0"/>
          <w:sz w:val="24"/>
          <w:highlight w:val="none"/>
          <w:u w:val="single"/>
          <w:lang w:eastAsia="zh-CN"/>
        </w:rPr>
        <w:t>折扣率</w:t>
      </w:r>
      <w:r>
        <w:rPr>
          <w:rFonts w:hint="eastAsia" w:ascii="仿宋" w:hAnsi="仿宋" w:eastAsia="仿宋" w:cs="仿宋"/>
          <w:color w:val="0070C0"/>
          <w:kern w:val="0"/>
          <w:sz w:val="24"/>
          <w:highlight w:val="none"/>
          <w:u w:val="single"/>
        </w:rPr>
        <w:t>乘以原价高于该产品促销价的则按促销价结算）（如：投标报价为90%，大润发优鲜app中公布的东北米（清香稻长粒香米）单价86.9元/10000克，则东北米（清香稻长粒香米）结算单价=86.9*90%=86元/10000克，若东北米（清香稻长粒香米）结算当日促销价低于86元/10000克的则按促销价结算）；若嘉兴市发展和改革委员会网站、大润发优鲜app中均未公布的产品则中标人根据就近农贸市场的价格作为基准价，价格需经采购人确认后方可采用。（如：投标报价为90%，农贸市场的东北米（清香稻长粒香米）单价86.9元/10000克，则东北米（清香稻长粒香米）结算单价=86.9*90%=86元/10000克）。</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乙方应于</w:t>
      </w:r>
      <w:r>
        <w:rPr>
          <w:rFonts w:hint="eastAsia" w:ascii="仿宋" w:hAnsi="仿宋" w:eastAsia="仿宋" w:cs="仿宋"/>
          <w:kern w:val="0"/>
          <w:sz w:val="24"/>
          <w:highlight w:val="none"/>
          <w:u w:val="single"/>
        </w:rPr>
        <w:t xml:space="preserve"> 签订合同后5个工作日 </w:t>
      </w:r>
      <w:r>
        <w:rPr>
          <w:rFonts w:hint="eastAsia" w:ascii="仿宋" w:hAnsi="仿宋" w:eastAsia="仿宋" w:cs="仿宋"/>
          <w:kern w:val="0"/>
          <w:sz w:val="24"/>
          <w:highlight w:val="none"/>
        </w:rPr>
        <w:t>内向甲方提交履约保证金，金额为贰万元整，乙方可以支票、汇票、本票或者金融机构、担保机构出具的保函等非现金形式提交。合同履行完毕后</w:t>
      </w:r>
      <w:r>
        <w:rPr>
          <w:rFonts w:hint="eastAsia" w:ascii="仿宋" w:hAnsi="仿宋" w:eastAsia="仿宋" w:cs="仿宋"/>
          <w:color w:val="1F497D"/>
          <w:kern w:val="0"/>
          <w:sz w:val="24"/>
          <w:highlight w:val="none"/>
        </w:rPr>
        <w:t>10个工作日</w:t>
      </w:r>
      <w:r>
        <w:rPr>
          <w:rFonts w:hint="eastAsia" w:ascii="仿宋" w:hAnsi="仿宋" w:eastAsia="仿宋" w:cs="仿宋"/>
          <w:kern w:val="0"/>
          <w:sz w:val="24"/>
          <w:highlight w:val="none"/>
        </w:rPr>
        <w:t>内无息退还。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bookmarkStart w:id="236" w:name="OLE_LINK3"/>
      <w:r>
        <w:rPr>
          <w:rFonts w:hint="eastAsia" w:ascii="仿宋" w:hAnsi="仿宋" w:eastAsia="仿宋" w:cs="仿宋"/>
          <w:kern w:val="0"/>
          <w:sz w:val="24"/>
          <w:highlight w:val="none"/>
        </w:rPr>
        <w:t>1、因履行本合同引起的或与本合同有关的争议，甲、乙双方应首先通过友好协商解决，如果协商不能解决争议，则采取以下第</w:t>
      </w:r>
      <w:r>
        <w:rPr>
          <w:rFonts w:hint="eastAsia" w:ascii="仿宋" w:hAnsi="仿宋" w:eastAsia="仿宋" w:cs="仿宋"/>
          <w:kern w:val="0"/>
          <w:sz w:val="24"/>
          <w:highlight w:val="none"/>
          <w:u w:val="single"/>
        </w:rPr>
        <w:t xml:space="preserve">  （1）  </w:t>
      </w:r>
      <w:r>
        <w:rPr>
          <w:rFonts w:hint="eastAsia" w:ascii="仿宋" w:hAnsi="仿宋" w:eastAsia="仿宋" w:cs="仿宋"/>
          <w:kern w:val="0"/>
          <w:sz w:val="24"/>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（2）向</w:t>
      </w:r>
      <w:r>
        <w:rPr>
          <w:rFonts w:hint="eastAsia" w:ascii="仿宋" w:hAnsi="仿宋" w:eastAsia="仿宋" w:cs="仿宋"/>
          <w:kern w:val="0"/>
          <w:sz w:val="24"/>
          <w:highlight w:val="none"/>
          <w:u w:val="single"/>
        </w:rPr>
        <w:t xml:space="preserve">  嘉兴 </w:t>
      </w:r>
      <w:r>
        <w:rPr>
          <w:rFonts w:hint="eastAsia" w:ascii="仿宋" w:hAnsi="仿宋" w:eastAsia="仿宋" w:cs="仿宋"/>
          <w:kern w:val="0"/>
          <w:sz w:val="24"/>
          <w:highlight w:val="none"/>
        </w:rPr>
        <w:t>仲裁委员申请仲裁。</w:t>
      </w:r>
    </w:p>
    <w:bookmarkEnd w:id="236"/>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第八条 合同备案及其他</w:t>
      </w:r>
    </w:p>
    <w:p>
      <w:pPr>
        <w:widowControl/>
        <w:spacing w:line="360" w:lineRule="auto"/>
        <w:ind w:firstLine="480" w:firstLineChars="200"/>
        <w:jc w:val="left"/>
        <w:rPr>
          <w:rFonts w:ascii="仿宋" w:hAnsi="仿宋" w:eastAsia="仿宋" w:cs="仿宋"/>
          <w:b/>
          <w:kern w:val="0"/>
          <w:sz w:val="24"/>
          <w:highlight w:val="none"/>
        </w:rPr>
      </w:pPr>
      <w:r>
        <w:rPr>
          <w:rFonts w:hint="eastAsia" w:ascii="仿宋" w:hAnsi="仿宋" w:eastAsia="仿宋" w:cs="仿宋"/>
          <w:kern w:val="0"/>
          <w:sz w:val="24"/>
          <w:highlight w:val="none"/>
        </w:rPr>
        <w:t>本合同一式</w:t>
      </w:r>
      <w:r>
        <w:rPr>
          <w:rFonts w:hint="eastAsia" w:ascii="仿宋" w:hAnsi="仿宋" w:eastAsia="仿宋" w:cs="仿宋"/>
          <w:kern w:val="0"/>
          <w:sz w:val="24"/>
          <w:highlight w:val="none"/>
          <w:u w:val="single"/>
        </w:rPr>
        <w:t xml:space="preserve"> 五 </w:t>
      </w:r>
      <w:r>
        <w:rPr>
          <w:rFonts w:hint="eastAsia" w:ascii="仿宋" w:hAnsi="仿宋" w:eastAsia="仿宋" w:cs="仿宋"/>
          <w:kern w:val="0"/>
          <w:sz w:val="24"/>
          <w:highlight w:val="none"/>
        </w:rPr>
        <w:t>份，甲乙双方各执</w:t>
      </w:r>
      <w:r>
        <w:rPr>
          <w:rFonts w:hint="eastAsia" w:ascii="仿宋" w:hAnsi="仿宋" w:eastAsia="仿宋" w:cs="仿宋"/>
          <w:kern w:val="0"/>
          <w:sz w:val="24"/>
          <w:highlight w:val="none"/>
          <w:u w:val="single"/>
        </w:rPr>
        <w:t xml:space="preserve"> 二 </w:t>
      </w:r>
      <w:r>
        <w:rPr>
          <w:rFonts w:hint="eastAsia" w:ascii="仿宋" w:hAnsi="仿宋" w:eastAsia="仿宋" w:cs="仿宋"/>
          <w:kern w:val="0"/>
          <w:sz w:val="24"/>
          <w:highlight w:val="none"/>
        </w:rPr>
        <w:t>份，</w:t>
      </w:r>
      <w:r>
        <w:rPr>
          <w:rFonts w:hint="eastAsia" w:ascii="仿宋" w:hAnsi="仿宋" w:eastAsia="仿宋" w:cs="仿宋"/>
          <w:kern w:val="0"/>
          <w:sz w:val="24"/>
          <w:highlight w:val="none"/>
          <w:u w:val="single"/>
        </w:rPr>
        <w:t xml:space="preserve"> 一 </w:t>
      </w:r>
      <w:r>
        <w:rPr>
          <w:rFonts w:hint="eastAsia" w:ascii="仿宋" w:hAnsi="仿宋" w:eastAsia="仿宋" w:cs="仿宋"/>
          <w:kern w:val="0"/>
          <w:sz w:val="24"/>
          <w:highlight w:val="none"/>
        </w:rPr>
        <w:t>份留采购代理单位存档备查。</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center"/>
        <w:rPr>
          <w:rFonts w:ascii="仿宋" w:hAnsi="仿宋" w:eastAsia="仿宋" w:cs="仿宋"/>
          <w:b/>
          <w:kern w:val="0"/>
          <w:sz w:val="24"/>
          <w:highlight w:val="none"/>
        </w:rPr>
      </w:pPr>
      <w:r>
        <w:rPr>
          <w:rFonts w:hint="eastAsia" w:ascii="仿宋" w:hAnsi="仿宋" w:eastAsia="仿宋" w:cs="仿宋"/>
          <w:b/>
          <w:kern w:val="0"/>
          <w:sz w:val="24"/>
          <w:highlight w:val="none"/>
        </w:rPr>
        <w:t>二、专用条款部分</w:t>
      </w:r>
    </w:p>
    <w:p>
      <w:pPr>
        <w:pStyle w:val="42"/>
        <w:spacing w:beforeAutospacing="0" w:afterAutospacing="0" w:line="360" w:lineRule="auto"/>
        <w:ind w:firstLine="482" w:firstLineChars="200"/>
        <w:rPr>
          <w:rFonts w:ascii="仿宋" w:hAnsi="仿宋" w:eastAsia="仿宋" w:cs="仿宋"/>
          <w:highlight w:val="none"/>
        </w:rPr>
      </w:pPr>
      <w:r>
        <w:rPr>
          <w:rFonts w:hint="eastAsia" w:ascii="仿宋" w:hAnsi="仿宋" w:eastAsia="仿宋" w:cs="仿宋"/>
          <w:b/>
          <w:highlight w:val="none"/>
        </w:rPr>
        <w:t>一、服务内容</w:t>
      </w:r>
    </w:p>
    <w:p>
      <w:pPr>
        <w:pStyle w:val="6"/>
        <w:tabs>
          <w:tab w:val="left" w:pos="297"/>
          <w:tab w:val="left" w:pos="900"/>
        </w:tabs>
        <w:spacing w:line="360" w:lineRule="auto"/>
        <w:ind w:firstLine="464"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与采购需求中的内容一致</w:t>
      </w:r>
    </w:p>
    <w:p>
      <w:pPr>
        <w:pStyle w:val="6"/>
        <w:tabs>
          <w:tab w:val="left" w:pos="297"/>
          <w:tab w:val="left" w:pos="900"/>
        </w:tabs>
        <w:spacing w:line="360" w:lineRule="auto"/>
        <w:ind w:firstLine="466" w:firstLineChars="200"/>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二、服务期限、服务地点</w:t>
      </w:r>
    </w:p>
    <w:p>
      <w:pPr>
        <w:pStyle w:val="6"/>
        <w:tabs>
          <w:tab w:val="left" w:pos="297"/>
          <w:tab w:val="left" w:pos="900"/>
        </w:tabs>
        <w:spacing w:line="360" w:lineRule="auto"/>
        <w:ind w:firstLine="464"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1、服务</w:t>
      </w:r>
      <w:r>
        <w:rPr>
          <w:rFonts w:hint="eastAsia" w:ascii="仿宋" w:hAnsi="仿宋" w:eastAsia="仿宋" w:cs="仿宋"/>
          <w:kern w:val="0"/>
          <w:sz w:val="24"/>
          <w:szCs w:val="24"/>
          <w:highlight w:val="none"/>
        </w:rPr>
        <w:t>期限</w:t>
      </w:r>
      <w:r>
        <w:rPr>
          <w:rFonts w:hint="eastAsia" w:ascii="仿宋" w:hAnsi="仿宋" w:eastAsia="仿宋" w:cs="仿宋"/>
          <w:kern w:val="0"/>
          <w:sz w:val="24"/>
          <w:szCs w:val="24"/>
          <w:highlight w:val="none"/>
          <w:lang w:val="zh-CN"/>
        </w:rPr>
        <w:t>：</w:t>
      </w:r>
      <w:r>
        <w:rPr>
          <w:rFonts w:hint="eastAsia" w:ascii="Times New Roman" w:hAnsi="Times New Roman" w:eastAsia="仿宋_GB2312"/>
          <w:color w:val="0070C0"/>
          <w:kern w:val="0"/>
          <w:sz w:val="24"/>
          <w:szCs w:val="24"/>
          <w:highlight w:val="none"/>
        </w:rPr>
        <w:t xml:space="preserve"> 合同签订后1年或配送金额达到预算金额（以先到为准）</w:t>
      </w:r>
      <w:r>
        <w:rPr>
          <w:rFonts w:hint="eastAsia" w:ascii="仿宋" w:hAnsi="仿宋" w:eastAsia="仿宋" w:cs="仿宋"/>
          <w:color w:val="0070C0"/>
          <w:kern w:val="0"/>
          <w:sz w:val="24"/>
          <w:szCs w:val="24"/>
          <w:highlight w:val="none"/>
        </w:rPr>
        <w:t xml:space="preserve"> </w:t>
      </w:r>
      <w:r>
        <w:rPr>
          <w:rFonts w:hint="eastAsia" w:ascii="仿宋" w:hAnsi="仿宋" w:eastAsia="仿宋" w:cs="仿宋"/>
          <w:sz w:val="24"/>
          <w:szCs w:val="24"/>
          <w:highlight w:val="none"/>
        </w:rPr>
        <w:t xml:space="preserve"> </w:t>
      </w:r>
      <w:r>
        <w:rPr>
          <w:rFonts w:hint="eastAsia" w:ascii="仿宋" w:hAnsi="仿宋" w:eastAsia="仿宋" w:cs="仿宋"/>
          <w:kern w:val="0"/>
          <w:sz w:val="24"/>
          <w:szCs w:val="24"/>
          <w:highlight w:val="none"/>
        </w:rPr>
        <w:t xml:space="preserve">                         </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lang w:val="zh-CN"/>
        </w:rPr>
        <w:t>2、服务地点：</w:t>
      </w:r>
      <w:r>
        <w:rPr>
          <w:rFonts w:hint="eastAsia" w:ascii="仿宋" w:hAnsi="仿宋" w:eastAsia="仿宋" w:cs="仿宋"/>
          <w:kern w:val="0"/>
          <w:sz w:val="24"/>
          <w:highlight w:val="none"/>
        </w:rPr>
        <w:t>与采购需求中的内容一致</w:t>
      </w:r>
      <w:r>
        <w:rPr>
          <w:rFonts w:hint="eastAsia" w:ascii="仿宋" w:hAnsi="仿宋" w:eastAsia="仿宋" w:cs="仿宋"/>
          <w:sz w:val="24"/>
          <w:highlight w:val="none"/>
        </w:rPr>
        <w:t xml:space="preserve"> </w:t>
      </w:r>
    </w:p>
    <w:p>
      <w:pPr>
        <w:widowControl/>
        <w:spacing w:line="360" w:lineRule="auto"/>
        <w:ind w:firstLine="480" w:firstLineChars="200"/>
        <w:jc w:val="left"/>
        <w:rPr>
          <w:rFonts w:ascii="仿宋" w:hAnsi="仿宋" w:eastAsia="仿宋" w:cs="仿宋"/>
          <w:b/>
          <w:kern w:val="0"/>
          <w:sz w:val="24"/>
          <w:highlight w:val="none"/>
        </w:rPr>
      </w:pPr>
      <w:r>
        <w:rPr>
          <w:rFonts w:hint="eastAsia" w:ascii="仿宋" w:hAnsi="仿宋" w:eastAsia="仿宋" w:cs="仿宋"/>
          <w:kern w:val="0"/>
          <w:sz w:val="24"/>
          <w:highlight w:val="none"/>
        </w:rPr>
        <w:t>3、服务标准：</w:t>
      </w:r>
      <w:r>
        <w:rPr>
          <w:rFonts w:hint="eastAsia" w:ascii="仿宋" w:hAnsi="仿宋" w:eastAsia="仿宋" w:cs="仿宋"/>
          <w:kern w:val="0"/>
          <w:sz w:val="24"/>
          <w:highlight w:val="none"/>
        </w:rPr>
        <w:t>与采购需求中的内容一致</w:t>
      </w:r>
      <w:r>
        <w:rPr>
          <w:rFonts w:hint="eastAsia" w:ascii="仿宋" w:hAnsi="仿宋" w:eastAsia="仿宋" w:cs="仿宋"/>
          <w:kern w:val="0"/>
          <w:sz w:val="24"/>
          <w:highlight w:val="none"/>
        </w:rPr>
        <w:t xml:space="preserve">   </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kern w:val="0"/>
          <w:sz w:val="24"/>
          <w:highlight w:val="none"/>
        </w:rPr>
        <w:t>三、</w:t>
      </w:r>
      <w:r>
        <w:rPr>
          <w:rFonts w:hint="eastAsia" w:ascii="仿宋" w:hAnsi="仿宋" w:eastAsia="仿宋" w:cs="仿宋"/>
          <w:b/>
          <w:sz w:val="24"/>
          <w:highlight w:val="none"/>
        </w:rPr>
        <w:t>双方权利和义务：</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(一)甲方权利</w:t>
      </w:r>
    </w:p>
    <w:p>
      <w:pPr>
        <w:pStyle w:val="25"/>
        <w:snapToGrid w:val="0"/>
        <w:spacing w:line="360" w:lineRule="auto"/>
        <w:ind w:right="-313" w:rightChars="-149"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1.甲方有权按照乙方提供食品的数量、质量、卫生、新鲜程度及相关检验文件(动物检疫证明、农产品农药残留证明)等进行验收。</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2.甲方有权指定乙方在规定时间、地点将配送品种送达，乙方没有按照甲方提出的要求落实，甲方有权拒收、退货且不承担任何责任。</w:t>
      </w:r>
    </w:p>
    <w:p>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3.甲方有权对不符合标准要求的农副产品作退货处理，乙方在</w:t>
      </w:r>
      <w:r>
        <w:rPr>
          <w:rFonts w:hint="eastAsia" w:ascii="仿宋" w:hAnsi="仿宋" w:eastAsia="仿宋" w:cs="仿宋"/>
          <w:color w:val="1F497D"/>
          <w:sz w:val="24"/>
          <w:highlight w:val="none"/>
        </w:rPr>
        <w:t>2小时内</w:t>
      </w:r>
      <w:r>
        <w:rPr>
          <w:rFonts w:hint="eastAsia" w:eastAsia="仿宋_GB2312"/>
          <w:color w:val="0070C0"/>
          <w:kern w:val="0"/>
          <w:sz w:val="24"/>
          <w:highlight w:val="none"/>
        </w:rPr>
        <w:t>更换、补充到位</w:t>
      </w:r>
      <w:r>
        <w:rPr>
          <w:rFonts w:hint="eastAsia" w:eastAsia="仿宋_GB2312"/>
          <w:color w:val="000000"/>
          <w:kern w:val="0"/>
          <w:sz w:val="24"/>
          <w:highlight w:val="none"/>
        </w:rPr>
        <w:t>，造成的损失由中标人承担</w:t>
      </w:r>
      <w:r>
        <w:rPr>
          <w:rFonts w:hint="eastAsia" w:ascii="仿宋" w:hAnsi="仿宋" w:eastAsia="仿宋" w:cs="仿宋"/>
          <w:sz w:val="24"/>
          <w:highlight w:val="none"/>
        </w:rPr>
        <w:t>。</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4.乙方在送货过程中出现错送、漏送、少送、多送，甲方有权要求乙方按照甲方提出的要求，立即整改，造成的损失由乙方承担。</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5.甲方对乙方提供的发票有权进行真伪检验，如果发现乙方提供假发票，甲方将立即终 止与乙方的合作，扣除全部履约保证金，由此造成的经济损失由乙方全部负责，甲方不承担任何法律责任。</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6.甲方有权对乙方配送的农副产品进行农残和质量检测。</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7.遇突发情况，甲方紧急制订相关防控要求，乙方须无条件执行，拒不执行的， 甲方有权扣除全部履约保证金，由于乙方不执行相关要求对甲方造成的损失，全部由乙方承担。</w:t>
      </w:r>
    </w:p>
    <w:p>
      <w:pPr>
        <w:pStyle w:val="25"/>
        <w:snapToGrid w:val="0"/>
        <w:spacing w:line="360" w:lineRule="auto"/>
        <w:ind w:firstLine="480" w:firstLineChars="200"/>
        <w:rPr>
          <w:rFonts w:ascii="仿宋" w:hAnsi="仿宋" w:eastAsia="仿宋" w:cs="仿宋"/>
          <w:color w:val="1F497D"/>
          <w:sz w:val="24"/>
          <w:szCs w:val="24"/>
          <w:highlight w:val="none"/>
        </w:rPr>
      </w:pPr>
      <w:r>
        <w:rPr>
          <w:rFonts w:hint="eastAsia" w:ascii="仿宋" w:hAnsi="仿宋" w:eastAsia="仿宋" w:cs="仿宋"/>
          <w:sz w:val="24"/>
          <w:szCs w:val="24"/>
          <w:highlight w:val="none"/>
        </w:rPr>
        <w:t>8.如乙方因自身情况所配送的农副产品</w:t>
      </w:r>
      <w:r>
        <w:rPr>
          <w:rFonts w:hint="eastAsia" w:ascii="仿宋" w:hAnsi="仿宋" w:eastAsia="仿宋" w:cs="仿宋"/>
          <w:color w:val="1F497D"/>
          <w:sz w:val="24"/>
          <w:szCs w:val="24"/>
          <w:highlight w:val="none"/>
        </w:rPr>
        <w:t>3次（含）</w:t>
      </w:r>
      <w:r>
        <w:rPr>
          <w:rFonts w:hint="eastAsia" w:ascii="仿宋" w:hAnsi="仿宋" w:eastAsia="仿宋" w:cs="仿宋"/>
          <w:sz w:val="24"/>
          <w:szCs w:val="24"/>
          <w:highlight w:val="none"/>
        </w:rPr>
        <w:t>不符合甲方需求，以及甲方有应急保障需要乙方不能满足，</w:t>
      </w:r>
      <w:r>
        <w:rPr>
          <w:rFonts w:hint="eastAsia" w:ascii="仿宋" w:hAnsi="仿宋" w:eastAsia="仿宋" w:cs="仿宋"/>
          <w:color w:val="1F497D"/>
          <w:sz w:val="24"/>
          <w:szCs w:val="24"/>
          <w:highlight w:val="none"/>
        </w:rPr>
        <w:t>甲方有权解除合同。</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(二)甲方义务</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采购品种发生变化时，甲方应第一时间告知乙方，乙方根据通知进行调整和配送。</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(三)乙方权利</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 乙方有权要求甲方在规定时间内结算和支付经费。</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2.如果甲方提出的配送项目不符合</w:t>
      </w:r>
      <w:r>
        <w:rPr>
          <w:rFonts w:hint="eastAsia" w:ascii="仿宋" w:hAnsi="仿宋" w:eastAsia="仿宋" w:cs="仿宋"/>
          <w:color w:val="0070C0"/>
          <w:sz w:val="24"/>
          <w:szCs w:val="24"/>
          <w:highlight w:val="none"/>
        </w:rPr>
        <w:t>招标文件及本合同</w:t>
      </w:r>
      <w:r>
        <w:rPr>
          <w:rFonts w:hint="eastAsia" w:ascii="仿宋" w:hAnsi="仿宋" w:eastAsia="仿宋" w:cs="仿宋"/>
          <w:sz w:val="24"/>
          <w:szCs w:val="24"/>
          <w:highlight w:val="none"/>
        </w:rPr>
        <w:t>要求的内容，乙方有权利拒绝配送。</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(四)乙方义务</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 乙方要按照甲方规定时间、地点，准时将食材配送到位，不能影响甲方开餐前的准备工作。</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2.乙方要按照甲方要求，在食品卫生、质量等方面严把质量关，从源头杜绝危害食品。</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3.乙方提供食品符合国家食品卫生检疫，符合国家农产品质量法，食品药品监督管理法，食品包装上有清楚的食品标识、质检标识、质量标识和生产日期。</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4.乙方不能提供腐烂、病变等对人体有害的食品， 一经发现，</w:t>
      </w:r>
      <w:r>
        <w:rPr>
          <w:rFonts w:hint="eastAsia" w:ascii="仿宋" w:hAnsi="仿宋" w:eastAsia="仿宋" w:cs="仿宋"/>
          <w:color w:val="0070C0"/>
          <w:sz w:val="24"/>
          <w:szCs w:val="24"/>
          <w:highlight w:val="none"/>
        </w:rPr>
        <w:t>每发现一次扣除履约保证金3000元/次，发现3次（含）的甲方有权解除合同。</w:t>
      </w:r>
      <w:r>
        <w:rPr>
          <w:rFonts w:hint="eastAsia" w:ascii="仿宋" w:hAnsi="仿宋" w:eastAsia="仿宋" w:cs="仿宋"/>
          <w:sz w:val="24"/>
          <w:szCs w:val="24"/>
          <w:highlight w:val="none"/>
        </w:rPr>
        <w:t>若甲方在验收时货品质量规格无误，但因甲方在储存过程中操作不当造成的上述货品质量问题，不归属乙方责任。</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5.乙方每周提供一次农副产品目录，为甲方了解掌握市场行情和农副产品上新情况提供参考。</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6.乙方配送的肉类、禽类必须出具动物防疫检疫部门的相关证明。</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7.乙方提供的发票必须是由国家税务部门领取的正规票据，并且发票单位名称和乙方公</w:t>
      </w:r>
    </w:p>
    <w:p>
      <w:pPr>
        <w:pStyle w:val="25"/>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司名称要一致。</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8.乙方与甲方工作人员不能有任何非正常经济来往， 一旦发现立即</w:t>
      </w:r>
      <w:r>
        <w:rPr>
          <w:rFonts w:hint="eastAsia" w:ascii="仿宋" w:hAnsi="仿宋" w:eastAsia="仿宋" w:cs="仿宋"/>
          <w:color w:val="0070C0"/>
          <w:sz w:val="24"/>
          <w:szCs w:val="24"/>
          <w:highlight w:val="none"/>
        </w:rPr>
        <w:t>解除</w:t>
      </w:r>
      <w:r>
        <w:rPr>
          <w:rFonts w:hint="eastAsia" w:ascii="仿宋" w:hAnsi="仿宋" w:eastAsia="仿宋" w:cs="仿宋"/>
          <w:sz w:val="24"/>
          <w:szCs w:val="24"/>
          <w:highlight w:val="none"/>
        </w:rPr>
        <w:t>合同。</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9.乙方提供的冷链装置要达到冻品的标准温度和冷藏保鲜温度。</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10.遇特殊情况，乙方有义务服从甲方紧急制订的相关防控要求。</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11.乙方根据甲方要求，提供固定车辆牌号及配送人员名单。</w:t>
      </w:r>
    </w:p>
    <w:p>
      <w:pPr>
        <w:pStyle w:val="6"/>
        <w:tabs>
          <w:tab w:val="left" w:pos="297"/>
          <w:tab w:val="left" w:pos="900"/>
        </w:tabs>
        <w:spacing w:line="360" w:lineRule="auto"/>
        <w:ind w:firstLine="466" w:firstLineChars="200"/>
        <w:outlineLvl w:val="0"/>
        <w:rPr>
          <w:rFonts w:ascii="仿宋" w:hAnsi="仿宋" w:eastAsia="仿宋" w:cs="仿宋"/>
          <w:b/>
          <w:sz w:val="24"/>
          <w:szCs w:val="24"/>
          <w:highlight w:val="none"/>
        </w:rPr>
      </w:pPr>
      <w:r>
        <w:rPr>
          <w:rFonts w:hint="eastAsia" w:ascii="仿宋" w:hAnsi="仿宋" w:eastAsia="仿宋" w:cs="仿宋"/>
          <w:b/>
          <w:sz w:val="24"/>
          <w:szCs w:val="24"/>
          <w:highlight w:val="none"/>
        </w:rPr>
        <w:t>四、违约责任</w:t>
      </w:r>
    </w:p>
    <w:p>
      <w:pPr>
        <w:pStyle w:val="25"/>
        <w:snapToGrid w:val="0"/>
        <w:spacing w:line="360" w:lineRule="auto"/>
        <w:ind w:firstLine="480" w:firstLineChars="200"/>
        <w:rPr>
          <w:rFonts w:ascii="仿宋" w:hAnsi="仿宋" w:eastAsia="仿宋" w:cs="仿宋"/>
          <w:color w:val="0070C0"/>
          <w:sz w:val="24"/>
          <w:szCs w:val="24"/>
          <w:highlight w:val="none"/>
        </w:rPr>
      </w:pPr>
      <w:r>
        <w:rPr>
          <w:rFonts w:hint="eastAsia" w:ascii="仿宋" w:hAnsi="仿宋" w:eastAsia="仿宋" w:cs="仿宋"/>
          <w:sz w:val="24"/>
          <w:szCs w:val="24"/>
          <w:highlight w:val="none"/>
        </w:rPr>
        <w:t>1、乙方工作失职造成安全责任事故、产生恶劣社会影响、或致甲方受到上级部门批评的，甲方有权单方面解除合同，造成甲方经济损失的，乙方应给予甲方经济赔偿，并有权要求乙方承担人民币壹拾万元的违约金</w:t>
      </w:r>
      <w:r>
        <w:rPr>
          <w:rFonts w:hint="eastAsia" w:ascii="仿宋" w:hAnsi="仿宋" w:eastAsia="仿宋" w:cs="仿宋"/>
          <w:color w:val="0070C0"/>
          <w:sz w:val="24"/>
          <w:szCs w:val="24"/>
          <w:highlight w:val="none"/>
        </w:rPr>
        <w:t>，如无法弥补甲方损失的，乙方应继续承担赔偿责任。</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2、乙方未能达到约定的管理目标，或配备的人员未达到要求，</w:t>
      </w:r>
      <w:r>
        <w:rPr>
          <w:rFonts w:hint="eastAsia" w:ascii="仿宋" w:hAnsi="仿宋" w:eastAsia="仿宋" w:cs="仿宋"/>
          <w:color w:val="0070C0"/>
          <w:sz w:val="24"/>
          <w:szCs w:val="24"/>
          <w:highlight w:val="none"/>
        </w:rPr>
        <w:t>经在甲方提出整改要求的2个工作日</w:t>
      </w:r>
      <w:r>
        <w:rPr>
          <w:rFonts w:hint="eastAsia" w:ascii="仿宋" w:hAnsi="仿宋" w:eastAsia="仿宋" w:cs="仿宋"/>
          <w:sz w:val="24"/>
          <w:szCs w:val="24"/>
          <w:highlight w:val="none"/>
        </w:rPr>
        <w:t>内整改仍不符合合同约定的，甲方有权解除合同，并有权要求乙方承担人民币壹拾万元的违约金，如违约金不能弥补甲方的损失的，甲方有权要求乙方继续承担赔偿责任。</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3、在乙方无违约情况下，如甲方迟延支付乙方费用，则以应付未付金额为基数，按全国银行间同业拆借中心公布的贷款市场报价利率计算逾期付款违约金，逾期违约金累计不超过1000元。</w:t>
      </w:r>
    </w:p>
    <w:p>
      <w:pPr>
        <w:widowControl/>
        <w:spacing w:line="360" w:lineRule="auto"/>
        <w:ind w:firstLine="480" w:firstLineChars="200"/>
        <w:rPr>
          <w:rFonts w:ascii="仿宋" w:hAnsi="仿宋" w:eastAsia="仿宋" w:cs="仿宋"/>
          <w:color w:val="0070C0"/>
          <w:sz w:val="24"/>
          <w:highlight w:val="none"/>
        </w:rPr>
      </w:pPr>
      <w:r>
        <w:rPr>
          <w:rFonts w:hint="eastAsia" w:ascii="仿宋" w:hAnsi="仿宋" w:eastAsia="仿宋" w:cs="仿宋"/>
          <w:color w:val="0070C0"/>
          <w:sz w:val="24"/>
          <w:highlight w:val="none"/>
        </w:rPr>
        <w:t>4.乙方在供货过程中存在质量问题的需在2小时内更换、补充到位，若2小时内无法完成更换、补充到位的，出现一次扣除履约保证金的500元/次，出现5次（含）的甲方有权解除合同。若造成的损失由中标人承担。</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5、本合同任意一方违反合同约定，经守约方催告在 </w:t>
      </w:r>
      <w:r>
        <w:rPr>
          <w:rFonts w:hint="eastAsia" w:ascii="仿宋" w:hAnsi="仿宋" w:eastAsia="仿宋" w:cs="仿宋"/>
          <w:sz w:val="24"/>
          <w:szCs w:val="24"/>
          <w:highlight w:val="none"/>
          <w:u w:val="single"/>
        </w:rPr>
        <w:t xml:space="preserve">5 </w:t>
      </w:r>
      <w:r>
        <w:rPr>
          <w:rFonts w:hint="eastAsia" w:ascii="仿宋" w:hAnsi="仿宋" w:eastAsia="仿宋" w:cs="仿宋"/>
          <w:sz w:val="24"/>
          <w:szCs w:val="24"/>
          <w:highlight w:val="none"/>
        </w:rPr>
        <w:t>个工作日内仍未改正的，守约方有权解除本合同，并有权要求违约方承担人民币伍万元的违约金，如无法弥补对方的经济损失的，应继续承担赔偿责任。</w:t>
      </w:r>
    </w:p>
    <w:p>
      <w:pPr>
        <w:pStyle w:val="25"/>
        <w:snapToGrid w:val="0"/>
        <w:spacing w:line="360" w:lineRule="auto"/>
        <w:ind w:firstLine="480" w:firstLineChars="200"/>
        <w:rPr>
          <w:rFonts w:ascii="仿宋" w:hAnsi="仿宋" w:eastAsia="仿宋" w:cs="仿宋"/>
          <w:color w:val="0070C0"/>
          <w:sz w:val="24"/>
          <w:szCs w:val="24"/>
          <w:highlight w:val="none"/>
        </w:rPr>
      </w:pPr>
      <w:r>
        <w:rPr>
          <w:rFonts w:hint="eastAsia" w:ascii="仿宋" w:hAnsi="仿宋" w:eastAsia="仿宋" w:cs="仿宋"/>
          <w:sz w:val="24"/>
          <w:szCs w:val="24"/>
          <w:highlight w:val="none"/>
        </w:rPr>
        <w:t>6.乙方在供货中严禁出现缺斤少两、以次充好或掺假等现象， 一旦发现弄虚作假，情节较轻的，</w:t>
      </w:r>
      <w:r>
        <w:rPr>
          <w:rFonts w:hint="eastAsia" w:ascii="仿宋" w:hAnsi="仿宋" w:eastAsia="仿宋" w:cs="仿宋"/>
          <w:color w:val="0070C0"/>
          <w:sz w:val="24"/>
          <w:szCs w:val="24"/>
          <w:highlight w:val="none"/>
        </w:rPr>
        <w:t>每发现一次扣除履约保证金3000元/次，发现3次（含）的甲方有权解除合同。情节较重的（缺斤少两、以次充好或掺假等现象达单次送货重量10%（含）以上的），扣除全部履约保证金或解除合同。</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color w:val="0070C0"/>
          <w:sz w:val="24"/>
          <w:szCs w:val="24"/>
          <w:highlight w:val="none"/>
        </w:rPr>
        <w:t>7.乙方违反合同约定承担违约金的，由甲方从履约保证金中扣除，履约保证金不足以扣除违约金的，乙方应另行支付。</w:t>
      </w:r>
    </w:p>
    <w:p>
      <w:pPr>
        <w:pStyle w:val="6"/>
        <w:tabs>
          <w:tab w:val="left" w:pos="297"/>
          <w:tab w:val="left" w:pos="900"/>
        </w:tabs>
        <w:spacing w:line="360" w:lineRule="auto"/>
        <w:ind w:firstLine="466" w:firstLineChars="200"/>
        <w:outlineLvl w:val="0"/>
        <w:rPr>
          <w:rFonts w:ascii="仿宋" w:hAnsi="仿宋" w:eastAsia="仿宋" w:cs="仿宋"/>
          <w:b/>
          <w:sz w:val="24"/>
          <w:szCs w:val="24"/>
          <w:highlight w:val="none"/>
        </w:rPr>
      </w:pPr>
      <w:r>
        <w:rPr>
          <w:rFonts w:hint="eastAsia" w:ascii="仿宋" w:hAnsi="仿宋" w:eastAsia="仿宋" w:cs="仿宋"/>
          <w:b/>
          <w:sz w:val="24"/>
          <w:szCs w:val="24"/>
          <w:highlight w:val="none"/>
        </w:rPr>
        <w:t>五、不可抗力事件处理</w:t>
      </w:r>
    </w:p>
    <w:p>
      <w:pPr>
        <w:pStyle w:val="42"/>
        <w:spacing w:beforeAutospacing="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1、在执行合同期限内，任何一方因不可抗力事件所致不能履行合同，则合同履行期可延长，延长期与不可抗力影响期相同。</w:t>
      </w:r>
    </w:p>
    <w:p>
      <w:pPr>
        <w:pStyle w:val="42"/>
        <w:spacing w:beforeAutospacing="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2、不可抗力事件发生后，应立即通知对方，并出具有关权威机构的证明。</w:t>
      </w:r>
    </w:p>
    <w:p>
      <w:pPr>
        <w:pStyle w:val="42"/>
        <w:spacing w:beforeAutospacing="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3、不可抗力事件延续15天以上，双方应通过友好协商，确定是否继续履行合同。</w:t>
      </w:r>
    </w:p>
    <w:p>
      <w:pPr>
        <w:pStyle w:val="6"/>
        <w:tabs>
          <w:tab w:val="left" w:pos="297"/>
          <w:tab w:val="left" w:pos="900"/>
        </w:tabs>
        <w:spacing w:line="360" w:lineRule="auto"/>
        <w:ind w:firstLine="466" w:firstLineChars="200"/>
        <w:outlineLvl w:val="0"/>
        <w:rPr>
          <w:rFonts w:ascii="仿宋" w:hAnsi="仿宋" w:eastAsia="仿宋" w:cs="仿宋"/>
          <w:b/>
          <w:sz w:val="24"/>
          <w:szCs w:val="24"/>
          <w:highlight w:val="none"/>
        </w:rPr>
      </w:pPr>
      <w:r>
        <w:rPr>
          <w:rFonts w:hint="eastAsia" w:ascii="仿宋" w:hAnsi="仿宋" w:eastAsia="仿宋" w:cs="仿宋"/>
          <w:b/>
          <w:sz w:val="24"/>
          <w:szCs w:val="24"/>
          <w:highlight w:val="none"/>
        </w:rPr>
        <w:t>六、合同的生效</w:t>
      </w:r>
    </w:p>
    <w:p>
      <w:pPr>
        <w:pStyle w:val="25"/>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本合同经甲方、乙方法定代表人或其委托人签字并加盖双方公章后生效。</w:t>
      </w:r>
    </w:p>
    <w:p>
      <w:pPr>
        <w:pStyle w:val="225"/>
        <w:spacing w:line="360" w:lineRule="auto"/>
        <w:rPr>
          <w:rFonts w:ascii="仿宋" w:hAnsi="仿宋" w:eastAsia="仿宋" w:cs="仿宋"/>
          <w:color w:val="auto"/>
          <w:sz w:val="24"/>
          <w:szCs w:val="24"/>
          <w:highlight w:val="none"/>
        </w:rPr>
      </w:pPr>
    </w:p>
    <w:p>
      <w:pPr>
        <w:autoSpaceDE w:val="0"/>
        <w:autoSpaceDN w:val="0"/>
        <w:adjustRightIn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甲方：                               乙方： </w:t>
      </w:r>
    </w:p>
    <w:p>
      <w:pPr>
        <w:autoSpaceDE w:val="0"/>
        <w:autoSpaceDN w:val="0"/>
        <w:adjustRightIn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地址：                               地址： </w:t>
      </w:r>
    </w:p>
    <w:p>
      <w:pPr>
        <w:autoSpaceDE w:val="0"/>
        <w:autoSpaceDN w:val="0"/>
        <w:adjustRightIn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                         法定代表人：</w:t>
      </w:r>
    </w:p>
    <w:p>
      <w:pPr>
        <w:autoSpaceDE w:val="0"/>
        <w:autoSpaceDN w:val="0"/>
        <w:adjustRightIn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或授权委托代理人：（签字）           或授权委托代理人：（签字）</w:t>
      </w:r>
    </w:p>
    <w:p>
      <w:pPr>
        <w:autoSpaceDE w:val="0"/>
        <w:autoSpaceDN w:val="0"/>
        <w:adjustRightIn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开户行：                             开户行：</w:t>
      </w:r>
    </w:p>
    <w:p>
      <w:pPr>
        <w:autoSpaceDE w:val="0"/>
        <w:autoSpaceDN w:val="0"/>
        <w:adjustRightIn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账号：                               账号：</w:t>
      </w:r>
    </w:p>
    <w:p>
      <w:pPr>
        <w:autoSpaceDE w:val="0"/>
        <w:autoSpaceDN w:val="0"/>
        <w:adjustRightIn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联系电话：                           联系电话：</w:t>
      </w:r>
    </w:p>
    <w:p>
      <w:pPr>
        <w:autoSpaceDE w:val="0"/>
        <w:autoSpaceDN w:val="0"/>
        <w:adjustRightInd w:val="0"/>
        <w:spacing w:line="360" w:lineRule="auto"/>
        <w:ind w:firstLine="480" w:firstLineChars="200"/>
        <w:rPr>
          <w:rFonts w:ascii="仿宋" w:hAnsi="仿宋" w:eastAsia="仿宋" w:cs="仿宋"/>
          <w:sz w:val="24"/>
          <w:highlight w:val="none"/>
        </w:rPr>
      </w:pPr>
    </w:p>
    <w:p>
      <w:pPr>
        <w:autoSpaceDE w:val="0"/>
        <w:autoSpaceDN w:val="0"/>
        <w:adjustRightInd w:val="0"/>
        <w:spacing w:line="360" w:lineRule="auto"/>
        <w:ind w:right="480"/>
        <w:jc w:val="center"/>
        <w:rPr>
          <w:rFonts w:ascii="仿宋" w:hAnsi="仿宋" w:eastAsia="仿宋" w:cs="仿宋"/>
          <w:sz w:val="24"/>
          <w:highlight w:val="none"/>
        </w:rPr>
      </w:pPr>
      <w:r>
        <w:rPr>
          <w:rFonts w:hint="eastAsia" w:ascii="仿宋" w:hAnsi="仿宋" w:eastAsia="仿宋" w:cs="仿宋"/>
          <w:sz w:val="24"/>
          <w:highlight w:val="none"/>
        </w:rPr>
        <w:t xml:space="preserve">                        </w:t>
      </w:r>
    </w:p>
    <w:p>
      <w:pPr>
        <w:autoSpaceDE w:val="0"/>
        <w:autoSpaceDN w:val="0"/>
        <w:adjustRightInd w:val="0"/>
        <w:spacing w:line="360" w:lineRule="auto"/>
        <w:ind w:right="480"/>
        <w:jc w:val="center"/>
        <w:rPr>
          <w:rFonts w:ascii="仿宋" w:hAnsi="仿宋" w:eastAsia="仿宋" w:cs="仿宋"/>
          <w:sz w:val="24"/>
          <w:highlight w:val="none"/>
        </w:rPr>
      </w:pPr>
      <w:r>
        <w:rPr>
          <w:rFonts w:hint="eastAsia" w:ascii="仿宋" w:hAnsi="仿宋" w:eastAsia="仿宋" w:cs="仿宋"/>
          <w:sz w:val="24"/>
          <w:highlight w:val="none"/>
        </w:rPr>
        <w:t xml:space="preserve">                                             签订地点：</w:t>
      </w:r>
    </w:p>
    <w:p>
      <w:pPr>
        <w:autoSpaceDE w:val="0"/>
        <w:autoSpaceDN w:val="0"/>
        <w:adjustRightInd w:val="0"/>
        <w:spacing w:line="360" w:lineRule="auto"/>
        <w:jc w:val="right"/>
        <w:rPr>
          <w:rFonts w:ascii="仿宋" w:hAnsi="仿宋" w:eastAsia="仿宋" w:cs="仿宋"/>
          <w:sz w:val="24"/>
          <w:highlight w:val="none"/>
        </w:rPr>
      </w:pPr>
      <w:r>
        <w:rPr>
          <w:rFonts w:hint="eastAsia" w:ascii="仿宋" w:hAnsi="仿宋" w:eastAsia="仿宋" w:cs="仿宋"/>
          <w:sz w:val="24"/>
          <w:highlight w:val="none"/>
        </w:rPr>
        <w:t>签订日期：      年   月   日</w:t>
      </w:r>
    </w:p>
    <w:p>
      <w:pPr>
        <w:widowControl/>
        <w:spacing w:line="360" w:lineRule="auto"/>
        <w:rPr>
          <w:rFonts w:ascii="仿宋" w:hAnsi="仿宋" w:eastAsia="仿宋" w:cs="仿宋"/>
          <w:color w:val="000000"/>
          <w:kern w:val="0"/>
          <w:sz w:val="24"/>
          <w:highlight w:val="none"/>
        </w:rPr>
      </w:pPr>
    </w:p>
    <w:p>
      <w:pPr>
        <w:rPr>
          <w:rFonts w:hAnsi="宋体"/>
          <w:szCs w:val="21"/>
          <w:highlight w:val="none"/>
        </w:rPr>
      </w:pPr>
      <w:r>
        <w:rPr>
          <w:rFonts w:hint="eastAsia" w:hAnsi="宋体"/>
          <w:szCs w:val="21"/>
          <w:highlight w:val="none"/>
        </w:rPr>
        <w:br w:type="page"/>
      </w:r>
    </w:p>
    <w:bookmarkEnd w:id="231"/>
    <w:p>
      <w:pPr>
        <w:pStyle w:val="2"/>
        <w:rPr>
          <w:rStyle w:val="132"/>
          <w:rFonts w:ascii="宋体" w:hAnsi="宋体" w:eastAsia="宋体" w:cs="宋体"/>
          <w:b/>
          <w:kern w:val="2"/>
          <w:szCs w:val="52"/>
          <w:highlight w:val="none"/>
        </w:rPr>
      </w:pPr>
      <w:bookmarkStart w:id="237" w:name="_Toc493511828"/>
      <w:bookmarkStart w:id="238" w:name="_Toc5531"/>
      <w:r>
        <w:rPr>
          <w:rStyle w:val="132"/>
          <w:rFonts w:hint="eastAsia" w:ascii="宋体" w:hAnsi="宋体" w:eastAsia="宋体" w:cs="宋体"/>
          <w:b/>
          <w:kern w:val="2"/>
          <w:szCs w:val="52"/>
          <w:highlight w:val="none"/>
        </w:rPr>
        <w:t>第六章  投标文件相关格式</w:t>
      </w:r>
      <w:bookmarkEnd w:id="237"/>
      <w:bookmarkEnd w:id="238"/>
    </w:p>
    <w:p>
      <w:pPr>
        <w:spacing w:line="360" w:lineRule="auto"/>
        <w:ind w:firstLine="420" w:firstLineChars="200"/>
        <w:jc w:val="left"/>
        <w:rPr>
          <w:rFonts w:ascii="宋体" w:hAnsi="宋体" w:cs="宋体"/>
          <w:szCs w:val="21"/>
          <w:highlight w:val="none"/>
        </w:rPr>
      </w:pPr>
    </w:p>
    <w:p>
      <w:pPr>
        <w:spacing w:line="360" w:lineRule="auto"/>
        <w:jc w:val="center"/>
        <w:rPr>
          <w:rFonts w:ascii="宋体" w:hAnsi="宋体" w:cs="宋体"/>
          <w:b/>
          <w:highlight w:val="none"/>
        </w:rPr>
      </w:pPr>
      <w:bookmarkStart w:id="239" w:name="_Toc50012909"/>
      <w:bookmarkStart w:id="240" w:name="_Toc430786287"/>
      <w:r>
        <w:rPr>
          <w:rFonts w:hint="eastAsia" w:ascii="宋体" w:hAnsi="宋体" w:cs="宋体"/>
          <w:b/>
          <w:highlight w:val="none"/>
        </w:rPr>
        <w:t xml:space="preserve">浙江省嘉兴支队南湖区消防救援大队 2024 年度食堂大宗物品配送采购项目 </w:t>
      </w:r>
    </w:p>
    <w:p>
      <w:pPr>
        <w:spacing w:line="360" w:lineRule="auto"/>
        <w:jc w:val="center"/>
        <w:rPr>
          <w:rFonts w:ascii="宋体" w:hAnsi="宋体" w:cs="宋体"/>
          <w:b/>
          <w:szCs w:val="21"/>
          <w:highlight w:val="none"/>
        </w:rPr>
      </w:pPr>
      <w:r>
        <w:rPr>
          <w:rFonts w:hint="eastAsia" w:ascii="宋体" w:hAnsi="宋体" w:cs="宋体"/>
          <w:b/>
          <w:szCs w:val="21"/>
          <w:highlight w:val="none"/>
        </w:rPr>
        <w:t>资信商务及技术文件/报价文件</w:t>
      </w:r>
      <w:bookmarkEnd w:id="239"/>
    </w:p>
    <w:p>
      <w:pPr>
        <w:spacing w:line="360" w:lineRule="auto"/>
        <w:jc w:val="center"/>
        <w:rPr>
          <w:rFonts w:ascii="宋体" w:hAnsi="宋体" w:cs="宋体"/>
          <w:b/>
          <w:szCs w:val="21"/>
          <w:highlight w:val="none"/>
        </w:rPr>
      </w:pPr>
      <w:r>
        <w:rPr>
          <w:rFonts w:hint="eastAsia" w:ascii="宋体" w:hAnsi="宋体" w:cs="宋体"/>
          <w:b/>
          <w:szCs w:val="21"/>
          <w:highlight w:val="none"/>
        </w:rPr>
        <w:t>项目编号：</w:t>
      </w:r>
      <w:r>
        <w:rPr>
          <w:rFonts w:hint="eastAsia" w:ascii="宋体" w:hAnsi="宋体" w:cs="宋体"/>
          <w:b/>
          <w:szCs w:val="21"/>
          <w:highlight w:val="none"/>
        </w:rPr>
        <w:t>嘉消采-GK2024008</w:t>
      </w:r>
    </w:p>
    <w:p>
      <w:pPr>
        <w:spacing w:line="360" w:lineRule="auto"/>
        <w:jc w:val="center"/>
        <w:rPr>
          <w:rFonts w:ascii="宋体" w:hAnsi="宋体" w:cs="宋体"/>
          <w:b/>
          <w:szCs w:val="21"/>
          <w:highlight w:val="none"/>
        </w:rPr>
      </w:pPr>
    </w:p>
    <w:p>
      <w:pPr>
        <w:spacing w:line="360" w:lineRule="auto"/>
        <w:jc w:val="center"/>
        <w:rPr>
          <w:rFonts w:ascii="宋体" w:hAnsi="宋体" w:cs="宋体"/>
          <w:b/>
          <w:szCs w:val="21"/>
          <w:highlight w:val="none"/>
        </w:rPr>
      </w:pPr>
    </w:p>
    <w:p>
      <w:pPr>
        <w:spacing w:line="360" w:lineRule="auto"/>
        <w:jc w:val="center"/>
        <w:rPr>
          <w:rFonts w:ascii="宋体" w:hAnsi="宋体" w:cs="宋体"/>
          <w:b/>
          <w:szCs w:val="21"/>
          <w:highlight w:val="none"/>
        </w:rPr>
      </w:pPr>
      <w:bookmarkStart w:id="241" w:name="_Toc50012911"/>
      <w:r>
        <w:rPr>
          <w:rFonts w:hint="eastAsia" w:ascii="宋体" w:hAnsi="宋体" w:cs="宋体"/>
          <w:b/>
          <w:szCs w:val="21"/>
          <w:highlight w:val="none"/>
        </w:rPr>
        <w:t>投</w:t>
      </w:r>
      <w:bookmarkEnd w:id="241"/>
    </w:p>
    <w:p>
      <w:pPr>
        <w:spacing w:line="360" w:lineRule="auto"/>
        <w:jc w:val="center"/>
        <w:rPr>
          <w:rFonts w:ascii="宋体" w:hAnsi="宋体" w:cs="宋体"/>
          <w:b/>
          <w:szCs w:val="21"/>
          <w:highlight w:val="none"/>
        </w:rPr>
      </w:pPr>
      <w:bookmarkStart w:id="242" w:name="_Toc50012912"/>
      <w:r>
        <w:rPr>
          <w:rFonts w:hint="eastAsia" w:ascii="宋体" w:hAnsi="宋体" w:cs="宋体"/>
          <w:b/>
          <w:szCs w:val="21"/>
          <w:highlight w:val="none"/>
        </w:rPr>
        <w:t>标</w:t>
      </w:r>
      <w:bookmarkEnd w:id="242"/>
    </w:p>
    <w:p>
      <w:pPr>
        <w:spacing w:line="360" w:lineRule="auto"/>
        <w:jc w:val="center"/>
        <w:rPr>
          <w:rFonts w:ascii="宋体" w:hAnsi="宋体" w:cs="宋体"/>
          <w:b/>
          <w:szCs w:val="21"/>
          <w:highlight w:val="none"/>
        </w:rPr>
      </w:pPr>
      <w:bookmarkStart w:id="243" w:name="_Toc50012913"/>
      <w:r>
        <w:rPr>
          <w:rFonts w:hint="eastAsia" w:ascii="宋体" w:hAnsi="宋体" w:cs="宋体"/>
          <w:b/>
          <w:szCs w:val="21"/>
          <w:highlight w:val="none"/>
        </w:rPr>
        <w:t>文</w:t>
      </w:r>
      <w:bookmarkEnd w:id="243"/>
    </w:p>
    <w:p>
      <w:pPr>
        <w:spacing w:line="360" w:lineRule="auto"/>
        <w:jc w:val="center"/>
        <w:rPr>
          <w:rFonts w:ascii="宋体" w:hAnsi="宋体" w:cs="宋体"/>
          <w:b/>
          <w:szCs w:val="21"/>
          <w:highlight w:val="none"/>
        </w:rPr>
      </w:pPr>
      <w:bookmarkStart w:id="244" w:name="_Toc50012914"/>
      <w:r>
        <w:rPr>
          <w:rFonts w:hint="eastAsia" w:ascii="宋体" w:hAnsi="宋体" w:cs="宋体"/>
          <w:b/>
          <w:szCs w:val="21"/>
          <w:highlight w:val="none"/>
        </w:rPr>
        <w:t>件</w:t>
      </w:r>
      <w:bookmarkEnd w:id="244"/>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ind w:firstLine="2319" w:firstLineChars="1100"/>
        <w:rPr>
          <w:rFonts w:ascii="宋体" w:hAnsi="宋体" w:cs="宋体"/>
          <w:b/>
          <w:szCs w:val="21"/>
          <w:highlight w:val="none"/>
        </w:rPr>
      </w:pPr>
      <w:bookmarkStart w:id="245" w:name="_Toc50012915"/>
      <w:r>
        <w:rPr>
          <w:rFonts w:hint="eastAsia" w:ascii="宋体" w:hAnsi="宋体" w:cs="宋体"/>
          <w:b/>
          <w:szCs w:val="21"/>
          <w:highlight w:val="none"/>
        </w:rPr>
        <w:t>投标人全称：（加盖单位公章）</w:t>
      </w:r>
      <w:bookmarkEnd w:id="245"/>
    </w:p>
    <w:p>
      <w:pPr>
        <w:spacing w:line="360" w:lineRule="auto"/>
        <w:rPr>
          <w:rFonts w:ascii="宋体" w:hAnsi="宋体" w:cs="宋体"/>
          <w:b/>
          <w:szCs w:val="21"/>
          <w:highlight w:val="none"/>
        </w:rPr>
      </w:pPr>
    </w:p>
    <w:p>
      <w:pPr>
        <w:spacing w:line="360" w:lineRule="auto"/>
        <w:ind w:right="560"/>
        <w:jc w:val="center"/>
        <w:rPr>
          <w:rFonts w:ascii="宋体" w:hAnsi="宋体" w:cs="宋体"/>
          <w:b/>
          <w:szCs w:val="21"/>
          <w:highlight w:val="none"/>
        </w:rPr>
      </w:pPr>
      <w:bookmarkStart w:id="246" w:name="_Toc50012916"/>
      <w:r>
        <w:rPr>
          <w:rFonts w:hint="eastAsia" w:ascii="宋体" w:hAnsi="宋体" w:cs="宋体"/>
          <w:b/>
          <w:szCs w:val="21"/>
          <w:highlight w:val="none"/>
        </w:rPr>
        <w:t>年   月   日</w:t>
      </w:r>
      <w:bookmarkEnd w:id="246"/>
    </w:p>
    <w:bookmarkEnd w:id="240"/>
    <w:p>
      <w:pPr>
        <w:snapToGrid w:val="0"/>
        <w:spacing w:line="360" w:lineRule="auto"/>
        <w:ind w:right="420" w:firstLine="422" w:firstLineChars="200"/>
        <w:jc w:val="center"/>
        <w:rPr>
          <w:rFonts w:ascii="宋体" w:hAnsi="宋体" w:cs="宋体"/>
          <w:b/>
          <w:szCs w:val="21"/>
          <w:highlight w:val="none"/>
        </w:rPr>
      </w:pPr>
      <w:r>
        <w:rPr>
          <w:rFonts w:hint="eastAsia" w:ascii="宋体" w:hAnsi="宋体" w:cs="宋体"/>
          <w:b/>
          <w:szCs w:val="21"/>
          <w:highlight w:val="none"/>
        </w:rPr>
        <w:br w:type="page"/>
      </w:r>
    </w:p>
    <w:p>
      <w:pPr>
        <w:snapToGrid w:val="0"/>
        <w:spacing w:line="360" w:lineRule="auto"/>
        <w:jc w:val="left"/>
        <w:rPr>
          <w:rFonts w:ascii="宋体" w:hAnsi="宋体" w:cs="宋体"/>
          <w:b/>
          <w:szCs w:val="21"/>
          <w:highlight w:val="none"/>
        </w:rPr>
      </w:pPr>
      <w:r>
        <w:rPr>
          <w:rFonts w:hint="eastAsia" w:ascii="宋体" w:hAnsi="宋体" w:cs="宋体"/>
          <w:b/>
          <w:szCs w:val="21"/>
          <w:highlight w:val="none"/>
        </w:rPr>
        <w:t>投标声明书格式：</w:t>
      </w:r>
    </w:p>
    <w:p>
      <w:pPr>
        <w:snapToGrid w:val="0"/>
        <w:spacing w:line="360" w:lineRule="auto"/>
        <w:ind w:firstLine="422" w:firstLineChars="200"/>
        <w:jc w:val="center"/>
        <w:rPr>
          <w:rFonts w:ascii="宋体" w:hAnsi="宋体" w:cs="宋体"/>
          <w:b/>
          <w:szCs w:val="21"/>
          <w:highlight w:val="none"/>
        </w:rPr>
      </w:pPr>
      <w:r>
        <w:rPr>
          <w:rFonts w:hint="eastAsia" w:ascii="宋体" w:hAnsi="宋体" w:cs="宋体"/>
          <w:b/>
          <w:szCs w:val="21"/>
          <w:highlight w:val="none"/>
        </w:rPr>
        <w:t>投标声明书</w:t>
      </w:r>
    </w:p>
    <w:p>
      <w:pPr>
        <w:snapToGrid w:val="0"/>
        <w:spacing w:line="360" w:lineRule="auto"/>
        <w:jc w:val="left"/>
        <w:rPr>
          <w:rFonts w:ascii="宋体" w:hAnsi="宋体" w:cs="宋体"/>
          <w:szCs w:val="21"/>
          <w:highlight w:val="none"/>
        </w:rPr>
      </w:pPr>
      <w:r>
        <w:rPr>
          <w:rFonts w:hint="eastAsia" w:ascii="宋体" w:hAnsi="宋体" w:cs="宋体"/>
          <w:szCs w:val="21"/>
          <w:highlight w:val="none"/>
        </w:rPr>
        <w:t>致：</w:t>
      </w:r>
      <w:r>
        <w:rPr>
          <w:rFonts w:hint="eastAsia" w:ascii="宋体" w:hAnsi="宋体" w:cs="宋体"/>
          <w:kern w:val="0"/>
          <w:szCs w:val="21"/>
          <w:highlight w:val="none"/>
          <w:u w:val="single"/>
        </w:rPr>
        <w:t xml:space="preserve">嘉兴市南湖区消防救援大队 </w:t>
      </w:r>
      <w:r>
        <w:rPr>
          <w:rFonts w:hint="eastAsia" w:ascii="宋体" w:hAnsi="宋体" w:cs="宋体"/>
          <w:szCs w:val="21"/>
          <w:highlight w:val="none"/>
        </w:rPr>
        <w:t>（招标采购单位名称）：</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u w:val="single"/>
        </w:rPr>
        <w:t>（投标人名称）</w:t>
      </w:r>
      <w:r>
        <w:rPr>
          <w:rFonts w:hint="eastAsia" w:ascii="宋体" w:hAnsi="宋体" w:cs="宋体"/>
          <w:szCs w:val="21"/>
          <w:highlight w:val="none"/>
        </w:rPr>
        <w:t>系中华人民共和国合法企业，经营地址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 </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我</w:t>
      </w:r>
      <w:r>
        <w:rPr>
          <w:rFonts w:hint="eastAsia" w:ascii="宋体" w:hAnsi="宋体" w:cs="宋体"/>
          <w:szCs w:val="21"/>
          <w:highlight w:val="none"/>
          <w:u w:val="single"/>
        </w:rPr>
        <w:t>（姓名）</w:t>
      </w:r>
      <w:r>
        <w:rPr>
          <w:rFonts w:hint="eastAsia" w:ascii="宋体" w:hAnsi="宋体" w:cs="宋体"/>
          <w:szCs w:val="21"/>
          <w:highlight w:val="none"/>
        </w:rPr>
        <w:t>系</w:t>
      </w:r>
      <w:r>
        <w:rPr>
          <w:rFonts w:hint="eastAsia" w:ascii="宋体" w:hAnsi="宋体" w:cs="宋体"/>
          <w:szCs w:val="21"/>
          <w:highlight w:val="none"/>
          <w:u w:val="single"/>
        </w:rPr>
        <w:t>（投标人名称）</w:t>
      </w:r>
      <w:r>
        <w:rPr>
          <w:rFonts w:hint="eastAsia" w:ascii="宋体" w:hAnsi="宋体" w:cs="宋体"/>
          <w:szCs w:val="21"/>
          <w:highlight w:val="none"/>
        </w:rPr>
        <w:t>的法定代表人，我方愿意参加贵方组织的项目的投标，为便于贵方公正、择优的确定中标人及其投标产品和服务，我方就本次投标有关事项郑重声明如下：</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1、我方向贵方提交的所有投标文件、资料都是准确的和真实的。</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jc w:val="left"/>
        <w:rPr>
          <w:rFonts w:ascii="宋体" w:hAnsi="宋体" w:cs="宋体"/>
          <w:szCs w:val="21"/>
          <w:highlight w:val="none"/>
        </w:rPr>
      </w:pPr>
      <w:r>
        <w:rPr>
          <w:rFonts w:hint="eastAsia" w:ascii="宋体" w:hAnsi="宋体" w:cs="宋体"/>
          <w:spacing w:val="15"/>
          <w:kern w:val="0"/>
          <w:szCs w:val="21"/>
          <w:highlight w:val="none"/>
        </w:rPr>
        <w:t>3、我方此次向贵方提供的服务内容为</w:t>
      </w:r>
      <w:r>
        <w:rPr>
          <w:rFonts w:hint="eastAsia" w:ascii="宋体" w:hAnsi="宋体" w:cs="宋体"/>
          <w:szCs w:val="21"/>
          <w:highlight w:val="none"/>
        </w:rPr>
        <w:t>。</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4、我方诚意提请贵方关注：近期有关项目的售后服务等方面的重大决策和事项有：</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u w:val="single"/>
        </w:rPr>
        <w:t>　　　　　　　　　　　　　　　　　　　　　　　　　　</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5、我方及由本人担任法定代表人的其他机构最近三年内被通报或者被处罚的违法行为有：</w:t>
      </w:r>
    </w:p>
    <w:p>
      <w:pPr>
        <w:snapToGrid w:val="0"/>
        <w:spacing w:line="360" w:lineRule="auto"/>
        <w:ind w:firstLine="420" w:firstLineChars="200"/>
        <w:jc w:val="left"/>
        <w:rPr>
          <w:rFonts w:ascii="宋体" w:hAnsi="宋体" w:cs="宋体"/>
          <w:szCs w:val="21"/>
          <w:highlight w:val="none"/>
          <w:u w:val="single"/>
        </w:rPr>
      </w:pPr>
      <w:r>
        <w:rPr>
          <w:rFonts w:hint="eastAsia" w:ascii="宋体" w:hAnsi="宋体" w:cs="宋体"/>
          <w:szCs w:val="21"/>
          <w:highlight w:val="none"/>
          <w:u w:val="single"/>
        </w:rPr>
        <w:t>　　　　　　　　　　　　　　　　　　　　　　　　　　　</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6、以上事项如有虚假或隐瞒，我方愿意承担一切后果，并不再寻求任何旨在减轻或免除法律责任的辩解。</w:t>
      </w:r>
    </w:p>
    <w:p>
      <w:pPr>
        <w:snapToGrid w:val="0"/>
        <w:spacing w:line="360" w:lineRule="auto"/>
        <w:ind w:firstLine="420" w:firstLineChars="200"/>
        <w:jc w:val="left"/>
        <w:rPr>
          <w:rFonts w:ascii="宋体" w:hAnsi="宋体" w:cs="宋体"/>
          <w:szCs w:val="21"/>
          <w:highlight w:val="none"/>
        </w:rPr>
      </w:pPr>
    </w:p>
    <w:p>
      <w:pPr>
        <w:snapToGrid w:val="0"/>
        <w:spacing w:line="360" w:lineRule="auto"/>
        <w:ind w:firstLine="420" w:firstLineChars="200"/>
        <w:jc w:val="left"/>
        <w:rPr>
          <w:rFonts w:ascii="宋体" w:hAnsi="宋体" w:cs="宋体"/>
          <w:szCs w:val="21"/>
          <w:highlight w:val="none"/>
          <w:u w:val="single"/>
        </w:rPr>
      </w:pPr>
      <w:r>
        <w:rPr>
          <w:rFonts w:hint="eastAsia" w:ascii="宋体" w:hAnsi="宋体" w:cs="宋体"/>
          <w:szCs w:val="21"/>
          <w:highlight w:val="none"/>
        </w:rPr>
        <w:t>法定代表人或其授权代表签字（或盖章）：</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shd w:val="clear" w:color="auto" w:fill="FFFFFF"/>
        </w:rPr>
        <w:t>投标人名称：（盖章）</w:t>
      </w:r>
      <w:r>
        <w:rPr>
          <w:rFonts w:hint="eastAsia" w:ascii="宋体" w:hAnsi="宋体" w:cs="宋体"/>
          <w:szCs w:val="21"/>
          <w:highlight w:val="none"/>
        </w:rPr>
        <w:t>：                      年    月    日</w:t>
      </w:r>
    </w:p>
    <w:p>
      <w:pPr>
        <w:snapToGrid w:val="0"/>
        <w:spacing w:line="360" w:lineRule="auto"/>
        <w:jc w:val="left"/>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法定代表人授权委托书格式：</w:t>
      </w:r>
    </w:p>
    <w:p>
      <w:pPr>
        <w:snapToGrid w:val="0"/>
        <w:spacing w:line="360" w:lineRule="auto"/>
        <w:ind w:firstLine="422" w:firstLineChars="200"/>
        <w:jc w:val="center"/>
        <w:rPr>
          <w:rFonts w:ascii="宋体" w:hAnsi="宋体" w:cs="宋体"/>
          <w:b/>
          <w:szCs w:val="21"/>
          <w:highlight w:val="none"/>
        </w:rPr>
      </w:pPr>
      <w:r>
        <w:rPr>
          <w:rFonts w:hint="eastAsia" w:ascii="宋体" w:hAnsi="宋体" w:cs="宋体"/>
          <w:b/>
          <w:szCs w:val="21"/>
          <w:highlight w:val="none"/>
        </w:rPr>
        <w:t>法定代表人授权委托书</w:t>
      </w:r>
    </w:p>
    <w:p>
      <w:pPr>
        <w:snapToGrid w:val="0"/>
        <w:spacing w:line="360" w:lineRule="auto"/>
        <w:ind w:firstLine="420" w:firstLineChars="200"/>
        <w:jc w:val="left"/>
        <w:rPr>
          <w:rFonts w:ascii="宋体" w:hAnsi="宋体" w:cs="宋体"/>
          <w:bCs/>
          <w:szCs w:val="21"/>
          <w:highlight w:val="none"/>
        </w:rPr>
      </w:pPr>
    </w:p>
    <w:p>
      <w:pPr>
        <w:snapToGrid w:val="0"/>
        <w:spacing w:line="360" w:lineRule="auto"/>
        <w:jc w:val="left"/>
        <w:rPr>
          <w:rFonts w:ascii="宋体" w:hAnsi="宋体" w:cs="宋体"/>
          <w:b/>
          <w:bCs/>
          <w:szCs w:val="21"/>
          <w:highlight w:val="none"/>
        </w:rPr>
      </w:pPr>
      <w:r>
        <w:rPr>
          <w:rFonts w:hint="eastAsia" w:ascii="宋体" w:hAnsi="宋体" w:cs="宋体"/>
          <w:bCs/>
          <w:szCs w:val="21"/>
          <w:highlight w:val="none"/>
        </w:rPr>
        <w:t>致：</w:t>
      </w:r>
      <w:r>
        <w:rPr>
          <w:rFonts w:hint="eastAsia" w:ascii="宋体" w:hAnsi="宋体" w:cs="宋体"/>
          <w:kern w:val="0"/>
          <w:szCs w:val="21"/>
          <w:highlight w:val="none"/>
          <w:u w:val="single"/>
        </w:rPr>
        <w:t xml:space="preserve">嘉兴市南湖区消防救援大队 </w:t>
      </w:r>
      <w:r>
        <w:rPr>
          <w:rFonts w:hint="eastAsia" w:ascii="宋体" w:hAnsi="宋体" w:cs="宋体"/>
          <w:szCs w:val="21"/>
          <w:highlight w:val="none"/>
        </w:rPr>
        <w:t>（招标采购单位名称）：</w:t>
      </w:r>
    </w:p>
    <w:p>
      <w:pPr>
        <w:shd w:val="clear" w:color="auto" w:fill="FFFFFF"/>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val="zh-CN"/>
        </w:rPr>
        <w:t xml:space="preserve"> 兹委派我公司</w:t>
      </w:r>
      <w:r>
        <w:rPr>
          <w:rFonts w:hint="eastAsia" w:ascii="宋体" w:hAnsi="宋体" w:cs="宋体"/>
          <w:kern w:val="0"/>
          <w:szCs w:val="21"/>
          <w:highlight w:val="none"/>
          <w:u w:val="single"/>
          <w:lang w:val="zh-CN"/>
        </w:rPr>
        <w:t>先生/女士</w:t>
      </w:r>
      <w:r>
        <w:rPr>
          <w:rFonts w:hint="eastAsia" w:ascii="宋体" w:hAnsi="宋体" w:cs="宋体"/>
          <w:kern w:val="0"/>
          <w:szCs w:val="21"/>
          <w:highlight w:val="none"/>
          <w:lang w:val="zh-CN"/>
        </w:rPr>
        <w:t>(其在本公司的职务是：</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，联系电话：</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手机：</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传真：</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)，代表我公司全权处理</w:t>
      </w:r>
      <w:r>
        <w:rPr>
          <w:rFonts w:hint="eastAsia" w:ascii="宋体" w:hAnsi="宋体" w:cs="宋体"/>
          <w:b/>
          <w:bCs/>
          <w:szCs w:val="21"/>
          <w:highlight w:val="none"/>
          <w:u w:val="single"/>
        </w:rPr>
        <w:t xml:space="preserve">浙江省嘉兴支队南湖区消防救援大队 2024 年度食堂大宗物品配送采购项目 </w:t>
      </w:r>
      <w:r>
        <w:rPr>
          <w:rFonts w:hint="eastAsia" w:ascii="宋体" w:hAnsi="宋体" w:cs="宋体"/>
          <w:szCs w:val="21"/>
          <w:highlight w:val="none"/>
        </w:rPr>
        <w:t>(编号：              )政府采购投标的一切事项</w:t>
      </w:r>
      <w:r>
        <w:rPr>
          <w:rFonts w:hint="eastAsia" w:ascii="宋体" w:hAnsi="宋体" w:cs="宋体"/>
          <w:kern w:val="0"/>
          <w:szCs w:val="21"/>
          <w:highlight w:val="none"/>
          <w:lang w:val="zh-CN"/>
        </w:rPr>
        <w:t>。</w:t>
      </w:r>
    </w:p>
    <w:p>
      <w:pPr>
        <w:shd w:val="clear" w:color="auto" w:fill="FFFFFF"/>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lang w:val="zh-CN"/>
        </w:rPr>
        <w:t xml:space="preserve">    特此告知。</w:t>
      </w:r>
    </w:p>
    <w:p>
      <w:pPr>
        <w:shd w:val="clear" w:color="auto" w:fill="FFFFFF"/>
        <w:snapToGrid w:val="0"/>
        <w:spacing w:line="360" w:lineRule="auto"/>
        <w:ind w:firstLine="420" w:firstLineChars="200"/>
        <w:jc w:val="left"/>
        <w:rPr>
          <w:rFonts w:ascii="宋体" w:hAnsi="宋体" w:cs="宋体"/>
          <w:kern w:val="0"/>
          <w:szCs w:val="21"/>
          <w:highlight w:val="none"/>
        </w:rPr>
      </w:pPr>
    </w:p>
    <w:p>
      <w:pPr>
        <w:shd w:val="clear" w:color="auto" w:fill="FFFFFF"/>
        <w:snapToGrid w:val="0"/>
        <w:spacing w:line="360" w:lineRule="auto"/>
        <w:ind w:firstLine="420" w:firstLineChars="200"/>
        <w:jc w:val="left"/>
        <w:rPr>
          <w:rFonts w:ascii="宋体" w:hAnsi="宋体" w:cs="宋体"/>
          <w:kern w:val="0"/>
          <w:szCs w:val="21"/>
          <w:highlight w:val="none"/>
          <w:lang w:val="zh-CN"/>
        </w:rPr>
      </w:pPr>
    </w:p>
    <w:p>
      <w:pPr>
        <w:snapToGrid w:val="0"/>
        <w:spacing w:line="360" w:lineRule="auto"/>
        <w:ind w:firstLine="420" w:firstLineChars="200"/>
        <w:jc w:val="left"/>
        <w:rPr>
          <w:rFonts w:ascii="宋体" w:hAnsi="宋体" w:cs="宋体"/>
          <w:szCs w:val="21"/>
          <w:highlight w:val="none"/>
        </w:rPr>
      </w:pPr>
    </w:p>
    <w:p>
      <w:pPr>
        <w:snapToGrid w:val="0"/>
        <w:spacing w:line="360" w:lineRule="auto"/>
        <w:ind w:firstLine="420" w:firstLineChars="200"/>
        <w:jc w:val="left"/>
        <w:rPr>
          <w:rFonts w:ascii="宋体" w:hAnsi="宋体" w:cs="宋体"/>
          <w:szCs w:val="21"/>
          <w:highlight w:val="none"/>
          <w:u w:val="single"/>
        </w:rPr>
      </w:pPr>
      <w:r>
        <w:rPr>
          <w:rFonts w:hint="eastAsia" w:ascii="宋体" w:hAnsi="宋体" w:cs="宋体"/>
          <w:szCs w:val="21"/>
          <w:highlight w:val="none"/>
        </w:rPr>
        <w:t>被授权人签字（或盖章）：法定代表人签字（或盖章）：</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职务：职务：</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被授权人身份证号码：</w:t>
      </w:r>
    </w:p>
    <w:p>
      <w:pPr>
        <w:snapToGrid w:val="0"/>
        <w:spacing w:line="360" w:lineRule="auto"/>
        <w:ind w:firstLine="420" w:firstLineChars="200"/>
        <w:jc w:val="left"/>
        <w:rPr>
          <w:rFonts w:ascii="宋体" w:hAnsi="宋体" w:cs="宋体"/>
          <w:szCs w:val="21"/>
          <w:highlight w:val="none"/>
        </w:rPr>
      </w:pP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shd w:val="clear" w:color="auto" w:fill="FFFFFF"/>
        </w:rPr>
        <w:t>投标人名称：（盖章）</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年月日</w:t>
      </w:r>
    </w:p>
    <w:p>
      <w:pPr>
        <w:snapToGrid w:val="0"/>
        <w:spacing w:line="360" w:lineRule="auto"/>
        <w:ind w:firstLine="420" w:firstLineChars="200"/>
        <w:jc w:val="left"/>
        <w:rPr>
          <w:rFonts w:ascii="宋体" w:hAnsi="宋体" w:cs="宋体"/>
          <w:szCs w:val="21"/>
          <w:highlight w:val="none"/>
        </w:rPr>
      </w:pPr>
    </w:p>
    <w:p>
      <w:pPr>
        <w:pStyle w:val="25"/>
        <w:snapToGrid w:val="0"/>
        <w:spacing w:line="360" w:lineRule="auto"/>
        <w:ind w:firstLine="420" w:firstLineChars="200"/>
        <w:jc w:val="left"/>
        <w:rPr>
          <w:rFonts w:hAnsi="宋体" w:cs="宋体"/>
          <w:szCs w:val="21"/>
          <w:highlight w:val="none"/>
        </w:rPr>
      </w:pPr>
    </w:p>
    <w:p>
      <w:pPr>
        <w:snapToGrid w:val="0"/>
        <w:spacing w:line="360" w:lineRule="auto"/>
        <w:ind w:firstLine="420" w:firstLineChars="200"/>
        <w:jc w:val="left"/>
        <w:rPr>
          <w:rFonts w:ascii="宋体" w:hAnsi="宋体" w:cs="宋体"/>
          <w:b/>
          <w:szCs w:val="21"/>
          <w:highlight w:val="none"/>
        </w:rPr>
      </w:pPr>
      <w:r>
        <w:rPr>
          <w:rFonts w:hint="eastAsia" w:ascii="宋体" w:hAnsi="宋体" w:cs="宋体"/>
          <w:szCs w:val="21"/>
          <w:highlight w:val="none"/>
        </w:rPr>
        <w:br w:type="page"/>
      </w:r>
    </w:p>
    <w:p>
      <w:pPr>
        <w:spacing w:line="360" w:lineRule="auto"/>
        <w:jc w:val="left"/>
        <w:rPr>
          <w:rFonts w:ascii="宋体" w:hAnsi="宋体" w:cs="宋体"/>
          <w:b/>
          <w:szCs w:val="21"/>
          <w:highlight w:val="none"/>
        </w:rPr>
      </w:pPr>
      <w:r>
        <w:rPr>
          <w:rFonts w:hint="eastAsia" w:ascii="宋体" w:hAnsi="宋体" w:cs="宋体"/>
          <w:b/>
          <w:szCs w:val="21"/>
          <w:highlight w:val="none"/>
        </w:rPr>
        <w:t>承诺函格式：</w:t>
      </w:r>
    </w:p>
    <w:p>
      <w:pPr>
        <w:spacing w:line="360" w:lineRule="auto"/>
        <w:ind w:firstLine="422" w:firstLineChars="200"/>
        <w:jc w:val="center"/>
        <w:rPr>
          <w:rFonts w:ascii="宋体" w:hAnsi="宋体" w:cs="宋体"/>
          <w:b/>
          <w:szCs w:val="21"/>
          <w:highlight w:val="none"/>
        </w:rPr>
      </w:pPr>
      <w:r>
        <w:rPr>
          <w:rFonts w:hint="eastAsia" w:ascii="宋体" w:hAnsi="宋体" w:cs="宋体"/>
          <w:b/>
          <w:szCs w:val="21"/>
          <w:highlight w:val="none"/>
        </w:rPr>
        <w:t>承诺函</w:t>
      </w:r>
    </w:p>
    <w:p>
      <w:pPr>
        <w:spacing w:line="360" w:lineRule="auto"/>
        <w:jc w:val="left"/>
        <w:rPr>
          <w:rFonts w:ascii="宋体" w:hAnsi="宋体" w:cs="宋体"/>
          <w:szCs w:val="21"/>
          <w:highlight w:val="none"/>
        </w:rPr>
      </w:pPr>
      <w:r>
        <w:rPr>
          <w:rFonts w:hint="eastAsia" w:ascii="宋体" w:hAnsi="宋体" w:cs="宋体"/>
          <w:b/>
          <w:kern w:val="0"/>
          <w:szCs w:val="21"/>
          <w:highlight w:val="none"/>
          <w:u w:val="single"/>
        </w:rPr>
        <w:t xml:space="preserve">嘉兴市南湖区消防救援大队 </w:t>
      </w:r>
      <w:r>
        <w:rPr>
          <w:rFonts w:hint="eastAsia" w:ascii="宋体" w:hAnsi="宋体" w:cs="宋体"/>
          <w:szCs w:val="21"/>
          <w:highlight w:val="none"/>
        </w:rPr>
        <w:t>：</w:t>
      </w:r>
    </w:p>
    <w:p>
      <w:pPr>
        <w:snapToGrid w:val="0"/>
        <w:spacing w:line="360" w:lineRule="auto"/>
        <w:ind w:firstLine="420" w:firstLineChars="200"/>
        <w:jc w:val="left"/>
        <w:rPr>
          <w:rFonts w:ascii="宋体" w:hAnsi="宋体" w:cs="宋体"/>
          <w:szCs w:val="21"/>
          <w:highlight w:val="none"/>
          <w:shd w:val="clear" w:color="auto" w:fill="FFFFFF"/>
        </w:rPr>
      </w:pPr>
    </w:p>
    <w:p>
      <w:pPr>
        <w:snapToGrid w:val="0"/>
        <w:spacing w:line="360" w:lineRule="auto"/>
        <w:ind w:right="42" w:rightChars="20" w:firstLine="420" w:firstLineChars="200"/>
        <w:rPr>
          <w:rFonts w:ascii="宋体" w:hAnsi="宋体" w:cs="宋体"/>
          <w:highlight w:val="none"/>
        </w:rPr>
      </w:pPr>
      <w:r>
        <w:rPr>
          <w:rFonts w:hint="eastAsia" w:ascii="宋体" w:hAnsi="宋体" w:cs="宋体"/>
          <w:szCs w:val="21"/>
          <w:highlight w:val="none"/>
          <w:shd w:val="clear" w:color="auto" w:fill="FFFFFF"/>
        </w:rPr>
        <w:t>本公司（公司名称）参加</w:t>
      </w:r>
      <w:r>
        <w:rPr>
          <w:rFonts w:hint="eastAsia" w:ascii="宋体" w:hAnsi="宋体" w:cs="宋体"/>
          <w:b/>
          <w:highlight w:val="none"/>
        </w:rPr>
        <w:t xml:space="preserve">浙江省嘉兴支队南湖区消防救援大队 2024 年度食堂大宗物品配送采购项目 </w:t>
      </w:r>
      <w:r>
        <w:rPr>
          <w:rFonts w:hint="eastAsia" w:ascii="宋体" w:hAnsi="宋体" w:cs="宋体"/>
          <w:szCs w:val="21"/>
          <w:highlight w:val="none"/>
          <w:shd w:val="clear" w:color="auto" w:fill="FFFFFF"/>
        </w:rPr>
        <w:t>投标活动，现承诺如下：</w:t>
      </w:r>
    </w:p>
    <w:p>
      <w:pPr>
        <w:snapToGrid w:val="0"/>
        <w:spacing w:line="360" w:lineRule="auto"/>
        <w:ind w:right="42" w:rightChars="20"/>
        <w:rPr>
          <w:rFonts w:ascii="宋体" w:hAnsi="宋体" w:cs="宋体"/>
          <w:szCs w:val="21"/>
          <w:highlight w:val="none"/>
        </w:rPr>
      </w:pPr>
      <w:r>
        <w:rPr>
          <w:rFonts w:hint="eastAsia" w:ascii="宋体" w:hAnsi="宋体" w:cs="宋体"/>
          <w:szCs w:val="21"/>
          <w:highlight w:val="none"/>
        </w:rPr>
        <w:t>（1）提供具有独立承担民事责任的能力；</w:t>
      </w:r>
    </w:p>
    <w:p>
      <w:pPr>
        <w:snapToGrid w:val="0"/>
        <w:spacing w:line="360" w:lineRule="auto"/>
        <w:ind w:right="42" w:rightChars="20"/>
        <w:rPr>
          <w:rFonts w:ascii="宋体" w:hAnsi="宋体" w:cs="宋体"/>
          <w:szCs w:val="21"/>
          <w:highlight w:val="none"/>
        </w:rPr>
      </w:pPr>
      <w:r>
        <w:rPr>
          <w:rFonts w:hint="eastAsia" w:ascii="宋体" w:hAnsi="宋体" w:cs="宋体"/>
          <w:szCs w:val="21"/>
          <w:highlight w:val="none"/>
        </w:rPr>
        <w:t>（2）具有良好的商业信誉和健全的财务会计制度；</w:t>
      </w:r>
    </w:p>
    <w:p>
      <w:pPr>
        <w:snapToGrid w:val="0"/>
        <w:spacing w:line="360" w:lineRule="auto"/>
        <w:ind w:right="42" w:rightChars="20"/>
        <w:rPr>
          <w:rFonts w:ascii="宋体" w:hAnsi="宋体" w:cs="宋体"/>
          <w:szCs w:val="21"/>
          <w:highlight w:val="none"/>
        </w:rPr>
      </w:pPr>
      <w:r>
        <w:rPr>
          <w:rFonts w:hint="eastAsia" w:ascii="宋体" w:hAnsi="宋体" w:cs="宋体"/>
          <w:szCs w:val="21"/>
          <w:highlight w:val="none"/>
        </w:rPr>
        <w:t>（3）具有履行合同所必需的设备和专业技术能力；</w:t>
      </w:r>
    </w:p>
    <w:p>
      <w:pPr>
        <w:snapToGrid w:val="0"/>
        <w:spacing w:line="360" w:lineRule="auto"/>
        <w:ind w:right="42" w:rightChars="20"/>
        <w:rPr>
          <w:rFonts w:ascii="宋体" w:hAnsi="宋体" w:cs="宋体"/>
          <w:szCs w:val="21"/>
          <w:highlight w:val="none"/>
        </w:rPr>
      </w:pPr>
      <w:r>
        <w:rPr>
          <w:rFonts w:hint="eastAsia" w:ascii="宋体" w:hAnsi="宋体" w:cs="宋体"/>
          <w:szCs w:val="21"/>
          <w:highlight w:val="none"/>
        </w:rPr>
        <w:t>（4）有依法缴纳税收和社会保障资金的良好记录；</w:t>
      </w:r>
    </w:p>
    <w:p>
      <w:pPr>
        <w:snapToGrid w:val="0"/>
        <w:spacing w:line="360" w:lineRule="auto"/>
        <w:ind w:right="42" w:rightChars="20"/>
        <w:rPr>
          <w:rFonts w:ascii="宋体" w:hAnsi="宋体" w:cs="宋体"/>
          <w:szCs w:val="21"/>
          <w:highlight w:val="none"/>
        </w:rPr>
      </w:pPr>
      <w:r>
        <w:rPr>
          <w:rFonts w:hint="eastAsia" w:ascii="宋体" w:hAnsi="宋体" w:cs="宋体"/>
          <w:szCs w:val="21"/>
          <w:highlight w:val="none"/>
        </w:rPr>
        <w:t>（5）参加政府采购活动前三年，在经营活动中没有重大违法记录、自招标公告发布之日起至投标截止日内任意时间的“信用中国”网站（www.creditchina.gov.cn）（未被信用中国网站</w:t>
      </w:r>
      <w:r>
        <w:rPr>
          <w:highlight w:val="none"/>
        </w:rPr>
        <w:fldChar w:fldCharType="begin"/>
      </w:r>
      <w:r>
        <w:rPr>
          <w:highlight w:val="none"/>
        </w:rPr>
        <w:instrText xml:space="preserve"> HYPERLINK \t "_blank" </w:instrText>
      </w:r>
      <w:r>
        <w:rPr>
          <w:highlight w:val="none"/>
        </w:rPr>
        <w:fldChar w:fldCharType="separate"/>
      </w:r>
      <w:r>
        <w:rPr>
          <w:rFonts w:hint="eastAsia" w:ascii="宋体" w:hAnsi="宋体" w:cs="宋体"/>
          <w:highlight w:val="none"/>
        </w:rPr>
        <w:t>列入失信被执行人、重大税收违法案件当事人名单</w:t>
      </w:r>
      <w:r>
        <w:rPr>
          <w:rFonts w:hint="eastAsia" w:ascii="宋体" w:hAnsi="宋体" w:cs="宋体"/>
          <w:highlight w:val="none"/>
        </w:rPr>
        <w:fldChar w:fldCharType="end"/>
      </w:r>
      <w:r>
        <w:rPr>
          <w:rFonts w:hint="eastAsia" w:ascii="宋体" w:hAnsi="宋体" w:cs="宋体"/>
          <w:szCs w:val="21"/>
          <w:highlight w:val="none"/>
        </w:rPr>
        <w:t>的）、中国政府采购网（www.ccgp.gov.cn）（未被中国政府采购网</w:t>
      </w:r>
      <w:r>
        <w:rPr>
          <w:highlight w:val="none"/>
        </w:rPr>
        <w:fldChar w:fldCharType="begin"/>
      </w:r>
      <w:r>
        <w:rPr>
          <w:highlight w:val="none"/>
        </w:rPr>
        <w:instrText xml:space="preserve"> HYPERLINK \t "_blank" </w:instrText>
      </w:r>
      <w:r>
        <w:rPr>
          <w:highlight w:val="none"/>
        </w:rPr>
        <w:fldChar w:fldCharType="separate"/>
      </w:r>
      <w:r>
        <w:rPr>
          <w:rFonts w:hint="eastAsia" w:ascii="宋体" w:hAnsi="宋体" w:cs="宋体"/>
          <w:highlight w:val="none"/>
        </w:rPr>
        <w:t>列入政府采购严重违法失信行为记录名单</w:t>
      </w:r>
      <w:r>
        <w:rPr>
          <w:rFonts w:hint="eastAsia" w:ascii="宋体" w:hAnsi="宋体" w:cs="宋体"/>
          <w:highlight w:val="none"/>
        </w:rPr>
        <w:fldChar w:fldCharType="end"/>
      </w:r>
      <w:r>
        <w:rPr>
          <w:rFonts w:hint="eastAsia" w:ascii="宋体" w:hAnsi="宋体" w:cs="宋体"/>
          <w:szCs w:val="21"/>
          <w:highlight w:val="none"/>
        </w:rPr>
        <w:t>的）也没有因违反《浙江省政府采购投标人注册及诚信管理暂行办法》被列入“黑名单”，正在处罚有效期；</w:t>
      </w:r>
    </w:p>
    <w:p>
      <w:pPr>
        <w:snapToGrid w:val="0"/>
        <w:spacing w:line="360" w:lineRule="auto"/>
        <w:ind w:right="42" w:rightChars="20" w:firstLine="420" w:firstLineChars="200"/>
        <w:jc w:val="left"/>
        <w:rPr>
          <w:rFonts w:ascii="宋体" w:hAnsi="宋体" w:cs="宋体"/>
          <w:szCs w:val="21"/>
          <w:highlight w:val="none"/>
        </w:rPr>
      </w:pPr>
    </w:p>
    <w:p>
      <w:pPr>
        <w:pStyle w:val="2"/>
        <w:rPr>
          <w:rFonts w:ascii="宋体" w:hAnsi="宋体" w:eastAsia="宋体" w:cs="宋体"/>
          <w:highlight w:val="none"/>
        </w:rPr>
      </w:pPr>
    </w:p>
    <w:p>
      <w:pPr>
        <w:snapToGrid w:val="0"/>
        <w:spacing w:line="360" w:lineRule="auto"/>
        <w:ind w:right="42" w:rightChars="20"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如违反以上承诺，本公司愿承担一切法律责任。</w:t>
      </w:r>
    </w:p>
    <w:p>
      <w:pPr>
        <w:pStyle w:val="2"/>
        <w:rPr>
          <w:rFonts w:ascii="宋体" w:hAnsi="宋体" w:eastAsia="宋体" w:cs="宋体"/>
          <w:highlight w:val="none"/>
        </w:rPr>
      </w:pPr>
    </w:p>
    <w:p>
      <w:pPr>
        <w:pStyle w:val="2"/>
        <w:rPr>
          <w:rFonts w:ascii="宋体" w:hAnsi="宋体" w:eastAsia="宋体" w:cs="宋体"/>
          <w:highlight w:val="none"/>
        </w:rPr>
      </w:pPr>
    </w:p>
    <w:p>
      <w:pPr>
        <w:snapToGrid w:val="0"/>
        <w:spacing w:line="360" w:lineRule="auto"/>
        <w:ind w:right="42" w:rightChars="20" w:firstLine="420" w:firstLineChars="200"/>
        <w:jc w:val="left"/>
        <w:rPr>
          <w:rFonts w:ascii="宋体" w:hAnsi="宋体" w:cs="宋体"/>
          <w:highlight w:val="none"/>
        </w:rPr>
      </w:pPr>
      <w:r>
        <w:rPr>
          <w:rFonts w:hint="eastAsia" w:ascii="宋体" w:hAnsi="宋体" w:cs="宋体"/>
          <w:szCs w:val="21"/>
          <w:highlight w:val="none"/>
          <w:shd w:val="clear" w:color="auto" w:fill="FFFFFF"/>
        </w:rPr>
        <w:t>投标人名称：（投标人公章）</w:t>
      </w:r>
    </w:p>
    <w:p>
      <w:pPr>
        <w:snapToGrid w:val="0"/>
        <w:spacing w:line="360" w:lineRule="auto"/>
        <w:ind w:right="42" w:rightChars="20" w:firstLine="420" w:firstLineChars="200"/>
        <w:jc w:val="left"/>
        <w:rPr>
          <w:rFonts w:ascii="宋体" w:hAnsi="宋体" w:cs="宋体"/>
          <w:highlight w:val="none"/>
        </w:rPr>
      </w:pPr>
      <w:r>
        <w:rPr>
          <w:rFonts w:hint="eastAsia" w:ascii="宋体" w:hAnsi="宋体" w:cs="宋体"/>
          <w:szCs w:val="21"/>
          <w:highlight w:val="none"/>
        </w:rPr>
        <w:t>法定代表人或其授权代表签字（或盖章）</w:t>
      </w:r>
      <w:r>
        <w:rPr>
          <w:rFonts w:hint="eastAsia" w:ascii="宋体" w:hAnsi="宋体" w:cs="宋体"/>
          <w:szCs w:val="21"/>
          <w:highlight w:val="none"/>
          <w:shd w:val="clear" w:color="auto" w:fill="FFFFFF"/>
        </w:rPr>
        <w:t>：</w:t>
      </w:r>
    </w:p>
    <w:p>
      <w:pPr>
        <w:snapToGrid w:val="0"/>
        <w:spacing w:line="360" w:lineRule="auto"/>
        <w:ind w:right="42" w:rightChars="20" w:firstLine="420" w:firstLineChars="200"/>
        <w:jc w:val="left"/>
        <w:rPr>
          <w:rFonts w:ascii="宋体" w:hAnsi="宋体" w:cs="宋体"/>
          <w:szCs w:val="21"/>
          <w:highlight w:val="none"/>
          <w:u w:val="single"/>
        </w:rPr>
      </w:pPr>
      <w:r>
        <w:rPr>
          <w:rFonts w:hint="eastAsia" w:ascii="宋体" w:hAnsi="宋体" w:cs="宋体"/>
          <w:szCs w:val="21"/>
          <w:highlight w:val="none"/>
          <w:shd w:val="clear" w:color="auto" w:fill="FFFFFF"/>
        </w:rPr>
        <w:t>投标日期： 年 月 日</w:t>
      </w:r>
    </w:p>
    <w:p>
      <w:pPr>
        <w:rPr>
          <w:rFonts w:ascii="宋体" w:hAnsi="宋体" w:cs="宋体"/>
          <w:szCs w:val="21"/>
          <w:highlight w:val="none"/>
        </w:rPr>
      </w:pPr>
      <w:r>
        <w:rPr>
          <w:rFonts w:hint="eastAsia" w:ascii="宋体" w:hAnsi="宋体" w:cs="宋体"/>
          <w:szCs w:val="21"/>
          <w:highlight w:val="none"/>
        </w:rPr>
        <w:br w:type="page"/>
      </w:r>
    </w:p>
    <w:p>
      <w:pPr>
        <w:widowControl/>
        <w:rPr>
          <w:rFonts w:ascii="宋体" w:hAnsi="宋体" w:cs="宋体"/>
          <w:b/>
          <w:szCs w:val="21"/>
          <w:highlight w:val="none"/>
        </w:rPr>
      </w:pPr>
      <w:r>
        <w:rPr>
          <w:rFonts w:hint="eastAsia" w:ascii="宋体" w:hAnsi="宋体" w:cs="宋体"/>
          <w:b/>
          <w:szCs w:val="21"/>
          <w:highlight w:val="none"/>
        </w:rPr>
        <w:t>中小企业声明函</w:t>
      </w:r>
    </w:p>
    <w:p>
      <w:pPr>
        <w:widowControl/>
        <w:jc w:val="center"/>
        <w:rPr>
          <w:rFonts w:ascii="宋体" w:hAnsi="宋体" w:cs="宋体"/>
          <w:b/>
          <w:szCs w:val="21"/>
          <w:highlight w:val="none"/>
        </w:rPr>
      </w:pPr>
    </w:p>
    <w:p>
      <w:pPr>
        <w:widowControl/>
        <w:jc w:val="center"/>
        <w:rPr>
          <w:rFonts w:ascii="宋体" w:hAnsi="宋体" w:cs="宋体"/>
          <w:b/>
          <w:szCs w:val="21"/>
          <w:highlight w:val="none"/>
        </w:rPr>
      </w:pPr>
      <w:r>
        <w:rPr>
          <w:rFonts w:hint="eastAsia" w:ascii="宋体" w:hAnsi="宋体" w:cs="宋体"/>
          <w:b/>
          <w:szCs w:val="21"/>
          <w:highlight w:val="none"/>
        </w:rPr>
        <w:t>中小企业声明函（工程、服务）</w:t>
      </w:r>
    </w:p>
    <w:p>
      <w:pPr>
        <w:widowControl/>
        <w:spacing w:line="400" w:lineRule="exact"/>
        <w:jc w:val="center"/>
        <w:rPr>
          <w:rFonts w:ascii="宋体" w:hAnsi="宋体" w:cs="宋体"/>
          <w:b/>
          <w:sz w:val="36"/>
          <w:szCs w:val="36"/>
          <w:highlight w:val="none"/>
        </w:rPr>
      </w:pPr>
    </w:p>
    <w:p>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 xml:space="preserve">本公司（联合体）郑重声明，根据《政府采购促进中小企业发展管理办法》（财库﹝2020﹞ </w:t>
      </w:r>
    </w:p>
    <w:p>
      <w:pPr>
        <w:widowControl/>
        <w:spacing w:line="360" w:lineRule="auto"/>
        <w:jc w:val="left"/>
        <w:rPr>
          <w:rFonts w:ascii="宋体" w:hAnsi="宋体" w:cs="宋体"/>
          <w:szCs w:val="21"/>
          <w:highlight w:val="none"/>
        </w:rPr>
      </w:pPr>
      <w:r>
        <w:rPr>
          <w:rFonts w:hint="eastAsia" w:ascii="宋体" w:hAnsi="宋体" w:cs="宋体"/>
          <w:kern w:val="0"/>
          <w:szCs w:val="21"/>
          <w:highlight w:val="none"/>
        </w:rPr>
        <w:t xml:space="preserve">46 号）的规定，本公司 （联合体）参加 </w:t>
      </w:r>
      <w:r>
        <w:rPr>
          <w:rFonts w:hint="eastAsia" w:ascii="宋体" w:hAnsi="宋体" w:cs="宋体"/>
          <w:kern w:val="0"/>
          <w:szCs w:val="21"/>
          <w:highlight w:val="none"/>
          <w:u w:val="single"/>
        </w:rPr>
        <w:t xml:space="preserve">  （单位名称）  </w:t>
      </w:r>
      <w:r>
        <w:rPr>
          <w:rFonts w:hint="eastAsia" w:ascii="宋体" w:hAnsi="宋体" w:cs="宋体"/>
          <w:kern w:val="0"/>
          <w:szCs w:val="21"/>
          <w:highlight w:val="none"/>
        </w:rPr>
        <w:t xml:space="preserve">的 </w:t>
      </w: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 xml:space="preserve">采购活动，工程的施工单位全部为符合政策要求的中小企业（或者：服务全部由符合政策要求的 </w:t>
      </w:r>
    </w:p>
    <w:p>
      <w:pPr>
        <w:widowControl/>
        <w:spacing w:line="360" w:lineRule="auto"/>
        <w:jc w:val="left"/>
        <w:rPr>
          <w:rFonts w:ascii="宋体" w:hAnsi="宋体" w:cs="宋体"/>
          <w:szCs w:val="21"/>
          <w:highlight w:val="none"/>
        </w:rPr>
      </w:pPr>
      <w:r>
        <w:rPr>
          <w:rFonts w:hint="eastAsia" w:ascii="宋体" w:hAnsi="宋体" w:cs="宋体"/>
          <w:kern w:val="0"/>
          <w:szCs w:val="21"/>
          <w:highlight w:val="none"/>
        </w:rPr>
        <w:t xml:space="preserve">中小企业承接）。相关企业 （含联合体中的中小企业、签订分包意向协议的中小企业） 的 </w:t>
      </w:r>
    </w:p>
    <w:p>
      <w:pPr>
        <w:widowControl/>
        <w:spacing w:line="360" w:lineRule="auto"/>
        <w:jc w:val="left"/>
        <w:rPr>
          <w:rFonts w:ascii="宋体" w:hAnsi="宋体" w:cs="宋体"/>
          <w:szCs w:val="21"/>
          <w:highlight w:val="none"/>
        </w:rPr>
      </w:pPr>
      <w:r>
        <w:rPr>
          <w:rFonts w:hint="eastAsia" w:ascii="宋体" w:hAnsi="宋体" w:cs="宋体"/>
          <w:kern w:val="0"/>
          <w:szCs w:val="21"/>
          <w:highlight w:val="none"/>
        </w:rPr>
        <w:t xml:space="preserve">具体情况如下： </w:t>
      </w:r>
    </w:p>
    <w:p>
      <w:pPr>
        <w:widowControl/>
        <w:spacing w:line="360" w:lineRule="auto"/>
        <w:ind w:firstLine="420" w:firstLineChars="200"/>
        <w:jc w:val="left"/>
        <w:rPr>
          <w:rFonts w:ascii="宋体" w:hAnsi="宋体" w:cs="宋体"/>
          <w:szCs w:val="21"/>
          <w:highlight w:val="none"/>
          <w:u w:val="single"/>
        </w:rPr>
      </w:pPr>
      <w:r>
        <w:rPr>
          <w:rFonts w:hint="eastAsia" w:ascii="宋体" w:hAnsi="宋体" w:cs="宋体"/>
          <w:kern w:val="0"/>
          <w:szCs w:val="21"/>
          <w:highlight w:val="none"/>
        </w:rPr>
        <w:t xml:space="preserve">1. </w:t>
      </w:r>
      <w:r>
        <w:rPr>
          <w:rFonts w:hint="eastAsia" w:ascii="宋体" w:hAnsi="宋体" w:cs="宋体"/>
          <w:kern w:val="0"/>
          <w:szCs w:val="21"/>
          <w:highlight w:val="none"/>
          <w:u w:val="single"/>
        </w:rPr>
        <w:t xml:space="preserve">（标的名称） </w:t>
      </w:r>
      <w:r>
        <w:rPr>
          <w:rFonts w:hint="eastAsia" w:ascii="宋体" w:hAnsi="宋体" w:cs="宋体"/>
          <w:kern w:val="0"/>
          <w:szCs w:val="21"/>
          <w:highlight w:val="none"/>
        </w:rPr>
        <w:t>，属于</w:t>
      </w:r>
      <w:r>
        <w:rPr>
          <w:rFonts w:hint="eastAsia" w:ascii="宋体" w:hAnsi="宋体" w:cs="宋体"/>
          <w:kern w:val="0"/>
          <w:szCs w:val="21"/>
          <w:highlight w:val="none"/>
          <w:u w:val="single"/>
        </w:rPr>
        <w:t>（采购文件中明确的所属行业）行业</w:t>
      </w:r>
      <w:r>
        <w:rPr>
          <w:rFonts w:hint="eastAsia" w:ascii="宋体" w:hAnsi="宋体" w:cs="宋体"/>
          <w:kern w:val="0"/>
          <w:szCs w:val="21"/>
          <w:highlight w:val="none"/>
        </w:rPr>
        <w:t>；承建（承接）企业为</w:t>
      </w:r>
      <w:r>
        <w:rPr>
          <w:rFonts w:hint="eastAsia" w:ascii="宋体" w:hAnsi="宋体" w:cs="宋体"/>
          <w:kern w:val="0"/>
          <w:szCs w:val="21"/>
          <w:highlight w:val="none"/>
          <w:u w:val="single"/>
        </w:rPr>
        <w:t xml:space="preserve">（企 </w:t>
      </w:r>
    </w:p>
    <w:p>
      <w:pPr>
        <w:widowControl/>
        <w:spacing w:line="360" w:lineRule="auto"/>
        <w:jc w:val="left"/>
        <w:rPr>
          <w:rFonts w:ascii="宋体" w:hAnsi="宋体" w:cs="宋体"/>
          <w:szCs w:val="21"/>
          <w:highlight w:val="none"/>
        </w:rPr>
      </w:pPr>
      <w:r>
        <w:rPr>
          <w:rFonts w:hint="eastAsia" w:ascii="宋体" w:hAnsi="宋体" w:cs="宋体"/>
          <w:kern w:val="0"/>
          <w:szCs w:val="21"/>
          <w:highlight w:val="none"/>
          <w:u w:val="single"/>
        </w:rPr>
        <w:t>业名称）</w:t>
      </w:r>
      <w:r>
        <w:rPr>
          <w:rFonts w:hint="eastAsia" w:ascii="宋体" w:hAnsi="宋体" w:cs="宋体"/>
          <w:kern w:val="0"/>
          <w:szCs w:val="21"/>
          <w:highlight w:val="none"/>
        </w:rPr>
        <w:t>，从业人员</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人，营业收入为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万元，资产总额为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万元，属于</w:t>
      </w:r>
      <w:r>
        <w:rPr>
          <w:rFonts w:hint="eastAsia" w:ascii="宋体" w:hAnsi="宋体" w:cs="宋体"/>
          <w:kern w:val="0"/>
          <w:szCs w:val="21"/>
          <w:highlight w:val="none"/>
          <w:u w:val="single"/>
        </w:rPr>
        <w:t>（中型企业、小型企业、微型企业）</w:t>
      </w:r>
      <w:r>
        <w:rPr>
          <w:rFonts w:hint="eastAsia" w:ascii="宋体" w:hAnsi="宋体" w:cs="宋体"/>
          <w:kern w:val="0"/>
          <w:szCs w:val="21"/>
          <w:highlight w:val="none"/>
        </w:rPr>
        <w:t xml:space="preserve">； </w:t>
      </w:r>
    </w:p>
    <w:p>
      <w:pPr>
        <w:widowControl/>
        <w:spacing w:line="360" w:lineRule="auto"/>
        <w:ind w:firstLine="420" w:firstLineChars="200"/>
        <w:jc w:val="left"/>
        <w:rPr>
          <w:rFonts w:ascii="宋体" w:hAnsi="宋体" w:cs="宋体"/>
          <w:szCs w:val="21"/>
          <w:highlight w:val="none"/>
          <w:u w:val="single"/>
        </w:rPr>
      </w:pPr>
      <w:r>
        <w:rPr>
          <w:rFonts w:hint="eastAsia" w:ascii="宋体" w:hAnsi="宋体" w:cs="宋体"/>
          <w:kern w:val="0"/>
          <w:szCs w:val="21"/>
          <w:highlight w:val="none"/>
        </w:rPr>
        <w:t xml:space="preserve">2. </w:t>
      </w:r>
      <w:r>
        <w:rPr>
          <w:rFonts w:hint="eastAsia" w:ascii="宋体" w:hAnsi="宋体" w:cs="宋体"/>
          <w:kern w:val="0"/>
          <w:szCs w:val="21"/>
          <w:highlight w:val="none"/>
          <w:u w:val="single"/>
        </w:rPr>
        <w:t xml:space="preserve">（标的名称） </w:t>
      </w:r>
      <w:r>
        <w:rPr>
          <w:rFonts w:hint="eastAsia" w:ascii="宋体" w:hAnsi="宋体" w:cs="宋体"/>
          <w:kern w:val="0"/>
          <w:szCs w:val="21"/>
          <w:highlight w:val="none"/>
        </w:rPr>
        <w:t>，属于（采购文件中明确的所属行业）行业；承建（承接）企业为</w:t>
      </w:r>
      <w:r>
        <w:rPr>
          <w:rFonts w:hint="eastAsia" w:ascii="宋体" w:hAnsi="宋体" w:cs="宋体"/>
          <w:kern w:val="0"/>
          <w:szCs w:val="21"/>
          <w:highlight w:val="none"/>
          <w:u w:val="single"/>
        </w:rPr>
        <w:t xml:space="preserve">（企 </w:t>
      </w:r>
    </w:p>
    <w:p>
      <w:pPr>
        <w:widowControl/>
        <w:spacing w:line="360" w:lineRule="auto"/>
        <w:jc w:val="left"/>
        <w:rPr>
          <w:rFonts w:ascii="宋体" w:hAnsi="宋体" w:cs="宋体"/>
          <w:szCs w:val="21"/>
          <w:highlight w:val="none"/>
        </w:rPr>
      </w:pPr>
      <w:r>
        <w:rPr>
          <w:rFonts w:hint="eastAsia" w:ascii="宋体" w:hAnsi="宋体" w:cs="宋体"/>
          <w:kern w:val="0"/>
          <w:szCs w:val="21"/>
          <w:highlight w:val="none"/>
          <w:u w:val="single"/>
        </w:rPr>
        <w:t xml:space="preserve">业名称） </w:t>
      </w:r>
      <w:r>
        <w:rPr>
          <w:rFonts w:hint="eastAsia" w:ascii="宋体" w:hAnsi="宋体" w:cs="宋体"/>
          <w:kern w:val="0"/>
          <w:szCs w:val="21"/>
          <w:highlight w:val="none"/>
        </w:rPr>
        <w:t>，从业人员</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人，营业收入为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万元，资产总额为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万元，属于</w:t>
      </w:r>
      <w:r>
        <w:rPr>
          <w:rFonts w:hint="eastAsia" w:ascii="宋体" w:hAnsi="宋体" w:cs="宋体"/>
          <w:kern w:val="0"/>
          <w:szCs w:val="21"/>
          <w:highlight w:val="none"/>
          <w:u w:val="single"/>
        </w:rPr>
        <w:t>（中型企业、小型企业、微型企业）</w:t>
      </w:r>
      <w:r>
        <w:rPr>
          <w:rFonts w:hint="eastAsia" w:ascii="宋体" w:hAnsi="宋体" w:cs="宋体"/>
          <w:kern w:val="0"/>
          <w:szCs w:val="21"/>
          <w:highlight w:val="none"/>
        </w:rPr>
        <w:t xml:space="preserve">； </w:t>
      </w:r>
    </w:p>
    <w:p>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 xml:space="preserve">....... </w:t>
      </w:r>
    </w:p>
    <w:p>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 xml:space="preserve">以上企业，不属于大企业的分支机构，不存在控股股东为大企业的情形，也不存在与大 </w:t>
      </w:r>
    </w:p>
    <w:p>
      <w:pPr>
        <w:widowControl/>
        <w:spacing w:line="360" w:lineRule="auto"/>
        <w:jc w:val="left"/>
        <w:rPr>
          <w:rFonts w:ascii="宋体" w:hAnsi="宋体" w:cs="宋体"/>
          <w:szCs w:val="21"/>
          <w:highlight w:val="none"/>
        </w:rPr>
      </w:pPr>
      <w:r>
        <w:rPr>
          <w:rFonts w:hint="eastAsia" w:ascii="宋体" w:hAnsi="宋体" w:cs="宋体"/>
          <w:kern w:val="0"/>
          <w:szCs w:val="21"/>
          <w:highlight w:val="none"/>
        </w:rPr>
        <w:t xml:space="preserve">企业的负责人为同一人的情形。 </w:t>
      </w:r>
    </w:p>
    <w:p>
      <w:pPr>
        <w:spacing w:line="360" w:lineRule="auto"/>
        <w:rPr>
          <w:rFonts w:ascii="宋体" w:hAnsi="宋体" w:cs="宋体"/>
          <w:b/>
          <w:szCs w:val="21"/>
          <w:highlight w:val="none"/>
        </w:rPr>
      </w:pPr>
      <w:r>
        <w:rPr>
          <w:rFonts w:hint="eastAsia" w:ascii="宋体" w:hAnsi="宋体" w:cs="宋体"/>
          <w:kern w:val="0"/>
          <w:szCs w:val="21"/>
          <w:highlight w:val="none"/>
        </w:rPr>
        <w:t>本企业对上述声明内容的真实性负责。如有虚假，将依法承担相应责任。</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jc w:val="center"/>
        <w:rPr>
          <w:rFonts w:ascii="宋体" w:hAnsi="宋体" w:cs="宋体"/>
          <w:b/>
          <w:szCs w:val="21"/>
          <w:highlight w:val="none"/>
        </w:rPr>
      </w:pPr>
      <w:r>
        <w:rPr>
          <w:rFonts w:hint="eastAsia" w:ascii="宋体" w:hAnsi="宋体" w:cs="宋体"/>
          <w:b/>
          <w:szCs w:val="21"/>
          <w:highlight w:val="none"/>
        </w:rPr>
        <w:t>投标人（公章）:</w:t>
      </w:r>
    </w:p>
    <w:p>
      <w:pPr>
        <w:spacing w:line="360" w:lineRule="auto"/>
        <w:ind w:firstLine="211" w:firstLineChars="100"/>
        <w:jc w:val="center"/>
        <w:rPr>
          <w:rFonts w:ascii="宋体" w:hAnsi="宋体" w:cs="宋体"/>
          <w:b/>
          <w:szCs w:val="21"/>
          <w:highlight w:val="none"/>
        </w:rPr>
      </w:pPr>
      <w:r>
        <w:rPr>
          <w:rFonts w:hint="eastAsia" w:ascii="宋体" w:hAnsi="宋体" w:cs="宋体"/>
          <w:b/>
          <w:szCs w:val="21"/>
          <w:highlight w:val="none"/>
        </w:rPr>
        <w:t>日 期：    年  月  日</w:t>
      </w:r>
    </w:p>
    <w:p>
      <w:pPr>
        <w:pStyle w:val="25"/>
        <w:snapToGrid w:val="0"/>
        <w:spacing w:line="360" w:lineRule="auto"/>
        <w:ind w:right="42" w:rightChars="20"/>
        <w:jc w:val="left"/>
        <w:rPr>
          <w:rFonts w:hAnsi="宋体" w:cs="宋体"/>
          <w:b/>
          <w:szCs w:val="21"/>
          <w:highlight w:val="none"/>
        </w:rPr>
      </w:pPr>
    </w:p>
    <w:p>
      <w:pPr>
        <w:spacing w:line="360" w:lineRule="auto"/>
        <w:rPr>
          <w:rFonts w:ascii="宋体" w:hAnsi="宋体"/>
          <w:szCs w:val="21"/>
          <w:highlight w:val="none"/>
        </w:rPr>
      </w:pPr>
      <w:r>
        <w:rPr>
          <w:rFonts w:hint="eastAsia" w:ascii="宋体" w:hAnsi="宋体"/>
          <w:szCs w:val="21"/>
          <w:highlight w:val="none"/>
        </w:rPr>
        <w:t>说明：从业人员、营业收入、资产总额填报上一年度数据，无上一年度数据的新成立企业可不填报。</w:t>
      </w:r>
    </w:p>
    <w:p>
      <w:pPr>
        <w:pStyle w:val="19"/>
        <w:rPr>
          <w:rFonts w:ascii="宋体" w:hAnsi="宋体" w:cs="宋体"/>
          <w:b/>
          <w:szCs w:val="21"/>
          <w:highlight w:val="none"/>
        </w:rPr>
      </w:pPr>
    </w:p>
    <w:p>
      <w:pPr>
        <w:rPr>
          <w:rFonts w:ascii="宋体" w:hAnsi="宋体" w:cs="宋体"/>
          <w:b/>
          <w:szCs w:val="21"/>
          <w:highlight w:val="none"/>
        </w:rPr>
      </w:pPr>
      <w:r>
        <w:rPr>
          <w:rFonts w:hint="eastAsia" w:ascii="宋体" w:hAnsi="宋体" w:cs="宋体"/>
          <w:b/>
          <w:szCs w:val="21"/>
          <w:highlight w:val="none"/>
        </w:rPr>
        <w:br w:type="page"/>
      </w:r>
    </w:p>
    <w:p>
      <w:pPr>
        <w:pStyle w:val="25"/>
        <w:snapToGrid w:val="0"/>
        <w:rPr>
          <w:rFonts w:hAnsi="宋体" w:cs="宋体"/>
          <w:b/>
          <w:szCs w:val="21"/>
          <w:highlight w:val="none"/>
        </w:rPr>
      </w:pPr>
      <w:r>
        <w:rPr>
          <w:rFonts w:hint="eastAsia" w:hAnsi="宋体" w:cs="宋体"/>
          <w:b/>
          <w:szCs w:val="21"/>
          <w:highlight w:val="none"/>
        </w:rPr>
        <w:t>残疾人福利性单位声明函</w:t>
      </w:r>
    </w:p>
    <w:p>
      <w:pPr>
        <w:widowControl/>
        <w:ind w:firstLine="420"/>
        <w:rPr>
          <w:rFonts w:ascii="宋体" w:hAnsi="宋体" w:cs="宋体"/>
          <w:b/>
          <w:szCs w:val="21"/>
          <w:highlight w:val="none"/>
        </w:rPr>
      </w:pPr>
    </w:p>
    <w:p>
      <w:pPr>
        <w:widowControl/>
        <w:ind w:firstLine="420"/>
        <w:jc w:val="center"/>
        <w:rPr>
          <w:rFonts w:ascii="宋体" w:hAnsi="宋体" w:cs="宋体"/>
          <w:b/>
          <w:szCs w:val="21"/>
          <w:highlight w:val="none"/>
        </w:rPr>
      </w:pPr>
      <w:r>
        <w:rPr>
          <w:rFonts w:hint="eastAsia" w:ascii="宋体" w:hAnsi="宋体" w:cs="宋体"/>
          <w:b/>
          <w:szCs w:val="21"/>
          <w:highlight w:val="none"/>
        </w:rPr>
        <w:t>残疾人福利性单位声明函</w:t>
      </w:r>
    </w:p>
    <w:p>
      <w:pPr>
        <w:widowControl/>
        <w:spacing w:line="360" w:lineRule="auto"/>
        <w:ind w:firstLine="420"/>
        <w:rPr>
          <w:rFonts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rPr>
          <w:rFonts w:ascii="宋体" w:hAnsi="宋体" w:cs="宋体"/>
          <w:szCs w:val="21"/>
          <w:highlight w:val="none"/>
        </w:rPr>
      </w:pPr>
      <w:r>
        <w:rPr>
          <w:rFonts w:hint="eastAsia" w:ascii="宋体" w:hAnsi="宋体" w:cs="宋体"/>
          <w:szCs w:val="21"/>
          <w:highlight w:val="none"/>
        </w:rPr>
        <w:t xml:space="preserve">  本单位对上述声明的真实性负责。如有虚假，将依法承担相应责任。</w:t>
      </w:r>
    </w:p>
    <w:p>
      <w:pPr>
        <w:pStyle w:val="2"/>
        <w:rPr>
          <w:rFonts w:ascii="宋体" w:hAnsi="宋体" w:eastAsia="宋体" w:cs="宋体"/>
          <w:szCs w:val="21"/>
          <w:highlight w:val="none"/>
        </w:rPr>
      </w:pPr>
    </w:p>
    <w:p>
      <w:pPr>
        <w:rPr>
          <w:rFonts w:ascii="宋体" w:hAnsi="宋体" w:cs="宋体"/>
          <w:highlight w:val="none"/>
        </w:rPr>
      </w:pPr>
    </w:p>
    <w:p>
      <w:pPr>
        <w:widowControl/>
        <w:spacing w:line="360" w:lineRule="auto"/>
        <w:ind w:firstLine="420"/>
        <w:rPr>
          <w:rFonts w:ascii="宋体" w:hAnsi="宋体" w:cs="宋体"/>
          <w:szCs w:val="21"/>
          <w:highlight w:val="none"/>
        </w:rPr>
      </w:pPr>
      <w:r>
        <w:rPr>
          <w:rFonts w:hint="eastAsia" w:ascii="宋体" w:hAnsi="宋体" w:cs="宋体"/>
          <w:szCs w:val="21"/>
          <w:highlight w:val="none"/>
        </w:rPr>
        <w:t xml:space="preserve">          投标人（公章）:                  日 期：</w:t>
      </w:r>
    </w:p>
    <w:p>
      <w:pPr>
        <w:ind w:firstLine="420"/>
        <w:rPr>
          <w:rFonts w:ascii="宋体" w:hAnsi="宋体" w:cs="宋体"/>
          <w:highlight w:val="none"/>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pPr>
        <w:ind w:firstLine="420"/>
        <w:rPr>
          <w:rFonts w:ascii="宋体" w:hAnsi="宋体" w:cs="宋体"/>
          <w:highlight w:val="none"/>
        </w:rPr>
      </w:pPr>
      <w:r>
        <w:rPr>
          <w:rFonts w:hint="eastAsia" w:ascii="宋体" w:hAnsi="宋体" w:cs="宋体"/>
          <w:highlight w:val="none"/>
        </w:rPr>
        <w:t>监狱企业证明文件</w:t>
      </w:r>
    </w:p>
    <w:p>
      <w:pPr>
        <w:ind w:firstLine="420"/>
        <w:jc w:val="center"/>
        <w:rPr>
          <w:rFonts w:ascii="宋体" w:hAnsi="宋体" w:cs="宋体"/>
          <w:b/>
          <w:szCs w:val="21"/>
          <w:highlight w:val="none"/>
        </w:rPr>
      </w:pPr>
      <w:r>
        <w:rPr>
          <w:rFonts w:hint="eastAsia" w:ascii="宋体" w:hAnsi="宋体" w:cs="宋体"/>
          <w:b/>
          <w:szCs w:val="21"/>
          <w:highlight w:val="none"/>
        </w:rPr>
        <w:t>监狱企业证明文件</w:t>
      </w:r>
    </w:p>
    <w:tbl>
      <w:tblPr>
        <w:tblStyle w:val="47"/>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pPr>
              <w:ind w:firstLine="420"/>
              <w:jc w:val="center"/>
              <w:rPr>
                <w:rFonts w:ascii="宋体" w:hAnsi="宋体" w:cs="宋体"/>
                <w:b/>
                <w:szCs w:val="21"/>
                <w:highlight w:val="none"/>
              </w:rPr>
            </w:pPr>
            <w:r>
              <w:rPr>
                <w:rFonts w:hint="eastAsia" w:ascii="宋体" w:hAnsi="宋体" w:cs="宋体"/>
                <w:b/>
                <w:szCs w:val="21"/>
                <w:highlight w:val="none"/>
              </w:rPr>
              <w:t>相关部门出具的监狱企业证明文件</w:t>
            </w:r>
          </w:p>
          <w:p>
            <w:pPr>
              <w:ind w:firstLine="420"/>
              <w:jc w:val="center"/>
              <w:rPr>
                <w:rFonts w:ascii="宋体" w:hAnsi="宋体" w:cs="宋体"/>
                <w:b/>
                <w:i/>
                <w:kern w:val="0"/>
                <w:szCs w:val="21"/>
                <w:highlight w:val="none"/>
              </w:rPr>
            </w:pPr>
            <w:r>
              <w:rPr>
                <w:rFonts w:hint="eastAsia" w:ascii="宋体" w:hAnsi="宋体" w:cs="宋体"/>
                <w:szCs w:val="21"/>
                <w:highlight w:val="none"/>
              </w:rPr>
              <w:t>（如是，提供</w:t>
            </w:r>
            <w:r>
              <w:rPr>
                <w:rFonts w:hint="eastAsia" w:ascii="宋体" w:hAnsi="宋体" w:cs="宋体"/>
                <w:kern w:val="0"/>
                <w:szCs w:val="21"/>
                <w:highlight w:val="none"/>
              </w:rPr>
              <w:t>复印件加盖投标供应商公章）</w:t>
            </w:r>
          </w:p>
        </w:tc>
      </w:tr>
    </w:tbl>
    <w:p>
      <w:pPr>
        <w:ind w:firstLine="420"/>
        <w:rPr>
          <w:rFonts w:ascii="宋体" w:hAnsi="宋体" w:cs="宋体"/>
          <w:i/>
          <w:szCs w:val="21"/>
          <w:highlight w:val="none"/>
        </w:rPr>
      </w:pPr>
    </w:p>
    <w:p>
      <w:pPr>
        <w:widowControl/>
        <w:spacing w:line="360" w:lineRule="auto"/>
        <w:ind w:firstLine="420"/>
        <w:rPr>
          <w:rFonts w:ascii="宋体" w:hAnsi="宋体" w:cs="宋体"/>
          <w:szCs w:val="21"/>
          <w:highlight w:val="none"/>
        </w:rPr>
      </w:pPr>
      <w:r>
        <w:rPr>
          <w:rFonts w:hint="eastAsia" w:ascii="宋体" w:hAnsi="宋体" w:cs="宋体"/>
          <w:szCs w:val="21"/>
          <w:highlight w:val="none"/>
        </w:rPr>
        <w:t xml:space="preserve"> 投标人（公章）:                  日 期：</w:t>
      </w:r>
    </w:p>
    <w:p>
      <w:pPr>
        <w:ind w:firstLine="420"/>
        <w:rPr>
          <w:rFonts w:ascii="宋体" w:hAnsi="宋体" w:cs="宋体"/>
          <w:highlight w:val="none"/>
        </w:rPr>
        <w:sectPr>
          <w:headerReference r:id="rId12" w:type="default"/>
          <w:footerReference r:id="rId13" w:type="default"/>
          <w:pgSz w:w="11906" w:h="16838"/>
          <w:pgMar w:top="1440" w:right="1800" w:bottom="1440" w:left="1800" w:header="851" w:footer="992" w:gutter="0"/>
          <w:cols w:space="720" w:num="1"/>
          <w:docGrid w:type="lines" w:linePitch="312" w:charSpace="0"/>
        </w:sectPr>
      </w:pPr>
    </w:p>
    <w:p>
      <w:pPr>
        <w:autoSpaceDE w:val="0"/>
        <w:autoSpaceDN w:val="0"/>
        <w:jc w:val="center"/>
        <w:rPr>
          <w:rFonts w:ascii="宋体" w:hAnsi="宋体" w:cs="宋体"/>
          <w:b/>
          <w:spacing w:val="6"/>
          <w:sz w:val="32"/>
          <w:szCs w:val="32"/>
          <w:highlight w:val="none"/>
        </w:rPr>
      </w:pP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投标人的类似成功案例的业绩证明文件：</w:t>
      </w:r>
    </w:p>
    <w:p>
      <w:pPr>
        <w:pStyle w:val="34"/>
        <w:snapToGrid w:val="0"/>
        <w:spacing w:line="360" w:lineRule="auto"/>
        <w:ind w:left="0" w:firstLine="420" w:firstLineChars="200"/>
        <w:jc w:val="left"/>
        <w:rPr>
          <w:rFonts w:ascii="宋体" w:hAnsi="宋体" w:cs="宋体"/>
          <w:szCs w:val="21"/>
          <w:highlight w:val="none"/>
        </w:rPr>
      </w:pPr>
      <w:r>
        <w:rPr>
          <w:rFonts w:hint="eastAsia" w:ascii="宋体" w:hAnsi="宋体" w:cs="宋体"/>
          <w:szCs w:val="21"/>
          <w:highlight w:val="none"/>
        </w:rPr>
        <w:t>投标人同类项目实施情况一览表格式：（投标人同类项目合同复印件）</w:t>
      </w:r>
    </w:p>
    <w:tbl>
      <w:tblPr>
        <w:tblStyle w:val="47"/>
        <w:tblW w:w="142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1" w:hRule="atLeast"/>
        </w:trPr>
        <w:tc>
          <w:tcPr>
            <w:tcW w:w="2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采购</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合同</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金额</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（万元）</w:t>
            </w:r>
          </w:p>
        </w:tc>
        <w:tc>
          <w:tcPr>
            <w:tcW w:w="1517" w:type="dxa"/>
            <w:tcBorders>
              <w:top w:val="single" w:color="auto" w:sz="4" w:space="0"/>
              <w:left w:val="single" w:color="auto" w:sz="4" w:space="0"/>
              <w:right w:val="single" w:color="auto" w:sz="4" w:space="0"/>
            </w:tcBorders>
            <w:vAlign w:val="center"/>
          </w:tcPr>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附件页码</w:t>
            </w:r>
          </w:p>
          <w:p>
            <w:pPr>
              <w:snapToGrid w:val="0"/>
              <w:spacing w:line="360" w:lineRule="auto"/>
              <w:ind w:firstLine="420" w:firstLineChars="200"/>
              <w:jc w:val="left"/>
              <w:rPr>
                <w:rFonts w:ascii="宋体" w:hAnsi="宋体" w:cs="宋体"/>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采购单位联系人及</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r>
    </w:tbl>
    <w:p>
      <w:pPr>
        <w:pStyle w:val="15"/>
        <w:snapToGrid w:val="0"/>
        <w:spacing w:before="0" w:after="0" w:line="360" w:lineRule="auto"/>
        <w:ind w:firstLine="420" w:firstLineChars="200"/>
        <w:jc w:val="left"/>
        <w:rPr>
          <w:rFonts w:ascii="宋体" w:hAnsi="宋体" w:eastAsia="宋体" w:cs="宋体"/>
          <w:sz w:val="21"/>
          <w:szCs w:val="21"/>
          <w:highlight w:val="none"/>
        </w:rPr>
      </w:pPr>
    </w:p>
    <w:p>
      <w:pPr>
        <w:pStyle w:val="15"/>
        <w:snapToGrid w:val="0"/>
        <w:spacing w:before="0" w:after="0" w:line="360" w:lineRule="auto"/>
        <w:ind w:firstLine="420" w:firstLineChars="200"/>
        <w:jc w:val="left"/>
        <w:rPr>
          <w:rFonts w:ascii="宋体" w:hAnsi="宋体" w:eastAsia="宋体" w:cs="宋体"/>
          <w:sz w:val="21"/>
          <w:szCs w:val="21"/>
          <w:highlight w:val="none"/>
          <w:u w:val="single"/>
        </w:rPr>
      </w:pPr>
      <w:r>
        <w:rPr>
          <w:rFonts w:hint="eastAsia" w:ascii="宋体" w:hAnsi="宋体" w:eastAsia="宋体" w:cs="宋体"/>
          <w:sz w:val="21"/>
          <w:szCs w:val="21"/>
          <w:highlight w:val="none"/>
        </w:rPr>
        <w:t>法定代表人或其委托代理人签名（或盖章）：</w:t>
      </w:r>
      <w:r>
        <w:rPr>
          <w:rFonts w:hint="eastAsia" w:ascii="宋体" w:hAnsi="宋体" w:eastAsia="宋体" w:cs="宋体"/>
          <w:sz w:val="21"/>
          <w:szCs w:val="21"/>
          <w:highlight w:val="none"/>
          <w:u w:val="single"/>
        </w:rPr>
        <w:t>　　　　　</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投标人公章：年月日</w:t>
      </w:r>
    </w:p>
    <w:p>
      <w:pPr>
        <w:snapToGrid w:val="0"/>
        <w:spacing w:line="360" w:lineRule="auto"/>
        <w:ind w:firstLine="420" w:firstLineChars="200"/>
        <w:jc w:val="left"/>
        <w:rPr>
          <w:rFonts w:ascii="宋体" w:hAnsi="宋体" w:cs="宋体"/>
          <w:szCs w:val="21"/>
          <w:highlight w:val="none"/>
        </w:rPr>
      </w:pPr>
    </w:p>
    <w:p>
      <w:pPr>
        <w:snapToGrid w:val="0"/>
        <w:spacing w:line="360" w:lineRule="auto"/>
        <w:ind w:firstLine="420" w:firstLineChars="200"/>
        <w:jc w:val="left"/>
        <w:rPr>
          <w:rFonts w:ascii="宋体" w:hAnsi="宋体" w:cs="宋体"/>
          <w:szCs w:val="21"/>
          <w:highlight w:val="none"/>
        </w:rPr>
        <w:sectPr>
          <w:pgSz w:w="16838" w:h="11906" w:orient="landscape"/>
          <w:pgMar w:top="1797" w:right="1474" w:bottom="1797" w:left="1247" w:header="851" w:footer="851" w:gutter="0"/>
          <w:cols w:space="720" w:num="1"/>
          <w:docGrid w:linePitch="312" w:charSpace="0"/>
        </w:sectPr>
      </w:pP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商务响应表格式：</w:t>
      </w:r>
    </w:p>
    <w:tbl>
      <w:tblPr>
        <w:tblStyle w:val="47"/>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891"/>
        <w:gridCol w:w="1653"/>
        <w:gridCol w:w="2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37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s="宋体"/>
                <w:szCs w:val="21"/>
                <w:highlight w:val="none"/>
              </w:rPr>
            </w:pPr>
            <w:r>
              <w:rPr>
                <w:rFonts w:hint="eastAsia" w:ascii="宋体" w:hAnsi="宋体" w:cs="宋体"/>
                <w:szCs w:val="21"/>
                <w:highlight w:val="none"/>
              </w:rPr>
              <w:t>项目</w:t>
            </w: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s="宋体"/>
                <w:szCs w:val="21"/>
                <w:highlight w:val="none"/>
              </w:rPr>
            </w:pPr>
            <w:r>
              <w:rPr>
                <w:rFonts w:hint="eastAsia" w:ascii="宋体" w:hAnsi="宋体" w:cs="宋体"/>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s="宋体"/>
                <w:szCs w:val="21"/>
                <w:highlight w:val="none"/>
              </w:rPr>
            </w:pPr>
            <w:r>
              <w:rPr>
                <w:rFonts w:hint="eastAsia" w:ascii="宋体" w:hAnsi="宋体" w:cs="宋体"/>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s="宋体"/>
                <w:szCs w:val="21"/>
                <w:highlight w:val="none"/>
              </w:rPr>
            </w:pPr>
            <w:r>
              <w:rPr>
                <w:rFonts w:hint="eastAsia" w:ascii="宋体" w:hAnsi="宋体" w:cs="宋体"/>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60" w:lineRule="auto"/>
              <w:jc w:val="center"/>
              <w:textAlignment w:val="baseline"/>
              <w:rPr>
                <w:rFonts w:ascii="宋体" w:hAnsi="宋体" w:cs="宋体"/>
                <w:szCs w:val="21"/>
                <w:highlight w:val="none"/>
              </w:rPr>
            </w:pP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60" w:lineRule="auto"/>
              <w:jc w:val="center"/>
              <w:textAlignment w:val="baseline"/>
              <w:rPr>
                <w:rFonts w:ascii="宋体" w:hAnsi="宋体" w:cs="宋体"/>
                <w:szCs w:val="21"/>
                <w:highlight w:val="none"/>
              </w:rPr>
            </w:pP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60" w:lineRule="auto"/>
              <w:jc w:val="center"/>
              <w:textAlignment w:val="baseline"/>
              <w:rPr>
                <w:rFonts w:ascii="宋体" w:hAnsi="宋体" w:cs="宋体"/>
                <w:szCs w:val="21"/>
                <w:highlight w:val="none"/>
              </w:rPr>
            </w:pP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s="宋体"/>
                <w:szCs w:val="21"/>
                <w:highlight w:val="none"/>
              </w:rPr>
            </w:pPr>
          </w:p>
        </w:tc>
      </w:tr>
    </w:tbl>
    <w:p>
      <w:pPr>
        <w:pStyle w:val="25"/>
        <w:spacing w:line="360" w:lineRule="auto"/>
        <w:ind w:firstLine="420" w:firstLineChars="200"/>
        <w:jc w:val="left"/>
        <w:rPr>
          <w:rFonts w:hAnsi="宋体" w:cs="宋体"/>
          <w:szCs w:val="21"/>
          <w:highlight w:val="none"/>
        </w:rPr>
      </w:pPr>
    </w:p>
    <w:p>
      <w:pPr>
        <w:pStyle w:val="25"/>
        <w:spacing w:line="360" w:lineRule="auto"/>
        <w:ind w:firstLine="420" w:firstLineChars="200"/>
        <w:jc w:val="left"/>
        <w:rPr>
          <w:rFonts w:hAnsi="宋体" w:cs="宋体"/>
          <w:szCs w:val="21"/>
          <w:highlight w:val="none"/>
        </w:rPr>
      </w:pPr>
      <w:r>
        <w:rPr>
          <w:rFonts w:hint="eastAsia" w:hAnsi="宋体" w:cs="宋体"/>
          <w:szCs w:val="21"/>
          <w:highlight w:val="none"/>
        </w:rPr>
        <w:t>注：本表不允许负偏离；</w:t>
      </w:r>
    </w:p>
    <w:p>
      <w:pPr>
        <w:pStyle w:val="25"/>
        <w:spacing w:line="360" w:lineRule="auto"/>
        <w:ind w:firstLine="420" w:firstLineChars="200"/>
        <w:jc w:val="left"/>
        <w:rPr>
          <w:rFonts w:hAnsi="宋体" w:cs="宋体"/>
          <w:szCs w:val="21"/>
          <w:highlight w:val="none"/>
        </w:rPr>
      </w:pPr>
      <w:r>
        <w:rPr>
          <w:rFonts w:hint="eastAsia" w:hAnsi="宋体" w:cs="宋体"/>
          <w:szCs w:val="21"/>
          <w:highlight w:val="none"/>
        </w:rPr>
        <w:t>▲不提供本表视为完全响应招标文件要求。</w:t>
      </w:r>
    </w:p>
    <w:p>
      <w:pPr>
        <w:pStyle w:val="25"/>
        <w:spacing w:line="360" w:lineRule="auto"/>
        <w:ind w:firstLine="420" w:firstLineChars="200"/>
        <w:jc w:val="left"/>
        <w:rPr>
          <w:rFonts w:hAnsi="宋体" w:cs="宋体"/>
          <w:szCs w:val="21"/>
          <w:highlight w:val="none"/>
        </w:rPr>
      </w:pPr>
      <w:r>
        <w:rPr>
          <w:rFonts w:hint="eastAsia" w:hAnsi="宋体" w:cs="宋体"/>
          <w:szCs w:val="21"/>
          <w:highlight w:val="none"/>
        </w:rPr>
        <w:t xml:space="preserve">法定代表人或其委托代理人签名（或盖章）：                </w:t>
      </w:r>
    </w:p>
    <w:p>
      <w:pPr>
        <w:pStyle w:val="25"/>
        <w:spacing w:line="360" w:lineRule="auto"/>
        <w:ind w:firstLine="420" w:firstLineChars="200"/>
        <w:jc w:val="left"/>
        <w:rPr>
          <w:rFonts w:hAnsi="宋体" w:cs="宋体"/>
          <w:szCs w:val="21"/>
          <w:highlight w:val="none"/>
        </w:rPr>
      </w:pPr>
      <w:r>
        <w:rPr>
          <w:rFonts w:hint="eastAsia" w:hAnsi="宋体" w:cs="宋体"/>
          <w:szCs w:val="21"/>
          <w:highlight w:val="none"/>
        </w:rPr>
        <w:t>投标人：（单位公章）</w:t>
      </w:r>
    </w:p>
    <w:p>
      <w:pPr>
        <w:pStyle w:val="25"/>
        <w:spacing w:line="360" w:lineRule="auto"/>
        <w:ind w:firstLine="420" w:firstLineChars="200"/>
        <w:jc w:val="left"/>
        <w:rPr>
          <w:rFonts w:hAnsi="宋体" w:cs="宋体"/>
          <w:szCs w:val="21"/>
          <w:highlight w:val="none"/>
        </w:rPr>
      </w:pPr>
      <w:r>
        <w:rPr>
          <w:rFonts w:hint="eastAsia" w:hAnsi="宋体" w:cs="宋体"/>
          <w:szCs w:val="21"/>
          <w:highlight w:val="none"/>
        </w:rPr>
        <w:t>日期：年月  日</w:t>
      </w:r>
    </w:p>
    <w:p>
      <w:pPr>
        <w:snapToGrid w:val="0"/>
        <w:spacing w:line="360" w:lineRule="auto"/>
        <w:ind w:firstLine="422" w:firstLineChars="200"/>
        <w:jc w:val="left"/>
        <w:rPr>
          <w:rFonts w:ascii="宋体" w:hAnsi="宋体" w:cs="宋体"/>
          <w:b/>
          <w:bCs/>
          <w:szCs w:val="21"/>
          <w:highlight w:val="none"/>
        </w:rPr>
      </w:pPr>
    </w:p>
    <w:p>
      <w:pPr>
        <w:pStyle w:val="58"/>
        <w:rPr>
          <w:rFonts w:ascii="宋体" w:hAnsi="宋体" w:cs="宋体"/>
          <w:highlight w:val="none"/>
        </w:rPr>
      </w:pPr>
    </w:p>
    <w:p>
      <w:pPr>
        <w:snapToGrid w:val="0"/>
        <w:spacing w:before="50" w:afterLines="50" w:line="360" w:lineRule="auto"/>
        <w:jc w:val="left"/>
        <w:rPr>
          <w:rFonts w:ascii="宋体" w:hAnsi="宋体" w:cs="宋体"/>
          <w:szCs w:val="21"/>
          <w:highlight w:val="none"/>
        </w:rPr>
      </w:pPr>
      <w:r>
        <w:rPr>
          <w:rFonts w:hint="eastAsia" w:ascii="宋体" w:hAnsi="宋体" w:cs="宋体"/>
          <w:szCs w:val="21"/>
          <w:highlight w:val="none"/>
        </w:rPr>
        <w:t>技术响应表格式</w:t>
      </w:r>
    </w:p>
    <w:tbl>
      <w:tblPr>
        <w:tblStyle w:val="47"/>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4052" w:type="dxa"/>
            <w:gridSpan w:val="2"/>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s="宋体"/>
                <w:szCs w:val="21"/>
                <w:highlight w:val="none"/>
              </w:rPr>
            </w:pPr>
            <w:bookmarkStart w:id="247" w:name="_Toc401570314"/>
            <w:bookmarkStart w:id="248" w:name="_Toc377028119"/>
            <w:bookmarkStart w:id="249" w:name="_Toc381081903"/>
            <w:bookmarkStart w:id="250" w:name="_Toc385854156"/>
            <w:bookmarkStart w:id="251" w:name="_Toc402963128"/>
            <w:bookmarkStart w:id="252" w:name="_Toc402963095"/>
            <w:bookmarkStart w:id="253" w:name="_Toc406402957"/>
            <w:bookmarkStart w:id="254" w:name="_Toc385854110"/>
            <w:bookmarkStart w:id="255" w:name="_Toc62745298"/>
            <w:bookmarkStart w:id="256" w:name="_Toc382928118"/>
            <w:bookmarkStart w:id="257" w:name="_Toc377028057"/>
            <w:bookmarkStart w:id="258" w:name="_Toc382928236"/>
            <w:bookmarkStart w:id="259" w:name="_Toc377653976"/>
            <w:bookmarkStart w:id="260" w:name="_Toc401570290"/>
            <w:bookmarkStart w:id="261" w:name="_Toc406403001"/>
            <w:r>
              <w:rPr>
                <w:rFonts w:hint="eastAsia" w:ascii="宋体" w:hAnsi="宋体" w:cs="宋体"/>
                <w:szCs w:val="21"/>
                <w:highlight w:val="none"/>
              </w:rPr>
              <w:t>招标文件要求</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tc>
        <w:tc>
          <w:tcPr>
            <w:tcW w:w="3432" w:type="dxa"/>
            <w:gridSpan w:val="2"/>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s="宋体"/>
                <w:szCs w:val="21"/>
                <w:highlight w:val="none"/>
              </w:rPr>
            </w:pPr>
            <w:bookmarkStart w:id="262" w:name="_Toc377653977"/>
            <w:bookmarkStart w:id="263" w:name="_Toc385854157"/>
            <w:bookmarkStart w:id="264" w:name="_Toc62745299"/>
            <w:bookmarkStart w:id="265" w:name="_Toc385854111"/>
            <w:bookmarkStart w:id="266" w:name="_Toc382928119"/>
            <w:bookmarkStart w:id="267" w:name="_Toc406402958"/>
            <w:bookmarkStart w:id="268" w:name="_Toc382928237"/>
            <w:bookmarkStart w:id="269" w:name="_Toc402963129"/>
            <w:bookmarkStart w:id="270" w:name="_Toc402963096"/>
            <w:bookmarkStart w:id="271" w:name="_Toc406403002"/>
            <w:bookmarkStart w:id="272" w:name="_Toc377028120"/>
            <w:bookmarkStart w:id="273" w:name="_Toc377028058"/>
            <w:bookmarkStart w:id="274" w:name="_Toc381081904"/>
            <w:bookmarkStart w:id="275" w:name="_Toc401570315"/>
            <w:bookmarkStart w:id="276" w:name="_Toc401570291"/>
            <w:r>
              <w:rPr>
                <w:rFonts w:hint="eastAsia" w:ascii="宋体" w:hAnsi="宋体" w:cs="宋体"/>
                <w:szCs w:val="21"/>
                <w:highlight w:val="none"/>
              </w:rPr>
              <w:t>投标文件响应</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cs="宋体"/>
                <w:szCs w:val="21"/>
                <w:highlight w:val="none"/>
              </w:rPr>
            </w:pPr>
            <w:bookmarkStart w:id="277" w:name="_Toc401570316"/>
            <w:bookmarkStart w:id="278" w:name="_Toc381081905"/>
            <w:bookmarkStart w:id="279" w:name="_Toc385854112"/>
            <w:bookmarkStart w:id="280" w:name="_Toc402963097"/>
            <w:bookmarkStart w:id="281" w:name="_Toc406403003"/>
            <w:bookmarkStart w:id="282" w:name="_Toc401570292"/>
            <w:bookmarkStart w:id="283" w:name="_Toc377028059"/>
            <w:bookmarkStart w:id="284" w:name="_Toc377653978"/>
            <w:bookmarkStart w:id="285" w:name="_Toc402963130"/>
            <w:bookmarkStart w:id="286" w:name="_Toc382928120"/>
            <w:bookmarkStart w:id="287" w:name="_Toc377028121"/>
            <w:bookmarkStart w:id="288" w:name="_Toc62745300"/>
            <w:bookmarkStart w:id="289" w:name="_Toc385854158"/>
            <w:bookmarkStart w:id="290" w:name="_Toc406402959"/>
            <w:bookmarkStart w:id="291" w:name="_Toc382928238"/>
            <w:r>
              <w:rPr>
                <w:rFonts w:hint="eastAsia" w:ascii="宋体" w:hAnsi="宋体" w:cs="宋体"/>
                <w:szCs w:val="21"/>
                <w:highlight w:val="none"/>
              </w:rPr>
              <w:t>偏离情况</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1577" w:type="dxa"/>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s="宋体"/>
                <w:szCs w:val="21"/>
                <w:highlight w:val="none"/>
              </w:rPr>
            </w:pPr>
            <w:bookmarkStart w:id="292" w:name="_Toc62745301"/>
            <w:bookmarkStart w:id="293" w:name="_Toc382928239"/>
            <w:bookmarkStart w:id="294" w:name="_Toc402963131"/>
            <w:bookmarkStart w:id="295" w:name="_Toc385854113"/>
            <w:bookmarkStart w:id="296" w:name="_Toc406402960"/>
            <w:bookmarkStart w:id="297" w:name="_Toc377028060"/>
            <w:bookmarkStart w:id="298" w:name="_Toc382928121"/>
            <w:bookmarkStart w:id="299" w:name="_Toc385854159"/>
            <w:bookmarkStart w:id="300" w:name="_Toc406403004"/>
            <w:bookmarkStart w:id="301" w:name="_Toc381081906"/>
            <w:bookmarkStart w:id="302" w:name="_Toc377028122"/>
            <w:bookmarkStart w:id="303" w:name="_Toc402963098"/>
            <w:bookmarkStart w:id="304" w:name="_Toc401570317"/>
            <w:bookmarkStart w:id="305" w:name="_Toc401570293"/>
            <w:bookmarkStart w:id="306" w:name="_Toc377653979"/>
            <w:r>
              <w:rPr>
                <w:rFonts w:hint="eastAsia" w:ascii="宋体" w:hAnsi="宋体" w:cs="宋体"/>
                <w:szCs w:val="21"/>
                <w:highlight w:val="none"/>
              </w:rPr>
              <w:t>项目</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tc>
        <w:tc>
          <w:tcPr>
            <w:tcW w:w="2475" w:type="dxa"/>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s="宋体"/>
                <w:szCs w:val="21"/>
                <w:highlight w:val="none"/>
              </w:rPr>
            </w:pPr>
            <w:bookmarkStart w:id="307" w:name="_Toc381081907"/>
            <w:bookmarkStart w:id="308" w:name="_Toc382928122"/>
            <w:bookmarkStart w:id="309" w:name="_Toc401570294"/>
            <w:bookmarkStart w:id="310" w:name="_Toc385854114"/>
            <w:bookmarkStart w:id="311" w:name="_Toc385854160"/>
            <w:bookmarkStart w:id="312" w:name="_Toc377653980"/>
            <w:bookmarkStart w:id="313" w:name="_Toc62745302"/>
            <w:bookmarkStart w:id="314" w:name="_Toc377028123"/>
            <w:bookmarkStart w:id="315" w:name="_Toc406402961"/>
            <w:bookmarkStart w:id="316" w:name="_Toc377028061"/>
            <w:bookmarkStart w:id="317" w:name="_Toc401570318"/>
            <w:bookmarkStart w:id="318" w:name="_Toc382928240"/>
            <w:bookmarkStart w:id="319" w:name="_Toc402963132"/>
            <w:bookmarkStart w:id="320" w:name="_Toc402963099"/>
            <w:bookmarkStart w:id="321" w:name="_Toc406403005"/>
            <w:r>
              <w:rPr>
                <w:rFonts w:hint="eastAsia" w:ascii="宋体" w:hAnsi="宋体" w:cs="宋体"/>
                <w:szCs w:val="21"/>
                <w:highlight w:val="none"/>
              </w:rPr>
              <w:t>要求</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s="宋体"/>
                <w:szCs w:val="21"/>
                <w:highlight w:val="none"/>
              </w:rPr>
            </w:pPr>
            <w:r>
              <w:rPr>
                <w:rFonts w:hint="eastAsia" w:ascii="宋体" w:hAnsi="宋体" w:cs="宋体"/>
                <w:szCs w:val="21"/>
                <w:highlight w:val="none"/>
              </w:rPr>
              <w:t>项目</w:t>
            </w: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s="宋体"/>
                <w:szCs w:val="21"/>
                <w:highlight w:val="none"/>
              </w:rPr>
            </w:pPr>
            <w:r>
              <w:rPr>
                <w:rFonts w:hint="eastAsia" w:ascii="宋体" w:hAnsi="宋体" w:cs="宋体"/>
                <w:szCs w:val="21"/>
                <w:highlight w:val="none"/>
              </w:rPr>
              <w:t>响应内容</w:t>
            </w: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outlineLvl w:val="0"/>
              <w:rPr>
                <w:rFonts w:ascii="宋体" w:hAnsi="宋体" w:cs="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cs="宋体"/>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cs="宋体"/>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outlineLvl w:val="0"/>
              <w:rPr>
                <w:rFonts w:ascii="宋体" w:hAnsi="宋体" w:cs="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cs="宋体"/>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outlineLvl w:val="0"/>
              <w:rPr>
                <w:rFonts w:ascii="宋体" w:hAnsi="宋体" w:cs="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cs="宋体"/>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s="宋体"/>
                <w:szCs w:val="21"/>
                <w:highlight w:val="none"/>
              </w:rPr>
            </w:pPr>
          </w:p>
        </w:tc>
      </w:tr>
    </w:tbl>
    <w:p>
      <w:pPr>
        <w:pStyle w:val="18"/>
        <w:spacing w:line="360" w:lineRule="auto"/>
        <w:rPr>
          <w:rFonts w:ascii="宋体" w:hAnsi="宋体" w:cs="宋体"/>
          <w:sz w:val="21"/>
          <w:szCs w:val="21"/>
          <w:highlight w:val="none"/>
        </w:rPr>
      </w:pPr>
      <w:r>
        <w:rPr>
          <w:rFonts w:hint="eastAsia" w:ascii="宋体" w:hAnsi="宋体" w:cs="宋体"/>
          <w:sz w:val="21"/>
          <w:szCs w:val="21"/>
          <w:highlight w:val="none"/>
        </w:rPr>
        <w:t>注：1.投标人应根据投标产品的性能指标、对照招标文件要求在“偏离情况”栏注明“正偏离”、“负偏离”或“无偏离”。</w:t>
      </w:r>
    </w:p>
    <w:p>
      <w:pPr>
        <w:pStyle w:val="18"/>
        <w:spacing w:line="360" w:lineRule="auto"/>
        <w:rPr>
          <w:rFonts w:ascii="宋体" w:hAnsi="宋体" w:cs="宋体"/>
          <w:sz w:val="21"/>
          <w:szCs w:val="21"/>
          <w:highlight w:val="none"/>
        </w:rPr>
      </w:pPr>
      <w:r>
        <w:rPr>
          <w:rFonts w:hint="eastAsia" w:ascii="宋体" w:hAnsi="宋体" w:cs="宋体"/>
          <w:sz w:val="21"/>
          <w:szCs w:val="21"/>
          <w:highlight w:val="none"/>
        </w:rPr>
        <w:t>2.投标人需对上述偏离情况负责，不得虚假应标。</w:t>
      </w:r>
    </w:p>
    <w:p>
      <w:pPr>
        <w:snapToGrid w:val="0"/>
        <w:spacing w:before="50" w:after="50" w:line="360" w:lineRule="auto"/>
        <w:rPr>
          <w:rFonts w:ascii="宋体" w:hAnsi="宋体" w:cs="宋体"/>
          <w:szCs w:val="21"/>
          <w:highlight w:val="none"/>
        </w:rPr>
      </w:pPr>
      <w:r>
        <w:rPr>
          <w:rFonts w:hint="eastAsia" w:ascii="宋体" w:hAnsi="宋体" w:cs="宋体"/>
          <w:szCs w:val="21"/>
          <w:highlight w:val="none"/>
        </w:rPr>
        <w:t>被授权人签字（或盖章）：</w:t>
      </w:r>
    </w:p>
    <w:p>
      <w:pPr>
        <w:adjustRightInd w:val="0"/>
        <w:spacing w:line="360" w:lineRule="auto"/>
        <w:ind w:right="480"/>
        <w:textAlignment w:val="baseline"/>
        <w:rPr>
          <w:rFonts w:ascii="宋体" w:hAnsi="宋体" w:cs="宋体"/>
          <w:szCs w:val="21"/>
          <w:highlight w:val="none"/>
        </w:rPr>
      </w:pPr>
      <w:r>
        <w:rPr>
          <w:rFonts w:hint="eastAsia" w:ascii="宋体" w:hAnsi="宋体" w:cs="宋体"/>
          <w:szCs w:val="21"/>
          <w:highlight w:val="none"/>
        </w:rPr>
        <w:t>投标人公章： 年  月  日</w:t>
      </w:r>
    </w:p>
    <w:p>
      <w:pPr>
        <w:pStyle w:val="58"/>
        <w:rPr>
          <w:rFonts w:ascii="宋体" w:hAnsi="宋体" w:cs="宋体"/>
          <w:highlight w:val="none"/>
        </w:rPr>
        <w:sectPr>
          <w:pgSz w:w="11906" w:h="16838"/>
          <w:pgMar w:top="1474" w:right="1797" w:bottom="1247" w:left="1797" w:header="851" w:footer="851" w:gutter="0"/>
          <w:cols w:space="720" w:num="1"/>
          <w:docGrid w:linePitch="312" w:charSpace="0"/>
        </w:sectPr>
      </w:pP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项目实施人员一览表</w:t>
      </w:r>
    </w:p>
    <w:p>
      <w:pPr>
        <w:snapToGrid w:val="0"/>
        <w:spacing w:line="360" w:lineRule="auto"/>
        <w:ind w:firstLine="422" w:firstLineChars="200"/>
        <w:jc w:val="center"/>
        <w:rPr>
          <w:rFonts w:ascii="宋体" w:hAnsi="宋体" w:cs="宋体"/>
          <w:b/>
          <w:szCs w:val="21"/>
          <w:highlight w:val="none"/>
        </w:rPr>
      </w:pPr>
      <w:r>
        <w:rPr>
          <w:rFonts w:hint="eastAsia" w:ascii="宋体" w:hAnsi="宋体" w:cs="宋体"/>
          <w:b/>
          <w:szCs w:val="21"/>
          <w:highlight w:val="none"/>
        </w:rPr>
        <w:t>项目实施人员（主要从业人员及其相应证书）一览表</w:t>
      </w:r>
    </w:p>
    <w:tbl>
      <w:tblPr>
        <w:tblStyle w:val="47"/>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274"/>
        <w:gridCol w:w="1559"/>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相应证书</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证书编号</w:t>
            </w: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Cs w:val="21"/>
                <w:highlight w:val="none"/>
              </w:rPr>
            </w:pPr>
            <w:r>
              <w:rPr>
                <w:rFonts w:hint="eastAsia" w:ascii="宋体" w:hAnsi="宋体" w:cs="宋体"/>
                <w:bCs/>
                <w:szCs w:val="21"/>
                <w:highlight w:val="none"/>
              </w:rPr>
              <w:t>参加本单位工作时间</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Cs w:val="21"/>
                <w:highlight w:val="none"/>
              </w:rPr>
            </w:pPr>
            <w:r>
              <w:rPr>
                <w:rFonts w:hint="eastAsia" w:ascii="宋体" w:hAnsi="宋体" w:cs="宋体"/>
                <w:bCs/>
                <w:szCs w:val="21"/>
                <w:highlight w:val="none"/>
              </w:rPr>
              <w:t>劳动合同编号</w:t>
            </w: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Cs/>
                <w:szCs w:val="21"/>
                <w:highlight w:val="none"/>
              </w:rPr>
            </w:pPr>
            <w:r>
              <w:rPr>
                <w:rFonts w:hint="eastAsia" w:ascii="宋体" w:hAnsi="宋体" w:cs="宋体"/>
                <w:bCs/>
                <w:szCs w:val="21"/>
                <w:highlight w:val="none"/>
              </w:rPr>
              <w:t>本项目中担任职务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Chars="0" w:firstLine="420" w:firstLineChars="200"/>
              <w:jc w:val="center"/>
              <w:rPr>
                <w:rFonts w:ascii="宋体" w:hAnsi="宋体" w:eastAsia="宋体" w:cs="宋体"/>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s="宋体"/>
                <w:szCs w:val="21"/>
                <w:highlight w:val="none"/>
              </w:rPr>
            </w:pPr>
          </w:p>
        </w:tc>
      </w:tr>
    </w:tbl>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注：在填写时，如本表格不适合投标单位的实际情况，可根据本表格式自行划表填写。</w:t>
      </w:r>
    </w:p>
    <w:p>
      <w:pPr>
        <w:snapToGrid w:val="0"/>
        <w:spacing w:line="360" w:lineRule="auto"/>
        <w:ind w:firstLine="500" w:firstLineChars="200"/>
        <w:jc w:val="left"/>
        <w:rPr>
          <w:rFonts w:ascii="宋体" w:hAnsi="宋体" w:cs="宋体"/>
          <w:spacing w:val="20"/>
          <w:szCs w:val="21"/>
          <w:highlight w:val="none"/>
          <w:u w:val="single"/>
        </w:rPr>
      </w:pPr>
      <w:r>
        <w:rPr>
          <w:rFonts w:hint="eastAsia" w:ascii="宋体" w:hAnsi="宋体" w:cs="宋体"/>
          <w:spacing w:val="20"/>
          <w:szCs w:val="21"/>
          <w:highlight w:val="none"/>
        </w:rPr>
        <w:t>授权代表签名：</w:t>
      </w:r>
    </w:p>
    <w:p>
      <w:pPr>
        <w:snapToGrid w:val="0"/>
        <w:spacing w:line="360" w:lineRule="auto"/>
        <w:ind w:firstLine="500" w:firstLineChars="200"/>
        <w:jc w:val="left"/>
        <w:rPr>
          <w:rFonts w:ascii="宋体" w:hAnsi="宋体" w:cs="宋体"/>
          <w:spacing w:val="20"/>
          <w:szCs w:val="21"/>
          <w:highlight w:val="none"/>
        </w:rPr>
      </w:pPr>
      <w:r>
        <w:rPr>
          <w:rFonts w:hint="eastAsia" w:ascii="宋体" w:hAnsi="宋体" w:cs="宋体"/>
          <w:spacing w:val="20"/>
          <w:szCs w:val="21"/>
          <w:highlight w:val="none"/>
        </w:rPr>
        <w:t>投标人盖章：</w:t>
      </w:r>
    </w:p>
    <w:p>
      <w:pPr>
        <w:snapToGrid w:val="0"/>
        <w:spacing w:line="360" w:lineRule="auto"/>
        <w:ind w:firstLine="500" w:firstLineChars="200"/>
        <w:jc w:val="left"/>
        <w:rPr>
          <w:rFonts w:ascii="宋体" w:hAnsi="宋体" w:cs="宋体"/>
          <w:spacing w:val="20"/>
          <w:szCs w:val="21"/>
          <w:highlight w:val="none"/>
          <w:u w:val="single"/>
        </w:rPr>
      </w:pPr>
      <w:r>
        <w:rPr>
          <w:rFonts w:hint="eastAsia" w:ascii="宋体" w:hAnsi="宋体" w:cs="宋体"/>
          <w:spacing w:val="20"/>
          <w:szCs w:val="21"/>
          <w:highlight w:val="none"/>
        </w:rPr>
        <w:t>日期：</w:t>
      </w:r>
    </w:p>
    <w:p>
      <w:pPr>
        <w:rPr>
          <w:rFonts w:ascii="宋体" w:hAnsi="宋体" w:cs="宋体"/>
          <w:b/>
          <w:szCs w:val="21"/>
          <w:highlight w:val="none"/>
        </w:rPr>
      </w:pPr>
      <w:r>
        <w:rPr>
          <w:rFonts w:hint="eastAsia" w:ascii="宋体" w:hAnsi="宋体" w:cs="宋体"/>
          <w:b/>
          <w:szCs w:val="21"/>
          <w:highlight w:val="none"/>
        </w:rPr>
        <w:br w:type="page"/>
      </w:r>
    </w:p>
    <w:p>
      <w:pPr>
        <w:pStyle w:val="6"/>
        <w:ind w:firstLine="0"/>
        <w:rPr>
          <w:rFonts w:hAnsi="宋体" w:cs="宋体"/>
          <w:b/>
          <w:szCs w:val="21"/>
          <w:highlight w:val="none"/>
        </w:rPr>
      </w:pPr>
    </w:p>
    <w:p>
      <w:pPr>
        <w:pStyle w:val="5"/>
        <w:rPr>
          <w:rFonts w:ascii="宋体" w:hAnsi="宋体" w:cs="宋体"/>
          <w:b/>
          <w:szCs w:val="21"/>
          <w:highlight w:val="none"/>
        </w:rPr>
      </w:pPr>
    </w:p>
    <w:tbl>
      <w:tblPr>
        <w:tblStyle w:val="47"/>
        <w:tblW w:w="823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278"/>
        <w:gridCol w:w="317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008" w:type="dxa"/>
            <w:vAlign w:val="center"/>
          </w:tcPr>
          <w:p>
            <w:pPr>
              <w:spacing w:line="360" w:lineRule="auto"/>
              <w:ind w:right="42" w:rightChars="20"/>
              <w:jc w:val="center"/>
              <w:rPr>
                <w:rFonts w:ascii="宋体" w:hAnsi="宋体" w:cs="宋体"/>
                <w:b/>
                <w:szCs w:val="21"/>
                <w:highlight w:val="none"/>
              </w:rPr>
            </w:pPr>
            <w:r>
              <w:rPr>
                <w:rFonts w:hint="eastAsia" w:ascii="宋体" w:hAnsi="宋体" w:cs="宋体"/>
                <w:b/>
                <w:bCs/>
                <w:szCs w:val="21"/>
                <w:highlight w:val="none"/>
              </w:rPr>
              <w:t>序号</w:t>
            </w:r>
          </w:p>
        </w:tc>
        <w:tc>
          <w:tcPr>
            <w:tcW w:w="2278" w:type="dxa"/>
            <w:vAlign w:val="center"/>
          </w:tcPr>
          <w:p>
            <w:pPr>
              <w:spacing w:line="360" w:lineRule="auto"/>
              <w:ind w:left="102" w:right="42" w:rightChars="20"/>
              <w:jc w:val="center"/>
              <w:rPr>
                <w:rFonts w:ascii="宋体" w:hAnsi="宋体" w:cs="宋体"/>
                <w:b/>
                <w:szCs w:val="21"/>
                <w:highlight w:val="none"/>
              </w:rPr>
            </w:pPr>
            <w:r>
              <w:rPr>
                <w:rFonts w:hint="eastAsia" w:ascii="宋体" w:hAnsi="宋体" w:cs="宋体"/>
                <w:b/>
                <w:szCs w:val="21"/>
                <w:highlight w:val="none"/>
              </w:rPr>
              <w:t>品类</w:t>
            </w:r>
          </w:p>
        </w:tc>
        <w:tc>
          <w:tcPr>
            <w:tcW w:w="3175" w:type="dxa"/>
            <w:vAlign w:val="center"/>
          </w:tcPr>
          <w:p>
            <w:pPr>
              <w:spacing w:line="360" w:lineRule="auto"/>
              <w:ind w:right="42" w:rightChars="20"/>
              <w:jc w:val="center"/>
              <w:rPr>
                <w:rFonts w:ascii="宋体" w:hAnsi="宋体" w:cs="宋体"/>
                <w:b/>
                <w:szCs w:val="21"/>
                <w:highlight w:val="none"/>
              </w:rPr>
            </w:pPr>
            <w:r>
              <w:rPr>
                <w:rFonts w:hint="eastAsia" w:ascii="宋体" w:hAnsi="宋体" w:cs="宋体"/>
                <w:b/>
                <w:szCs w:val="21"/>
                <w:highlight w:val="none"/>
              </w:rPr>
              <w:t>所投产品（品牌、产地等）</w:t>
            </w:r>
          </w:p>
        </w:tc>
        <w:tc>
          <w:tcPr>
            <w:tcW w:w="1775" w:type="dxa"/>
            <w:vAlign w:val="center"/>
          </w:tcPr>
          <w:p>
            <w:pPr>
              <w:spacing w:line="360" w:lineRule="auto"/>
              <w:ind w:right="42" w:rightChars="20"/>
              <w:jc w:val="center"/>
              <w:rPr>
                <w:rFonts w:ascii="宋体" w:hAnsi="宋体" w:cs="宋体"/>
                <w:b/>
                <w:szCs w:val="21"/>
                <w:highlight w:val="none"/>
              </w:rPr>
            </w:pPr>
            <w:r>
              <w:rPr>
                <w:rFonts w:hint="eastAsia" w:ascii="宋体" w:hAnsi="宋体" w:cs="宋体"/>
                <w:b/>
                <w:szCs w:val="21"/>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b/>
                <w:bCs/>
                <w:color w:val="000000"/>
                <w:sz w:val="22"/>
                <w:szCs w:val="22"/>
                <w:highlight w:val="none"/>
              </w:rPr>
              <w:t>蔬菜类</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1.1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2</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b/>
                <w:bCs/>
                <w:color w:val="000000"/>
                <w:sz w:val="22"/>
                <w:szCs w:val="22"/>
                <w:highlight w:val="none"/>
              </w:rPr>
              <w:t>水果类</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2.1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3</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b/>
                <w:bCs/>
                <w:color w:val="000000"/>
                <w:sz w:val="22"/>
                <w:szCs w:val="22"/>
                <w:highlight w:val="none"/>
              </w:rPr>
              <w:t>饮品类</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3.1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4</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b/>
                <w:bCs/>
                <w:color w:val="000000"/>
                <w:sz w:val="22"/>
                <w:szCs w:val="22"/>
                <w:highlight w:val="none"/>
              </w:rPr>
              <w:t>肉类</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4.1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5</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b/>
                <w:bCs/>
                <w:color w:val="000000"/>
                <w:sz w:val="22"/>
                <w:szCs w:val="22"/>
                <w:highlight w:val="none"/>
              </w:rPr>
              <w:t>禽蛋类</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5.1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6</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b/>
                <w:bCs/>
                <w:color w:val="000000"/>
                <w:sz w:val="22"/>
                <w:szCs w:val="22"/>
                <w:highlight w:val="none"/>
              </w:rPr>
              <w:t>冷冻品类</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6.1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7</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b/>
                <w:bCs/>
                <w:color w:val="000000"/>
                <w:sz w:val="22"/>
                <w:szCs w:val="22"/>
                <w:highlight w:val="none"/>
              </w:rPr>
              <w:t>干货类</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7.1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kern w:val="0"/>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kern w:val="0"/>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8</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b/>
                <w:bCs/>
                <w:color w:val="000000"/>
                <w:sz w:val="22"/>
                <w:szCs w:val="22"/>
                <w:highlight w:val="none"/>
              </w:rPr>
              <w:t>豆制品类</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8.1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kern w:val="0"/>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kern w:val="0"/>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9</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b/>
                <w:bCs/>
                <w:color w:val="000000"/>
                <w:sz w:val="22"/>
                <w:szCs w:val="22"/>
                <w:highlight w:val="none"/>
              </w:rPr>
              <w:t>水产类</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9.1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b/>
                <w:bCs/>
                <w:color w:val="000000"/>
                <w:sz w:val="22"/>
                <w:szCs w:val="22"/>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10</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b/>
                <w:bCs/>
                <w:color w:val="000000"/>
                <w:sz w:val="22"/>
                <w:szCs w:val="22"/>
                <w:highlight w:val="none"/>
              </w:rPr>
              <w:t>其他类</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10.1</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宋体" w:hAnsi="宋体" w:cs="宋体"/>
                <w:szCs w:val="21"/>
                <w:highlight w:val="none"/>
              </w:rPr>
            </w:pPr>
            <w:r>
              <w:rPr>
                <w:rFonts w:hint="eastAsia" w:ascii="宋体" w:hAnsi="宋体" w:cs="宋体"/>
                <w:szCs w:val="21"/>
                <w:highlight w:val="none"/>
              </w:rPr>
              <w:t>…</w:t>
            </w:r>
          </w:p>
        </w:tc>
        <w:tc>
          <w:tcPr>
            <w:tcW w:w="2278" w:type="dxa"/>
          </w:tcPr>
          <w:p>
            <w:pPr>
              <w:widowControl/>
              <w:kinsoku w:val="0"/>
              <w:autoSpaceDE w:val="0"/>
              <w:autoSpaceDN w:val="0"/>
              <w:adjustRightInd w:val="0"/>
              <w:snapToGrid w:val="0"/>
              <w:spacing w:beforeLines="50" w:afterLines="50" w:line="560" w:lineRule="exact"/>
              <w:jc w:val="center"/>
              <w:textAlignment w:val="baseline"/>
              <w:rPr>
                <w:rFonts w:ascii="宋体" w:hAnsi="宋体" w:cs="宋体"/>
                <w:szCs w:val="21"/>
                <w:highlight w:val="none"/>
              </w:rPr>
            </w:pPr>
            <w:r>
              <w:rPr>
                <w:rFonts w:hint="eastAsia" w:ascii="宋体" w:hAnsi="宋体" w:cs="宋体"/>
                <w:szCs w:val="21"/>
                <w:highlight w:val="none"/>
              </w:rPr>
              <w:t>…</w:t>
            </w:r>
          </w:p>
        </w:tc>
        <w:tc>
          <w:tcPr>
            <w:tcW w:w="3175" w:type="dxa"/>
            <w:vAlign w:val="center"/>
          </w:tcPr>
          <w:p>
            <w:pPr>
              <w:spacing w:line="360" w:lineRule="auto"/>
              <w:ind w:right="42" w:rightChars="20"/>
              <w:jc w:val="center"/>
              <w:rPr>
                <w:rFonts w:ascii="宋体" w:hAnsi="宋体" w:cs="宋体"/>
                <w:szCs w:val="21"/>
                <w:highlight w:val="none"/>
              </w:rPr>
            </w:pPr>
          </w:p>
        </w:tc>
        <w:tc>
          <w:tcPr>
            <w:tcW w:w="1775" w:type="dxa"/>
            <w:vAlign w:val="center"/>
          </w:tcPr>
          <w:p>
            <w:pPr>
              <w:spacing w:line="360" w:lineRule="auto"/>
              <w:ind w:right="42" w:rightChars="20"/>
              <w:jc w:val="center"/>
              <w:rPr>
                <w:rFonts w:ascii="宋体" w:hAnsi="宋体" w:cs="宋体"/>
                <w:szCs w:val="21"/>
                <w:highlight w:val="none"/>
              </w:rPr>
            </w:pPr>
          </w:p>
        </w:tc>
      </w:tr>
    </w:tbl>
    <w:p>
      <w:pPr>
        <w:pStyle w:val="6"/>
        <w:rPr>
          <w:rFonts w:hAnsi="宋体" w:cs="宋体"/>
          <w:b/>
          <w:szCs w:val="21"/>
          <w:highlight w:val="none"/>
        </w:rPr>
      </w:pPr>
    </w:p>
    <w:p>
      <w:pPr>
        <w:pStyle w:val="5"/>
        <w:rPr>
          <w:rFonts w:ascii="宋体" w:hAnsi="宋体" w:cs="宋体"/>
          <w:highlight w:val="none"/>
        </w:rPr>
      </w:pPr>
      <w:r>
        <w:rPr>
          <w:rFonts w:hint="eastAsia" w:ascii="宋体" w:hAnsi="宋体" w:cs="宋体"/>
          <w:highlight w:val="none"/>
        </w:rPr>
        <w:t>注：投标人根据所投货品的品牌、产地、规格等内容填写上表，可纵向自行扩充上表</w:t>
      </w:r>
    </w:p>
    <w:p>
      <w:pPr>
        <w:snapToGrid w:val="0"/>
        <w:spacing w:line="360" w:lineRule="auto"/>
        <w:jc w:val="left"/>
        <w:rPr>
          <w:rFonts w:ascii="宋体" w:hAnsi="宋体" w:cs="宋体"/>
          <w:b/>
          <w:szCs w:val="21"/>
          <w:highlight w:val="none"/>
        </w:rPr>
      </w:pPr>
    </w:p>
    <w:p>
      <w:pPr>
        <w:snapToGrid w:val="0"/>
        <w:spacing w:line="360" w:lineRule="auto"/>
        <w:ind w:firstLine="422" w:firstLineChars="200"/>
        <w:jc w:val="left"/>
        <w:rPr>
          <w:rFonts w:ascii="宋体" w:hAnsi="宋体" w:cs="宋体"/>
          <w:b/>
          <w:szCs w:val="21"/>
          <w:highlight w:val="none"/>
        </w:rPr>
      </w:pPr>
    </w:p>
    <w:p>
      <w:pPr>
        <w:snapToGrid w:val="0"/>
        <w:spacing w:line="360" w:lineRule="auto"/>
        <w:ind w:firstLine="422" w:firstLineChars="200"/>
        <w:jc w:val="left"/>
        <w:rPr>
          <w:rFonts w:ascii="宋体" w:hAnsi="宋体" w:cs="宋体"/>
          <w:b/>
          <w:szCs w:val="21"/>
          <w:highlight w:val="none"/>
        </w:rPr>
        <w:sectPr>
          <w:headerReference r:id="rId14" w:type="first"/>
          <w:footerReference r:id="rId16" w:type="first"/>
          <w:footerReference r:id="rId15" w:type="even"/>
          <w:pgSz w:w="11907" w:h="16839"/>
          <w:pgMar w:top="1440" w:right="1800" w:bottom="1440" w:left="1800" w:header="851" w:footer="992" w:gutter="0"/>
          <w:cols w:space="720" w:num="1"/>
          <w:docGrid w:type="lines" w:linePitch="312" w:charSpace="0"/>
        </w:sectPr>
      </w:pPr>
    </w:p>
    <w:p>
      <w:pPr>
        <w:snapToGrid w:val="0"/>
        <w:spacing w:line="360" w:lineRule="auto"/>
        <w:jc w:val="left"/>
        <w:rPr>
          <w:rFonts w:ascii="宋体" w:hAnsi="宋体" w:cs="宋体"/>
          <w:szCs w:val="21"/>
          <w:highlight w:val="none"/>
        </w:rPr>
      </w:pPr>
      <w:r>
        <w:rPr>
          <w:rFonts w:hint="eastAsia" w:ascii="宋体" w:hAnsi="宋体" w:cs="宋体"/>
          <w:szCs w:val="21"/>
          <w:highlight w:val="none"/>
        </w:rPr>
        <w:t>投标函格式：</w:t>
      </w:r>
    </w:p>
    <w:p>
      <w:pPr>
        <w:snapToGrid w:val="0"/>
        <w:spacing w:line="360" w:lineRule="auto"/>
        <w:ind w:firstLine="643" w:firstLineChars="200"/>
        <w:jc w:val="center"/>
        <w:rPr>
          <w:rFonts w:ascii="宋体" w:hAnsi="宋体" w:cs="宋体"/>
          <w:b/>
          <w:sz w:val="32"/>
          <w:szCs w:val="32"/>
          <w:highlight w:val="none"/>
        </w:rPr>
      </w:pPr>
      <w:r>
        <w:rPr>
          <w:rFonts w:hint="eastAsia" w:ascii="宋体" w:hAnsi="宋体" w:cs="宋体"/>
          <w:b/>
          <w:sz w:val="32"/>
          <w:szCs w:val="32"/>
          <w:highlight w:val="none"/>
        </w:rPr>
        <w:t>投标函</w:t>
      </w:r>
    </w:p>
    <w:p>
      <w:pPr>
        <w:snapToGrid w:val="0"/>
        <w:spacing w:line="360" w:lineRule="auto"/>
        <w:jc w:val="left"/>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（招标采购单位名称）</w:t>
      </w:r>
      <w:r>
        <w:rPr>
          <w:rFonts w:hint="eastAsia" w:ascii="宋体" w:hAnsi="宋体" w:cs="宋体"/>
          <w:szCs w:val="21"/>
          <w:highlight w:val="none"/>
        </w:rPr>
        <w:t>：</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根据贵方为 </w:t>
      </w:r>
      <w:r>
        <w:rPr>
          <w:rFonts w:hint="eastAsia" w:ascii="宋体" w:hAnsi="宋体" w:cs="宋体"/>
          <w:szCs w:val="21"/>
          <w:highlight w:val="none"/>
          <w:u w:val="single"/>
        </w:rPr>
        <w:t xml:space="preserve">          </w:t>
      </w:r>
      <w:r>
        <w:rPr>
          <w:rFonts w:hint="eastAsia" w:ascii="宋体" w:hAnsi="宋体" w:cs="宋体"/>
          <w:szCs w:val="21"/>
          <w:highlight w:val="none"/>
        </w:rPr>
        <w:t>项目的招标公告（项目编号：</w:t>
      </w:r>
      <w:r>
        <w:rPr>
          <w:rFonts w:hint="eastAsia" w:ascii="宋体" w:hAnsi="宋体" w:cs="宋体"/>
          <w:szCs w:val="21"/>
          <w:highlight w:val="none"/>
        </w:rPr>
        <w:t>嘉消采-GK2024008</w:t>
      </w:r>
      <w:r>
        <w:rPr>
          <w:rFonts w:hint="eastAsia" w:ascii="宋体" w:hAnsi="宋体" w:cs="宋体"/>
          <w:szCs w:val="21"/>
          <w:highlight w:val="none"/>
        </w:rPr>
        <w:t>），签字代表</w:t>
      </w:r>
      <w:r>
        <w:rPr>
          <w:rFonts w:hint="eastAsia" w:ascii="宋体" w:hAnsi="宋体" w:cs="宋体"/>
          <w:szCs w:val="21"/>
          <w:highlight w:val="none"/>
          <w:u w:val="single"/>
        </w:rPr>
        <w:t>（全名）</w:t>
      </w:r>
      <w:r>
        <w:rPr>
          <w:rFonts w:hint="eastAsia" w:ascii="宋体" w:hAnsi="宋体" w:cs="宋体"/>
          <w:szCs w:val="21"/>
          <w:highlight w:val="none"/>
        </w:rPr>
        <w:t>经正式授权并代表投标人</w:t>
      </w:r>
      <w:r>
        <w:rPr>
          <w:rFonts w:hint="eastAsia" w:ascii="宋体" w:hAnsi="宋体" w:cs="宋体"/>
          <w:szCs w:val="21"/>
          <w:highlight w:val="none"/>
          <w:u w:val="single"/>
        </w:rPr>
        <w:t>（投标人名称）</w:t>
      </w:r>
      <w:r>
        <w:rPr>
          <w:rFonts w:hint="eastAsia" w:ascii="宋体" w:hAnsi="宋体" w:cs="宋体"/>
          <w:szCs w:val="21"/>
          <w:highlight w:val="none"/>
        </w:rPr>
        <w:t>提交资信商务文件及技术文件</w:t>
      </w:r>
      <w:r>
        <w:rPr>
          <w:rFonts w:hint="eastAsia" w:ascii="宋体" w:hAnsi="宋体" w:cs="宋体"/>
          <w:szCs w:val="21"/>
          <w:highlight w:val="none"/>
          <w:u w:val="single"/>
        </w:rPr>
        <w:t xml:space="preserve">          </w:t>
      </w:r>
      <w:r>
        <w:rPr>
          <w:rFonts w:hint="eastAsia" w:ascii="宋体" w:hAnsi="宋体" w:cs="宋体"/>
          <w:szCs w:val="21"/>
          <w:highlight w:val="none"/>
        </w:rPr>
        <w:t>份；投标报价文件</w:t>
      </w:r>
      <w:r>
        <w:rPr>
          <w:rFonts w:hint="eastAsia" w:ascii="宋体" w:hAnsi="宋体" w:cs="宋体"/>
          <w:szCs w:val="21"/>
          <w:highlight w:val="none"/>
          <w:u w:val="single"/>
        </w:rPr>
        <w:t xml:space="preserve">          </w:t>
      </w:r>
      <w:r>
        <w:rPr>
          <w:rFonts w:hint="eastAsia" w:ascii="宋体" w:hAnsi="宋体" w:cs="宋体"/>
          <w:szCs w:val="21"/>
          <w:highlight w:val="none"/>
        </w:rPr>
        <w:t>份，电子文档</w:t>
      </w:r>
      <w:r>
        <w:rPr>
          <w:rFonts w:hint="eastAsia" w:ascii="宋体" w:hAnsi="宋体" w:cs="宋体"/>
          <w:szCs w:val="21"/>
          <w:highlight w:val="none"/>
          <w:u w:val="single"/>
        </w:rPr>
        <w:t xml:space="preserve">          </w:t>
      </w:r>
      <w:r>
        <w:rPr>
          <w:rFonts w:hint="eastAsia" w:ascii="宋体" w:hAnsi="宋体" w:cs="宋体"/>
          <w:szCs w:val="21"/>
          <w:highlight w:val="none"/>
        </w:rPr>
        <w:t>份。</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据此函，签字代表宣布同意如下：</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3、本投标有效期自开标日起 ______个日。</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4、如中标，本投标文件至本项目合同履行完毕止均保持有效，本投标人将按“招标文件”及政府采购法律、法规的规定履行合同责任和义务。</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5、投标人同意按照贵方要求提供与投标有关的一切数据或资料。</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6、与本投标有关的一切正式往来信函请寄：</w:t>
      </w:r>
    </w:p>
    <w:p>
      <w:pPr>
        <w:snapToGrid w:val="0"/>
        <w:spacing w:line="360" w:lineRule="auto"/>
        <w:ind w:firstLine="420" w:firstLineChars="200"/>
        <w:jc w:val="left"/>
        <w:rPr>
          <w:rFonts w:ascii="宋体" w:hAnsi="宋体" w:cs="宋体"/>
          <w:szCs w:val="21"/>
          <w:highlight w:val="none"/>
        </w:rPr>
      </w:pP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地址： 邮编：__________   电话：______________</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传真：______________投标人代表姓名 ___________  职务：_____________</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投标人名称(公章): _____________</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开户银行：</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银行账号：</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法定代表人或其委托代理人签名（或盖章）:___________                      </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日期:_____年___月___日</w:t>
      </w:r>
    </w:p>
    <w:p>
      <w:pPr>
        <w:rPr>
          <w:rFonts w:ascii="宋体" w:hAnsi="宋体" w:cs="宋体"/>
          <w:szCs w:val="21"/>
          <w:highlight w:val="none"/>
        </w:rPr>
      </w:pPr>
      <w:r>
        <w:rPr>
          <w:rFonts w:hint="eastAsia" w:ascii="宋体" w:hAnsi="宋体" w:cs="宋体"/>
          <w:szCs w:val="21"/>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开标一览表</w:t>
      </w:r>
    </w:p>
    <w:p>
      <w:pPr>
        <w:snapToGrid w:val="0"/>
        <w:spacing w:line="360" w:lineRule="auto"/>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rPr>
        <w:t>嘉消采-GK2024008</w:t>
      </w:r>
    </w:p>
    <w:p>
      <w:pPr>
        <w:snapToGrid w:val="0"/>
        <w:spacing w:line="360" w:lineRule="auto"/>
        <w:rPr>
          <w:rFonts w:ascii="宋体" w:hAnsi="宋体" w:cs="宋体"/>
          <w:szCs w:val="21"/>
          <w:highlight w:val="none"/>
        </w:rPr>
      </w:pPr>
      <w:r>
        <w:rPr>
          <w:rFonts w:hint="eastAsia" w:ascii="宋体" w:hAnsi="宋体" w:cs="宋体"/>
          <w:szCs w:val="21"/>
          <w:highlight w:val="none"/>
        </w:rPr>
        <w:t>投标人名称：</w:t>
      </w:r>
    </w:p>
    <w:tbl>
      <w:tblPr>
        <w:tblStyle w:val="4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520"/>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序号</w:t>
            </w:r>
          </w:p>
        </w:tc>
        <w:tc>
          <w:tcPr>
            <w:tcW w:w="2520"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品类</w:t>
            </w:r>
          </w:p>
        </w:tc>
        <w:tc>
          <w:tcPr>
            <w:tcW w:w="5111"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1</w:t>
            </w:r>
          </w:p>
        </w:tc>
        <w:tc>
          <w:tcPr>
            <w:tcW w:w="2520" w:type="dxa"/>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蔬菜类</w:t>
            </w:r>
          </w:p>
        </w:tc>
        <w:tc>
          <w:tcPr>
            <w:tcW w:w="5111" w:type="dxa"/>
            <w:vAlign w:val="center"/>
          </w:tcPr>
          <w:p>
            <w:pPr>
              <w:jc w:val="center"/>
              <w:rPr>
                <w:rFonts w:ascii="宋体" w:hAnsi="宋体" w:cs="宋体"/>
                <w:b/>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2</w:t>
            </w:r>
          </w:p>
        </w:tc>
        <w:tc>
          <w:tcPr>
            <w:tcW w:w="2520" w:type="dxa"/>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水果类</w:t>
            </w:r>
          </w:p>
        </w:tc>
        <w:tc>
          <w:tcPr>
            <w:tcW w:w="5111" w:type="dxa"/>
            <w:vAlign w:val="center"/>
          </w:tcPr>
          <w:p>
            <w:pPr>
              <w:jc w:val="center"/>
              <w:rPr>
                <w:rFonts w:ascii="宋体" w:hAnsi="宋体" w:cs="宋体"/>
                <w:b/>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3</w:t>
            </w:r>
          </w:p>
        </w:tc>
        <w:tc>
          <w:tcPr>
            <w:tcW w:w="2520" w:type="dxa"/>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饮品类</w:t>
            </w:r>
          </w:p>
        </w:tc>
        <w:tc>
          <w:tcPr>
            <w:tcW w:w="5111" w:type="dxa"/>
            <w:vAlign w:val="center"/>
          </w:tcPr>
          <w:p>
            <w:pPr>
              <w:jc w:val="center"/>
              <w:rPr>
                <w:rFonts w:ascii="宋体" w:hAnsi="宋体" w:cs="宋体"/>
                <w:b/>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4</w:t>
            </w:r>
          </w:p>
        </w:tc>
        <w:tc>
          <w:tcPr>
            <w:tcW w:w="2520" w:type="dxa"/>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肉类</w:t>
            </w:r>
          </w:p>
        </w:tc>
        <w:tc>
          <w:tcPr>
            <w:tcW w:w="5111" w:type="dxa"/>
            <w:vAlign w:val="center"/>
          </w:tcPr>
          <w:p>
            <w:pPr>
              <w:jc w:val="center"/>
              <w:rPr>
                <w:rFonts w:ascii="宋体" w:hAnsi="宋体" w:cs="宋体"/>
                <w:b/>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5</w:t>
            </w:r>
          </w:p>
        </w:tc>
        <w:tc>
          <w:tcPr>
            <w:tcW w:w="2520" w:type="dxa"/>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禽蛋类</w:t>
            </w:r>
          </w:p>
        </w:tc>
        <w:tc>
          <w:tcPr>
            <w:tcW w:w="5111" w:type="dxa"/>
            <w:vAlign w:val="center"/>
          </w:tcPr>
          <w:p>
            <w:pPr>
              <w:jc w:val="center"/>
              <w:rPr>
                <w:rFonts w:ascii="宋体" w:hAnsi="宋体" w:cs="宋体"/>
                <w:b/>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6</w:t>
            </w:r>
          </w:p>
        </w:tc>
        <w:tc>
          <w:tcPr>
            <w:tcW w:w="2520" w:type="dxa"/>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冷冻品类</w:t>
            </w:r>
          </w:p>
        </w:tc>
        <w:tc>
          <w:tcPr>
            <w:tcW w:w="5111" w:type="dxa"/>
            <w:vAlign w:val="center"/>
          </w:tcPr>
          <w:p>
            <w:pPr>
              <w:jc w:val="center"/>
              <w:rPr>
                <w:rFonts w:ascii="宋体" w:hAnsi="宋体" w:cs="宋体"/>
                <w:b/>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7</w:t>
            </w:r>
          </w:p>
        </w:tc>
        <w:tc>
          <w:tcPr>
            <w:tcW w:w="2520" w:type="dxa"/>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干货类</w:t>
            </w:r>
          </w:p>
        </w:tc>
        <w:tc>
          <w:tcPr>
            <w:tcW w:w="5111" w:type="dxa"/>
            <w:vAlign w:val="center"/>
          </w:tcPr>
          <w:p>
            <w:pPr>
              <w:jc w:val="center"/>
              <w:rPr>
                <w:rFonts w:ascii="宋体" w:hAnsi="宋体" w:cs="宋体"/>
                <w:b/>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8</w:t>
            </w:r>
          </w:p>
        </w:tc>
        <w:tc>
          <w:tcPr>
            <w:tcW w:w="2520" w:type="dxa"/>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豆制品类</w:t>
            </w:r>
          </w:p>
        </w:tc>
        <w:tc>
          <w:tcPr>
            <w:tcW w:w="5111" w:type="dxa"/>
            <w:vAlign w:val="center"/>
          </w:tcPr>
          <w:p>
            <w:pPr>
              <w:jc w:val="center"/>
              <w:rPr>
                <w:rFonts w:ascii="宋体" w:hAnsi="宋体" w:cs="宋体"/>
                <w:b/>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9</w:t>
            </w:r>
          </w:p>
        </w:tc>
        <w:tc>
          <w:tcPr>
            <w:tcW w:w="2520" w:type="dxa"/>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水产类</w:t>
            </w:r>
          </w:p>
        </w:tc>
        <w:tc>
          <w:tcPr>
            <w:tcW w:w="5111" w:type="dxa"/>
            <w:vAlign w:val="center"/>
          </w:tcPr>
          <w:p>
            <w:pPr>
              <w:jc w:val="center"/>
              <w:rPr>
                <w:rFonts w:ascii="宋体" w:hAnsi="宋体" w:cs="宋体"/>
                <w:b/>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10</w:t>
            </w:r>
          </w:p>
        </w:tc>
        <w:tc>
          <w:tcPr>
            <w:tcW w:w="2520" w:type="dxa"/>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其他类</w:t>
            </w:r>
          </w:p>
        </w:tc>
        <w:tc>
          <w:tcPr>
            <w:tcW w:w="5111" w:type="dxa"/>
            <w:vAlign w:val="center"/>
          </w:tcPr>
          <w:p>
            <w:pPr>
              <w:jc w:val="center"/>
              <w:rPr>
                <w:rFonts w:ascii="宋体" w:hAnsi="宋体" w:cs="宋体"/>
                <w:b/>
                <w:bCs/>
                <w:color w:val="000000"/>
                <w:sz w:val="22"/>
                <w:szCs w:val="22"/>
                <w:highlight w:val="none"/>
              </w:rPr>
            </w:pPr>
          </w:p>
        </w:tc>
      </w:tr>
    </w:tbl>
    <w:p>
      <w:pPr>
        <w:pStyle w:val="25"/>
        <w:snapToGrid w:val="0"/>
        <w:spacing w:line="360" w:lineRule="auto"/>
        <w:rPr>
          <w:rFonts w:hAnsi="宋体"/>
          <w:szCs w:val="21"/>
          <w:highlight w:val="none"/>
          <w:shd w:val="clear" w:color="auto" w:fill="FFFFFF"/>
        </w:rPr>
      </w:pPr>
    </w:p>
    <w:p>
      <w:pPr>
        <w:pStyle w:val="25"/>
        <w:snapToGrid w:val="0"/>
        <w:spacing w:line="360" w:lineRule="auto"/>
        <w:rPr>
          <w:rFonts w:hAnsi="宋体"/>
          <w:b/>
          <w:bCs/>
          <w:szCs w:val="21"/>
          <w:highlight w:val="none"/>
          <w:shd w:val="clear" w:color="auto" w:fill="FFFFFF"/>
        </w:rPr>
      </w:pPr>
      <w:r>
        <w:rPr>
          <w:rFonts w:hAnsi="宋体"/>
          <w:szCs w:val="21"/>
          <w:highlight w:val="none"/>
          <w:shd w:val="clear" w:color="auto" w:fill="FFFFFF"/>
        </w:rPr>
        <w:t>注: 1</w:t>
      </w:r>
      <w:r>
        <w:rPr>
          <w:rFonts w:hAnsi="宋体"/>
          <w:b/>
          <w:bCs/>
          <w:szCs w:val="21"/>
          <w:highlight w:val="none"/>
          <w:shd w:val="clear" w:color="auto" w:fill="FFFFFF"/>
        </w:rPr>
        <w:t>、</w:t>
      </w:r>
      <w:r>
        <w:rPr>
          <w:rFonts w:hint="eastAsia" w:hAnsi="宋体"/>
          <w:b/>
          <w:bCs/>
          <w:szCs w:val="21"/>
          <w:highlight w:val="none"/>
          <w:shd w:val="clear" w:color="auto" w:fill="FFFFFF"/>
        </w:rPr>
        <w:t>投标单位以折扣率进行报价（如：9折，即报价90%，结果保留两位小数）。</w:t>
      </w:r>
      <w:r>
        <w:rPr>
          <w:rFonts w:hAnsi="宋体"/>
          <w:b/>
          <w:bCs/>
          <w:szCs w:val="21"/>
          <w:highlight w:val="none"/>
          <w:shd w:val="clear" w:color="auto" w:fill="FFFFFF"/>
        </w:rPr>
        <w:t>报价一经涂改，应在涂改处加盖单位公章或者由法定代表人或授权委托人签字或盖章，否则其投标作无效标处理。</w:t>
      </w:r>
    </w:p>
    <w:p>
      <w:pPr>
        <w:widowControl/>
        <w:spacing w:line="360" w:lineRule="auto"/>
        <w:ind w:right="42" w:rightChars="20" w:firstLine="422" w:firstLineChars="200"/>
        <w:rPr>
          <w:rFonts w:ascii="宋体" w:hAnsi="宋体"/>
          <w:b/>
          <w:bCs/>
          <w:szCs w:val="21"/>
          <w:highlight w:val="none"/>
          <w:shd w:val="clear" w:color="auto" w:fill="FFFFFF"/>
        </w:rPr>
      </w:pPr>
      <w:r>
        <w:rPr>
          <w:rFonts w:hint="eastAsia" w:ascii="宋体" w:hAnsi="宋体"/>
          <w:b/>
          <w:bCs/>
          <w:szCs w:val="21"/>
          <w:highlight w:val="none"/>
          <w:shd w:val="clear" w:color="auto" w:fill="FFFFFF"/>
        </w:rPr>
        <w:t>2、投标报价是必须包括提供项目服务所需的一切人员费用（人员工资、奖金、各种加班费、各种社会保险（基本养老保险、基本医疗保险、工伤保险、失业保险、公积金等）、食宿与交通、高温补偿费）、货款、管理费用（意外保险、车辆、培训、税费、利润等完成合同所需的一切本身和不可或缺的所有工作开支、政策性文件规定及合同包含的所有风险、责任等各项全部费用并承担一切风险责任。</w:t>
      </w:r>
    </w:p>
    <w:p>
      <w:pPr>
        <w:pStyle w:val="25"/>
        <w:snapToGrid w:val="0"/>
        <w:spacing w:line="360" w:lineRule="auto"/>
        <w:rPr>
          <w:rFonts w:hAnsi="宋体" w:cs="宋体"/>
          <w:szCs w:val="21"/>
          <w:highlight w:val="none"/>
          <w:shd w:val="clear" w:color="auto" w:fill="FFFFFF"/>
        </w:rPr>
      </w:pPr>
    </w:p>
    <w:p>
      <w:pPr>
        <w:pStyle w:val="25"/>
        <w:snapToGrid w:val="0"/>
        <w:spacing w:line="360" w:lineRule="auto"/>
        <w:rPr>
          <w:rFonts w:hAnsi="宋体" w:cs="宋体"/>
          <w:szCs w:val="21"/>
          <w:highlight w:val="none"/>
          <w:shd w:val="clear" w:color="auto" w:fill="FFFFFF"/>
        </w:rPr>
      </w:pPr>
      <w:r>
        <w:rPr>
          <w:rFonts w:hint="eastAsia" w:hAnsi="宋体" w:cs="宋体"/>
          <w:szCs w:val="21"/>
          <w:highlight w:val="none"/>
          <w:shd w:val="clear" w:color="auto" w:fill="FFFFFF"/>
        </w:rPr>
        <w:t>法定代表人或授权代表（签字或盖章）：</w:t>
      </w:r>
    </w:p>
    <w:p>
      <w:pPr>
        <w:pStyle w:val="25"/>
        <w:snapToGrid w:val="0"/>
        <w:spacing w:line="360" w:lineRule="auto"/>
        <w:rPr>
          <w:rFonts w:hAnsi="宋体" w:cs="宋体"/>
          <w:szCs w:val="21"/>
          <w:highlight w:val="none"/>
        </w:rPr>
      </w:pPr>
      <w:r>
        <w:rPr>
          <w:rFonts w:hint="eastAsia" w:hAnsi="宋体" w:cs="宋体"/>
          <w:szCs w:val="21"/>
          <w:highlight w:val="none"/>
          <w:shd w:val="clear" w:color="auto" w:fill="FFFFFF"/>
        </w:rPr>
        <w:t>投标人名称：（盖章）：</w:t>
      </w:r>
    </w:p>
    <w:p>
      <w:pPr>
        <w:pStyle w:val="25"/>
        <w:snapToGrid w:val="0"/>
        <w:spacing w:line="360" w:lineRule="auto"/>
        <w:rPr>
          <w:rFonts w:hAnsi="宋体" w:cs="宋体"/>
          <w:highlight w:val="none"/>
        </w:rPr>
      </w:pPr>
      <w:r>
        <w:rPr>
          <w:rFonts w:hint="eastAsia" w:hAnsi="宋体" w:cs="宋体"/>
          <w:szCs w:val="21"/>
          <w:highlight w:val="none"/>
          <w:shd w:val="clear" w:color="auto" w:fill="FFFFFF"/>
        </w:rPr>
        <w:t>日期：</w:t>
      </w:r>
    </w:p>
    <w:p>
      <w:pPr>
        <w:rPr>
          <w:rFonts w:ascii="宋体" w:hAnsi="宋体" w:cs="宋体"/>
          <w:highlight w:val="none"/>
        </w:rPr>
      </w:pPr>
      <w:r>
        <w:rPr>
          <w:rFonts w:hint="eastAsia" w:ascii="宋体" w:hAnsi="宋体" w:cs="宋体"/>
          <w:highlight w:val="none"/>
        </w:rPr>
        <w:br w:type="page"/>
      </w:r>
    </w:p>
    <w:p>
      <w:pPr>
        <w:pStyle w:val="25"/>
        <w:snapToGrid w:val="0"/>
        <w:spacing w:line="360" w:lineRule="auto"/>
        <w:rPr>
          <w:rFonts w:hAnsi="宋体" w:cs="宋体"/>
          <w:szCs w:val="21"/>
          <w:highlight w:val="none"/>
          <w:shd w:val="clear" w:color="auto" w:fill="FFFFFF"/>
        </w:rPr>
      </w:pPr>
    </w:p>
    <w:p>
      <w:pPr>
        <w:snapToGrid w:val="0"/>
        <w:spacing w:before="50" w:afterLines="50" w:line="440" w:lineRule="exact"/>
        <w:jc w:val="center"/>
        <w:rPr>
          <w:rFonts w:ascii="宋体" w:hAnsi="宋体" w:cs="宋体"/>
          <w:sz w:val="32"/>
          <w:szCs w:val="32"/>
          <w:highlight w:val="none"/>
        </w:rPr>
      </w:pPr>
      <w:r>
        <w:rPr>
          <w:rFonts w:hint="eastAsia" w:ascii="宋体" w:hAnsi="宋体" w:cs="宋体"/>
          <w:b/>
          <w:sz w:val="32"/>
          <w:szCs w:val="32"/>
          <w:highlight w:val="none"/>
        </w:rPr>
        <w:t>劳动用工书面承诺</w:t>
      </w:r>
    </w:p>
    <w:p>
      <w:pPr>
        <w:pStyle w:val="25"/>
        <w:spacing w:line="480" w:lineRule="exact"/>
        <w:ind w:firstLine="480" w:firstLineChars="200"/>
        <w:rPr>
          <w:rFonts w:hAnsi="宋体" w:cs="宋体"/>
          <w:sz w:val="24"/>
          <w:szCs w:val="24"/>
          <w:highlight w:val="none"/>
        </w:rPr>
      </w:pPr>
      <w:r>
        <w:rPr>
          <w:rFonts w:hint="eastAsia" w:hAnsi="宋体" w:cs="宋体"/>
          <w:sz w:val="24"/>
          <w:szCs w:val="24"/>
          <w:highlight w:val="none"/>
        </w:rPr>
        <w:t>如我公司中标，我公司将严格遵守《民法典》的相关规定，按招标文件的要求配置服务人员，按国家规定为员工缴纳社会保险，员工的工资标准不低于嘉兴市最低工资标准，并将所有条款写入劳动用工合同。</w:t>
      </w:r>
    </w:p>
    <w:p>
      <w:pPr>
        <w:pStyle w:val="25"/>
        <w:spacing w:line="480" w:lineRule="exact"/>
        <w:ind w:firstLine="480" w:firstLineChars="200"/>
        <w:rPr>
          <w:rFonts w:hAnsi="宋体" w:cs="宋体"/>
          <w:sz w:val="24"/>
          <w:szCs w:val="24"/>
          <w:highlight w:val="none"/>
        </w:rPr>
      </w:pPr>
      <w:r>
        <w:rPr>
          <w:rFonts w:hint="eastAsia" w:hAnsi="宋体" w:cs="宋体"/>
          <w:sz w:val="24"/>
          <w:szCs w:val="24"/>
          <w:highlight w:val="none"/>
        </w:rPr>
        <w:t>特此承诺。</w:t>
      </w:r>
    </w:p>
    <w:p>
      <w:pPr>
        <w:pStyle w:val="25"/>
        <w:spacing w:line="480" w:lineRule="exact"/>
        <w:ind w:firstLine="480" w:firstLineChars="200"/>
        <w:rPr>
          <w:rFonts w:hAnsi="宋体" w:cs="宋体"/>
          <w:sz w:val="24"/>
          <w:szCs w:val="24"/>
          <w:highlight w:val="none"/>
        </w:rPr>
      </w:pPr>
    </w:p>
    <w:p>
      <w:pPr>
        <w:pStyle w:val="25"/>
        <w:spacing w:line="480" w:lineRule="exact"/>
        <w:ind w:firstLine="480" w:firstLineChars="200"/>
        <w:rPr>
          <w:rFonts w:hAnsi="宋体" w:cs="宋体"/>
          <w:sz w:val="24"/>
          <w:szCs w:val="24"/>
          <w:highlight w:val="none"/>
        </w:rPr>
      </w:pPr>
    </w:p>
    <w:p>
      <w:pPr>
        <w:snapToGrid w:val="0"/>
        <w:spacing w:before="50" w:after="50" w:line="360" w:lineRule="auto"/>
        <w:ind w:firstLine="480" w:firstLineChars="200"/>
        <w:rPr>
          <w:rFonts w:ascii="宋体" w:hAnsi="宋体" w:cs="宋体"/>
          <w:spacing w:val="20"/>
          <w:sz w:val="24"/>
          <w:highlight w:val="none"/>
          <w:u w:val="single"/>
        </w:rPr>
      </w:pPr>
      <w:r>
        <w:rPr>
          <w:rFonts w:hint="eastAsia" w:ascii="宋体" w:hAnsi="宋体" w:cs="宋体"/>
          <w:sz w:val="24"/>
          <w:highlight w:val="none"/>
        </w:rPr>
        <w:t>被授权人签字（或盖章）</w:t>
      </w:r>
      <w:r>
        <w:rPr>
          <w:rFonts w:hint="eastAsia" w:ascii="宋体" w:hAnsi="宋体" w:cs="宋体"/>
          <w:spacing w:val="20"/>
          <w:sz w:val="24"/>
          <w:highlight w:val="none"/>
        </w:rPr>
        <w:t>：</w:t>
      </w:r>
      <w:r>
        <w:rPr>
          <w:rFonts w:hint="eastAsia" w:ascii="宋体" w:hAnsi="宋体" w:cs="宋体"/>
          <w:spacing w:val="20"/>
          <w:sz w:val="24"/>
          <w:highlight w:val="none"/>
          <w:u w:val="single"/>
        </w:rPr>
        <w:t xml:space="preserve">        </w:t>
      </w:r>
    </w:p>
    <w:p>
      <w:pPr>
        <w:spacing w:line="460" w:lineRule="atLeast"/>
        <w:ind w:firstLine="480" w:firstLineChars="200"/>
        <w:rPr>
          <w:rFonts w:ascii="宋体" w:hAnsi="宋体" w:cs="宋体"/>
          <w:sz w:val="24"/>
          <w:highlight w:val="none"/>
        </w:rPr>
      </w:pPr>
      <w:r>
        <w:rPr>
          <w:rFonts w:hint="eastAsia" w:ascii="宋体" w:hAnsi="宋体" w:cs="宋体"/>
          <w:sz w:val="24"/>
          <w:highlight w:val="none"/>
        </w:rPr>
        <w:t xml:space="preserve">投标人公章：                    </w:t>
      </w:r>
    </w:p>
    <w:p>
      <w:pPr>
        <w:spacing w:line="460" w:lineRule="atLeast"/>
        <w:ind w:firstLine="240" w:firstLineChars="100"/>
        <w:rPr>
          <w:rFonts w:ascii="宋体" w:hAnsi="宋体" w:cs="宋体"/>
          <w:b/>
          <w:sz w:val="24"/>
          <w:highlight w:val="none"/>
        </w:rPr>
      </w:pPr>
      <w:r>
        <w:rPr>
          <w:rFonts w:hint="eastAsia" w:ascii="宋体" w:hAnsi="宋体" w:cs="宋体"/>
          <w:sz w:val="24"/>
          <w:highlight w:val="none"/>
        </w:rPr>
        <w:t xml:space="preserve">      年    月    日</w:t>
      </w:r>
    </w:p>
    <w:p>
      <w:pPr>
        <w:pStyle w:val="25"/>
        <w:snapToGrid w:val="0"/>
        <w:spacing w:line="360" w:lineRule="auto"/>
        <w:rPr>
          <w:rFonts w:hAnsi="宋体" w:cs="宋体"/>
          <w:highlight w:val="none"/>
        </w:rPr>
      </w:pP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Courier">
    <w:altName w:val="Courier New"/>
    <w:panose1 w:val="02070409020205020404"/>
    <w:charset w:val="00"/>
    <w:family w:val="moder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52"/>
      </w:rPr>
    </w:pPr>
    <w:r>
      <w:fldChar w:fldCharType="begin"/>
    </w:r>
    <w:r>
      <w:rPr>
        <w:rStyle w:val="52"/>
      </w:rPr>
      <w:instrText xml:space="preserve">PAGE  </w:instrText>
    </w:r>
    <w:r>
      <w:fldChar w:fldCharType="end"/>
    </w:r>
  </w:p>
  <w:p>
    <w:pPr>
      <w:pStyle w:val="2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微软雅黑" w:hAnsi="微软雅黑" w:eastAsia="微软雅黑"/>
      </w:rPr>
    </w:pPr>
    <w:r>
      <w:rPr>
        <w:rFonts w:hint="eastAsia" w:ascii="宋体" w:hAnsi="宋体" w:cs="Arial"/>
        <w:kern w:val="0"/>
        <w:szCs w:val="21"/>
      </w:rPr>
      <w:t>浙江省嘉兴支队南湖区消防救援大队 2024 年度食堂大宗物品配送采购项目 .招标文</w:t>
    </w:r>
    <w:r>
      <w:rPr>
        <w:rFonts w:ascii="宋体" w:hAnsi="宋体" w:cs="Arial"/>
        <w:kern w:val="0"/>
        <w:szCs w:val="21"/>
      </w:rPr>
      <w:t>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微软雅黑" w:hAnsi="微软雅黑" w:eastAsia="微软雅黑"/>
      </w:rPr>
    </w:pPr>
    <w:r>
      <w:rPr>
        <w:rFonts w:hint="eastAsia" w:ascii="宋体" w:hAnsi="宋体" w:cs="Arial"/>
        <w:kern w:val="0"/>
        <w:szCs w:val="21"/>
      </w:rPr>
      <w:t>浙江省嘉兴支队南湖区消防救援大队 2024 年度食堂大宗物品配送采购项目 .招标文</w:t>
    </w:r>
    <w:r>
      <w:rPr>
        <w:rFonts w:ascii="宋体" w:hAnsi="宋体" w:cs="Arial"/>
        <w:kern w:val="0"/>
        <w:szCs w:val="21"/>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微软雅黑" w:hAnsi="微软雅黑" w:eastAsia="微软雅黑"/>
      </w:rPr>
    </w:pPr>
    <w:r>
      <w:rPr>
        <w:rFonts w:hint="eastAsia" w:ascii="宋体" w:hAnsi="宋体" w:cs="Arial"/>
        <w:kern w:val="0"/>
        <w:szCs w:val="21"/>
      </w:rPr>
      <w:t>浙江省嘉兴支队南湖区消防救援大队 2024 年度食堂大宗物品配送采购项目 .招标文</w:t>
    </w:r>
    <w:r>
      <w:rPr>
        <w:rFonts w:ascii="宋体" w:hAnsi="宋体" w:cs="Arial"/>
        <w:kern w:val="0"/>
        <w:szCs w:val="21"/>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51757"/>
    <w:multiLevelType w:val="singleLevel"/>
    <w:tmpl w:val="DD251757"/>
    <w:lvl w:ilvl="0" w:tentative="0">
      <w:start w:val="3"/>
      <w:numFmt w:val="chineseCounting"/>
      <w:suff w:val="nothing"/>
      <w:lvlText w:val="%1、"/>
      <w:lvlJc w:val="left"/>
      <w:rPr>
        <w:rFonts w:hint="eastAsia"/>
      </w:rPr>
    </w:lvl>
  </w:abstractNum>
  <w:abstractNum w:abstractNumId="1">
    <w:nsid w:val="1C97F0B6"/>
    <w:multiLevelType w:val="singleLevel"/>
    <w:tmpl w:val="1C97F0B6"/>
    <w:lvl w:ilvl="0" w:tentative="0">
      <w:start w:val="2"/>
      <w:numFmt w:val="decimal"/>
      <w:lvlText w:val="%1."/>
      <w:lvlJc w:val="left"/>
      <w:pPr>
        <w:tabs>
          <w:tab w:val="left" w:pos="312"/>
        </w:tabs>
      </w:pPr>
    </w:lvl>
  </w:abstractNum>
  <w:abstractNum w:abstractNumId="2">
    <w:nsid w:val="6F05BE2E"/>
    <w:multiLevelType w:val="singleLevel"/>
    <w:tmpl w:val="6F05BE2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OGJjNjI2ZDNjOGQ2NmM4ZGViZGNlOTE4ODJiNDYifQ=="/>
  </w:docVars>
  <w:rsids>
    <w:rsidRoot w:val="00172A27"/>
    <w:rsid w:val="00000868"/>
    <w:rsid w:val="00002FF3"/>
    <w:rsid w:val="0000398F"/>
    <w:rsid w:val="00003C3C"/>
    <w:rsid w:val="000044F4"/>
    <w:rsid w:val="000050D6"/>
    <w:rsid w:val="00005B6A"/>
    <w:rsid w:val="0000613F"/>
    <w:rsid w:val="00006676"/>
    <w:rsid w:val="00007A59"/>
    <w:rsid w:val="000101D3"/>
    <w:rsid w:val="000104CA"/>
    <w:rsid w:val="00010B34"/>
    <w:rsid w:val="00010C43"/>
    <w:rsid w:val="000112E4"/>
    <w:rsid w:val="00011499"/>
    <w:rsid w:val="00011EDD"/>
    <w:rsid w:val="00012415"/>
    <w:rsid w:val="00014435"/>
    <w:rsid w:val="00015B12"/>
    <w:rsid w:val="00015C8C"/>
    <w:rsid w:val="00015EBA"/>
    <w:rsid w:val="00016F84"/>
    <w:rsid w:val="00017123"/>
    <w:rsid w:val="0001712E"/>
    <w:rsid w:val="0001791B"/>
    <w:rsid w:val="00020A3B"/>
    <w:rsid w:val="00023EA6"/>
    <w:rsid w:val="00023F05"/>
    <w:rsid w:val="000249F2"/>
    <w:rsid w:val="00024B81"/>
    <w:rsid w:val="00026C81"/>
    <w:rsid w:val="0003103E"/>
    <w:rsid w:val="0003146C"/>
    <w:rsid w:val="00031953"/>
    <w:rsid w:val="0003293E"/>
    <w:rsid w:val="00034784"/>
    <w:rsid w:val="00034D4D"/>
    <w:rsid w:val="00035725"/>
    <w:rsid w:val="000365CB"/>
    <w:rsid w:val="0003713E"/>
    <w:rsid w:val="000377BF"/>
    <w:rsid w:val="00037CD8"/>
    <w:rsid w:val="0004008C"/>
    <w:rsid w:val="000401D5"/>
    <w:rsid w:val="00041B2D"/>
    <w:rsid w:val="00042977"/>
    <w:rsid w:val="00042AFD"/>
    <w:rsid w:val="00043120"/>
    <w:rsid w:val="00043142"/>
    <w:rsid w:val="00045492"/>
    <w:rsid w:val="000462B4"/>
    <w:rsid w:val="0004692F"/>
    <w:rsid w:val="00047D1E"/>
    <w:rsid w:val="000501DD"/>
    <w:rsid w:val="0005070C"/>
    <w:rsid w:val="000510C6"/>
    <w:rsid w:val="000518B8"/>
    <w:rsid w:val="00051FC1"/>
    <w:rsid w:val="00052F01"/>
    <w:rsid w:val="00054A9C"/>
    <w:rsid w:val="00055784"/>
    <w:rsid w:val="00055D20"/>
    <w:rsid w:val="00056CBF"/>
    <w:rsid w:val="000573EF"/>
    <w:rsid w:val="00057835"/>
    <w:rsid w:val="00060047"/>
    <w:rsid w:val="00060905"/>
    <w:rsid w:val="000623FD"/>
    <w:rsid w:val="00062990"/>
    <w:rsid w:val="00062AFE"/>
    <w:rsid w:val="00063364"/>
    <w:rsid w:val="00064222"/>
    <w:rsid w:val="00064829"/>
    <w:rsid w:val="00065016"/>
    <w:rsid w:val="000651F4"/>
    <w:rsid w:val="00065E41"/>
    <w:rsid w:val="000661E3"/>
    <w:rsid w:val="000662AD"/>
    <w:rsid w:val="00066842"/>
    <w:rsid w:val="00066EC4"/>
    <w:rsid w:val="000709B0"/>
    <w:rsid w:val="000718A7"/>
    <w:rsid w:val="00072638"/>
    <w:rsid w:val="000736C9"/>
    <w:rsid w:val="00073C4C"/>
    <w:rsid w:val="00074E55"/>
    <w:rsid w:val="00074FC4"/>
    <w:rsid w:val="00076500"/>
    <w:rsid w:val="00076C16"/>
    <w:rsid w:val="0007718F"/>
    <w:rsid w:val="0007759B"/>
    <w:rsid w:val="0007790A"/>
    <w:rsid w:val="00080288"/>
    <w:rsid w:val="0008113B"/>
    <w:rsid w:val="00081912"/>
    <w:rsid w:val="00083285"/>
    <w:rsid w:val="00083E93"/>
    <w:rsid w:val="000845F6"/>
    <w:rsid w:val="00085D08"/>
    <w:rsid w:val="0008643D"/>
    <w:rsid w:val="000871CB"/>
    <w:rsid w:val="00087413"/>
    <w:rsid w:val="00087869"/>
    <w:rsid w:val="00087F2C"/>
    <w:rsid w:val="000901E0"/>
    <w:rsid w:val="00091F55"/>
    <w:rsid w:val="00092DE6"/>
    <w:rsid w:val="000932B2"/>
    <w:rsid w:val="00093B7D"/>
    <w:rsid w:val="00093EB5"/>
    <w:rsid w:val="000941A5"/>
    <w:rsid w:val="00095712"/>
    <w:rsid w:val="00096C1B"/>
    <w:rsid w:val="0009734B"/>
    <w:rsid w:val="000A0027"/>
    <w:rsid w:val="000A137F"/>
    <w:rsid w:val="000A20E5"/>
    <w:rsid w:val="000A24D3"/>
    <w:rsid w:val="000A29D9"/>
    <w:rsid w:val="000A326A"/>
    <w:rsid w:val="000A4323"/>
    <w:rsid w:val="000A4FF5"/>
    <w:rsid w:val="000A6697"/>
    <w:rsid w:val="000A69C1"/>
    <w:rsid w:val="000A74D9"/>
    <w:rsid w:val="000B09AE"/>
    <w:rsid w:val="000B0A3A"/>
    <w:rsid w:val="000B177F"/>
    <w:rsid w:val="000B22F5"/>
    <w:rsid w:val="000B2508"/>
    <w:rsid w:val="000B2E80"/>
    <w:rsid w:val="000B3796"/>
    <w:rsid w:val="000B39C4"/>
    <w:rsid w:val="000B4EDA"/>
    <w:rsid w:val="000B5BDD"/>
    <w:rsid w:val="000B60F2"/>
    <w:rsid w:val="000B688B"/>
    <w:rsid w:val="000C0619"/>
    <w:rsid w:val="000C0796"/>
    <w:rsid w:val="000C1788"/>
    <w:rsid w:val="000C1894"/>
    <w:rsid w:val="000C1950"/>
    <w:rsid w:val="000C1952"/>
    <w:rsid w:val="000C2450"/>
    <w:rsid w:val="000C34D1"/>
    <w:rsid w:val="000C3CB6"/>
    <w:rsid w:val="000C400E"/>
    <w:rsid w:val="000C4E12"/>
    <w:rsid w:val="000C51F1"/>
    <w:rsid w:val="000C52F4"/>
    <w:rsid w:val="000C62D7"/>
    <w:rsid w:val="000C743A"/>
    <w:rsid w:val="000C7992"/>
    <w:rsid w:val="000D00D5"/>
    <w:rsid w:val="000D0A89"/>
    <w:rsid w:val="000D0CCE"/>
    <w:rsid w:val="000D1BEF"/>
    <w:rsid w:val="000D1E8B"/>
    <w:rsid w:val="000D270C"/>
    <w:rsid w:val="000D3375"/>
    <w:rsid w:val="000D3BD8"/>
    <w:rsid w:val="000D3CA8"/>
    <w:rsid w:val="000D3DBC"/>
    <w:rsid w:val="000D3E83"/>
    <w:rsid w:val="000D4194"/>
    <w:rsid w:val="000D4E06"/>
    <w:rsid w:val="000D51BB"/>
    <w:rsid w:val="000D5879"/>
    <w:rsid w:val="000D73FD"/>
    <w:rsid w:val="000E0758"/>
    <w:rsid w:val="000E0C03"/>
    <w:rsid w:val="000E1631"/>
    <w:rsid w:val="000E1EB6"/>
    <w:rsid w:val="000E1F01"/>
    <w:rsid w:val="000E2330"/>
    <w:rsid w:val="000E2A99"/>
    <w:rsid w:val="000E4552"/>
    <w:rsid w:val="000E4833"/>
    <w:rsid w:val="000E5B07"/>
    <w:rsid w:val="000E5BED"/>
    <w:rsid w:val="000E63B3"/>
    <w:rsid w:val="000E67CC"/>
    <w:rsid w:val="000F00C6"/>
    <w:rsid w:val="000F03BE"/>
    <w:rsid w:val="000F1174"/>
    <w:rsid w:val="000F200A"/>
    <w:rsid w:val="000F2A44"/>
    <w:rsid w:val="000F2E02"/>
    <w:rsid w:val="000F41DC"/>
    <w:rsid w:val="000F79F2"/>
    <w:rsid w:val="000F7AE1"/>
    <w:rsid w:val="00102946"/>
    <w:rsid w:val="001029B5"/>
    <w:rsid w:val="00104A23"/>
    <w:rsid w:val="00104D7B"/>
    <w:rsid w:val="00104E7B"/>
    <w:rsid w:val="001056B0"/>
    <w:rsid w:val="00106261"/>
    <w:rsid w:val="00106CA0"/>
    <w:rsid w:val="00111AC6"/>
    <w:rsid w:val="00111C03"/>
    <w:rsid w:val="001127C2"/>
    <w:rsid w:val="00112C9C"/>
    <w:rsid w:val="001136F2"/>
    <w:rsid w:val="001140A1"/>
    <w:rsid w:val="0011453D"/>
    <w:rsid w:val="001157FF"/>
    <w:rsid w:val="00115C70"/>
    <w:rsid w:val="00117042"/>
    <w:rsid w:val="0012000F"/>
    <w:rsid w:val="00120031"/>
    <w:rsid w:val="001204E0"/>
    <w:rsid w:val="0012571C"/>
    <w:rsid w:val="00131164"/>
    <w:rsid w:val="0013190C"/>
    <w:rsid w:val="00131EB3"/>
    <w:rsid w:val="00132367"/>
    <w:rsid w:val="0013276A"/>
    <w:rsid w:val="0013300D"/>
    <w:rsid w:val="001331D8"/>
    <w:rsid w:val="0013637D"/>
    <w:rsid w:val="00136E52"/>
    <w:rsid w:val="001411A8"/>
    <w:rsid w:val="001433CF"/>
    <w:rsid w:val="0014548E"/>
    <w:rsid w:val="00150C59"/>
    <w:rsid w:val="001512EB"/>
    <w:rsid w:val="00152126"/>
    <w:rsid w:val="00152408"/>
    <w:rsid w:val="00152CF7"/>
    <w:rsid w:val="00155680"/>
    <w:rsid w:val="00155885"/>
    <w:rsid w:val="0015627F"/>
    <w:rsid w:val="0015639E"/>
    <w:rsid w:val="00157136"/>
    <w:rsid w:val="00157DAD"/>
    <w:rsid w:val="001601E1"/>
    <w:rsid w:val="001608DD"/>
    <w:rsid w:val="00160CB6"/>
    <w:rsid w:val="001619B3"/>
    <w:rsid w:val="00162AB9"/>
    <w:rsid w:val="001663C1"/>
    <w:rsid w:val="00171130"/>
    <w:rsid w:val="00172A27"/>
    <w:rsid w:val="001749E9"/>
    <w:rsid w:val="001749EA"/>
    <w:rsid w:val="00175FF0"/>
    <w:rsid w:val="001760F8"/>
    <w:rsid w:val="00180135"/>
    <w:rsid w:val="001807AC"/>
    <w:rsid w:val="0018080D"/>
    <w:rsid w:val="00180B6C"/>
    <w:rsid w:val="00183E56"/>
    <w:rsid w:val="00184A25"/>
    <w:rsid w:val="00185BE6"/>
    <w:rsid w:val="00186C73"/>
    <w:rsid w:val="00187CA6"/>
    <w:rsid w:val="00190584"/>
    <w:rsid w:val="00190A51"/>
    <w:rsid w:val="001916F1"/>
    <w:rsid w:val="00191C4B"/>
    <w:rsid w:val="001930F4"/>
    <w:rsid w:val="00194ECF"/>
    <w:rsid w:val="001961BA"/>
    <w:rsid w:val="001963C7"/>
    <w:rsid w:val="00196943"/>
    <w:rsid w:val="00196E8A"/>
    <w:rsid w:val="001A3799"/>
    <w:rsid w:val="001A385B"/>
    <w:rsid w:val="001A3D66"/>
    <w:rsid w:val="001A45C5"/>
    <w:rsid w:val="001A5907"/>
    <w:rsid w:val="001A6FF0"/>
    <w:rsid w:val="001A7535"/>
    <w:rsid w:val="001A78E7"/>
    <w:rsid w:val="001B024B"/>
    <w:rsid w:val="001B31E0"/>
    <w:rsid w:val="001B333B"/>
    <w:rsid w:val="001B4756"/>
    <w:rsid w:val="001B4BD3"/>
    <w:rsid w:val="001B52C5"/>
    <w:rsid w:val="001B598A"/>
    <w:rsid w:val="001B6161"/>
    <w:rsid w:val="001B6DF8"/>
    <w:rsid w:val="001B7633"/>
    <w:rsid w:val="001B7C02"/>
    <w:rsid w:val="001C01C4"/>
    <w:rsid w:val="001C1990"/>
    <w:rsid w:val="001C2AE0"/>
    <w:rsid w:val="001C2C06"/>
    <w:rsid w:val="001C2E1A"/>
    <w:rsid w:val="001C2F33"/>
    <w:rsid w:val="001C531A"/>
    <w:rsid w:val="001C585A"/>
    <w:rsid w:val="001C5F4C"/>
    <w:rsid w:val="001C625B"/>
    <w:rsid w:val="001C6F8E"/>
    <w:rsid w:val="001C70F2"/>
    <w:rsid w:val="001D0E96"/>
    <w:rsid w:val="001D15FA"/>
    <w:rsid w:val="001D1BEF"/>
    <w:rsid w:val="001D3D2D"/>
    <w:rsid w:val="001D6C3A"/>
    <w:rsid w:val="001E01DD"/>
    <w:rsid w:val="001E0DAD"/>
    <w:rsid w:val="001E0ED4"/>
    <w:rsid w:val="001E14EA"/>
    <w:rsid w:val="001E23F2"/>
    <w:rsid w:val="001E2F45"/>
    <w:rsid w:val="001E31F8"/>
    <w:rsid w:val="001E3FCE"/>
    <w:rsid w:val="001E4776"/>
    <w:rsid w:val="001E550F"/>
    <w:rsid w:val="001E5CEF"/>
    <w:rsid w:val="001F020B"/>
    <w:rsid w:val="001F02A5"/>
    <w:rsid w:val="001F2692"/>
    <w:rsid w:val="001F32E4"/>
    <w:rsid w:val="001F3957"/>
    <w:rsid w:val="001F4D21"/>
    <w:rsid w:val="001F6A15"/>
    <w:rsid w:val="001F7336"/>
    <w:rsid w:val="002001BC"/>
    <w:rsid w:val="002004C0"/>
    <w:rsid w:val="00200E8E"/>
    <w:rsid w:val="002012BC"/>
    <w:rsid w:val="00201494"/>
    <w:rsid w:val="002033CF"/>
    <w:rsid w:val="00203D55"/>
    <w:rsid w:val="00204712"/>
    <w:rsid w:val="00204AFB"/>
    <w:rsid w:val="00205048"/>
    <w:rsid w:val="0020630C"/>
    <w:rsid w:val="00206B06"/>
    <w:rsid w:val="00210A6D"/>
    <w:rsid w:val="00211B35"/>
    <w:rsid w:val="00212194"/>
    <w:rsid w:val="002122A4"/>
    <w:rsid w:val="00213BB2"/>
    <w:rsid w:val="00214014"/>
    <w:rsid w:val="0021426B"/>
    <w:rsid w:val="00214F3B"/>
    <w:rsid w:val="00215167"/>
    <w:rsid w:val="00215261"/>
    <w:rsid w:val="0021582A"/>
    <w:rsid w:val="00216455"/>
    <w:rsid w:val="00216784"/>
    <w:rsid w:val="002167D5"/>
    <w:rsid w:val="00216AF8"/>
    <w:rsid w:val="002172A3"/>
    <w:rsid w:val="002202C1"/>
    <w:rsid w:val="0022043B"/>
    <w:rsid w:val="0022120F"/>
    <w:rsid w:val="00221406"/>
    <w:rsid w:val="002214C3"/>
    <w:rsid w:val="00221609"/>
    <w:rsid w:val="00221DE0"/>
    <w:rsid w:val="00222725"/>
    <w:rsid w:val="00223C33"/>
    <w:rsid w:val="0022501A"/>
    <w:rsid w:val="00225680"/>
    <w:rsid w:val="00225B70"/>
    <w:rsid w:val="0022638E"/>
    <w:rsid w:val="002266AF"/>
    <w:rsid w:val="00226F31"/>
    <w:rsid w:val="00227079"/>
    <w:rsid w:val="002272CC"/>
    <w:rsid w:val="0022764B"/>
    <w:rsid w:val="002310E4"/>
    <w:rsid w:val="00231165"/>
    <w:rsid w:val="002321B2"/>
    <w:rsid w:val="00232532"/>
    <w:rsid w:val="002327C8"/>
    <w:rsid w:val="002331D8"/>
    <w:rsid w:val="0023367C"/>
    <w:rsid w:val="0023556C"/>
    <w:rsid w:val="00235917"/>
    <w:rsid w:val="0023594C"/>
    <w:rsid w:val="0023766E"/>
    <w:rsid w:val="00240313"/>
    <w:rsid w:val="00244319"/>
    <w:rsid w:val="002450E8"/>
    <w:rsid w:val="00245739"/>
    <w:rsid w:val="0024712C"/>
    <w:rsid w:val="0024757D"/>
    <w:rsid w:val="002500D9"/>
    <w:rsid w:val="00250561"/>
    <w:rsid w:val="0025074F"/>
    <w:rsid w:val="00250FF3"/>
    <w:rsid w:val="00251D1B"/>
    <w:rsid w:val="00251DDD"/>
    <w:rsid w:val="00254D47"/>
    <w:rsid w:val="00255D0F"/>
    <w:rsid w:val="0025717D"/>
    <w:rsid w:val="00257251"/>
    <w:rsid w:val="00257614"/>
    <w:rsid w:val="00260090"/>
    <w:rsid w:val="00260141"/>
    <w:rsid w:val="00260679"/>
    <w:rsid w:val="00261255"/>
    <w:rsid w:val="002615FC"/>
    <w:rsid w:val="00262313"/>
    <w:rsid w:val="0026292E"/>
    <w:rsid w:val="00266055"/>
    <w:rsid w:val="0026746C"/>
    <w:rsid w:val="002705BE"/>
    <w:rsid w:val="00270CF7"/>
    <w:rsid w:val="00270F20"/>
    <w:rsid w:val="00272EC3"/>
    <w:rsid w:val="00273015"/>
    <w:rsid w:val="0027308B"/>
    <w:rsid w:val="0027337F"/>
    <w:rsid w:val="00274258"/>
    <w:rsid w:val="0027449C"/>
    <w:rsid w:val="00274F22"/>
    <w:rsid w:val="002754FB"/>
    <w:rsid w:val="00275E3B"/>
    <w:rsid w:val="00276170"/>
    <w:rsid w:val="00276513"/>
    <w:rsid w:val="002800F9"/>
    <w:rsid w:val="00282B66"/>
    <w:rsid w:val="00284071"/>
    <w:rsid w:val="00284585"/>
    <w:rsid w:val="00284A51"/>
    <w:rsid w:val="0028553D"/>
    <w:rsid w:val="0028590F"/>
    <w:rsid w:val="0028632D"/>
    <w:rsid w:val="002864B8"/>
    <w:rsid w:val="002867E2"/>
    <w:rsid w:val="0029034A"/>
    <w:rsid w:val="00290975"/>
    <w:rsid w:val="00293D33"/>
    <w:rsid w:val="0029485F"/>
    <w:rsid w:val="0029609E"/>
    <w:rsid w:val="00297229"/>
    <w:rsid w:val="002A0977"/>
    <w:rsid w:val="002A0E86"/>
    <w:rsid w:val="002A5215"/>
    <w:rsid w:val="002A62CD"/>
    <w:rsid w:val="002A6348"/>
    <w:rsid w:val="002A673A"/>
    <w:rsid w:val="002A6D52"/>
    <w:rsid w:val="002A6D8E"/>
    <w:rsid w:val="002A7816"/>
    <w:rsid w:val="002B0D8A"/>
    <w:rsid w:val="002B4339"/>
    <w:rsid w:val="002B5C0A"/>
    <w:rsid w:val="002B650F"/>
    <w:rsid w:val="002B6A6C"/>
    <w:rsid w:val="002B73C5"/>
    <w:rsid w:val="002B7CC9"/>
    <w:rsid w:val="002C07F3"/>
    <w:rsid w:val="002C2BFF"/>
    <w:rsid w:val="002C2C79"/>
    <w:rsid w:val="002C2D68"/>
    <w:rsid w:val="002C30B4"/>
    <w:rsid w:val="002C3195"/>
    <w:rsid w:val="002C3490"/>
    <w:rsid w:val="002C4048"/>
    <w:rsid w:val="002C4195"/>
    <w:rsid w:val="002C49C2"/>
    <w:rsid w:val="002C4CA1"/>
    <w:rsid w:val="002C5920"/>
    <w:rsid w:val="002C5F4F"/>
    <w:rsid w:val="002C60A9"/>
    <w:rsid w:val="002C7739"/>
    <w:rsid w:val="002D0334"/>
    <w:rsid w:val="002D1096"/>
    <w:rsid w:val="002D1656"/>
    <w:rsid w:val="002D30D0"/>
    <w:rsid w:val="002D3A29"/>
    <w:rsid w:val="002D3DE7"/>
    <w:rsid w:val="002D40B4"/>
    <w:rsid w:val="002D4599"/>
    <w:rsid w:val="002D501A"/>
    <w:rsid w:val="002D5406"/>
    <w:rsid w:val="002D6047"/>
    <w:rsid w:val="002D6367"/>
    <w:rsid w:val="002D6ED5"/>
    <w:rsid w:val="002E0380"/>
    <w:rsid w:val="002E3DB0"/>
    <w:rsid w:val="002E4582"/>
    <w:rsid w:val="002E58E1"/>
    <w:rsid w:val="002E608E"/>
    <w:rsid w:val="002E6D2B"/>
    <w:rsid w:val="002E767C"/>
    <w:rsid w:val="002E7AFC"/>
    <w:rsid w:val="002E7CFC"/>
    <w:rsid w:val="002E7E1D"/>
    <w:rsid w:val="002F0B10"/>
    <w:rsid w:val="002F208F"/>
    <w:rsid w:val="002F22D6"/>
    <w:rsid w:val="002F46AD"/>
    <w:rsid w:val="002F4F9C"/>
    <w:rsid w:val="002F6AA7"/>
    <w:rsid w:val="002F6D21"/>
    <w:rsid w:val="002F6FCC"/>
    <w:rsid w:val="0030184C"/>
    <w:rsid w:val="003034C4"/>
    <w:rsid w:val="00303B30"/>
    <w:rsid w:val="003070E6"/>
    <w:rsid w:val="00307B9E"/>
    <w:rsid w:val="00311A46"/>
    <w:rsid w:val="00312FB3"/>
    <w:rsid w:val="003146C2"/>
    <w:rsid w:val="003146FD"/>
    <w:rsid w:val="00314A13"/>
    <w:rsid w:val="00314F8A"/>
    <w:rsid w:val="00315A4D"/>
    <w:rsid w:val="003163D4"/>
    <w:rsid w:val="00316663"/>
    <w:rsid w:val="00316CBA"/>
    <w:rsid w:val="00320024"/>
    <w:rsid w:val="003207AE"/>
    <w:rsid w:val="0032270C"/>
    <w:rsid w:val="003235A5"/>
    <w:rsid w:val="00323E19"/>
    <w:rsid w:val="0032517A"/>
    <w:rsid w:val="00325482"/>
    <w:rsid w:val="00326214"/>
    <w:rsid w:val="003262E3"/>
    <w:rsid w:val="0032659B"/>
    <w:rsid w:val="00326C39"/>
    <w:rsid w:val="00326F34"/>
    <w:rsid w:val="00327B44"/>
    <w:rsid w:val="00330637"/>
    <w:rsid w:val="00331439"/>
    <w:rsid w:val="003314C8"/>
    <w:rsid w:val="0033382F"/>
    <w:rsid w:val="003339BF"/>
    <w:rsid w:val="0033557B"/>
    <w:rsid w:val="00340021"/>
    <w:rsid w:val="00340753"/>
    <w:rsid w:val="00340EF0"/>
    <w:rsid w:val="0034120C"/>
    <w:rsid w:val="00341BA6"/>
    <w:rsid w:val="0034220C"/>
    <w:rsid w:val="0034299D"/>
    <w:rsid w:val="00342C20"/>
    <w:rsid w:val="003446A7"/>
    <w:rsid w:val="00344AB4"/>
    <w:rsid w:val="003450C9"/>
    <w:rsid w:val="0034565D"/>
    <w:rsid w:val="003462B2"/>
    <w:rsid w:val="003471ED"/>
    <w:rsid w:val="00347CE9"/>
    <w:rsid w:val="00351958"/>
    <w:rsid w:val="0035270E"/>
    <w:rsid w:val="0035302D"/>
    <w:rsid w:val="00353D48"/>
    <w:rsid w:val="00353D4B"/>
    <w:rsid w:val="00353FD0"/>
    <w:rsid w:val="0035446D"/>
    <w:rsid w:val="00357213"/>
    <w:rsid w:val="00360259"/>
    <w:rsid w:val="00360275"/>
    <w:rsid w:val="003618C1"/>
    <w:rsid w:val="00361B16"/>
    <w:rsid w:val="00361F22"/>
    <w:rsid w:val="00362B52"/>
    <w:rsid w:val="00362B6B"/>
    <w:rsid w:val="003640AC"/>
    <w:rsid w:val="00364900"/>
    <w:rsid w:val="00367043"/>
    <w:rsid w:val="00367868"/>
    <w:rsid w:val="00367E68"/>
    <w:rsid w:val="003702DB"/>
    <w:rsid w:val="003726C9"/>
    <w:rsid w:val="00373F8D"/>
    <w:rsid w:val="00374437"/>
    <w:rsid w:val="00374661"/>
    <w:rsid w:val="00374AFA"/>
    <w:rsid w:val="0037555D"/>
    <w:rsid w:val="00375F2E"/>
    <w:rsid w:val="0037623E"/>
    <w:rsid w:val="0037688E"/>
    <w:rsid w:val="00376CC4"/>
    <w:rsid w:val="00377A30"/>
    <w:rsid w:val="003807C5"/>
    <w:rsid w:val="00380F76"/>
    <w:rsid w:val="00381601"/>
    <w:rsid w:val="003827C0"/>
    <w:rsid w:val="00382D2E"/>
    <w:rsid w:val="003831B5"/>
    <w:rsid w:val="003833E2"/>
    <w:rsid w:val="003857B1"/>
    <w:rsid w:val="0038631D"/>
    <w:rsid w:val="00386BBA"/>
    <w:rsid w:val="00387D85"/>
    <w:rsid w:val="00391146"/>
    <w:rsid w:val="0039180D"/>
    <w:rsid w:val="003938CA"/>
    <w:rsid w:val="00393B51"/>
    <w:rsid w:val="003940A9"/>
    <w:rsid w:val="003945FE"/>
    <w:rsid w:val="00394AE3"/>
    <w:rsid w:val="00395629"/>
    <w:rsid w:val="00396529"/>
    <w:rsid w:val="00397632"/>
    <w:rsid w:val="00397A22"/>
    <w:rsid w:val="003A11D5"/>
    <w:rsid w:val="003A1716"/>
    <w:rsid w:val="003A35DE"/>
    <w:rsid w:val="003A368B"/>
    <w:rsid w:val="003A3F1A"/>
    <w:rsid w:val="003A55E2"/>
    <w:rsid w:val="003A5CBD"/>
    <w:rsid w:val="003A65FE"/>
    <w:rsid w:val="003A6EB4"/>
    <w:rsid w:val="003B296C"/>
    <w:rsid w:val="003B5979"/>
    <w:rsid w:val="003B5E24"/>
    <w:rsid w:val="003B6222"/>
    <w:rsid w:val="003C1488"/>
    <w:rsid w:val="003C2EF0"/>
    <w:rsid w:val="003C39A1"/>
    <w:rsid w:val="003C4C6A"/>
    <w:rsid w:val="003C542B"/>
    <w:rsid w:val="003C6088"/>
    <w:rsid w:val="003C6925"/>
    <w:rsid w:val="003C6A7D"/>
    <w:rsid w:val="003C704B"/>
    <w:rsid w:val="003C77FD"/>
    <w:rsid w:val="003C7C88"/>
    <w:rsid w:val="003D1D29"/>
    <w:rsid w:val="003D1E74"/>
    <w:rsid w:val="003D38BD"/>
    <w:rsid w:val="003D3F8F"/>
    <w:rsid w:val="003D44ED"/>
    <w:rsid w:val="003D5BE8"/>
    <w:rsid w:val="003D7B96"/>
    <w:rsid w:val="003E0C22"/>
    <w:rsid w:val="003E25C9"/>
    <w:rsid w:val="003E3291"/>
    <w:rsid w:val="003E3769"/>
    <w:rsid w:val="003E4A05"/>
    <w:rsid w:val="003E62A6"/>
    <w:rsid w:val="003E6BD1"/>
    <w:rsid w:val="003E76F5"/>
    <w:rsid w:val="003F00F1"/>
    <w:rsid w:val="003F08DD"/>
    <w:rsid w:val="003F095C"/>
    <w:rsid w:val="003F135A"/>
    <w:rsid w:val="003F32EA"/>
    <w:rsid w:val="003F3578"/>
    <w:rsid w:val="003F361B"/>
    <w:rsid w:val="003F3B43"/>
    <w:rsid w:val="003F47CC"/>
    <w:rsid w:val="003F6EA7"/>
    <w:rsid w:val="00401095"/>
    <w:rsid w:val="00401627"/>
    <w:rsid w:val="00401A1A"/>
    <w:rsid w:val="00403741"/>
    <w:rsid w:val="00404445"/>
    <w:rsid w:val="00404C20"/>
    <w:rsid w:val="00405C98"/>
    <w:rsid w:val="00407E08"/>
    <w:rsid w:val="00407ED7"/>
    <w:rsid w:val="00410A0F"/>
    <w:rsid w:val="00410FAF"/>
    <w:rsid w:val="004114AA"/>
    <w:rsid w:val="0041237D"/>
    <w:rsid w:val="00412CBD"/>
    <w:rsid w:val="00412CD1"/>
    <w:rsid w:val="00413F4C"/>
    <w:rsid w:val="00415698"/>
    <w:rsid w:val="004156B5"/>
    <w:rsid w:val="00415CB5"/>
    <w:rsid w:val="00415CD0"/>
    <w:rsid w:val="00417BE9"/>
    <w:rsid w:val="00420F8D"/>
    <w:rsid w:val="004214B5"/>
    <w:rsid w:val="004225B5"/>
    <w:rsid w:val="0042297C"/>
    <w:rsid w:val="00422B8C"/>
    <w:rsid w:val="00423F7F"/>
    <w:rsid w:val="004250BA"/>
    <w:rsid w:val="004256E8"/>
    <w:rsid w:val="00425845"/>
    <w:rsid w:val="00425B57"/>
    <w:rsid w:val="004267A0"/>
    <w:rsid w:val="00426EEF"/>
    <w:rsid w:val="00427047"/>
    <w:rsid w:val="00430924"/>
    <w:rsid w:val="0043115C"/>
    <w:rsid w:val="00431C25"/>
    <w:rsid w:val="00431CF0"/>
    <w:rsid w:val="0043214E"/>
    <w:rsid w:val="00433D02"/>
    <w:rsid w:val="00434060"/>
    <w:rsid w:val="00437762"/>
    <w:rsid w:val="00437C7D"/>
    <w:rsid w:val="00440432"/>
    <w:rsid w:val="00440709"/>
    <w:rsid w:val="004409B0"/>
    <w:rsid w:val="004410F2"/>
    <w:rsid w:val="0044176C"/>
    <w:rsid w:val="004426D3"/>
    <w:rsid w:val="004432C4"/>
    <w:rsid w:val="00444BDC"/>
    <w:rsid w:val="00444E81"/>
    <w:rsid w:val="00445C3B"/>
    <w:rsid w:val="004461E1"/>
    <w:rsid w:val="0044624A"/>
    <w:rsid w:val="004466ED"/>
    <w:rsid w:val="00450063"/>
    <w:rsid w:val="00451372"/>
    <w:rsid w:val="00451A69"/>
    <w:rsid w:val="00451D14"/>
    <w:rsid w:val="00453177"/>
    <w:rsid w:val="0045398A"/>
    <w:rsid w:val="004548E3"/>
    <w:rsid w:val="00454CAC"/>
    <w:rsid w:val="00454FEF"/>
    <w:rsid w:val="00455983"/>
    <w:rsid w:val="00455FB6"/>
    <w:rsid w:val="00456AB9"/>
    <w:rsid w:val="00456B40"/>
    <w:rsid w:val="00457A35"/>
    <w:rsid w:val="00463AE4"/>
    <w:rsid w:val="00466865"/>
    <w:rsid w:val="0047000B"/>
    <w:rsid w:val="00470411"/>
    <w:rsid w:val="00470989"/>
    <w:rsid w:val="0047269E"/>
    <w:rsid w:val="00472A6B"/>
    <w:rsid w:val="004730CD"/>
    <w:rsid w:val="004753EA"/>
    <w:rsid w:val="004756E5"/>
    <w:rsid w:val="00475B66"/>
    <w:rsid w:val="00477067"/>
    <w:rsid w:val="0047747E"/>
    <w:rsid w:val="0047764D"/>
    <w:rsid w:val="00481C9A"/>
    <w:rsid w:val="00482362"/>
    <w:rsid w:val="004837DF"/>
    <w:rsid w:val="00483A8C"/>
    <w:rsid w:val="00483AF6"/>
    <w:rsid w:val="004845BA"/>
    <w:rsid w:val="00485E36"/>
    <w:rsid w:val="00486130"/>
    <w:rsid w:val="00487B3A"/>
    <w:rsid w:val="00487EA8"/>
    <w:rsid w:val="00491467"/>
    <w:rsid w:val="00491686"/>
    <w:rsid w:val="00492C3D"/>
    <w:rsid w:val="004935E2"/>
    <w:rsid w:val="004935F5"/>
    <w:rsid w:val="00493D52"/>
    <w:rsid w:val="00494311"/>
    <w:rsid w:val="00495508"/>
    <w:rsid w:val="00496347"/>
    <w:rsid w:val="0049757D"/>
    <w:rsid w:val="004A0749"/>
    <w:rsid w:val="004A074A"/>
    <w:rsid w:val="004A081C"/>
    <w:rsid w:val="004A08C4"/>
    <w:rsid w:val="004A0C79"/>
    <w:rsid w:val="004A193D"/>
    <w:rsid w:val="004A29C6"/>
    <w:rsid w:val="004A339A"/>
    <w:rsid w:val="004A33C5"/>
    <w:rsid w:val="004A3408"/>
    <w:rsid w:val="004A3427"/>
    <w:rsid w:val="004A35EC"/>
    <w:rsid w:val="004A3D67"/>
    <w:rsid w:val="004A5FE4"/>
    <w:rsid w:val="004A63AD"/>
    <w:rsid w:val="004A672E"/>
    <w:rsid w:val="004A6CD4"/>
    <w:rsid w:val="004A763F"/>
    <w:rsid w:val="004A7686"/>
    <w:rsid w:val="004B1146"/>
    <w:rsid w:val="004B1B25"/>
    <w:rsid w:val="004B3872"/>
    <w:rsid w:val="004B50D5"/>
    <w:rsid w:val="004B5BDD"/>
    <w:rsid w:val="004B76FA"/>
    <w:rsid w:val="004C024F"/>
    <w:rsid w:val="004C08D1"/>
    <w:rsid w:val="004C09A2"/>
    <w:rsid w:val="004C2CFD"/>
    <w:rsid w:val="004C30F4"/>
    <w:rsid w:val="004C34B1"/>
    <w:rsid w:val="004C490A"/>
    <w:rsid w:val="004C4F9B"/>
    <w:rsid w:val="004C7813"/>
    <w:rsid w:val="004D0473"/>
    <w:rsid w:val="004D07AC"/>
    <w:rsid w:val="004D1437"/>
    <w:rsid w:val="004D1876"/>
    <w:rsid w:val="004D3047"/>
    <w:rsid w:val="004D3105"/>
    <w:rsid w:val="004D352E"/>
    <w:rsid w:val="004D39A3"/>
    <w:rsid w:val="004D4F09"/>
    <w:rsid w:val="004D5556"/>
    <w:rsid w:val="004D5FBE"/>
    <w:rsid w:val="004D688A"/>
    <w:rsid w:val="004D7812"/>
    <w:rsid w:val="004D7E27"/>
    <w:rsid w:val="004E180E"/>
    <w:rsid w:val="004E1853"/>
    <w:rsid w:val="004E2801"/>
    <w:rsid w:val="004E3AAC"/>
    <w:rsid w:val="004E3F53"/>
    <w:rsid w:val="004E443A"/>
    <w:rsid w:val="004E49CF"/>
    <w:rsid w:val="004E7946"/>
    <w:rsid w:val="004F00CE"/>
    <w:rsid w:val="004F054E"/>
    <w:rsid w:val="004F14AA"/>
    <w:rsid w:val="004F22F9"/>
    <w:rsid w:val="004F28FF"/>
    <w:rsid w:val="004F2BE6"/>
    <w:rsid w:val="004F49C9"/>
    <w:rsid w:val="004F5EEB"/>
    <w:rsid w:val="004F6AAA"/>
    <w:rsid w:val="004F773C"/>
    <w:rsid w:val="004F7EA8"/>
    <w:rsid w:val="00500A89"/>
    <w:rsid w:val="00501FF8"/>
    <w:rsid w:val="0050272E"/>
    <w:rsid w:val="00504332"/>
    <w:rsid w:val="00504E3A"/>
    <w:rsid w:val="00507566"/>
    <w:rsid w:val="005101D0"/>
    <w:rsid w:val="00510C68"/>
    <w:rsid w:val="00511A73"/>
    <w:rsid w:val="0051205B"/>
    <w:rsid w:val="0051264D"/>
    <w:rsid w:val="00512C76"/>
    <w:rsid w:val="00512DE6"/>
    <w:rsid w:val="00513715"/>
    <w:rsid w:val="00513791"/>
    <w:rsid w:val="00513BF2"/>
    <w:rsid w:val="00513EE1"/>
    <w:rsid w:val="0051455D"/>
    <w:rsid w:val="005163A0"/>
    <w:rsid w:val="005167B7"/>
    <w:rsid w:val="00520BD0"/>
    <w:rsid w:val="00520EB6"/>
    <w:rsid w:val="00521558"/>
    <w:rsid w:val="00521C5E"/>
    <w:rsid w:val="00521FA8"/>
    <w:rsid w:val="00521FF6"/>
    <w:rsid w:val="00523056"/>
    <w:rsid w:val="0052346E"/>
    <w:rsid w:val="005235A4"/>
    <w:rsid w:val="00524F55"/>
    <w:rsid w:val="00525BDD"/>
    <w:rsid w:val="0052684A"/>
    <w:rsid w:val="00526FB9"/>
    <w:rsid w:val="005272BF"/>
    <w:rsid w:val="00527687"/>
    <w:rsid w:val="005309B4"/>
    <w:rsid w:val="005312BB"/>
    <w:rsid w:val="00532778"/>
    <w:rsid w:val="00532B2C"/>
    <w:rsid w:val="00533812"/>
    <w:rsid w:val="00534342"/>
    <w:rsid w:val="00534722"/>
    <w:rsid w:val="00535AFE"/>
    <w:rsid w:val="00535F25"/>
    <w:rsid w:val="00536684"/>
    <w:rsid w:val="00536B9E"/>
    <w:rsid w:val="00536EDE"/>
    <w:rsid w:val="00536FC0"/>
    <w:rsid w:val="00537646"/>
    <w:rsid w:val="005432E2"/>
    <w:rsid w:val="0054336E"/>
    <w:rsid w:val="00543F20"/>
    <w:rsid w:val="005445EF"/>
    <w:rsid w:val="00545D29"/>
    <w:rsid w:val="005460CA"/>
    <w:rsid w:val="0054671E"/>
    <w:rsid w:val="00546ADF"/>
    <w:rsid w:val="00546C74"/>
    <w:rsid w:val="00547404"/>
    <w:rsid w:val="005474F2"/>
    <w:rsid w:val="00551A9F"/>
    <w:rsid w:val="00551FAE"/>
    <w:rsid w:val="005520FF"/>
    <w:rsid w:val="00552BA8"/>
    <w:rsid w:val="00553DED"/>
    <w:rsid w:val="00553EF5"/>
    <w:rsid w:val="00555788"/>
    <w:rsid w:val="00556AAA"/>
    <w:rsid w:val="00556ED3"/>
    <w:rsid w:val="005574A3"/>
    <w:rsid w:val="005577EC"/>
    <w:rsid w:val="005579A1"/>
    <w:rsid w:val="00557B69"/>
    <w:rsid w:val="005608EF"/>
    <w:rsid w:val="00562FE2"/>
    <w:rsid w:val="00563D15"/>
    <w:rsid w:val="00564533"/>
    <w:rsid w:val="00566FF8"/>
    <w:rsid w:val="005676EC"/>
    <w:rsid w:val="0056771B"/>
    <w:rsid w:val="00567FD0"/>
    <w:rsid w:val="005719F3"/>
    <w:rsid w:val="00571C2F"/>
    <w:rsid w:val="00572072"/>
    <w:rsid w:val="00572649"/>
    <w:rsid w:val="00574776"/>
    <w:rsid w:val="005758C3"/>
    <w:rsid w:val="00576E0E"/>
    <w:rsid w:val="005774DA"/>
    <w:rsid w:val="00577BFD"/>
    <w:rsid w:val="00580329"/>
    <w:rsid w:val="00583887"/>
    <w:rsid w:val="00583E2C"/>
    <w:rsid w:val="00584144"/>
    <w:rsid w:val="005844A7"/>
    <w:rsid w:val="00584C25"/>
    <w:rsid w:val="0058506B"/>
    <w:rsid w:val="0058575C"/>
    <w:rsid w:val="00585FD8"/>
    <w:rsid w:val="00586296"/>
    <w:rsid w:val="005866FE"/>
    <w:rsid w:val="0059061B"/>
    <w:rsid w:val="005907E4"/>
    <w:rsid w:val="00591922"/>
    <w:rsid w:val="00591C01"/>
    <w:rsid w:val="005955B8"/>
    <w:rsid w:val="00595BD6"/>
    <w:rsid w:val="005969CE"/>
    <w:rsid w:val="00596EB2"/>
    <w:rsid w:val="00597102"/>
    <w:rsid w:val="00597843"/>
    <w:rsid w:val="005979E9"/>
    <w:rsid w:val="00597A7A"/>
    <w:rsid w:val="005A102D"/>
    <w:rsid w:val="005A182D"/>
    <w:rsid w:val="005A1858"/>
    <w:rsid w:val="005A1DC0"/>
    <w:rsid w:val="005A2A66"/>
    <w:rsid w:val="005A422B"/>
    <w:rsid w:val="005A452F"/>
    <w:rsid w:val="005A4EA4"/>
    <w:rsid w:val="005A76B0"/>
    <w:rsid w:val="005B067A"/>
    <w:rsid w:val="005B26C5"/>
    <w:rsid w:val="005B3B45"/>
    <w:rsid w:val="005B6616"/>
    <w:rsid w:val="005B67AE"/>
    <w:rsid w:val="005B7C00"/>
    <w:rsid w:val="005B7F47"/>
    <w:rsid w:val="005C020F"/>
    <w:rsid w:val="005C0785"/>
    <w:rsid w:val="005C0E52"/>
    <w:rsid w:val="005C1351"/>
    <w:rsid w:val="005C1C87"/>
    <w:rsid w:val="005C2002"/>
    <w:rsid w:val="005C25DD"/>
    <w:rsid w:val="005C34B9"/>
    <w:rsid w:val="005C35FC"/>
    <w:rsid w:val="005C3A36"/>
    <w:rsid w:val="005C6DB7"/>
    <w:rsid w:val="005C75FA"/>
    <w:rsid w:val="005D09F3"/>
    <w:rsid w:val="005D2086"/>
    <w:rsid w:val="005D2694"/>
    <w:rsid w:val="005D2A4D"/>
    <w:rsid w:val="005D2A91"/>
    <w:rsid w:val="005D2B8F"/>
    <w:rsid w:val="005D32EA"/>
    <w:rsid w:val="005D3740"/>
    <w:rsid w:val="005D46E1"/>
    <w:rsid w:val="005D4DE6"/>
    <w:rsid w:val="005D547F"/>
    <w:rsid w:val="005D5639"/>
    <w:rsid w:val="005D5F44"/>
    <w:rsid w:val="005D6F33"/>
    <w:rsid w:val="005E250B"/>
    <w:rsid w:val="005E2D9D"/>
    <w:rsid w:val="005E30E2"/>
    <w:rsid w:val="005E3BE9"/>
    <w:rsid w:val="005E4B63"/>
    <w:rsid w:val="005E60BB"/>
    <w:rsid w:val="005E7161"/>
    <w:rsid w:val="005F05EE"/>
    <w:rsid w:val="005F0EA0"/>
    <w:rsid w:val="005F0F42"/>
    <w:rsid w:val="005F1237"/>
    <w:rsid w:val="005F17BB"/>
    <w:rsid w:val="005F22D0"/>
    <w:rsid w:val="005F27D0"/>
    <w:rsid w:val="005F357E"/>
    <w:rsid w:val="005F3F1A"/>
    <w:rsid w:val="005F51B4"/>
    <w:rsid w:val="005F5253"/>
    <w:rsid w:val="005F55D0"/>
    <w:rsid w:val="005F5636"/>
    <w:rsid w:val="005F6215"/>
    <w:rsid w:val="005F6F6C"/>
    <w:rsid w:val="005F7B25"/>
    <w:rsid w:val="006003FA"/>
    <w:rsid w:val="00600451"/>
    <w:rsid w:val="006016E9"/>
    <w:rsid w:val="006034DD"/>
    <w:rsid w:val="00603938"/>
    <w:rsid w:val="006057B7"/>
    <w:rsid w:val="006061EE"/>
    <w:rsid w:val="00610BBA"/>
    <w:rsid w:val="006122BB"/>
    <w:rsid w:val="006127E7"/>
    <w:rsid w:val="0061389F"/>
    <w:rsid w:val="00613CE4"/>
    <w:rsid w:val="00616792"/>
    <w:rsid w:val="00617CB5"/>
    <w:rsid w:val="00617E39"/>
    <w:rsid w:val="006212FF"/>
    <w:rsid w:val="006216C7"/>
    <w:rsid w:val="00623960"/>
    <w:rsid w:val="006239D2"/>
    <w:rsid w:val="0062434B"/>
    <w:rsid w:val="0062472F"/>
    <w:rsid w:val="00625664"/>
    <w:rsid w:val="00626086"/>
    <w:rsid w:val="006277E7"/>
    <w:rsid w:val="00627BB3"/>
    <w:rsid w:val="00630160"/>
    <w:rsid w:val="00631638"/>
    <w:rsid w:val="0063192E"/>
    <w:rsid w:val="00633F6D"/>
    <w:rsid w:val="006343E9"/>
    <w:rsid w:val="0063463C"/>
    <w:rsid w:val="006361F8"/>
    <w:rsid w:val="00636968"/>
    <w:rsid w:val="00636BB2"/>
    <w:rsid w:val="00637470"/>
    <w:rsid w:val="006374F5"/>
    <w:rsid w:val="00640596"/>
    <w:rsid w:val="00640D1D"/>
    <w:rsid w:val="00643083"/>
    <w:rsid w:val="00643839"/>
    <w:rsid w:val="0064553A"/>
    <w:rsid w:val="00647897"/>
    <w:rsid w:val="0065028A"/>
    <w:rsid w:val="00650D71"/>
    <w:rsid w:val="00650E2E"/>
    <w:rsid w:val="0065164A"/>
    <w:rsid w:val="00652459"/>
    <w:rsid w:val="006526B4"/>
    <w:rsid w:val="00656DA8"/>
    <w:rsid w:val="00660207"/>
    <w:rsid w:val="0066034E"/>
    <w:rsid w:val="00660B7E"/>
    <w:rsid w:val="00661A0B"/>
    <w:rsid w:val="00662379"/>
    <w:rsid w:val="006625F1"/>
    <w:rsid w:val="006626E8"/>
    <w:rsid w:val="00662D47"/>
    <w:rsid w:val="00663202"/>
    <w:rsid w:val="006636EA"/>
    <w:rsid w:val="0066420F"/>
    <w:rsid w:val="0066585A"/>
    <w:rsid w:val="00665C33"/>
    <w:rsid w:val="00665EA4"/>
    <w:rsid w:val="0066619B"/>
    <w:rsid w:val="006674FA"/>
    <w:rsid w:val="00670985"/>
    <w:rsid w:val="00670FB1"/>
    <w:rsid w:val="00671C13"/>
    <w:rsid w:val="00672FAE"/>
    <w:rsid w:val="0067304C"/>
    <w:rsid w:val="006731F3"/>
    <w:rsid w:val="0067332C"/>
    <w:rsid w:val="006733E5"/>
    <w:rsid w:val="00673758"/>
    <w:rsid w:val="006747C1"/>
    <w:rsid w:val="006756B6"/>
    <w:rsid w:val="00675EDC"/>
    <w:rsid w:val="00676B76"/>
    <w:rsid w:val="006770F9"/>
    <w:rsid w:val="006779C7"/>
    <w:rsid w:val="0068024E"/>
    <w:rsid w:val="00680D84"/>
    <w:rsid w:val="00683635"/>
    <w:rsid w:val="0068446A"/>
    <w:rsid w:val="0068600C"/>
    <w:rsid w:val="006867FE"/>
    <w:rsid w:val="00686DEF"/>
    <w:rsid w:val="0069003B"/>
    <w:rsid w:val="00690265"/>
    <w:rsid w:val="006908CB"/>
    <w:rsid w:val="00693547"/>
    <w:rsid w:val="00693761"/>
    <w:rsid w:val="00694C0A"/>
    <w:rsid w:val="00695242"/>
    <w:rsid w:val="00696549"/>
    <w:rsid w:val="0069692F"/>
    <w:rsid w:val="00696C84"/>
    <w:rsid w:val="0069719C"/>
    <w:rsid w:val="006973C0"/>
    <w:rsid w:val="006A0193"/>
    <w:rsid w:val="006A0516"/>
    <w:rsid w:val="006A09E2"/>
    <w:rsid w:val="006A20B4"/>
    <w:rsid w:val="006A2CF4"/>
    <w:rsid w:val="006A3E17"/>
    <w:rsid w:val="006A506E"/>
    <w:rsid w:val="006A731A"/>
    <w:rsid w:val="006B2869"/>
    <w:rsid w:val="006B3051"/>
    <w:rsid w:val="006B429A"/>
    <w:rsid w:val="006B4904"/>
    <w:rsid w:val="006B526A"/>
    <w:rsid w:val="006B7799"/>
    <w:rsid w:val="006C029A"/>
    <w:rsid w:val="006C0ED1"/>
    <w:rsid w:val="006C119A"/>
    <w:rsid w:val="006C2E01"/>
    <w:rsid w:val="006C3040"/>
    <w:rsid w:val="006C37A6"/>
    <w:rsid w:val="006C39EE"/>
    <w:rsid w:val="006C4979"/>
    <w:rsid w:val="006C4CD4"/>
    <w:rsid w:val="006C51AB"/>
    <w:rsid w:val="006C574A"/>
    <w:rsid w:val="006C6554"/>
    <w:rsid w:val="006C7114"/>
    <w:rsid w:val="006C7366"/>
    <w:rsid w:val="006C769A"/>
    <w:rsid w:val="006C7A0B"/>
    <w:rsid w:val="006C7F22"/>
    <w:rsid w:val="006D0625"/>
    <w:rsid w:val="006D0E7E"/>
    <w:rsid w:val="006D1AB5"/>
    <w:rsid w:val="006D1C10"/>
    <w:rsid w:val="006D3EC2"/>
    <w:rsid w:val="006D41C9"/>
    <w:rsid w:val="006D48EB"/>
    <w:rsid w:val="006D4D8B"/>
    <w:rsid w:val="006D6571"/>
    <w:rsid w:val="006D7AA7"/>
    <w:rsid w:val="006E0134"/>
    <w:rsid w:val="006E0DFA"/>
    <w:rsid w:val="006E0FD3"/>
    <w:rsid w:val="006E1BA5"/>
    <w:rsid w:val="006E1C93"/>
    <w:rsid w:val="006E1D94"/>
    <w:rsid w:val="006E20B4"/>
    <w:rsid w:val="006E23C2"/>
    <w:rsid w:val="006E2473"/>
    <w:rsid w:val="006E25AF"/>
    <w:rsid w:val="006E317D"/>
    <w:rsid w:val="006E3C08"/>
    <w:rsid w:val="006E46D1"/>
    <w:rsid w:val="006E4C23"/>
    <w:rsid w:val="006E6D37"/>
    <w:rsid w:val="006F1882"/>
    <w:rsid w:val="006F2296"/>
    <w:rsid w:val="006F271C"/>
    <w:rsid w:val="006F4BE4"/>
    <w:rsid w:val="006F55BF"/>
    <w:rsid w:val="006F5954"/>
    <w:rsid w:val="00700091"/>
    <w:rsid w:val="00700127"/>
    <w:rsid w:val="007003DE"/>
    <w:rsid w:val="007006A7"/>
    <w:rsid w:val="007035AF"/>
    <w:rsid w:val="007047D4"/>
    <w:rsid w:val="00704C7E"/>
    <w:rsid w:val="00704DB1"/>
    <w:rsid w:val="007103C4"/>
    <w:rsid w:val="00711632"/>
    <w:rsid w:val="007116D7"/>
    <w:rsid w:val="007122C6"/>
    <w:rsid w:val="00712E9E"/>
    <w:rsid w:val="00714040"/>
    <w:rsid w:val="00714D00"/>
    <w:rsid w:val="0071596C"/>
    <w:rsid w:val="00715C18"/>
    <w:rsid w:val="00717DD9"/>
    <w:rsid w:val="00720042"/>
    <w:rsid w:val="0072004B"/>
    <w:rsid w:val="00720D68"/>
    <w:rsid w:val="00721233"/>
    <w:rsid w:val="0072159D"/>
    <w:rsid w:val="007224ED"/>
    <w:rsid w:val="007227A5"/>
    <w:rsid w:val="00724E21"/>
    <w:rsid w:val="007267BA"/>
    <w:rsid w:val="00726FB9"/>
    <w:rsid w:val="00727D8A"/>
    <w:rsid w:val="00731A35"/>
    <w:rsid w:val="00731C9A"/>
    <w:rsid w:val="00732101"/>
    <w:rsid w:val="007325C3"/>
    <w:rsid w:val="0073287D"/>
    <w:rsid w:val="00732BBD"/>
    <w:rsid w:val="00732C9D"/>
    <w:rsid w:val="00733274"/>
    <w:rsid w:val="00734C56"/>
    <w:rsid w:val="00734F91"/>
    <w:rsid w:val="007354DB"/>
    <w:rsid w:val="007355FD"/>
    <w:rsid w:val="007365F1"/>
    <w:rsid w:val="00736B47"/>
    <w:rsid w:val="0073703D"/>
    <w:rsid w:val="00737E26"/>
    <w:rsid w:val="00740E34"/>
    <w:rsid w:val="007428E1"/>
    <w:rsid w:val="0074472E"/>
    <w:rsid w:val="00746F7F"/>
    <w:rsid w:val="0075085C"/>
    <w:rsid w:val="00750C53"/>
    <w:rsid w:val="00751F77"/>
    <w:rsid w:val="0075542C"/>
    <w:rsid w:val="007556A3"/>
    <w:rsid w:val="00755EDC"/>
    <w:rsid w:val="0075681F"/>
    <w:rsid w:val="007602DE"/>
    <w:rsid w:val="00760AE5"/>
    <w:rsid w:val="00760D9F"/>
    <w:rsid w:val="0076277F"/>
    <w:rsid w:val="00765390"/>
    <w:rsid w:val="0076602C"/>
    <w:rsid w:val="007674A5"/>
    <w:rsid w:val="007677DB"/>
    <w:rsid w:val="00770F11"/>
    <w:rsid w:val="00771333"/>
    <w:rsid w:val="0077177C"/>
    <w:rsid w:val="0077376F"/>
    <w:rsid w:val="00773806"/>
    <w:rsid w:val="007776CA"/>
    <w:rsid w:val="0078038B"/>
    <w:rsid w:val="007824BC"/>
    <w:rsid w:val="00782FEF"/>
    <w:rsid w:val="00783049"/>
    <w:rsid w:val="007831A0"/>
    <w:rsid w:val="00783A8A"/>
    <w:rsid w:val="0078417B"/>
    <w:rsid w:val="00786222"/>
    <w:rsid w:val="00786753"/>
    <w:rsid w:val="00787045"/>
    <w:rsid w:val="0079078D"/>
    <w:rsid w:val="00790F1A"/>
    <w:rsid w:val="00791058"/>
    <w:rsid w:val="007918EB"/>
    <w:rsid w:val="00792754"/>
    <w:rsid w:val="00792D5E"/>
    <w:rsid w:val="0079305E"/>
    <w:rsid w:val="00793CD6"/>
    <w:rsid w:val="00796CD3"/>
    <w:rsid w:val="007973CE"/>
    <w:rsid w:val="007A0048"/>
    <w:rsid w:val="007A1211"/>
    <w:rsid w:val="007A166C"/>
    <w:rsid w:val="007A1A85"/>
    <w:rsid w:val="007A2813"/>
    <w:rsid w:val="007A29E6"/>
    <w:rsid w:val="007A39FD"/>
    <w:rsid w:val="007A523F"/>
    <w:rsid w:val="007A5705"/>
    <w:rsid w:val="007A68F9"/>
    <w:rsid w:val="007A6FB4"/>
    <w:rsid w:val="007A7604"/>
    <w:rsid w:val="007B125D"/>
    <w:rsid w:val="007B158D"/>
    <w:rsid w:val="007B2033"/>
    <w:rsid w:val="007B2975"/>
    <w:rsid w:val="007B33D2"/>
    <w:rsid w:val="007B3A1C"/>
    <w:rsid w:val="007B4571"/>
    <w:rsid w:val="007B4DC3"/>
    <w:rsid w:val="007B5865"/>
    <w:rsid w:val="007B5F6E"/>
    <w:rsid w:val="007B6DE8"/>
    <w:rsid w:val="007C038A"/>
    <w:rsid w:val="007C2BCC"/>
    <w:rsid w:val="007C3BD3"/>
    <w:rsid w:val="007C3D13"/>
    <w:rsid w:val="007C6F35"/>
    <w:rsid w:val="007C7003"/>
    <w:rsid w:val="007C712C"/>
    <w:rsid w:val="007D04E8"/>
    <w:rsid w:val="007D0D1C"/>
    <w:rsid w:val="007D17C7"/>
    <w:rsid w:val="007D1DD1"/>
    <w:rsid w:val="007D4CC7"/>
    <w:rsid w:val="007D4D43"/>
    <w:rsid w:val="007D4E6E"/>
    <w:rsid w:val="007D51DD"/>
    <w:rsid w:val="007D6377"/>
    <w:rsid w:val="007D69E1"/>
    <w:rsid w:val="007D6A5D"/>
    <w:rsid w:val="007D725A"/>
    <w:rsid w:val="007D72DD"/>
    <w:rsid w:val="007D799A"/>
    <w:rsid w:val="007E0CDD"/>
    <w:rsid w:val="007E145B"/>
    <w:rsid w:val="007E1BEB"/>
    <w:rsid w:val="007E59BC"/>
    <w:rsid w:val="007E59D4"/>
    <w:rsid w:val="007E6638"/>
    <w:rsid w:val="007E6EAB"/>
    <w:rsid w:val="007E7296"/>
    <w:rsid w:val="007E7958"/>
    <w:rsid w:val="007F12CD"/>
    <w:rsid w:val="007F1C24"/>
    <w:rsid w:val="007F3C74"/>
    <w:rsid w:val="007F49DD"/>
    <w:rsid w:val="007F5EE7"/>
    <w:rsid w:val="007F6266"/>
    <w:rsid w:val="007F707D"/>
    <w:rsid w:val="007F757C"/>
    <w:rsid w:val="007F75BA"/>
    <w:rsid w:val="00800C88"/>
    <w:rsid w:val="00801661"/>
    <w:rsid w:val="0080173B"/>
    <w:rsid w:val="00802B0C"/>
    <w:rsid w:val="00803D5B"/>
    <w:rsid w:val="00805CB6"/>
    <w:rsid w:val="00805DB5"/>
    <w:rsid w:val="008062BD"/>
    <w:rsid w:val="00807320"/>
    <w:rsid w:val="00807935"/>
    <w:rsid w:val="00807F93"/>
    <w:rsid w:val="008108E2"/>
    <w:rsid w:val="00810B53"/>
    <w:rsid w:val="0081145A"/>
    <w:rsid w:val="00811520"/>
    <w:rsid w:val="008121E4"/>
    <w:rsid w:val="00812DA6"/>
    <w:rsid w:val="00812FDD"/>
    <w:rsid w:val="008139DA"/>
    <w:rsid w:val="008140DA"/>
    <w:rsid w:val="00814678"/>
    <w:rsid w:val="0081505A"/>
    <w:rsid w:val="008156B5"/>
    <w:rsid w:val="00815B82"/>
    <w:rsid w:val="00817109"/>
    <w:rsid w:val="008233B0"/>
    <w:rsid w:val="0082379B"/>
    <w:rsid w:val="00824E78"/>
    <w:rsid w:val="00825019"/>
    <w:rsid w:val="00826EDE"/>
    <w:rsid w:val="00826F90"/>
    <w:rsid w:val="00827283"/>
    <w:rsid w:val="0083230F"/>
    <w:rsid w:val="00832A0B"/>
    <w:rsid w:val="0083477D"/>
    <w:rsid w:val="00837D28"/>
    <w:rsid w:val="008400FE"/>
    <w:rsid w:val="008402AF"/>
    <w:rsid w:val="00840409"/>
    <w:rsid w:val="00840E53"/>
    <w:rsid w:val="0084161D"/>
    <w:rsid w:val="00841E45"/>
    <w:rsid w:val="0084223A"/>
    <w:rsid w:val="008431CE"/>
    <w:rsid w:val="00844133"/>
    <w:rsid w:val="0085149F"/>
    <w:rsid w:val="00852726"/>
    <w:rsid w:val="008529C4"/>
    <w:rsid w:val="00852AD5"/>
    <w:rsid w:val="00852D3F"/>
    <w:rsid w:val="00853144"/>
    <w:rsid w:val="00854462"/>
    <w:rsid w:val="008551D2"/>
    <w:rsid w:val="00856156"/>
    <w:rsid w:val="00857444"/>
    <w:rsid w:val="00857E65"/>
    <w:rsid w:val="00861AED"/>
    <w:rsid w:val="00861FE8"/>
    <w:rsid w:val="00862183"/>
    <w:rsid w:val="00863C21"/>
    <w:rsid w:val="00863EA8"/>
    <w:rsid w:val="00864368"/>
    <w:rsid w:val="00865389"/>
    <w:rsid w:val="00865BD0"/>
    <w:rsid w:val="008660BF"/>
    <w:rsid w:val="0086763B"/>
    <w:rsid w:val="00867695"/>
    <w:rsid w:val="00867C56"/>
    <w:rsid w:val="00867DB1"/>
    <w:rsid w:val="008715E2"/>
    <w:rsid w:val="0087228F"/>
    <w:rsid w:val="00873771"/>
    <w:rsid w:val="00875CB0"/>
    <w:rsid w:val="0087768F"/>
    <w:rsid w:val="0088024B"/>
    <w:rsid w:val="008802C1"/>
    <w:rsid w:val="00880ED4"/>
    <w:rsid w:val="00883807"/>
    <w:rsid w:val="00885F21"/>
    <w:rsid w:val="00886208"/>
    <w:rsid w:val="00887326"/>
    <w:rsid w:val="008874B0"/>
    <w:rsid w:val="008879CF"/>
    <w:rsid w:val="0089028E"/>
    <w:rsid w:val="00890A34"/>
    <w:rsid w:val="008911FC"/>
    <w:rsid w:val="00891708"/>
    <w:rsid w:val="00891A03"/>
    <w:rsid w:val="00892213"/>
    <w:rsid w:val="0089268E"/>
    <w:rsid w:val="00892F9F"/>
    <w:rsid w:val="008934C7"/>
    <w:rsid w:val="00894232"/>
    <w:rsid w:val="00895693"/>
    <w:rsid w:val="0089600B"/>
    <w:rsid w:val="008A13C0"/>
    <w:rsid w:val="008A1501"/>
    <w:rsid w:val="008A1D9B"/>
    <w:rsid w:val="008A263A"/>
    <w:rsid w:val="008A2D62"/>
    <w:rsid w:val="008A3834"/>
    <w:rsid w:val="008A3F5A"/>
    <w:rsid w:val="008A463B"/>
    <w:rsid w:val="008A50C7"/>
    <w:rsid w:val="008A7414"/>
    <w:rsid w:val="008B0A27"/>
    <w:rsid w:val="008B197C"/>
    <w:rsid w:val="008B1F00"/>
    <w:rsid w:val="008B2239"/>
    <w:rsid w:val="008B2446"/>
    <w:rsid w:val="008B333D"/>
    <w:rsid w:val="008B47ED"/>
    <w:rsid w:val="008B6EDB"/>
    <w:rsid w:val="008C1649"/>
    <w:rsid w:val="008C1B09"/>
    <w:rsid w:val="008C2E7B"/>
    <w:rsid w:val="008C3389"/>
    <w:rsid w:val="008C35F5"/>
    <w:rsid w:val="008C3B3E"/>
    <w:rsid w:val="008C462C"/>
    <w:rsid w:val="008C4831"/>
    <w:rsid w:val="008C486C"/>
    <w:rsid w:val="008C5778"/>
    <w:rsid w:val="008D0C8E"/>
    <w:rsid w:val="008D3C76"/>
    <w:rsid w:val="008D40FE"/>
    <w:rsid w:val="008D44A6"/>
    <w:rsid w:val="008D5502"/>
    <w:rsid w:val="008D561F"/>
    <w:rsid w:val="008D6764"/>
    <w:rsid w:val="008D6AE9"/>
    <w:rsid w:val="008D792D"/>
    <w:rsid w:val="008E13D5"/>
    <w:rsid w:val="008E3C9E"/>
    <w:rsid w:val="008E4205"/>
    <w:rsid w:val="008E440F"/>
    <w:rsid w:val="008E459D"/>
    <w:rsid w:val="008E605F"/>
    <w:rsid w:val="008E7754"/>
    <w:rsid w:val="008F019A"/>
    <w:rsid w:val="008F3F27"/>
    <w:rsid w:val="008F425C"/>
    <w:rsid w:val="008F5D87"/>
    <w:rsid w:val="008F6541"/>
    <w:rsid w:val="008F669A"/>
    <w:rsid w:val="008F6AFA"/>
    <w:rsid w:val="008F7C92"/>
    <w:rsid w:val="008F7D1A"/>
    <w:rsid w:val="009002CF"/>
    <w:rsid w:val="009019EB"/>
    <w:rsid w:val="00902097"/>
    <w:rsid w:val="00903445"/>
    <w:rsid w:val="009035A2"/>
    <w:rsid w:val="00903CAD"/>
    <w:rsid w:val="00904F2D"/>
    <w:rsid w:val="009063E7"/>
    <w:rsid w:val="00907B36"/>
    <w:rsid w:val="00911E6D"/>
    <w:rsid w:val="00911EC2"/>
    <w:rsid w:val="0091372B"/>
    <w:rsid w:val="00913AFB"/>
    <w:rsid w:val="00915AEB"/>
    <w:rsid w:val="009172A2"/>
    <w:rsid w:val="00917857"/>
    <w:rsid w:val="00917F98"/>
    <w:rsid w:val="009219BC"/>
    <w:rsid w:val="009232BB"/>
    <w:rsid w:val="00923C17"/>
    <w:rsid w:val="00923DFD"/>
    <w:rsid w:val="00924527"/>
    <w:rsid w:val="00924F37"/>
    <w:rsid w:val="0092562D"/>
    <w:rsid w:val="00926352"/>
    <w:rsid w:val="00931AE8"/>
    <w:rsid w:val="00933D0C"/>
    <w:rsid w:val="00934086"/>
    <w:rsid w:val="0093431C"/>
    <w:rsid w:val="009356E6"/>
    <w:rsid w:val="0093634D"/>
    <w:rsid w:val="00936F4C"/>
    <w:rsid w:val="00937C7C"/>
    <w:rsid w:val="009401AB"/>
    <w:rsid w:val="0094096B"/>
    <w:rsid w:val="0094184E"/>
    <w:rsid w:val="00942355"/>
    <w:rsid w:val="00943155"/>
    <w:rsid w:val="00943B3E"/>
    <w:rsid w:val="00944743"/>
    <w:rsid w:val="00944E03"/>
    <w:rsid w:val="009455C7"/>
    <w:rsid w:val="00945A5A"/>
    <w:rsid w:val="00945D37"/>
    <w:rsid w:val="0095401B"/>
    <w:rsid w:val="0095469E"/>
    <w:rsid w:val="009546FA"/>
    <w:rsid w:val="00954CC7"/>
    <w:rsid w:val="009550FB"/>
    <w:rsid w:val="00960F09"/>
    <w:rsid w:val="00961025"/>
    <w:rsid w:val="00961C89"/>
    <w:rsid w:val="00963E8A"/>
    <w:rsid w:val="0096408B"/>
    <w:rsid w:val="0096523F"/>
    <w:rsid w:val="0096577B"/>
    <w:rsid w:val="0096586A"/>
    <w:rsid w:val="009661D8"/>
    <w:rsid w:val="00966D62"/>
    <w:rsid w:val="0096772B"/>
    <w:rsid w:val="009707D3"/>
    <w:rsid w:val="009717DC"/>
    <w:rsid w:val="00971C84"/>
    <w:rsid w:val="00973D02"/>
    <w:rsid w:val="00973F57"/>
    <w:rsid w:val="0097408E"/>
    <w:rsid w:val="009757FB"/>
    <w:rsid w:val="0097581E"/>
    <w:rsid w:val="00977B42"/>
    <w:rsid w:val="009805B6"/>
    <w:rsid w:val="009812FB"/>
    <w:rsid w:val="00982CA1"/>
    <w:rsid w:val="00983BD8"/>
    <w:rsid w:val="00983EB7"/>
    <w:rsid w:val="009851CF"/>
    <w:rsid w:val="00987241"/>
    <w:rsid w:val="00987B72"/>
    <w:rsid w:val="00990ACE"/>
    <w:rsid w:val="0099119E"/>
    <w:rsid w:val="00991C50"/>
    <w:rsid w:val="00994E1C"/>
    <w:rsid w:val="009953DA"/>
    <w:rsid w:val="00997501"/>
    <w:rsid w:val="00997D48"/>
    <w:rsid w:val="009A01A1"/>
    <w:rsid w:val="009A05B4"/>
    <w:rsid w:val="009A1026"/>
    <w:rsid w:val="009A26DA"/>
    <w:rsid w:val="009A2F73"/>
    <w:rsid w:val="009A3D54"/>
    <w:rsid w:val="009A5858"/>
    <w:rsid w:val="009A5B9F"/>
    <w:rsid w:val="009A63DE"/>
    <w:rsid w:val="009A6D66"/>
    <w:rsid w:val="009B0745"/>
    <w:rsid w:val="009B1D19"/>
    <w:rsid w:val="009B2B19"/>
    <w:rsid w:val="009B44FE"/>
    <w:rsid w:val="009B65FF"/>
    <w:rsid w:val="009B6700"/>
    <w:rsid w:val="009B767E"/>
    <w:rsid w:val="009C1A76"/>
    <w:rsid w:val="009C1CD0"/>
    <w:rsid w:val="009C2218"/>
    <w:rsid w:val="009C317F"/>
    <w:rsid w:val="009C76CB"/>
    <w:rsid w:val="009D0F9C"/>
    <w:rsid w:val="009D12F8"/>
    <w:rsid w:val="009D15FF"/>
    <w:rsid w:val="009D2660"/>
    <w:rsid w:val="009D2C63"/>
    <w:rsid w:val="009D3830"/>
    <w:rsid w:val="009D39F5"/>
    <w:rsid w:val="009D3AEF"/>
    <w:rsid w:val="009D421B"/>
    <w:rsid w:val="009D454F"/>
    <w:rsid w:val="009D47FF"/>
    <w:rsid w:val="009D51A8"/>
    <w:rsid w:val="009E034E"/>
    <w:rsid w:val="009E03EC"/>
    <w:rsid w:val="009E0A7A"/>
    <w:rsid w:val="009E10C0"/>
    <w:rsid w:val="009E24CB"/>
    <w:rsid w:val="009E2B78"/>
    <w:rsid w:val="009E6421"/>
    <w:rsid w:val="009E6815"/>
    <w:rsid w:val="009E7148"/>
    <w:rsid w:val="009E7514"/>
    <w:rsid w:val="009F04B9"/>
    <w:rsid w:val="009F168F"/>
    <w:rsid w:val="009F19C3"/>
    <w:rsid w:val="009F2DC9"/>
    <w:rsid w:val="009F4180"/>
    <w:rsid w:val="009F5B28"/>
    <w:rsid w:val="009F5C2E"/>
    <w:rsid w:val="009F6DBF"/>
    <w:rsid w:val="009F757B"/>
    <w:rsid w:val="009F7948"/>
    <w:rsid w:val="00A009F7"/>
    <w:rsid w:val="00A01DFD"/>
    <w:rsid w:val="00A022AC"/>
    <w:rsid w:val="00A04017"/>
    <w:rsid w:val="00A0423C"/>
    <w:rsid w:val="00A0505C"/>
    <w:rsid w:val="00A067B2"/>
    <w:rsid w:val="00A06AC4"/>
    <w:rsid w:val="00A0776D"/>
    <w:rsid w:val="00A07E6E"/>
    <w:rsid w:val="00A1039F"/>
    <w:rsid w:val="00A110CB"/>
    <w:rsid w:val="00A1297B"/>
    <w:rsid w:val="00A12F3F"/>
    <w:rsid w:val="00A12FE6"/>
    <w:rsid w:val="00A1304B"/>
    <w:rsid w:val="00A133B3"/>
    <w:rsid w:val="00A135C1"/>
    <w:rsid w:val="00A13859"/>
    <w:rsid w:val="00A139BE"/>
    <w:rsid w:val="00A13EE0"/>
    <w:rsid w:val="00A140FC"/>
    <w:rsid w:val="00A14D57"/>
    <w:rsid w:val="00A14EBE"/>
    <w:rsid w:val="00A15DB0"/>
    <w:rsid w:val="00A17DAF"/>
    <w:rsid w:val="00A206E5"/>
    <w:rsid w:val="00A20D42"/>
    <w:rsid w:val="00A20E15"/>
    <w:rsid w:val="00A22B19"/>
    <w:rsid w:val="00A22EDD"/>
    <w:rsid w:val="00A231AE"/>
    <w:rsid w:val="00A23A26"/>
    <w:rsid w:val="00A23CD6"/>
    <w:rsid w:val="00A25586"/>
    <w:rsid w:val="00A261BA"/>
    <w:rsid w:val="00A264D5"/>
    <w:rsid w:val="00A27898"/>
    <w:rsid w:val="00A33917"/>
    <w:rsid w:val="00A34B44"/>
    <w:rsid w:val="00A35282"/>
    <w:rsid w:val="00A373A4"/>
    <w:rsid w:val="00A40F71"/>
    <w:rsid w:val="00A415F5"/>
    <w:rsid w:val="00A41BCB"/>
    <w:rsid w:val="00A41E16"/>
    <w:rsid w:val="00A43832"/>
    <w:rsid w:val="00A43DC1"/>
    <w:rsid w:val="00A45515"/>
    <w:rsid w:val="00A4581F"/>
    <w:rsid w:val="00A4595F"/>
    <w:rsid w:val="00A466D3"/>
    <w:rsid w:val="00A50701"/>
    <w:rsid w:val="00A50AE8"/>
    <w:rsid w:val="00A50FD4"/>
    <w:rsid w:val="00A5175B"/>
    <w:rsid w:val="00A522E7"/>
    <w:rsid w:val="00A52CF5"/>
    <w:rsid w:val="00A53356"/>
    <w:rsid w:val="00A540FA"/>
    <w:rsid w:val="00A553B3"/>
    <w:rsid w:val="00A5586F"/>
    <w:rsid w:val="00A560B4"/>
    <w:rsid w:val="00A5672A"/>
    <w:rsid w:val="00A57653"/>
    <w:rsid w:val="00A601B6"/>
    <w:rsid w:val="00A60679"/>
    <w:rsid w:val="00A62224"/>
    <w:rsid w:val="00A62591"/>
    <w:rsid w:val="00A6391F"/>
    <w:rsid w:val="00A639F6"/>
    <w:rsid w:val="00A640C6"/>
    <w:rsid w:val="00A66BE6"/>
    <w:rsid w:val="00A67BF2"/>
    <w:rsid w:val="00A67DE3"/>
    <w:rsid w:val="00A70002"/>
    <w:rsid w:val="00A700DC"/>
    <w:rsid w:val="00A70891"/>
    <w:rsid w:val="00A71694"/>
    <w:rsid w:val="00A7173F"/>
    <w:rsid w:val="00A72211"/>
    <w:rsid w:val="00A73227"/>
    <w:rsid w:val="00A73EE2"/>
    <w:rsid w:val="00A740FB"/>
    <w:rsid w:val="00A74173"/>
    <w:rsid w:val="00A746A3"/>
    <w:rsid w:val="00A74B20"/>
    <w:rsid w:val="00A74C43"/>
    <w:rsid w:val="00A74D3D"/>
    <w:rsid w:val="00A74F9C"/>
    <w:rsid w:val="00A751B5"/>
    <w:rsid w:val="00A80F72"/>
    <w:rsid w:val="00A81798"/>
    <w:rsid w:val="00A83A12"/>
    <w:rsid w:val="00A83F83"/>
    <w:rsid w:val="00A84669"/>
    <w:rsid w:val="00A850BE"/>
    <w:rsid w:val="00A856C5"/>
    <w:rsid w:val="00A863DD"/>
    <w:rsid w:val="00A87C8C"/>
    <w:rsid w:val="00A903A3"/>
    <w:rsid w:val="00A9096F"/>
    <w:rsid w:val="00A90B18"/>
    <w:rsid w:val="00A91EE0"/>
    <w:rsid w:val="00A921F2"/>
    <w:rsid w:val="00A92E4A"/>
    <w:rsid w:val="00A947D5"/>
    <w:rsid w:val="00A96260"/>
    <w:rsid w:val="00A96EE8"/>
    <w:rsid w:val="00AA030E"/>
    <w:rsid w:val="00AA09ED"/>
    <w:rsid w:val="00AA3143"/>
    <w:rsid w:val="00AA37B0"/>
    <w:rsid w:val="00AA3F9B"/>
    <w:rsid w:val="00AA42C7"/>
    <w:rsid w:val="00AA49CC"/>
    <w:rsid w:val="00AA4ED1"/>
    <w:rsid w:val="00AA5C83"/>
    <w:rsid w:val="00AA66B6"/>
    <w:rsid w:val="00AA6A0B"/>
    <w:rsid w:val="00AA7670"/>
    <w:rsid w:val="00AB555E"/>
    <w:rsid w:val="00AB5926"/>
    <w:rsid w:val="00AB758B"/>
    <w:rsid w:val="00AB7F35"/>
    <w:rsid w:val="00AC0D28"/>
    <w:rsid w:val="00AC1327"/>
    <w:rsid w:val="00AC153F"/>
    <w:rsid w:val="00AC1A60"/>
    <w:rsid w:val="00AC2340"/>
    <w:rsid w:val="00AC3FD1"/>
    <w:rsid w:val="00AC424A"/>
    <w:rsid w:val="00AC5810"/>
    <w:rsid w:val="00AC5FFB"/>
    <w:rsid w:val="00AC695E"/>
    <w:rsid w:val="00AC7ECD"/>
    <w:rsid w:val="00AD0933"/>
    <w:rsid w:val="00AD210E"/>
    <w:rsid w:val="00AD226F"/>
    <w:rsid w:val="00AD2370"/>
    <w:rsid w:val="00AD28B6"/>
    <w:rsid w:val="00AD303A"/>
    <w:rsid w:val="00AD441C"/>
    <w:rsid w:val="00AD46DE"/>
    <w:rsid w:val="00AD4FDE"/>
    <w:rsid w:val="00AD6904"/>
    <w:rsid w:val="00AD694B"/>
    <w:rsid w:val="00AD70F7"/>
    <w:rsid w:val="00AE2548"/>
    <w:rsid w:val="00AE3B00"/>
    <w:rsid w:val="00AE42D3"/>
    <w:rsid w:val="00AE5870"/>
    <w:rsid w:val="00AE630A"/>
    <w:rsid w:val="00AE6B42"/>
    <w:rsid w:val="00AE782E"/>
    <w:rsid w:val="00AE7BC9"/>
    <w:rsid w:val="00AF0CED"/>
    <w:rsid w:val="00AF31BD"/>
    <w:rsid w:val="00AF3C70"/>
    <w:rsid w:val="00AF3D89"/>
    <w:rsid w:val="00AF443A"/>
    <w:rsid w:val="00AF453E"/>
    <w:rsid w:val="00AF6438"/>
    <w:rsid w:val="00AF77C0"/>
    <w:rsid w:val="00AF79AE"/>
    <w:rsid w:val="00B01019"/>
    <w:rsid w:val="00B0131C"/>
    <w:rsid w:val="00B01F1C"/>
    <w:rsid w:val="00B02D24"/>
    <w:rsid w:val="00B02EA7"/>
    <w:rsid w:val="00B031CB"/>
    <w:rsid w:val="00B058B5"/>
    <w:rsid w:val="00B059B1"/>
    <w:rsid w:val="00B07171"/>
    <w:rsid w:val="00B073BC"/>
    <w:rsid w:val="00B07739"/>
    <w:rsid w:val="00B07C8A"/>
    <w:rsid w:val="00B10013"/>
    <w:rsid w:val="00B10322"/>
    <w:rsid w:val="00B10E1E"/>
    <w:rsid w:val="00B11708"/>
    <w:rsid w:val="00B11E3E"/>
    <w:rsid w:val="00B11F0D"/>
    <w:rsid w:val="00B11FF9"/>
    <w:rsid w:val="00B1217E"/>
    <w:rsid w:val="00B12333"/>
    <w:rsid w:val="00B1252E"/>
    <w:rsid w:val="00B12BE6"/>
    <w:rsid w:val="00B13A91"/>
    <w:rsid w:val="00B1419C"/>
    <w:rsid w:val="00B1687F"/>
    <w:rsid w:val="00B20276"/>
    <w:rsid w:val="00B20963"/>
    <w:rsid w:val="00B21DBF"/>
    <w:rsid w:val="00B221C0"/>
    <w:rsid w:val="00B24110"/>
    <w:rsid w:val="00B2434A"/>
    <w:rsid w:val="00B2464F"/>
    <w:rsid w:val="00B24C1A"/>
    <w:rsid w:val="00B2508D"/>
    <w:rsid w:val="00B258C4"/>
    <w:rsid w:val="00B27475"/>
    <w:rsid w:val="00B30AD4"/>
    <w:rsid w:val="00B30FF4"/>
    <w:rsid w:val="00B31AF4"/>
    <w:rsid w:val="00B31E2F"/>
    <w:rsid w:val="00B31EC3"/>
    <w:rsid w:val="00B3265D"/>
    <w:rsid w:val="00B329D3"/>
    <w:rsid w:val="00B33198"/>
    <w:rsid w:val="00B333F3"/>
    <w:rsid w:val="00B354FD"/>
    <w:rsid w:val="00B356C8"/>
    <w:rsid w:val="00B36A7C"/>
    <w:rsid w:val="00B400C5"/>
    <w:rsid w:val="00B4010B"/>
    <w:rsid w:val="00B413FD"/>
    <w:rsid w:val="00B41CCB"/>
    <w:rsid w:val="00B43544"/>
    <w:rsid w:val="00B43B34"/>
    <w:rsid w:val="00B4409E"/>
    <w:rsid w:val="00B450DE"/>
    <w:rsid w:val="00B458E5"/>
    <w:rsid w:val="00B46ADF"/>
    <w:rsid w:val="00B46B89"/>
    <w:rsid w:val="00B47B89"/>
    <w:rsid w:val="00B50697"/>
    <w:rsid w:val="00B50A8B"/>
    <w:rsid w:val="00B51BFB"/>
    <w:rsid w:val="00B52B3D"/>
    <w:rsid w:val="00B531F8"/>
    <w:rsid w:val="00B54B48"/>
    <w:rsid w:val="00B564FD"/>
    <w:rsid w:val="00B56C2B"/>
    <w:rsid w:val="00B56E20"/>
    <w:rsid w:val="00B5790D"/>
    <w:rsid w:val="00B57BD7"/>
    <w:rsid w:val="00B60FC4"/>
    <w:rsid w:val="00B61D63"/>
    <w:rsid w:val="00B6353F"/>
    <w:rsid w:val="00B63CA4"/>
    <w:rsid w:val="00B644CE"/>
    <w:rsid w:val="00B6478F"/>
    <w:rsid w:val="00B64E75"/>
    <w:rsid w:val="00B66126"/>
    <w:rsid w:val="00B678B6"/>
    <w:rsid w:val="00B705B5"/>
    <w:rsid w:val="00B70714"/>
    <w:rsid w:val="00B70C75"/>
    <w:rsid w:val="00B71709"/>
    <w:rsid w:val="00B717DC"/>
    <w:rsid w:val="00B720E3"/>
    <w:rsid w:val="00B727EA"/>
    <w:rsid w:val="00B7319D"/>
    <w:rsid w:val="00B73403"/>
    <w:rsid w:val="00B739A7"/>
    <w:rsid w:val="00B73E0B"/>
    <w:rsid w:val="00B755ED"/>
    <w:rsid w:val="00B77287"/>
    <w:rsid w:val="00B81DBE"/>
    <w:rsid w:val="00B82B91"/>
    <w:rsid w:val="00B833F4"/>
    <w:rsid w:val="00B8363B"/>
    <w:rsid w:val="00B8383F"/>
    <w:rsid w:val="00B83B74"/>
    <w:rsid w:val="00B85EF8"/>
    <w:rsid w:val="00B8668D"/>
    <w:rsid w:val="00B8687E"/>
    <w:rsid w:val="00B86D63"/>
    <w:rsid w:val="00B871D0"/>
    <w:rsid w:val="00B877E8"/>
    <w:rsid w:val="00B902DB"/>
    <w:rsid w:val="00B90445"/>
    <w:rsid w:val="00B90CE7"/>
    <w:rsid w:val="00B951D3"/>
    <w:rsid w:val="00B95A0E"/>
    <w:rsid w:val="00B96341"/>
    <w:rsid w:val="00B96AD3"/>
    <w:rsid w:val="00B97977"/>
    <w:rsid w:val="00B97F02"/>
    <w:rsid w:val="00BA148F"/>
    <w:rsid w:val="00BA252C"/>
    <w:rsid w:val="00BA36F9"/>
    <w:rsid w:val="00BA3B3A"/>
    <w:rsid w:val="00BA45F4"/>
    <w:rsid w:val="00BA4DB9"/>
    <w:rsid w:val="00BA4DE2"/>
    <w:rsid w:val="00BA7C9F"/>
    <w:rsid w:val="00BB06DD"/>
    <w:rsid w:val="00BB1A45"/>
    <w:rsid w:val="00BB241A"/>
    <w:rsid w:val="00BB27C8"/>
    <w:rsid w:val="00BB3868"/>
    <w:rsid w:val="00BB449E"/>
    <w:rsid w:val="00BB5041"/>
    <w:rsid w:val="00BB5419"/>
    <w:rsid w:val="00BB578C"/>
    <w:rsid w:val="00BB6398"/>
    <w:rsid w:val="00BB72E5"/>
    <w:rsid w:val="00BB77C6"/>
    <w:rsid w:val="00BB7AA9"/>
    <w:rsid w:val="00BB7CD1"/>
    <w:rsid w:val="00BC17B4"/>
    <w:rsid w:val="00BC206C"/>
    <w:rsid w:val="00BC2C8E"/>
    <w:rsid w:val="00BC34A4"/>
    <w:rsid w:val="00BC3B06"/>
    <w:rsid w:val="00BC4506"/>
    <w:rsid w:val="00BC4F53"/>
    <w:rsid w:val="00BC5E6F"/>
    <w:rsid w:val="00BC6B41"/>
    <w:rsid w:val="00BC7726"/>
    <w:rsid w:val="00BC784D"/>
    <w:rsid w:val="00BD00F3"/>
    <w:rsid w:val="00BD049D"/>
    <w:rsid w:val="00BD04F0"/>
    <w:rsid w:val="00BD068D"/>
    <w:rsid w:val="00BD11D3"/>
    <w:rsid w:val="00BD2170"/>
    <w:rsid w:val="00BD25B3"/>
    <w:rsid w:val="00BD3BC3"/>
    <w:rsid w:val="00BD4C0D"/>
    <w:rsid w:val="00BD6483"/>
    <w:rsid w:val="00BD75F9"/>
    <w:rsid w:val="00BE07A0"/>
    <w:rsid w:val="00BE1D65"/>
    <w:rsid w:val="00BE405F"/>
    <w:rsid w:val="00BE4129"/>
    <w:rsid w:val="00BE44E8"/>
    <w:rsid w:val="00BE471E"/>
    <w:rsid w:val="00BE5314"/>
    <w:rsid w:val="00BE5F2B"/>
    <w:rsid w:val="00BE66CD"/>
    <w:rsid w:val="00BE76E2"/>
    <w:rsid w:val="00BF0C84"/>
    <w:rsid w:val="00BF2121"/>
    <w:rsid w:val="00BF3222"/>
    <w:rsid w:val="00BF325C"/>
    <w:rsid w:val="00BF3445"/>
    <w:rsid w:val="00BF60AE"/>
    <w:rsid w:val="00BF6DA5"/>
    <w:rsid w:val="00BF6E09"/>
    <w:rsid w:val="00C03817"/>
    <w:rsid w:val="00C03ED8"/>
    <w:rsid w:val="00C040B6"/>
    <w:rsid w:val="00C04C8F"/>
    <w:rsid w:val="00C05C06"/>
    <w:rsid w:val="00C07536"/>
    <w:rsid w:val="00C07842"/>
    <w:rsid w:val="00C07925"/>
    <w:rsid w:val="00C101CD"/>
    <w:rsid w:val="00C11A1A"/>
    <w:rsid w:val="00C1205B"/>
    <w:rsid w:val="00C1212A"/>
    <w:rsid w:val="00C12356"/>
    <w:rsid w:val="00C13EF5"/>
    <w:rsid w:val="00C1583D"/>
    <w:rsid w:val="00C17027"/>
    <w:rsid w:val="00C1740C"/>
    <w:rsid w:val="00C174FC"/>
    <w:rsid w:val="00C17609"/>
    <w:rsid w:val="00C17F41"/>
    <w:rsid w:val="00C20367"/>
    <w:rsid w:val="00C204A1"/>
    <w:rsid w:val="00C232BC"/>
    <w:rsid w:val="00C24074"/>
    <w:rsid w:val="00C2493B"/>
    <w:rsid w:val="00C25ADA"/>
    <w:rsid w:val="00C26995"/>
    <w:rsid w:val="00C27678"/>
    <w:rsid w:val="00C30504"/>
    <w:rsid w:val="00C31177"/>
    <w:rsid w:val="00C31346"/>
    <w:rsid w:val="00C31DC1"/>
    <w:rsid w:val="00C33162"/>
    <w:rsid w:val="00C34216"/>
    <w:rsid w:val="00C3459B"/>
    <w:rsid w:val="00C3460D"/>
    <w:rsid w:val="00C349E0"/>
    <w:rsid w:val="00C36950"/>
    <w:rsid w:val="00C36FF2"/>
    <w:rsid w:val="00C41797"/>
    <w:rsid w:val="00C42C96"/>
    <w:rsid w:val="00C4415B"/>
    <w:rsid w:val="00C4452D"/>
    <w:rsid w:val="00C47DC3"/>
    <w:rsid w:val="00C51755"/>
    <w:rsid w:val="00C51E13"/>
    <w:rsid w:val="00C51E41"/>
    <w:rsid w:val="00C52765"/>
    <w:rsid w:val="00C53DB6"/>
    <w:rsid w:val="00C54167"/>
    <w:rsid w:val="00C541FB"/>
    <w:rsid w:val="00C54B89"/>
    <w:rsid w:val="00C54EB8"/>
    <w:rsid w:val="00C551E0"/>
    <w:rsid w:val="00C57C37"/>
    <w:rsid w:val="00C57E71"/>
    <w:rsid w:val="00C60816"/>
    <w:rsid w:val="00C60F04"/>
    <w:rsid w:val="00C61B31"/>
    <w:rsid w:val="00C61F0D"/>
    <w:rsid w:val="00C62285"/>
    <w:rsid w:val="00C635D2"/>
    <w:rsid w:val="00C63C49"/>
    <w:rsid w:val="00C6407F"/>
    <w:rsid w:val="00C65F2F"/>
    <w:rsid w:val="00C662A5"/>
    <w:rsid w:val="00C67595"/>
    <w:rsid w:val="00C677E7"/>
    <w:rsid w:val="00C70950"/>
    <w:rsid w:val="00C713EE"/>
    <w:rsid w:val="00C720E4"/>
    <w:rsid w:val="00C737F8"/>
    <w:rsid w:val="00C768CC"/>
    <w:rsid w:val="00C76ADF"/>
    <w:rsid w:val="00C76EBA"/>
    <w:rsid w:val="00C77E32"/>
    <w:rsid w:val="00C803CE"/>
    <w:rsid w:val="00C8084B"/>
    <w:rsid w:val="00C8193F"/>
    <w:rsid w:val="00C819F9"/>
    <w:rsid w:val="00C82BC8"/>
    <w:rsid w:val="00C82EDE"/>
    <w:rsid w:val="00C85AA3"/>
    <w:rsid w:val="00C85E77"/>
    <w:rsid w:val="00C86B5C"/>
    <w:rsid w:val="00C86E6D"/>
    <w:rsid w:val="00C911D4"/>
    <w:rsid w:val="00C9123F"/>
    <w:rsid w:val="00C91287"/>
    <w:rsid w:val="00C93521"/>
    <w:rsid w:val="00C93888"/>
    <w:rsid w:val="00C93BB4"/>
    <w:rsid w:val="00C93CE1"/>
    <w:rsid w:val="00C94090"/>
    <w:rsid w:val="00C947AD"/>
    <w:rsid w:val="00C94D3F"/>
    <w:rsid w:val="00C961D0"/>
    <w:rsid w:val="00C96459"/>
    <w:rsid w:val="00C96E38"/>
    <w:rsid w:val="00C9731B"/>
    <w:rsid w:val="00C97707"/>
    <w:rsid w:val="00C97C92"/>
    <w:rsid w:val="00CA0401"/>
    <w:rsid w:val="00CA0A89"/>
    <w:rsid w:val="00CA0B59"/>
    <w:rsid w:val="00CA1375"/>
    <w:rsid w:val="00CA179C"/>
    <w:rsid w:val="00CA48F1"/>
    <w:rsid w:val="00CA4C9C"/>
    <w:rsid w:val="00CA6289"/>
    <w:rsid w:val="00CA638C"/>
    <w:rsid w:val="00CA7C4D"/>
    <w:rsid w:val="00CA7D19"/>
    <w:rsid w:val="00CB2777"/>
    <w:rsid w:val="00CB2825"/>
    <w:rsid w:val="00CB333C"/>
    <w:rsid w:val="00CB478B"/>
    <w:rsid w:val="00CB4805"/>
    <w:rsid w:val="00CB54C8"/>
    <w:rsid w:val="00CB6525"/>
    <w:rsid w:val="00CB68D2"/>
    <w:rsid w:val="00CB728B"/>
    <w:rsid w:val="00CB7A43"/>
    <w:rsid w:val="00CC027E"/>
    <w:rsid w:val="00CC26F5"/>
    <w:rsid w:val="00CC2C1B"/>
    <w:rsid w:val="00CC3B42"/>
    <w:rsid w:val="00CC40EA"/>
    <w:rsid w:val="00CC42AB"/>
    <w:rsid w:val="00CC44F4"/>
    <w:rsid w:val="00CC480D"/>
    <w:rsid w:val="00CC6461"/>
    <w:rsid w:val="00CC66B9"/>
    <w:rsid w:val="00CC6847"/>
    <w:rsid w:val="00CC6D78"/>
    <w:rsid w:val="00CC7E48"/>
    <w:rsid w:val="00CC7F46"/>
    <w:rsid w:val="00CC7F58"/>
    <w:rsid w:val="00CD088F"/>
    <w:rsid w:val="00CD14AE"/>
    <w:rsid w:val="00CD186C"/>
    <w:rsid w:val="00CD1FC9"/>
    <w:rsid w:val="00CD1FE4"/>
    <w:rsid w:val="00CD2837"/>
    <w:rsid w:val="00CD2E19"/>
    <w:rsid w:val="00CD2FC2"/>
    <w:rsid w:val="00CD3717"/>
    <w:rsid w:val="00CD3A53"/>
    <w:rsid w:val="00CD3B17"/>
    <w:rsid w:val="00CD3BC9"/>
    <w:rsid w:val="00CD4601"/>
    <w:rsid w:val="00CD4DF8"/>
    <w:rsid w:val="00CE0432"/>
    <w:rsid w:val="00CE19AB"/>
    <w:rsid w:val="00CE1C4C"/>
    <w:rsid w:val="00CE3A57"/>
    <w:rsid w:val="00CE6F12"/>
    <w:rsid w:val="00CE7812"/>
    <w:rsid w:val="00CE7D04"/>
    <w:rsid w:val="00CF0EA2"/>
    <w:rsid w:val="00CF29E3"/>
    <w:rsid w:val="00CF34B8"/>
    <w:rsid w:val="00CF39BB"/>
    <w:rsid w:val="00CF42C9"/>
    <w:rsid w:val="00CF4957"/>
    <w:rsid w:val="00CF6FCE"/>
    <w:rsid w:val="00CF7043"/>
    <w:rsid w:val="00CF727C"/>
    <w:rsid w:val="00CF754D"/>
    <w:rsid w:val="00CF77E7"/>
    <w:rsid w:val="00D013C8"/>
    <w:rsid w:val="00D02DFC"/>
    <w:rsid w:val="00D04651"/>
    <w:rsid w:val="00D04E21"/>
    <w:rsid w:val="00D073F3"/>
    <w:rsid w:val="00D077B7"/>
    <w:rsid w:val="00D10427"/>
    <w:rsid w:val="00D10A35"/>
    <w:rsid w:val="00D1209F"/>
    <w:rsid w:val="00D12713"/>
    <w:rsid w:val="00D12EC1"/>
    <w:rsid w:val="00D138E6"/>
    <w:rsid w:val="00D166EA"/>
    <w:rsid w:val="00D16CFB"/>
    <w:rsid w:val="00D16DE6"/>
    <w:rsid w:val="00D2077A"/>
    <w:rsid w:val="00D208A6"/>
    <w:rsid w:val="00D213E6"/>
    <w:rsid w:val="00D213F4"/>
    <w:rsid w:val="00D228BB"/>
    <w:rsid w:val="00D22F77"/>
    <w:rsid w:val="00D243A2"/>
    <w:rsid w:val="00D25DF2"/>
    <w:rsid w:val="00D26BAA"/>
    <w:rsid w:val="00D26F7E"/>
    <w:rsid w:val="00D2720E"/>
    <w:rsid w:val="00D2788C"/>
    <w:rsid w:val="00D27CFB"/>
    <w:rsid w:val="00D30090"/>
    <w:rsid w:val="00D31123"/>
    <w:rsid w:val="00D31207"/>
    <w:rsid w:val="00D3309D"/>
    <w:rsid w:val="00D335A0"/>
    <w:rsid w:val="00D337D4"/>
    <w:rsid w:val="00D34105"/>
    <w:rsid w:val="00D351A2"/>
    <w:rsid w:val="00D36209"/>
    <w:rsid w:val="00D36496"/>
    <w:rsid w:val="00D370DD"/>
    <w:rsid w:val="00D377D8"/>
    <w:rsid w:val="00D37D21"/>
    <w:rsid w:val="00D40186"/>
    <w:rsid w:val="00D40A92"/>
    <w:rsid w:val="00D435D8"/>
    <w:rsid w:val="00D460AC"/>
    <w:rsid w:val="00D460E5"/>
    <w:rsid w:val="00D46CD3"/>
    <w:rsid w:val="00D46D80"/>
    <w:rsid w:val="00D479A4"/>
    <w:rsid w:val="00D506E1"/>
    <w:rsid w:val="00D50CFD"/>
    <w:rsid w:val="00D510E0"/>
    <w:rsid w:val="00D534E2"/>
    <w:rsid w:val="00D54DEC"/>
    <w:rsid w:val="00D5534B"/>
    <w:rsid w:val="00D56E13"/>
    <w:rsid w:val="00D570F4"/>
    <w:rsid w:val="00D607C2"/>
    <w:rsid w:val="00D60871"/>
    <w:rsid w:val="00D61199"/>
    <w:rsid w:val="00D61F40"/>
    <w:rsid w:val="00D622EC"/>
    <w:rsid w:val="00D623AF"/>
    <w:rsid w:val="00D6284C"/>
    <w:rsid w:val="00D64197"/>
    <w:rsid w:val="00D65953"/>
    <w:rsid w:val="00D65A78"/>
    <w:rsid w:val="00D66F7E"/>
    <w:rsid w:val="00D73444"/>
    <w:rsid w:val="00D73633"/>
    <w:rsid w:val="00D73FDF"/>
    <w:rsid w:val="00D75813"/>
    <w:rsid w:val="00D76018"/>
    <w:rsid w:val="00D76083"/>
    <w:rsid w:val="00D76A87"/>
    <w:rsid w:val="00D7779A"/>
    <w:rsid w:val="00D8040E"/>
    <w:rsid w:val="00D808AE"/>
    <w:rsid w:val="00D82051"/>
    <w:rsid w:val="00D83251"/>
    <w:rsid w:val="00D85744"/>
    <w:rsid w:val="00D863F8"/>
    <w:rsid w:val="00D90456"/>
    <w:rsid w:val="00D90682"/>
    <w:rsid w:val="00D90FDA"/>
    <w:rsid w:val="00D92D20"/>
    <w:rsid w:val="00D92FAC"/>
    <w:rsid w:val="00D943A3"/>
    <w:rsid w:val="00D96D49"/>
    <w:rsid w:val="00D97408"/>
    <w:rsid w:val="00D9761B"/>
    <w:rsid w:val="00D9780E"/>
    <w:rsid w:val="00DA049C"/>
    <w:rsid w:val="00DA1430"/>
    <w:rsid w:val="00DA2F03"/>
    <w:rsid w:val="00DA3CB0"/>
    <w:rsid w:val="00DA4E28"/>
    <w:rsid w:val="00DA657E"/>
    <w:rsid w:val="00DA68F6"/>
    <w:rsid w:val="00DA6F72"/>
    <w:rsid w:val="00DB03D9"/>
    <w:rsid w:val="00DB0ED2"/>
    <w:rsid w:val="00DB1159"/>
    <w:rsid w:val="00DB2DCF"/>
    <w:rsid w:val="00DB3587"/>
    <w:rsid w:val="00DB3E66"/>
    <w:rsid w:val="00DB4DC9"/>
    <w:rsid w:val="00DB52EA"/>
    <w:rsid w:val="00DB5427"/>
    <w:rsid w:val="00DB5510"/>
    <w:rsid w:val="00DB7330"/>
    <w:rsid w:val="00DB7BD6"/>
    <w:rsid w:val="00DC00D6"/>
    <w:rsid w:val="00DC01CF"/>
    <w:rsid w:val="00DC0304"/>
    <w:rsid w:val="00DC05AA"/>
    <w:rsid w:val="00DC05C9"/>
    <w:rsid w:val="00DC07E6"/>
    <w:rsid w:val="00DC2245"/>
    <w:rsid w:val="00DC3292"/>
    <w:rsid w:val="00DC34CA"/>
    <w:rsid w:val="00DC3758"/>
    <w:rsid w:val="00DC39F2"/>
    <w:rsid w:val="00DC5EF3"/>
    <w:rsid w:val="00DC7CD0"/>
    <w:rsid w:val="00DD0E73"/>
    <w:rsid w:val="00DD1CB4"/>
    <w:rsid w:val="00DD1D88"/>
    <w:rsid w:val="00DD1DFE"/>
    <w:rsid w:val="00DD22A5"/>
    <w:rsid w:val="00DD25AF"/>
    <w:rsid w:val="00DD4618"/>
    <w:rsid w:val="00DD4911"/>
    <w:rsid w:val="00DD4FA5"/>
    <w:rsid w:val="00DD63EA"/>
    <w:rsid w:val="00DD708E"/>
    <w:rsid w:val="00DD70C4"/>
    <w:rsid w:val="00DD7942"/>
    <w:rsid w:val="00DE0F91"/>
    <w:rsid w:val="00DE1EB2"/>
    <w:rsid w:val="00DE260A"/>
    <w:rsid w:val="00DE3126"/>
    <w:rsid w:val="00DE3142"/>
    <w:rsid w:val="00DE3271"/>
    <w:rsid w:val="00DE35BC"/>
    <w:rsid w:val="00DE4336"/>
    <w:rsid w:val="00DE4F7E"/>
    <w:rsid w:val="00DE51AF"/>
    <w:rsid w:val="00DE54A2"/>
    <w:rsid w:val="00DE54E1"/>
    <w:rsid w:val="00DE60D8"/>
    <w:rsid w:val="00DE6415"/>
    <w:rsid w:val="00DE6BFE"/>
    <w:rsid w:val="00DE75CE"/>
    <w:rsid w:val="00DF02CF"/>
    <w:rsid w:val="00DF054C"/>
    <w:rsid w:val="00DF0696"/>
    <w:rsid w:val="00DF10DE"/>
    <w:rsid w:val="00DF2554"/>
    <w:rsid w:val="00DF42F2"/>
    <w:rsid w:val="00DF48EB"/>
    <w:rsid w:val="00DF4BFB"/>
    <w:rsid w:val="00DF51F1"/>
    <w:rsid w:val="00DF5223"/>
    <w:rsid w:val="00DF5C64"/>
    <w:rsid w:val="00DF5E5E"/>
    <w:rsid w:val="00DF665C"/>
    <w:rsid w:val="00DF713B"/>
    <w:rsid w:val="00DF7250"/>
    <w:rsid w:val="00DF72A5"/>
    <w:rsid w:val="00DF7776"/>
    <w:rsid w:val="00DF7CD8"/>
    <w:rsid w:val="00E00549"/>
    <w:rsid w:val="00E00BCE"/>
    <w:rsid w:val="00E03633"/>
    <w:rsid w:val="00E04341"/>
    <w:rsid w:val="00E04D37"/>
    <w:rsid w:val="00E04F98"/>
    <w:rsid w:val="00E05BBE"/>
    <w:rsid w:val="00E060D6"/>
    <w:rsid w:val="00E06342"/>
    <w:rsid w:val="00E06AB9"/>
    <w:rsid w:val="00E07ED7"/>
    <w:rsid w:val="00E100B6"/>
    <w:rsid w:val="00E10188"/>
    <w:rsid w:val="00E10C8D"/>
    <w:rsid w:val="00E1153C"/>
    <w:rsid w:val="00E11A31"/>
    <w:rsid w:val="00E11B4B"/>
    <w:rsid w:val="00E13035"/>
    <w:rsid w:val="00E13287"/>
    <w:rsid w:val="00E13410"/>
    <w:rsid w:val="00E134B3"/>
    <w:rsid w:val="00E1363E"/>
    <w:rsid w:val="00E143C7"/>
    <w:rsid w:val="00E147E7"/>
    <w:rsid w:val="00E1529C"/>
    <w:rsid w:val="00E15D47"/>
    <w:rsid w:val="00E16995"/>
    <w:rsid w:val="00E16FE8"/>
    <w:rsid w:val="00E20949"/>
    <w:rsid w:val="00E21088"/>
    <w:rsid w:val="00E21B5B"/>
    <w:rsid w:val="00E22095"/>
    <w:rsid w:val="00E24F6E"/>
    <w:rsid w:val="00E25417"/>
    <w:rsid w:val="00E263BA"/>
    <w:rsid w:val="00E269EE"/>
    <w:rsid w:val="00E26FF4"/>
    <w:rsid w:val="00E271C1"/>
    <w:rsid w:val="00E2760F"/>
    <w:rsid w:val="00E27C67"/>
    <w:rsid w:val="00E3064D"/>
    <w:rsid w:val="00E33458"/>
    <w:rsid w:val="00E33AFA"/>
    <w:rsid w:val="00E34D99"/>
    <w:rsid w:val="00E352DF"/>
    <w:rsid w:val="00E36CA0"/>
    <w:rsid w:val="00E37057"/>
    <w:rsid w:val="00E40836"/>
    <w:rsid w:val="00E41464"/>
    <w:rsid w:val="00E4185F"/>
    <w:rsid w:val="00E418A7"/>
    <w:rsid w:val="00E41E7D"/>
    <w:rsid w:val="00E430C1"/>
    <w:rsid w:val="00E4395B"/>
    <w:rsid w:val="00E4417C"/>
    <w:rsid w:val="00E45518"/>
    <w:rsid w:val="00E45D67"/>
    <w:rsid w:val="00E50D22"/>
    <w:rsid w:val="00E514E1"/>
    <w:rsid w:val="00E51D03"/>
    <w:rsid w:val="00E52070"/>
    <w:rsid w:val="00E56118"/>
    <w:rsid w:val="00E60023"/>
    <w:rsid w:val="00E600D6"/>
    <w:rsid w:val="00E605AE"/>
    <w:rsid w:val="00E61031"/>
    <w:rsid w:val="00E613A0"/>
    <w:rsid w:val="00E6158A"/>
    <w:rsid w:val="00E61920"/>
    <w:rsid w:val="00E6235E"/>
    <w:rsid w:val="00E62EC0"/>
    <w:rsid w:val="00E636C0"/>
    <w:rsid w:val="00E64383"/>
    <w:rsid w:val="00E64406"/>
    <w:rsid w:val="00E66B49"/>
    <w:rsid w:val="00E66C45"/>
    <w:rsid w:val="00E674E5"/>
    <w:rsid w:val="00E675D0"/>
    <w:rsid w:val="00E67606"/>
    <w:rsid w:val="00E6774E"/>
    <w:rsid w:val="00E702C4"/>
    <w:rsid w:val="00E70B8C"/>
    <w:rsid w:val="00E71EFD"/>
    <w:rsid w:val="00E73F60"/>
    <w:rsid w:val="00E74412"/>
    <w:rsid w:val="00E74EEC"/>
    <w:rsid w:val="00E74FFA"/>
    <w:rsid w:val="00E75977"/>
    <w:rsid w:val="00E76683"/>
    <w:rsid w:val="00E76F57"/>
    <w:rsid w:val="00E77481"/>
    <w:rsid w:val="00E80BE8"/>
    <w:rsid w:val="00E81AB3"/>
    <w:rsid w:val="00E8330D"/>
    <w:rsid w:val="00E83F56"/>
    <w:rsid w:val="00E8455F"/>
    <w:rsid w:val="00E874B4"/>
    <w:rsid w:val="00E87AF9"/>
    <w:rsid w:val="00E90434"/>
    <w:rsid w:val="00E90F8A"/>
    <w:rsid w:val="00E9259D"/>
    <w:rsid w:val="00E929AE"/>
    <w:rsid w:val="00E93101"/>
    <w:rsid w:val="00E9313E"/>
    <w:rsid w:val="00E93761"/>
    <w:rsid w:val="00E948A5"/>
    <w:rsid w:val="00E95067"/>
    <w:rsid w:val="00E95E3E"/>
    <w:rsid w:val="00E95E76"/>
    <w:rsid w:val="00E962F2"/>
    <w:rsid w:val="00E973D5"/>
    <w:rsid w:val="00EA010D"/>
    <w:rsid w:val="00EA0ED1"/>
    <w:rsid w:val="00EA1523"/>
    <w:rsid w:val="00EA2731"/>
    <w:rsid w:val="00EA279A"/>
    <w:rsid w:val="00EA2F8B"/>
    <w:rsid w:val="00EA3A1D"/>
    <w:rsid w:val="00EA445A"/>
    <w:rsid w:val="00EA57D0"/>
    <w:rsid w:val="00EA6445"/>
    <w:rsid w:val="00EA70CB"/>
    <w:rsid w:val="00EA7D98"/>
    <w:rsid w:val="00EB2483"/>
    <w:rsid w:val="00EB437F"/>
    <w:rsid w:val="00EB5B14"/>
    <w:rsid w:val="00EB683C"/>
    <w:rsid w:val="00EB734F"/>
    <w:rsid w:val="00EB75C2"/>
    <w:rsid w:val="00EB7981"/>
    <w:rsid w:val="00EC0019"/>
    <w:rsid w:val="00EC02A2"/>
    <w:rsid w:val="00EC0520"/>
    <w:rsid w:val="00EC070C"/>
    <w:rsid w:val="00EC0E05"/>
    <w:rsid w:val="00EC17B5"/>
    <w:rsid w:val="00EC23BF"/>
    <w:rsid w:val="00EC31CD"/>
    <w:rsid w:val="00EC3BFD"/>
    <w:rsid w:val="00EC3E45"/>
    <w:rsid w:val="00EC439B"/>
    <w:rsid w:val="00EC55ED"/>
    <w:rsid w:val="00EC7FDD"/>
    <w:rsid w:val="00ED0996"/>
    <w:rsid w:val="00ED1312"/>
    <w:rsid w:val="00ED1A64"/>
    <w:rsid w:val="00ED3E13"/>
    <w:rsid w:val="00ED6014"/>
    <w:rsid w:val="00ED64EE"/>
    <w:rsid w:val="00ED6A94"/>
    <w:rsid w:val="00EE0049"/>
    <w:rsid w:val="00EE01D0"/>
    <w:rsid w:val="00EE0E63"/>
    <w:rsid w:val="00EE10A5"/>
    <w:rsid w:val="00EE2AC6"/>
    <w:rsid w:val="00EE2EBF"/>
    <w:rsid w:val="00EE2EFE"/>
    <w:rsid w:val="00EE5274"/>
    <w:rsid w:val="00EE55CB"/>
    <w:rsid w:val="00EE6081"/>
    <w:rsid w:val="00EE62BE"/>
    <w:rsid w:val="00EE6375"/>
    <w:rsid w:val="00EE6A96"/>
    <w:rsid w:val="00EF05FD"/>
    <w:rsid w:val="00EF1219"/>
    <w:rsid w:val="00EF1B3B"/>
    <w:rsid w:val="00EF231F"/>
    <w:rsid w:val="00EF3C22"/>
    <w:rsid w:val="00EF4428"/>
    <w:rsid w:val="00EF4657"/>
    <w:rsid w:val="00EF4C37"/>
    <w:rsid w:val="00EF5378"/>
    <w:rsid w:val="00EF54AC"/>
    <w:rsid w:val="00EF59F0"/>
    <w:rsid w:val="00EF7795"/>
    <w:rsid w:val="00F007BC"/>
    <w:rsid w:val="00F008C6"/>
    <w:rsid w:val="00F0224B"/>
    <w:rsid w:val="00F033F2"/>
    <w:rsid w:val="00F045F2"/>
    <w:rsid w:val="00F051A2"/>
    <w:rsid w:val="00F05AF4"/>
    <w:rsid w:val="00F05C68"/>
    <w:rsid w:val="00F10B41"/>
    <w:rsid w:val="00F10CB6"/>
    <w:rsid w:val="00F10FAF"/>
    <w:rsid w:val="00F113B5"/>
    <w:rsid w:val="00F1154F"/>
    <w:rsid w:val="00F11C9D"/>
    <w:rsid w:val="00F11DDD"/>
    <w:rsid w:val="00F12106"/>
    <w:rsid w:val="00F13231"/>
    <w:rsid w:val="00F14039"/>
    <w:rsid w:val="00F15101"/>
    <w:rsid w:val="00F15307"/>
    <w:rsid w:val="00F1585E"/>
    <w:rsid w:val="00F15AB4"/>
    <w:rsid w:val="00F15ED8"/>
    <w:rsid w:val="00F16046"/>
    <w:rsid w:val="00F164E6"/>
    <w:rsid w:val="00F16DC2"/>
    <w:rsid w:val="00F178C8"/>
    <w:rsid w:val="00F17B63"/>
    <w:rsid w:val="00F17BE2"/>
    <w:rsid w:val="00F20119"/>
    <w:rsid w:val="00F20B5D"/>
    <w:rsid w:val="00F21756"/>
    <w:rsid w:val="00F2296F"/>
    <w:rsid w:val="00F22DC4"/>
    <w:rsid w:val="00F24D45"/>
    <w:rsid w:val="00F252E5"/>
    <w:rsid w:val="00F26804"/>
    <w:rsid w:val="00F302DA"/>
    <w:rsid w:val="00F30CF8"/>
    <w:rsid w:val="00F31C17"/>
    <w:rsid w:val="00F34292"/>
    <w:rsid w:val="00F35F54"/>
    <w:rsid w:val="00F362B5"/>
    <w:rsid w:val="00F36A77"/>
    <w:rsid w:val="00F36B91"/>
    <w:rsid w:val="00F37A4F"/>
    <w:rsid w:val="00F40A99"/>
    <w:rsid w:val="00F41060"/>
    <w:rsid w:val="00F41B6E"/>
    <w:rsid w:val="00F42C2D"/>
    <w:rsid w:val="00F43857"/>
    <w:rsid w:val="00F4438B"/>
    <w:rsid w:val="00F45D12"/>
    <w:rsid w:val="00F46E21"/>
    <w:rsid w:val="00F4723C"/>
    <w:rsid w:val="00F47F3F"/>
    <w:rsid w:val="00F50D7A"/>
    <w:rsid w:val="00F520A9"/>
    <w:rsid w:val="00F52F66"/>
    <w:rsid w:val="00F53AA0"/>
    <w:rsid w:val="00F54B7A"/>
    <w:rsid w:val="00F5519F"/>
    <w:rsid w:val="00F56FBA"/>
    <w:rsid w:val="00F5716E"/>
    <w:rsid w:val="00F57471"/>
    <w:rsid w:val="00F57672"/>
    <w:rsid w:val="00F57978"/>
    <w:rsid w:val="00F608E2"/>
    <w:rsid w:val="00F612B1"/>
    <w:rsid w:val="00F61E95"/>
    <w:rsid w:val="00F625BF"/>
    <w:rsid w:val="00F63934"/>
    <w:rsid w:val="00F64DD5"/>
    <w:rsid w:val="00F64F8E"/>
    <w:rsid w:val="00F65ED9"/>
    <w:rsid w:val="00F7014A"/>
    <w:rsid w:val="00F7077E"/>
    <w:rsid w:val="00F715BA"/>
    <w:rsid w:val="00F71832"/>
    <w:rsid w:val="00F72CAC"/>
    <w:rsid w:val="00F750A2"/>
    <w:rsid w:val="00F76109"/>
    <w:rsid w:val="00F76B24"/>
    <w:rsid w:val="00F76B4C"/>
    <w:rsid w:val="00F7719C"/>
    <w:rsid w:val="00F777F3"/>
    <w:rsid w:val="00F80155"/>
    <w:rsid w:val="00F804F9"/>
    <w:rsid w:val="00F8118E"/>
    <w:rsid w:val="00F84C34"/>
    <w:rsid w:val="00F8609A"/>
    <w:rsid w:val="00F86B1B"/>
    <w:rsid w:val="00F86F70"/>
    <w:rsid w:val="00F873D2"/>
    <w:rsid w:val="00F8764E"/>
    <w:rsid w:val="00F877ED"/>
    <w:rsid w:val="00F878A5"/>
    <w:rsid w:val="00F90589"/>
    <w:rsid w:val="00F90A8F"/>
    <w:rsid w:val="00F91D2F"/>
    <w:rsid w:val="00F923DE"/>
    <w:rsid w:val="00F93298"/>
    <w:rsid w:val="00F9332C"/>
    <w:rsid w:val="00F95529"/>
    <w:rsid w:val="00F96CC1"/>
    <w:rsid w:val="00F977F7"/>
    <w:rsid w:val="00FA108E"/>
    <w:rsid w:val="00FA2F73"/>
    <w:rsid w:val="00FA3EB0"/>
    <w:rsid w:val="00FA49D9"/>
    <w:rsid w:val="00FA4A08"/>
    <w:rsid w:val="00FA4DB9"/>
    <w:rsid w:val="00FA59B4"/>
    <w:rsid w:val="00FA60BF"/>
    <w:rsid w:val="00FA67E6"/>
    <w:rsid w:val="00FA7BA6"/>
    <w:rsid w:val="00FA7D6D"/>
    <w:rsid w:val="00FB13C0"/>
    <w:rsid w:val="00FB1622"/>
    <w:rsid w:val="00FB204D"/>
    <w:rsid w:val="00FB25FB"/>
    <w:rsid w:val="00FB271D"/>
    <w:rsid w:val="00FB296E"/>
    <w:rsid w:val="00FB2AE1"/>
    <w:rsid w:val="00FB2B7C"/>
    <w:rsid w:val="00FB338B"/>
    <w:rsid w:val="00FB3528"/>
    <w:rsid w:val="00FB38AF"/>
    <w:rsid w:val="00FB4486"/>
    <w:rsid w:val="00FB4BAB"/>
    <w:rsid w:val="00FB4C7F"/>
    <w:rsid w:val="00FB4DFC"/>
    <w:rsid w:val="00FB4E8D"/>
    <w:rsid w:val="00FB6F40"/>
    <w:rsid w:val="00FB6FB1"/>
    <w:rsid w:val="00FB7CD5"/>
    <w:rsid w:val="00FC057E"/>
    <w:rsid w:val="00FC09B6"/>
    <w:rsid w:val="00FC1ED9"/>
    <w:rsid w:val="00FC23EF"/>
    <w:rsid w:val="00FC55B3"/>
    <w:rsid w:val="00FC5AEB"/>
    <w:rsid w:val="00FC692E"/>
    <w:rsid w:val="00FD00AF"/>
    <w:rsid w:val="00FD0635"/>
    <w:rsid w:val="00FD2604"/>
    <w:rsid w:val="00FD2728"/>
    <w:rsid w:val="00FD2A1B"/>
    <w:rsid w:val="00FD326B"/>
    <w:rsid w:val="00FD5416"/>
    <w:rsid w:val="00FD6FA6"/>
    <w:rsid w:val="00FD7CE2"/>
    <w:rsid w:val="00FE0090"/>
    <w:rsid w:val="00FE0490"/>
    <w:rsid w:val="00FE14CB"/>
    <w:rsid w:val="00FE21E3"/>
    <w:rsid w:val="00FE25D0"/>
    <w:rsid w:val="00FE3C8C"/>
    <w:rsid w:val="00FE585E"/>
    <w:rsid w:val="00FE5999"/>
    <w:rsid w:val="00FE5A74"/>
    <w:rsid w:val="00FE5F13"/>
    <w:rsid w:val="00FE6508"/>
    <w:rsid w:val="00FE6905"/>
    <w:rsid w:val="00FE7EE4"/>
    <w:rsid w:val="00FF13A4"/>
    <w:rsid w:val="00FF1496"/>
    <w:rsid w:val="00FF32A1"/>
    <w:rsid w:val="00FF37E9"/>
    <w:rsid w:val="00FF3FA1"/>
    <w:rsid w:val="00FF5D23"/>
    <w:rsid w:val="00FF615D"/>
    <w:rsid w:val="00FF64BA"/>
    <w:rsid w:val="00FF6511"/>
    <w:rsid w:val="00FF7475"/>
    <w:rsid w:val="00FF7D2B"/>
    <w:rsid w:val="01142EFC"/>
    <w:rsid w:val="013C054E"/>
    <w:rsid w:val="01A32DD9"/>
    <w:rsid w:val="01D80872"/>
    <w:rsid w:val="0277007C"/>
    <w:rsid w:val="028D5F69"/>
    <w:rsid w:val="02AA5B7D"/>
    <w:rsid w:val="02F26113"/>
    <w:rsid w:val="03AE5C78"/>
    <w:rsid w:val="04132AE5"/>
    <w:rsid w:val="0436735D"/>
    <w:rsid w:val="045B547B"/>
    <w:rsid w:val="048E122E"/>
    <w:rsid w:val="05645169"/>
    <w:rsid w:val="05673913"/>
    <w:rsid w:val="05860AA0"/>
    <w:rsid w:val="05B970E0"/>
    <w:rsid w:val="06311428"/>
    <w:rsid w:val="072F4F4B"/>
    <w:rsid w:val="07344756"/>
    <w:rsid w:val="07E35A5B"/>
    <w:rsid w:val="08415635"/>
    <w:rsid w:val="08557DD7"/>
    <w:rsid w:val="087D3A94"/>
    <w:rsid w:val="08D10652"/>
    <w:rsid w:val="08E30040"/>
    <w:rsid w:val="092A35DB"/>
    <w:rsid w:val="097339DB"/>
    <w:rsid w:val="09E33020"/>
    <w:rsid w:val="0A9357F1"/>
    <w:rsid w:val="0B255B35"/>
    <w:rsid w:val="0C5124B3"/>
    <w:rsid w:val="0CDA4765"/>
    <w:rsid w:val="0D385B21"/>
    <w:rsid w:val="0E2E2851"/>
    <w:rsid w:val="0E547045"/>
    <w:rsid w:val="0EAE0E4B"/>
    <w:rsid w:val="0F3747BA"/>
    <w:rsid w:val="0F5572C4"/>
    <w:rsid w:val="0F991E98"/>
    <w:rsid w:val="104A0632"/>
    <w:rsid w:val="113A4FCB"/>
    <w:rsid w:val="11EA0D70"/>
    <w:rsid w:val="1216530A"/>
    <w:rsid w:val="12C7072D"/>
    <w:rsid w:val="12F40645"/>
    <w:rsid w:val="132B2B4B"/>
    <w:rsid w:val="133B6A25"/>
    <w:rsid w:val="135C0C7A"/>
    <w:rsid w:val="1360648C"/>
    <w:rsid w:val="13CF7DD3"/>
    <w:rsid w:val="13F71F55"/>
    <w:rsid w:val="140E5EE8"/>
    <w:rsid w:val="146411B3"/>
    <w:rsid w:val="14770F16"/>
    <w:rsid w:val="14B46DF6"/>
    <w:rsid w:val="14D507B4"/>
    <w:rsid w:val="14F52FE5"/>
    <w:rsid w:val="15D942D4"/>
    <w:rsid w:val="182E2909"/>
    <w:rsid w:val="185C1FA2"/>
    <w:rsid w:val="18E960C0"/>
    <w:rsid w:val="19152275"/>
    <w:rsid w:val="19BD4967"/>
    <w:rsid w:val="19E04862"/>
    <w:rsid w:val="1A157447"/>
    <w:rsid w:val="1A8A1ABB"/>
    <w:rsid w:val="1A9567B5"/>
    <w:rsid w:val="1B307D77"/>
    <w:rsid w:val="1BC31CAE"/>
    <w:rsid w:val="1C0B28F8"/>
    <w:rsid w:val="1C5E345C"/>
    <w:rsid w:val="1D4E2C02"/>
    <w:rsid w:val="1EEB72DF"/>
    <w:rsid w:val="1F2F00AB"/>
    <w:rsid w:val="1F821E85"/>
    <w:rsid w:val="1F9837C8"/>
    <w:rsid w:val="1FB42629"/>
    <w:rsid w:val="1FE1254C"/>
    <w:rsid w:val="206E3B8C"/>
    <w:rsid w:val="209755D6"/>
    <w:rsid w:val="20BD6AE5"/>
    <w:rsid w:val="20F45535"/>
    <w:rsid w:val="210466A8"/>
    <w:rsid w:val="21167438"/>
    <w:rsid w:val="223F7B2D"/>
    <w:rsid w:val="22AF5CC8"/>
    <w:rsid w:val="23AE7D5A"/>
    <w:rsid w:val="23CF617A"/>
    <w:rsid w:val="23F33B5F"/>
    <w:rsid w:val="24085B1D"/>
    <w:rsid w:val="24196F3D"/>
    <w:rsid w:val="24CE594B"/>
    <w:rsid w:val="253669B8"/>
    <w:rsid w:val="269F111B"/>
    <w:rsid w:val="27635E3D"/>
    <w:rsid w:val="28A112BE"/>
    <w:rsid w:val="29055E8C"/>
    <w:rsid w:val="2A195064"/>
    <w:rsid w:val="2AB772D9"/>
    <w:rsid w:val="2ADF3E44"/>
    <w:rsid w:val="2B6761B2"/>
    <w:rsid w:val="2BCA663C"/>
    <w:rsid w:val="2C0656DA"/>
    <w:rsid w:val="2CCE4485"/>
    <w:rsid w:val="2D230A44"/>
    <w:rsid w:val="2D3C541C"/>
    <w:rsid w:val="2D8C2805"/>
    <w:rsid w:val="2E4616A6"/>
    <w:rsid w:val="2E544BF6"/>
    <w:rsid w:val="2E7035CF"/>
    <w:rsid w:val="2EB85A79"/>
    <w:rsid w:val="2EE30DF8"/>
    <w:rsid w:val="2F4957F8"/>
    <w:rsid w:val="2F4F4849"/>
    <w:rsid w:val="304F1246"/>
    <w:rsid w:val="3092002F"/>
    <w:rsid w:val="30BD15E5"/>
    <w:rsid w:val="3121636C"/>
    <w:rsid w:val="31A252F1"/>
    <w:rsid w:val="31C50D87"/>
    <w:rsid w:val="31CF708E"/>
    <w:rsid w:val="31D57F7F"/>
    <w:rsid w:val="32033FC0"/>
    <w:rsid w:val="33034BA2"/>
    <w:rsid w:val="33351062"/>
    <w:rsid w:val="33917B72"/>
    <w:rsid w:val="33A27B38"/>
    <w:rsid w:val="357B753E"/>
    <w:rsid w:val="3595001D"/>
    <w:rsid w:val="35DE19DF"/>
    <w:rsid w:val="37340B1D"/>
    <w:rsid w:val="374652F3"/>
    <w:rsid w:val="37F401F0"/>
    <w:rsid w:val="385A3AD0"/>
    <w:rsid w:val="38852A0E"/>
    <w:rsid w:val="38A17ABD"/>
    <w:rsid w:val="395104A1"/>
    <w:rsid w:val="3952515F"/>
    <w:rsid w:val="39A22464"/>
    <w:rsid w:val="3A3232F3"/>
    <w:rsid w:val="3B13214F"/>
    <w:rsid w:val="3B1654FE"/>
    <w:rsid w:val="3B1F741D"/>
    <w:rsid w:val="3B383FAF"/>
    <w:rsid w:val="3B494567"/>
    <w:rsid w:val="3B6002E9"/>
    <w:rsid w:val="3BCE5DD9"/>
    <w:rsid w:val="3D4752D2"/>
    <w:rsid w:val="3D561EA3"/>
    <w:rsid w:val="3E6D47F7"/>
    <w:rsid w:val="3E8D73B3"/>
    <w:rsid w:val="3F2F5AEC"/>
    <w:rsid w:val="3F654595"/>
    <w:rsid w:val="3F7C70EB"/>
    <w:rsid w:val="3FD7750C"/>
    <w:rsid w:val="3FEE3BE1"/>
    <w:rsid w:val="406008AF"/>
    <w:rsid w:val="413173AF"/>
    <w:rsid w:val="418D1537"/>
    <w:rsid w:val="425A48CF"/>
    <w:rsid w:val="42B75819"/>
    <w:rsid w:val="42DD0C8B"/>
    <w:rsid w:val="431B5BC3"/>
    <w:rsid w:val="447A1CE8"/>
    <w:rsid w:val="4490385E"/>
    <w:rsid w:val="44C324A0"/>
    <w:rsid w:val="45235D66"/>
    <w:rsid w:val="452A1BFE"/>
    <w:rsid w:val="454A3D0E"/>
    <w:rsid w:val="45753046"/>
    <w:rsid w:val="458B301B"/>
    <w:rsid w:val="45C0082E"/>
    <w:rsid w:val="46876A05"/>
    <w:rsid w:val="473662BB"/>
    <w:rsid w:val="47956AD2"/>
    <w:rsid w:val="47C51174"/>
    <w:rsid w:val="48CE7418"/>
    <w:rsid w:val="49906376"/>
    <w:rsid w:val="49A87D57"/>
    <w:rsid w:val="4A72211A"/>
    <w:rsid w:val="4A88590F"/>
    <w:rsid w:val="4AEA6060"/>
    <w:rsid w:val="4B3B30DB"/>
    <w:rsid w:val="4B421DA5"/>
    <w:rsid w:val="4B984215"/>
    <w:rsid w:val="4C211F55"/>
    <w:rsid w:val="4CA14F0B"/>
    <w:rsid w:val="4D870D1C"/>
    <w:rsid w:val="4D893F5F"/>
    <w:rsid w:val="4DB62343"/>
    <w:rsid w:val="4E97682F"/>
    <w:rsid w:val="4ECC2C3D"/>
    <w:rsid w:val="4F6A50AB"/>
    <w:rsid w:val="4F811371"/>
    <w:rsid w:val="4FA727D4"/>
    <w:rsid w:val="503A5393"/>
    <w:rsid w:val="508D4A32"/>
    <w:rsid w:val="51A17809"/>
    <w:rsid w:val="52587BF7"/>
    <w:rsid w:val="532145E9"/>
    <w:rsid w:val="536A55BB"/>
    <w:rsid w:val="53F71F19"/>
    <w:rsid w:val="53F87AA7"/>
    <w:rsid w:val="543734F7"/>
    <w:rsid w:val="543C33D0"/>
    <w:rsid w:val="54E46620"/>
    <w:rsid w:val="5508216F"/>
    <w:rsid w:val="55747599"/>
    <w:rsid w:val="55CC0C1E"/>
    <w:rsid w:val="56BA41C9"/>
    <w:rsid w:val="56EC69C1"/>
    <w:rsid w:val="573E6F45"/>
    <w:rsid w:val="57CE11E3"/>
    <w:rsid w:val="5867774F"/>
    <w:rsid w:val="598377BF"/>
    <w:rsid w:val="59AA17DC"/>
    <w:rsid w:val="59F83469"/>
    <w:rsid w:val="5A1610A0"/>
    <w:rsid w:val="5A4E2A6B"/>
    <w:rsid w:val="5A683F59"/>
    <w:rsid w:val="5B982DE4"/>
    <w:rsid w:val="5BB91B9C"/>
    <w:rsid w:val="5D27015D"/>
    <w:rsid w:val="5D5B5065"/>
    <w:rsid w:val="5DEC3724"/>
    <w:rsid w:val="5E1201FB"/>
    <w:rsid w:val="5EB80508"/>
    <w:rsid w:val="61066393"/>
    <w:rsid w:val="61092A40"/>
    <w:rsid w:val="619F6626"/>
    <w:rsid w:val="61BA27D8"/>
    <w:rsid w:val="61BE21CF"/>
    <w:rsid w:val="61D511F3"/>
    <w:rsid w:val="62700640"/>
    <w:rsid w:val="628559C8"/>
    <w:rsid w:val="62AB0152"/>
    <w:rsid w:val="62C63D9D"/>
    <w:rsid w:val="63FA7440"/>
    <w:rsid w:val="644C495D"/>
    <w:rsid w:val="64607667"/>
    <w:rsid w:val="64715C24"/>
    <w:rsid w:val="64961628"/>
    <w:rsid w:val="65224C04"/>
    <w:rsid w:val="65707FB6"/>
    <w:rsid w:val="65800B1A"/>
    <w:rsid w:val="65FA31A1"/>
    <w:rsid w:val="665C267F"/>
    <w:rsid w:val="66A05066"/>
    <w:rsid w:val="67B039EE"/>
    <w:rsid w:val="67F83836"/>
    <w:rsid w:val="6807463D"/>
    <w:rsid w:val="68377D06"/>
    <w:rsid w:val="68C46AF0"/>
    <w:rsid w:val="69DC778F"/>
    <w:rsid w:val="6C520652"/>
    <w:rsid w:val="6CD10439"/>
    <w:rsid w:val="6CE0030E"/>
    <w:rsid w:val="6D45103B"/>
    <w:rsid w:val="6E7E3037"/>
    <w:rsid w:val="6EA53FDE"/>
    <w:rsid w:val="6F0C1E15"/>
    <w:rsid w:val="70650505"/>
    <w:rsid w:val="70651D96"/>
    <w:rsid w:val="70812704"/>
    <w:rsid w:val="70945ECB"/>
    <w:rsid w:val="715E23FC"/>
    <w:rsid w:val="71697A5B"/>
    <w:rsid w:val="719C3D56"/>
    <w:rsid w:val="721C7497"/>
    <w:rsid w:val="722F3441"/>
    <w:rsid w:val="72AE0BD2"/>
    <w:rsid w:val="73055389"/>
    <w:rsid w:val="732D5840"/>
    <w:rsid w:val="73966C01"/>
    <w:rsid w:val="740F7653"/>
    <w:rsid w:val="748E78D8"/>
    <w:rsid w:val="74B05DC5"/>
    <w:rsid w:val="753D175A"/>
    <w:rsid w:val="754C224F"/>
    <w:rsid w:val="75EA5E44"/>
    <w:rsid w:val="769C0F09"/>
    <w:rsid w:val="76D04E2A"/>
    <w:rsid w:val="77396964"/>
    <w:rsid w:val="77B454A0"/>
    <w:rsid w:val="77C600FB"/>
    <w:rsid w:val="77D6540E"/>
    <w:rsid w:val="7968067D"/>
    <w:rsid w:val="7B7A34C4"/>
    <w:rsid w:val="7BCC0CE6"/>
    <w:rsid w:val="7C3F770A"/>
    <w:rsid w:val="7C782CBB"/>
    <w:rsid w:val="7C8331C4"/>
    <w:rsid w:val="7D357AB4"/>
    <w:rsid w:val="7D6350C7"/>
    <w:rsid w:val="7D8B4F86"/>
    <w:rsid w:val="7DC31F48"/>
    <w:rsid w:val="7E133FBA"/>
    <w:rsid w:val="7E575AE3"/>
    <w:rsid w:val="7F186204"/>
    <w:rsid w:val="7F2104A6"/>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1"/>
    <w:qFormat/>
    <w:uiPriority w:val="0"/>
    <w:pPr>
      <w:keepNext/>
      <w:keepLines/>
      <w:spacing w:before="340" w:after="330" w:line="578" w:lineRule="auto"/>
      <w:outlineLvl w:val="0"/>
    </w:pPr>
    <w:rPr>
      <w:b/>
      <w:bCs/>
      <w:kern w:val="44"/>
      <w:sz w:val="44"/>
      <w:szCs w:val="44"/>
    </w:rPr>
  </w:style>
  <w:style w:type="paragraph" w:styleId="2">
    <w:name w:val="heading 2"/>
    <w:basedOn w:val="3"/>
    <w:next w:val="1"/>
    <w:link w:val="132"/>
    <w:qFormat/>
    <w:uiPriority w:val="0"/>
    <w:pPr>
      <w:adjustRightInd w:val="0"/>
      <w:snapToGrid w:val="0"/>
      <w:spacing w:before="120" w:after="120" w:line="360" w:lineRule="auto"/>
      <w:jc w:val="center"/>
      <w:textAlignment w:val="baseline"/>
      <w:outlineLvl w:val="1"/>
    </w:pPr>
    <w:rPr>
      <w:rFonts w:ascii="仿宋_GB2312" w:eastAsia="仿宋_GB2312"/>
      <w:kern w:val="0"/>
      <w:sz w:val="36"/>
      <w:szCs w:val="20"/>
    </w:rPr>
  </w:style>
  <w:style w:type="paragraph" w:styleId="4">
    <w:name w:val="heading 3"/>
    <w:basedOn w:val="1"/>
    <w:next w:val="5"/>
    <w:link w:val="13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link w:val="135"/>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36"/>
    <w:qFormat/>
    <w:uiPriority w:val="0"/>
    <w:pPr>
      <w:keepNext/>
      <w:keepLines/>
      <w:spacing w:beforeLines="100" w:afterLines="100" w:line="360" w:lineRule="auto"/>
      <w:outlineLvl w:val="4"/>
    </w:pPr>
    <w:rPr>
      <w:b/>
      <w:bCs/>
      <w:sz w:val="28"/>
      <w:szCs w:val="28"/>
    </w:rPr>
  </w:style>
  <w:style w:type="paragraph" w:styleId="9">
    <w:name w:val="heading 6"/>
    <w:basedOn w:val="1"/>
    <w:next w:val="1"/>
    <w:link w:val="137"/>
    <w:qFormat/>
    <w:uiPriority w:val="0"/>
    <w:pPr>
      <w:keepNext/>
      <w:keepLines/>
      <w:spacing w:beforeLines="100" w:afterLines="100" w:line="360" w:lineRule="auto"/>
      <w:outlineLvl w:val="5"/>
    </w:pPr>
    <w:rPr>
      <w:rFonts w:ascii="Cambria" w:hAnsi="Cambria"/>
      <w:b/>
      <w:bCs/>
      <w:sz w:val="24"/>
    </w:rPr>
  </w:style>
  <w:style w:type="paragraph" w:styleId="10">
    <w:name w:val="heading 7"/>
    <w:basedOn w:val="1"/>
    <w:next w:val="1"/>
    <w:link w:val="138"/>
    <w:qFormat/>
    <w:uiPriority w:val="0"/>
    <w:pPr>
      <w:keepNext/>
      <w:keepLines/>
      <w:spacing w:beforeLines="100" w:afterLines="100" w:line="360" w:lineRule="auto"/>
      <w:outlineLvl w:val="6"/>
    </w:pPr>
    <w:rPr>
      <w:b/>
      <w:bCs/>
      <w:sz w:val="24"/>
    </w:rPr>
  </w:style>
  <w:style w:type="paragraph" w:styleId="11">
    <w:name w:val="heading 8"/>
    <w:basedOn w:val="1"/>
    <w:next w:val="1"/>
    <w:link w:val="139"/>
    <w:qFormat/>
    <w:uiPriority w:val="0"/>
    <w:pPr>
      <w:keepNext/>
      <w:keepLines/>
      <w:spacing w:beforeLines="100" w:afterLines="100" w:line="360" w:lineRule="auto"/>
      <w:outlineLvl w:val="7"/>
    </w:pPr>
    <w:rPr>
      <w:rFonts w:ascii="Cambria" w:hAnsi="Cambria"/>
      <w:b/>
      <w:sz w:val="24"/>
    </w:rPr>
  </w:style>
  <w:style w:type="paragraph" w:styleId="12">
    <w:name w:val="heading 9"/>
    <w:basedOn w:val="1"/>
    <w:next w:val="1"/>
    <w:link w:val="140"/>
    <w:qFormat/>
    <w:uiPriority w:val="0"/>
    <w:pPr>
      <w:keepNext/>
      <w:keepLines/>
      <w:spacing w:beforeLines="100" w:afterLines="100" w:line="360" w:lineRule="auto"/>
      <w:outlineLvl w:val="8"/>
    </w:pPr>
    <w:rPr>
      <w:rFonts w:ascii="Cambria" w:hAnsi="Cambria"/>
      <w:b/>
      <w:sz w:val="24"/>
      <w:szCs w:val="21"/>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33"/>
    <w:qFormat/>
    <w:uiPriority w:val="0"/>
    <w:pPr>
      <w:ind w:firstLine="420"/>
    </w:pPr>
    <w:rPr>
      <w:szCs w:val="20"/>
    </w:rPr>
  </w:style>
  <w:style w:type="paragraph" w:styleId="6">
    <w:name w:val="Body Text Indent"/>
    <w:basedOn w:val="1"/>
    <w:next w:val="5"/>
    <w:link w:val="146"/>
    <w:qFormat/>
    <w:uiPriority w:val="0"/>
    <w:pPr>
      <w:spacing w:line="200" w:lineRule="exact"/>
      <w:ind w:firstLine="301"/>
    </w:pPr>
    <w:rPr>
      <w:rFonts w:ascii="宋体" w:hAnsi="Courier New"/>
      <w:spacing w:val="-4"/>
      <w:sz w:val="1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s>
      <w:spacing w:afterLines="50"/>
      <w:ind w:left="720" w:hanging="720"/>
      <w:jc w:val="left"/>
    </w:pPr>
    <w:rPr>
      <w:kern w:val="0"/>
      <w:sz w:val="24"/>
      <w:szCs w:val="20"/>
    </w:rPr>
  </w:style>
  <w:style w:type="paragraph" w:styleId="15">
    <w:name w:val="caption"/>
    <w:basedOn w:val="1"/>
    <w:next w:val="1"/>
    <w:link w:val="141"/>
    <w:qFormat/>
    <w:uiPriority w:val="0"/>
    <w:pPr>
      <w:spacing w:before="152" w:after="160"/>
    </w:pPr>
    <w:rPr>
      <w:rFonts w:ascii="Arial" w:hAnsi="Arial" w:eastAsia="黑体"/>
      <w:sz w:val="20"/>
      <w:szCs w:val="20"/>
    </w:rPr>
  </w:style>
  <w:style w:type="paragraph" w:styleId="16">
    <w:name w:val="Document Map"/>
    <w:basedOn w:val="1"/>
    <w:link w:val="142"/>
    <w:qFormat/>
    <w:uiPriority w:val="0"/>
    <w:pPr>
      <w:shd w:val="clear" w:color="auto" w:fill="000080"/>
    </w:pPr>
  </w:style>
  <w:style w:type="paragraph" w:styleId="17">
    <w:name w:val="annotation text"/>
    <w:basedOn w:val="1"/>
    <w:link w:val="143"/>
    <w:qFormat/>
    <w:uiPriority w:val="99"/>
    <w:pPr>
      <w:jc w:val="left"/>
    </w:pPr>
  </w:style>
  <w:style w:type="paragraph" w:styleId="18">
    <w:name w:val="Body Text 3"/>
    <w:basedOn w:val="1"/>
    <w:link w:val="144"/>
    <w:qFormat/>
    <w:uiPriority w:val="0"/>
    <w:pPr>
      <w:spacing w:after="120"/>
    </w:pPr>
    <w:rPr>
      <w:sz w:val="16"/>
      <w:szCs w:val="16"/>
    </w:rPr>
  </w:style>
  <w:style w:type="paragraph" w:styleId="19">
    <w:name w:val="Body Text"/>
    <w:basedOn w:val="1"/>
    <w:next w:val="20"/>
    <w:link w:val="145"/>
    <w:qFormat/>
    <w:uiPriority w:val="0"/>
    <w:pPr>
      <w:spacing w:after="120"/>
    </w:pPr>
  </w:style>
  <w:style w:type="paragraph" w:styleId="20">
    <w:name w:val="Date"/>
    <w:basedOn w:val="1"/>
    <w:next w:val="1"/>
    <w:link w:val="148"/>
    <w:qFormat/>
    <w:uiPriority w:val="0"/>
    <w:pPr>
      <w:ind w:left="2500" w:leftChars="2500"/>
    </w:pPr>
    <w:rPr>
      <w:rFonts w:eastAsia="楷体_GB2312"/>
      <w:sz w:val="32"/>
      <w:szCs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566" w:hanging="283"/>
      <w:contextualSpacing/>
    </w:p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qFormat/>
    <w:uiPriority w:val="39"/>
    <w:pPr>
      <w:ind w:left="840" w:leftChars="400"/>
    </w:pPr>
  </w:style>
  <w:style w:type="paragraph" w:styleId="25">
    <w:name w:val="Plain Text"/>
    <w:basedOn w:val="1"/>
    <w:link w:val="147"/>
    <w:qFormat/>
    <w:uiPriority w:val="99"/>
    <w:rPr>
      <w:rFonts w:ascii="宋体" w:hAnsi="Courier New"/>
      <w:szCs w:val="20"/>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Body Text Indent 2"/>
    <w:basedOn w:val="1"/>
    <w:link w:val="149"/>
    <w:qFormat/>
    <w:uiPriority w:val="0"/>
    <w:pPr>
      <w:snapToGrid w:val="0"/>
      <w:ind w:firstLine="542" w:firstLineChars="225"/>
    </w:pPr>
    <w:rPr>
      <w:rFonts w:ascii="仿宋_GB2312" w:hAnsi="宋体"/>
      <w:b/>
      <w:bCs/>
      <w:color w:val="000000"/>
      <w:sz w:val="24"/>
    </w:rPr>
  </w:style>
  <w:style w:type="paragraph" w:styleId="28">
    <w:name w:val="Balloon Text"/>
    <w:basedOn w:val="1"/>
    <w:link w:val="150"/>
    <w:qFormat/>
    <w:uiPriority w:val="0"/>
    <w:rPr>
      <w:sz w:val="18"/>
      <w:szCs w:val="18"/>
    </w:rPr>
  </w:style>
  <w:style w:type="paragraph" w:styleId="29">
    <w:name w:val="footer"/>
    <w:basedOn w:val="1"/>
    <w:link w:val="151"/>
    <w:qFormat/>
    <w:uiPriority w:val="99"/>
    <w:pPr>
      <w:tabs>
        <w:tab w:val="center" w:pos="4153"/>
        <w:tab w:val="right" w:pos="8306"/>
      </w:tabs>
      <w:snapToGrid w:val="0"/>
      <w:jc w:val="left"/>
    </w:pPr>
    <w:rPr>
      <w:sz w:val="18"/>
      <w:szCs w:val="18"/>
    </w:rPr>
  </w:style>
  <w:style w:type="paragraph" w:styleId="30">
    <w:name w:val="header"/>
    <w:basedOn w:val="1"/>
    <w:link w:val="15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153"/>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ind w:left="283" w:hanging="283"/>
      <w:contextualSpacing/>
    </w:pPr>
  </w:style>
  <w:style w:type="paragraph" w:styleId="35">
    <w:name w:val="footnote text"/>
    <w:basedOn w:val="1"/>
    <w:link w:val="154"/>
    <w:qFormat/>
    <w:uiPriority w:val="99"/>
    <w:pPr>
      <w:jc w:val="left"/>
    </w:pPr>
    <w:rPr>
      <w:kern w:val="1"/>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155"/>
    <w:qFormat/>
    <w:uiPriority w:val="0"/>
    <w:pPr>
      <w:snapToGrid w:val="0"/>
      <w:ind w:firstLine="480" w:firstLineChars="200"/>
      <w:jc w:val="left"/>
    </w:pPr>
    <w:rPr>
      <w:rFonts w:ascii="仿宋_GB2312" w:hAnsi="宋体" w:eastAsia="仿宋_GB2312"/>
      <w:color w:val="000000"/>
      <w:sz w:val="24"/>
    </w:rPr>
  </w:style>
  <w:style w:type="paragraph" w:styleId="38">
    <w:name w:val="toc 2"/>
    <w:basedOn w:val="1"/>
    <w:next w:val="1"/>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156"/>
    <w:qFormat/>
    <w:uiPriority w:val="0"/>
    <w:pPr>
      <w:widowControl/>
      <w:snapToGrid w:val="0"/>
      <w:spacing w:before="50" w:afterLines="50" w:line="400" w:lineRule="exact"/>
      <w:jc w:val="left"/>
    </w:pPr>
    <w:rPr>
      <w:rFonts w:ascii="宋体" w:hAnsi="宋体"/>
      <w:color w:val="000000"/>
      <w:sz w:val="24"/>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link w:val="157"/>
    <w:qFormat/>
    <w:uiPriority w:val="0"/>
    <w:pPr>
      <w:widowControl/>
      <w:spacing w:before="100" w:beforeAutospacing="1" w:after="100" w:afterAutospacing="1"/>
      <w:jc w:val="left"/>
    </w:pPr>
    <w:rPr>
      <w:rFonts w:ascii="宋体" w:hAnsi="宋体"/>
      <w:kern w:val="0"/>
      <w:sz w:val="24"/>
    </w:rPr>
  </w:style>
  <w:style w:type="paragraph" w:styleId="43">
    <w:name w:val="Title"/>
    <w:basedOn w:val="1"/>
    <w:next w:val="1"/>
    <w:link w:val="158"/>
    <w:qFormat/>
    <w:uiPriority w:val="0"/>
    <w:pPr>
      <w:spacing w:before="240" w:after="60"/>
      <w:jc w:val="center"/>
      <w:outlineLvl w:val="0"/>
    </w:pPr>
    <w:rPr>
      <w:rFonts w:ascii="Cambria" w:hAnsi="Cambria"/>
      <w:b/>
      <w:bCs/>
      <w:sz w:val="32"/>
      <w:szCs w:val="32"/>
    </w:rPr>
  </w:style>
  <w:style w:type="paragraph" w:styleId="44">
    <w:name w:val="annotation subject"/>
    <w:basedOn w:val="17"/>
    <w:next w:val="17"/>
    <w:link w:val="159"/>
    <w:qFormat/>
    <w:uiPriority w:val="0"/>
    <w:rPr>
      <w:b/>
      <w:bCs/>
    </w:rPr>
  </w:style>
  <w:style w:type="paragraph" w:styleId="45">
    <w:name w:val="Body Text First Indent"/>
    <w:basedOn w:val="19"/>
    <w:next w:val="1"/>
    <w:link w:val="160"/>
    <w:qFormat/>
    <w:uiPriority w:val="0"/>
    <w:pPr>
      <w:ind w:firstLine="420" w:firstLineChars="100"/>
    </w:pPr>
  </w:style>
  <w:style w:type="paragraph" w:styleId="46">
    <w:name w:val="Body Text First Indent 2"/>
    <w:basedOn w:val="6"/>
    <w:link w:val="161"/>
    <w:unhideWhenUsed/>
    <w:qFormat/>
    <w:uiPriority w:val="0"/>
    <w:pPr>
      <w:spacing w:after="120" w:line="360" w:lineRule="auto"/>
      <w:ind w:left="420" w:leftChars="200" w:firstLine="420" w:firstLineChars="200"/>
    </w:pPr>
    <w:rPr>
      <w:sz w:val="24"/>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Table Grid 8"/>
    <w:basedOn w:val="47"/>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Hyperlink"/>
    <w:qFormat/>
    <w:uiPriority w:val="99"/>
    <w:rPr>
      <w:color w:val="0000FF"/>
      <w:u w:val="single"/>
    </w:rPr>
  </w:style>
  <w:style w:type="character" w:styleId="55">
    <w:name w:val="annotation reference"/>
    <w:basedOn w:val="50"/>
    <w:qFormat/>
    <w:uiPriority w:val="0"/>
    <w:rPr>
      <w:sz w:val="21"/>
      <w:szCs w:val="21"/>
    </w:rPr>
  </w:style>
  <w:style w:type="character" w:styleId="56">
    <w:name w:val="footnote reference"/>
    <w:qFormat/>
    <w:uiPriority w:val="0"/>
    <w:rPr>
      <w:position w:val="-2"/>
      <w:vertAlign w:val="superscript"/>
    </w:rPr>
  </w:style>
  <w:style w:type="paragraph" w:customStyle="1" w:styleId="57">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5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标准正文"/>
    <w:basedOn w:val="1"/>
    <w:qFormat/>
    <w:uiPriority w:val="0"/>
    <w:pPr>
      <w:spacing w:line="360" w:lineRule="auto"/>
      <w:ind w:firstLine="200" w:firstLineChars="200"/>
    </w:pPr>
    <w:rPr>
      <w:sz w:val="24"/>
      <w:szCs w:val="20"/>
    </w:rPr>
  </w:style>
  <w:style w:type="paragraph" w:customStyle="1" w:styleId="60">
    <w:name w:val="纯文本2"/>
    <w:basedOn w:val="1"/>
    <w:link w:val="182"/>
    <w:qFormat/>
    <w:uiPriority w:val="0"/>
    <w:pPr>
      <w:spacing w:afterLines="50"/>
    </w:pPr>
    <w:rPr>
      <w:rFonts w:ascii="宋体" w:hAnsi="Courier New"/>
      <w:kern w:val="0"/>
      <w:sz w:val="24"/>
    </w:rPr>
  </w:style>
  <w:style w:type="paragraph" w:customStyle="1" w:styleId="61">
    <w:name w:val="*正文"/>
    <w:basedOn w:val="1"/>
    <w:link w:val="185"/>
    <w:qFormat/>
    <w:uiPriority w:val="99"/>
    <w:pPr>
      <w:spacing w:line="360" w:lineRule="auto"/>
      <w:ind w:firstLine="482"/>
    </w:pPr>
    <w:rPr>
      <w:rFonts w:ascii="宋体" w:hAnsi="宋体"/>
      <w:kern w:val="0"/>
      <w:sz w:val="24"/>
      <w:szCs w:val="20"/>
    </w:rPr>
  </w:style>
  <w:style w:type="paragraph" w:customStyle="1" w:styleId="62">
    <w:name w:val="列出段落1"/>
    <w:basedOn w:val="1"/>
    <w:link w:val="194"/>
    <w:qFormat/>
    <w:uiPriority w:val="34"/>
    <w:pPr>
      <w:ind w:firstLine="420" w:firstLineChars="200"/>
    </w:pPr>
    <w:rPr>
      <w:szCs w:val="22"/>
    </w:rPr>
  </w:style>
  <w:style w:type="paragraph" w:customStyle="1" w:styleId="63">
    <w:name w:val="GW-正文"/>
    <w:link w:val="199"/>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64">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5">
    <w:name w:val="表头文本"/>
    <w:qFormat/>
    <w:uiPriority w:val="0"/>
    <w:pPr>
      <w:jc w:val="center"/>
    </w:pPr>
    <w:rPr>
      <w:rFonts w:ascii="Arial" w:hAnsi="Arial" w:eastAsia="宋体" w:cs="Times New Roman"/>
      <w:b/>
      <w:sz w:val="21"/>
      <w:szCs w:val="21"/>
      <w:lang w:val="en-US" w:eastAsia="zh-CN" w:bidi="ar-SA"/>
    </w:rPr>
  </w:style>
  <w:style w:type="paragraph" w:customStyle="1" w:styleId="66">
    <w:name w:val="节"/>
    <w:basedOn w:val="2"/>
    <w:qFormat/>
    <w:uiPriority w:val="99"/>
    <w:pPr>
      <w:tabs>
        <w:tab w:val="left" w:pos="432"/>
        <w:tab w:val="left" w:pos="576"/>
      </w:tabs>
      <w:adjustRightInd/>
      <w:snapToGrid/>
      <w:spacing w:beforeLines="100" w:afterLines="100" w:line="240" w:lineRule="auto"/>
      <w:ind w:left="576" w:hanging="576"/>
      <w:jc w:val="both"/>
      <w:textAlignment w:val="auto"/>
    </w:pPr>
    <w:rPr>
      <w:rFonts w:ascii="黑体" w:hAnsi="Arial" w:eastAsia="黑体"/>
      <w:kern w:val="2"/>
      <w:sz w:val="28"/>
      <w:szCs w:val="28"/>
      <w:lang w:val="zh-CN"/>
    </w:r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69">
    <w:name w:val="Char Char Char Char Char Char Char"/>
    <w:basedOn w:val="1"/>
    <w:qFormat/>
    <w:uiPriority w:val="0"/>
    <w:rPr>
      <w:szCs w:val="21"/>
    </w:rPr>
  </w:style>
  <w:style w:type="paragraph" w:customStyle="1" w:styleId="70">
    <w:name w:val="_Style 2"/>
    <w:basedOn w:val="1"/>
    <w:qFormat/>
    <w:uiPriority w:val="0"/>
    <w:pPr>
      <w:adjustRightInd w:val="0"/>
      <w:snapToGrid w:val="0"/>
      <w:spacing w:line="360" w:lineRule="auto"/>
      <w:ind w:firstLine="200" w:firstLineChars="200"/>
      <w:jc w:val="center"/>
    </w:pPr>
    <w:rPr>
      <w:rFonts w:ascii="Calibri" w:hAnsi="Calibri" w:eastAsia="微软雅黑"/>
      <w:sz w:val="30"/>
    </w:rPr>
  </w:style>
  <w:style w:type="paragraph" w:customStyle="1" w:styleId="71">
    <w:name w:val="【正文】"/>
    <w:basedOn w:val="1"/>
    <w:qFormat/>
    <w:uiPriority w:val="0"/>
    <w:pPr>
      <w:spacing w:beforeAutospacing="1" w:afterAutospacing="1" w:line="360" w:lineRule="auto"/>
      <w:ind w:firstLine="200" w:firstLineChars="200"/>
      <w:contextualSpacing/>
    </w:pPr>
    <w:rPr>
      <w:rFonts w:ascii="Calibri" w:hAnsi="Calibri" w:cs="黑体"/>
      <w:sz w:val="24"/>
      <w:szCs w:val="22"/>
    </w:rPr>
  </w:style>
  <w:style w:type="paragraph" w:customStyle="1" w:styleId="72">
    <w:name w:val="样式 正文1 + 段前: 0.1 行"/>
    <w:basedOn w:val="1"/>
    <w:qFormat/>
    <w:uiPriority w:val="0"/>
    <w:pPr>
      <w:snapToGrid w:val="0"/>
      <w:spacing w:beforeLines="10" w:line="440" w:lineRule="atLeast"/>
      <w:ind w:firstLine="510"/>
    </w:pPr>
    <w:rPr>
      <w:sz w:val="24"/>
    </w:rPr>
  </w:style>
  <w:style w:type="paragraph" w:customStyle="1" w:styleId="73">
    <w:name w:val="图样式"/>
    <w:basedOn w:val="1"/>
    <w:qFormat/>
    <w:uiPriority w:val="0"/>
    <w:pPr>
      <w:keepNext/>
      <w:widowControl/>
      <w:autoSpaceDE w:val="0"/>
      <w:autoSpaceDN w:val="0"/>
      <w:adjustRightInd w:val="0"/>
      <w:spacing w:before="80" w:after="80" w:line="360" w:lineRule="auto"/>
      <w:jc w:val="center"/>
    </w:pPr>
    <w:rPr>
      <w:snapToGrid w:val="0"/>
      <w:kern w:val="0"/>
      <w:sz w:val="24"/>
      <w:szCs w:val="21"/>
    </w:rPr>
  </w:style>
  <w:style w:type="paragraph" w:customStyle="1" w:styleId="74">
    <w:name w:val="正文2"/>
    <w:basedOn w:val="1"/>
    <w:link w:val="215"/>
    <w:qFormat/>
    <w:uiPriority w:val="0"/>
    <w:pPr>
      <w:spacing w:before="156" w:line="360" w:lineRule="auto"/>
      <w:ind w:firstLine="510" w:firstLineChars="200"/>
    </w:pPr>
    <w:rPr>
      <w:sz w:val="24"/>
      <w:szCs w:val="20"/>
    </w:rPr>
  </w:style>
  <w:style w:type="paragraph" w:customStyle="1" w:styleId="75">
    <w:name w:val="列出段落111"/>
    <w:basedOn w:val="1"/>
    <w:link w:val="211"/>
    <w:qFormat/>
    <w:uiPriority w:val="0"/>
    <w:pPr>
      <w:ind w:firstLine="420" w:firstLineChars="200"/>
    </w:pPr>
    <w:rPr>
      <w:szCs w:val="21"/>
    </w:rPr>
  </w:style>
  <w:style w:type="paragraph" w:customStyle="1" w:styleId="76">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7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79">
    <w:name w:val="6级标题"/>
    <w:basedOn w:val="1"/>
    <w:qFormat/>
    <w:uiPriority w:val="0"/>
    <w:pPr>
      <w:keepNext/>
      <w:spacing w:line="360" w:lineRule="auto"/>
      <w:ind w:left="1151" w:hanging="431"/>
      <w:jc w:val="center"/>
      <w:outlineLvl w:val="5"/>
    </w:pPr>
    <w:rPr>
      <w:rFonts w:ascii="黑体" w:hAnsi="宋体" w:eastAsia="微软雅黑"/>
      <w:b/>
      <w:bCs/>
      <w:sz w:val="24"/>
      <w:szCs w:val="52"/>
    </w:rPr>
  </w:style>
  <w:style w:type="paragraph" w:customStyle="1" w:styleId="8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_Style 58"/>
    <w:basedOn w:val="1"/>
    <w:next w:val="62"/>
    <w:qFormat/>
    <w:uiPriority w:val="0"/>
    <w:pPr>
      <w:ind w:firstLine="420" w:firstLineChars="200"/>
    </w:pPr>
    <w:rPr>
      <w:rFonts w:ascii="Calibri" w:hAnsi="Calibri"/>
      <w:szCs w:val="22"/>
    </w:rPr>
  </w:style>
  <w:style w:type="paragraph" w:customStyle="1" w:styleId="82">
    <w:name w:val="Body text|1"/>
    <w:basedOn w:val="1"/>
    <w:qFormat/>
    <w:uiPriority w:val="0"/>
    <w:pPr>
      <w:autoSpaceDE w:val="0"/>
      <w:autoSpaceDN w:val="0"/>
      <w:adjustRightInd w:val="0"/>
      <w:spacing w:after="200" w:line="314" w:lineRule="auto"/>
      <w:jc w:val="left"/>
    </w:pPr>
    <w:rPr>
      <w:rFonts w:ascii="MingLiU" w:hAnsi="MingLiU" w:eastAsia="MingLiU" w:cs="MingLiU"/>
      <w:snapToGrid w:val="0"/>
      <w:color w:val="000963"/>
      <w:kern w:val="0"/>
      <w:sz w:val="19"/>
      <w:szCs w:val="19"/>
      <w:lang w:val="zh-TW" w:eastAsia="zh-TW" w:bidi="zh-TW"/>
    </w:rPr>
  </w:style>
  <w:style w:type="paragraph" w:customStyle="1" w:styleId="83">
    <w:name w:val="纯文本1"/>
    <w:basedOn w:val="1"/>
    <w:qFormat/>
    <w:uiPriority w:val="0"/>
    <w:pPr>
      <w:adjustRightInd w:val="0"/>
      <w:textAlignment w:val="baseline"/>
    </w:pPr>
    <w:rPr>
      <w:rFonts w:ascii="宋体" w:hAnsi="Courier New" w:eastAsia="楷体_GB2312"/>
      <w:sz w:val="26"/>
      <w:szCs w:val="20"/>
    </w:rPr>
  </w:style>
  <w:style w:type="paragraph" w:customStyle="1" w:styleId="84">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85">
    <w:name w:val="CM11"/>
    <w:basedOn w:val="86"/>
    <w:next w:val="86"/>
    <w:unhideWhenUsed/>
    <w:qFormat/>
    <w:uiPriority w:val="99"/>
    <w:pPr>
      <w:spacing w:line="520" w:lineRule="atLeast"/>
    </w:pPr>
  </w:style>
  <w:style w:type="paragraph" w:customStyle="1" w:styleId="86">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87">
    <w:name w:val="正文11"/>
    <w:basedOn w:val="1"/>
    <w:next w:val="1"/>
    <w:qFormat/>
    <w:uiPriority w:val="0"/>
    <w:pPr>
      <w:spacing w:before="120" w:line="360" w:lineRule="auto"/>
      <w:ind w:left="420" w:firstLine="527"/>
    </w:pPr>
    <w:rPr>
      <w:rFonts w:ascii="宋体" w:hAnsi="宋体"/>
    </w:rPr>
  </w:style>
  <w:style w:type="paragraph" w:customStyle="1" w:styleId="88">
    <w:name w:val="_Style 54"/>
    <w:basedOn w:val="1"/>
    <w:qFormat/>
    <w:uiPriority w:val="0"/>
    <w:pPr>
      <w:adjustRightInd w:val="0"/>
      <w:snapToGrid w:val="0"/>
      <w:spacing w:line="360" w:lineRule="auto"/>
      <w:ind w:firstLine="420" w:firstLineChars="200"/>
    </w:pPr>
    <w:rPr>
      <w:rFonts w:ascii="Calibri" w:hAnsi="Calibri"/>
      <w:sz w:val="24"/>
    </w:rPr>
  </w:style>
  <w:style w:type="paragraph" w:customStyle="1" w:styleId="89">
    <w:name w:val="注示头"/>
    <w:basedOn w:val="1"/>
    <w:qFormat/>
    <w:uiPriority w:val="0"/>
    <w:pPr>
      <w:pBdr>
        <w:top w:val="single" w:color="000000" w:sz="4" w:space="1"/>
      </w:pBdr>
      <w:autoSpaceDE w:val="0"/>
      <w:autoSpaceDN w:val="0"/>
      <w:adjustRightInd w:val="0"/>
      <w:spacing w:line="360" w:lineRule="auto"/>
    </w:pPr>
    <w:rPr>
      <w:rFonts w:ascii="Arial" w:hAnsi="Arial" w:eastAsia="黑体"/>
      <w:snapToGrid w:val="0"/>
      <w:kern w:val="0"/>
      <w:sz w:val="18"/>
      <w:szCs w:val="21"/>
    </w:rPr>
  </w:style>
  <w:style w:type="paragraph" w:customStyle="1" w:styleId="90">
    <w:name w:val="5级标题"/>
    <w:basedOn w:val="1"/>
    <w:qFormat/>
    <w:uiPriority w:val="0"/>
    <w:pPr>
      <w:keepNext/>
      <w:ind w:left="148" w:leftChars="-52" w:right="-7" w:rightChars="-7" w:hanging="200" w:hangingChars="200"/>
      <w:jc w:val="left"/>
      <w:outlineLvl w:val="4"/>
    </w:pPr>
    <w:rPr>
      <w:rFonts w:ascii="宋体" w:hAnsi="宋体"/>
      <w:bCs/>
      <w:sz w:val="24"/>
      <w:szCs w:val="30"/>
    </w:rPr>
  </w:style>
  <w:style w:type="paragraph" w:customStyle="1" w:styleId="91">
    <w:name w:val="表内文字"/>
    <w:basedOn w:val="1"/>
    <w:qFormat/>
    <w:uiPriority w:val="0"/>
    <w:pPr>
      <w:jc w:val="center"/>
    </w:pPr>
    <w:rPr>
      <w:rFonts w:ascii="仿宋_GB2312" w:eastAsia="仿宋_GB2312"/>
      <w:sz w:val="24"/>
    </w:rPr>
  </w:style>
  <w:style w:type="paragraph" w:customStyle="1" w:styleId="92">
    <w:name w:val="Char Char9 Char Char"/>
    <w:basedOn w:val="1"/>
    <w:qFormat/>
    <w:uiPriority w:val="0"/>
    <w:pPr>
      <w:tabs>
        <w:tab w:val="left" w:pos="360"/>
      </w:tabs>
    </w:pPr>
  </w:style>
  <w:style w:type="paragraph" w:customStyle="1" w:styleId="93">
    <w:name w:val="纯文本11"/>
    <w:basedOn w:val="1"/>
    <w:qFormat/>
    <w:uiPriority w:val="0"/>
    <w:pPr>
      <w:adjustRightInd w:val="0"/>
      <w:textAlignment w:val="baseline"/>
    </w:pPr>
    <w:rPr>
      <w:rFonts w:ascii="宋体" w:hAnsi="Courier New" w:eastAsia="楷体_GB2312"/>
      <w:sz w:val="26"/>
      <w:szCs w:val="20"/>
    </w:rPr>
  </w:style>
  <w:style w:type="paragraph" w:customStyle="1" w:styleId="94">
    <w:name w:val="正文（首行不缩进）"/>
    <w:basedOn w:val="1"/>
    <w:qFormat/>
    <w:uiPriority w:val="0"/>
    <w:pPr>
      <w:autoSpaceDE w:val="0"/>
      <w:autoSpaceDN w:val="0"/>
      <w:adjustRightInd w:val="0"/>
      <w:spacing w:line="360" w:lineRule="auto"/>
      <w:jc w:val="left"/>
    </w:pPr>
    <w:rPr>
      <w:snapToGrid w:val="0"/>
      <w:kern w:val="0"/>
      <w:sz w:val="24"/>
      <w:szCs w:val="21"/>
    </w:rPr>
  </w:style>
  <w:style w:type="paragraph" w:customStyle="1" w:styleId="95">
    <w:name w:val="封面标题"/>
    <w:qFormat/>
    <w:uiPriority w:val="0"/>
    <w:pPr>
      <w:spacing w:beforeLines="500" w:afterLines="300"/>
      <w:jc w:val="center"/>
    </w:pPr>
    <w:rPr>
      <w:rFonts w:ascii="Times New Roman" w:hAnsi="Times New Roman" w:eastAsia="黑体" w:cs="Times New Roman"/>
      <w:b/>
      <w:kern w:val="2"/>
      <w:sz w:val="52"/>
      <w:szCs w:val="22"/>
      <w:lang w:val="en-US" w:eastAsia="zh-CN" w:bidi="ar-SA"/>
    </w:rPr>
  </w:style>
  <w:style w:type="paragraph" w:customStyle="1" w:styleId="96">
    <w:name w:val="列出段落11"/>
    <w:basedOn w:val="1"/>
    <w:qFormat/>
    <w:uiPriority w:val="0"/>
    <w:pPr>
      <w:ind w:firstLine="420" w:firstLineChars="200"/>
    </w:pPr>
    <w:rPr>
      <w:rFonts w:ascii="Calibri" w:hAnsi="Calibri"/>
      <w:szCs w:val="20"/>
    </w:rPr>
  </w:style>
  <w:style w:type="paragraph" w:customStyle="1" w:styleId="97">
    <w:name w:val="FBY-表格文字"/>
    <w:basedOn w:val="1"/>
    <w:qFormat/>
    <w:uiPriority w:val="99"/>
    <w:pPr>
      <w:adjustRightInd w:val="0"/>
      <w:jc w:val="left"/>
      <w:textAlignment w:val="top"/>
    </w:pPr>
    <w:rPr>
      <w:szCs w:val="20"/>
    </w:rPr>
  </w:style>
  <w:style w:type="paragraph" w:customStyle="1" w:styleId="98">
    <w:name w:val="默认段落字体 Para Char Char Char Char Char Char Char Char Char1 Char Char Char Char"/>
    <w:basedOn w:val="1"/>
    <w:qFormat/>
    <w:uiPriority w:val="0"/>
    <w:rPr>
      <w:rFonts w:ascii="Tahoma" w:hAnsi="Tahoma"/>
      <w:sz w:val="24"/>
      <w:szCs w:val="20"/>
    </w:rPr>
  </w:style>
  <w:style w:type="paragraph" w:customStyle="1" w:styleId="99">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100">
    <w:name w:val="1 Char Char Char Char"/>
    <w:basedOn w:val="1"/>
    <w:qFormat/>
    <w:uiPriority w:val="0"/>
    <w:rPr>
      <w:rFonts w:ascii="Tahoma" w:hAnsi="Tahoma"/>
      <w:sz w:val="24"/>
      <w:szCs w:val="20"/>
    </w:rPr>
  </w:style>
  <w:style w:type="paragraph" w:customStyle="1" w:styleId="101">
    <w:name w:val="默认段落字体 Para Char Char Char Char"/>
    <w:basedOn w:val="1"/>
    <w:qFormat/>
    <w:uiPriority w:val="0"/>
    <w:rPr>
      <w:rFonts w:ascii="Arial" w:hAnsi="Arial" w:cs="Arial"/>
      <w:szCs w:val="21"/>
    </w:rPr>
  </w:style>
  <w:style w:type="paragraph" w:customStyle="1" w:styleId="102">
    <w:name w:val="注示文本"/>
    <w:basedOn w:val="1"/>
    <w:qFormat/>
    <w:uiPriority w:val="0"/>
    <w:pPr>
      <w:pBdr>
        <w:bottom w:val="single" w:color="000000" w:sz="4" w:space="1"/>
      </w:pBdr>
      <w:autoSpaceDE w:val="0"/>
      <w:autoSpaceDN w:val="0"/>
      <w:adjustRightInd w:val="0"/>
      <w:spacing w:line="360" w:lineRule="auto"/>
      <w:ind w:firstLine="360"/>
    </w:pPr>
    <w:rPr>
      <w:rFonts w:ascii="Arial" w:hAnsi="Arial" w:eastAsia="楷体_GB2312"/>
      <w:snapToGrid w:val="0"/>
      <w:kern w:val="0"/>
      <w:sz w:val="18"/>
      <w:szCs w:val="18"/>
    </w:rPr>
  </w:style>
  <w:style w:type="paragraph" w:customStyle="1" w:styleId="103">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04">
    <w:name w:val="TOC 标题11"/>
    <w:basedOn w:val="3"/>
    <w:next w:val="1"/>
    <w:unhideWhenUsed/>
    <w:qFormat/>
    <w:uiPriority w:val="39"/>
    <w:pPr>
      <w:widowControl/>
      <w:spacing w:beforeLines="100" w:afterLines="100" w:line="259" w:lineRule="auto"/>
      <w:jc w:val="left"/>
      <w:outlineLvl w:val="9"/>
    </w:pPr>
    <w:rPr>
      <w:rFonts w:ascii="Cambria" w:hAnsi="Cambria"/>
      <w:b w:val="0"/>
      <w:bCs w:val="0"/>
      <w:color w:val="365F91"/>
      <w:kern w:val="0"/>
      <w:sz w:val="32"/>
      <w:szCs w:val="32"/>
    </w:rPr>
  </w:style>
  <w:style w:type="paragraph" w:customStyle="1" w:styleId="105">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06">
    <w:name w:val="122222222"/>
    <w:basedOn w:val="5"/>
    <w:qFormat/>
    <w:uiPriority w:val="0"/>
    <w:pPr>
      <w:autoSpaceDE w:val="0"/>
      <w:autoSpaceDN w:val="0"/>
      <w:adjustRightInd w:val="0"/>
      <w:spacing w:line="360" w:lineRule="auto"/>
      <w:ind w:firstLine="552" w:firstLineChars="197"/>
      <w:textAlignment w:val="baseline"/>
    </w:pPr>
    <w:rPr>
      <w:rFonts w:ascii="Calibri" w:hAnsi="Calibri"/>
      <w:color w:val="000000"/>
    </w:rPr>
  </w:style>
  <w:style w:type="paragraph" w:customStyle="1" w:styleId="107">
    <w:name w:val="无间隔1"/>
    <w:link w:val="206"/>
    <w:qFormat/>
    <w:uiPriority w:val="1"/>
    <w:pPr>
      <w:widowControl w:val="0"/>
    </w:pPr>
    <w:rPr>
      <w:rFonts w:ascii="Times New Roman" w:hAnsi="Times New Roman" w:eastAsia="宋体" w:cs="Times New Roman"/>
      <w:kern w:val="2"/>
      <w:sz w:val="21"/>
      <w:szCs w:val="22"/>
      <w:lang w:val="en-US" w:eastAsia="zh-CN" w:bidi="ar-SA"/>
    </w:rPr>
  </w:style>
  <w:style w:type="paragraph" w:customStyle="1" w:styleId="108">
    <w:name w:val="表格文字"/>
    <w:basedOn w:val="1"/>
    <w:link w:val="207"/>
    <w:qFormat/>
    <w:uiPriority w:val="0"/>
    <w:pPr>
      <w:jc w:val="left"/>
      <w:textAlignment w:val="top"/>
    </w:pPr>
    <w:rPr>
      <w:sz w:val="18"/>
    </w:rPr>
  </w:style>
  <w:style w:type="paragraph" w:customStyle="1" w:styleId="109">
    <w:name w:val="金保标题2"/>
    <w:basedOn w:val="2"/>
    <w:next w:val="1"/>
    <w:link w:val="209"/>
    <w:qFormat/>
    <w:uiPriority w:val="0"/>
    <w:pPr>
      <w:tabs>
        <w:tab w:val="left" w:pos="709"/>
      </w:tabs>
      <w:adjustRightInd/>
      <w:snapToGrid/>
      <w:spacing w:before="240" w:after="0"/>
      <w:jc w:val="both"/>
      <w:textAlignment w:val="auto"/>
    </w:pPr>
    <w:rPr>
      <w:rFonts w:ascii="宋体" w:hAnsi="宋体" w:eastAsia="宋体"/>
      <w:sz w:val="24"/>
      <w:szCs w:val="24"/>
    </w:rPr>
  </w:style>
  <w:style w:type="paragraph" w:customStyle="1" w:styleId="11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方案正文-样式 小四 行距: 1.5 倍行距"/>
    <w:basedOn w:val="1"/>
    <w:link w:val="212"/>
    <w:qFormat/>
    <w:uiPriority w:val="0"/>
    <w:pPr>
      <w:spacing w:line="360" w:lineRule="auto"/>
      <w:ind w:firstLine="480" w:firstLineChars="200"/>
    </w:pPr>
    <w:rPr>
      <w:sz w:val="24"/>
      <w:szCs w:val="20"/>
    </w:rPr>
  </w:style>
  <w:style w:type="paragraph" w:customStyle="1" w:styleId="112">
    <w:name w:val="正文JK"/>
    <w:basedOn w:val="1"/>
    <w:link w:val="213"/>
    <w:qFormat/>
    <w:uiPriority w:val="0"/>
    <w:pPr>
      <w:spacing w:line="360" w:lineRule="auto"/>
      <w:ind w:firstLine="200" w:firstLineChars="200"/>
    </w:pPr>
    <w:rPr>
      <w:rFonts w:ascii="Calibri" w:hAnsi="Calibri"/>
      <w:szCs w:val="21"/>
    </w:rPr>
  </w:style>
  <w:style w:type="paragraph" w:customStyle="1" w:styleId="113">
    <w:name w:val="投标书正文无序编号"/>
    <w:basedOn w:val="114"/>
    <w:link w:val="214"/>
    <w:qFormat/>
    <w:uiPriority w:val="0"/>
    <w:pPr>
      <w:tabs>
        <w:tab w:val="left" w:pos="780"/>
        <w:tab w:val="left" w:pos="902"/>
      </w:tabs>
      <w:adjustRightInd w:val="0"/>
      <w:ind w:left="1282" w:firstLine="0" w:firstLineChars="0"/>
    </w:pPr>
    <w:rPr>
      <w:rFonts w:eastAsia="宋体"/>
    </w:rPr>
  </w:style>
  <w:style w:type="paragraph" w:customStyle="1" w:styleId="114">
    <w:name w:val="投标书正文"/>
    <w:link w:val="216"/>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paragraph" w:customStyle="1" w:styleId="115">
    <w:name w:val="_Style 1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p16"/>
    <w:basedOn w:val="1"/>
    <w:qFormat/>
    <w:uiPriority w:val="0"/>
    <w:pPr>
      <w:widowControl/>
    </w:pPr>
    <w:rPr>
      <w:rFonts w:ascii="Calibri" w:hAnsi="Calibri"/>
      <w:kern w:val="0"/>
      <w:szCs w:val="21"/>
    </w:rPr>
  </w:style>
  <w:style w:type="paragraph" w:customStyle="1" w:styleId="117">
    <w:name w:val="z-窗体顶端1"/>
    <w:basedOn w:val="1"/>
    <w:next w:val="1"/>
    <w:link w:val="217"/>
    <w:qFormat/>
    <w:uiPriority w:val="0"/>
    <w:pPr>
      <w:pBdr>
        <w:bottom w:val="single" w:color="auto" w:sz="6" w:space="1"/>
      </w:pBdr>
      <w:jc w:val="center"/>
    </w:pPr>
    <w:rPr>
      <w:rFonts w:ascii="Arial" w:hAnsi="Calibri"/>
      <w:vanish/>
      <w:sz w:val="16"/>
    </w:rPr>
  </w:style>
  <w:style w:type="paragraph" w:customStyle="1" w:styleId="118">
    <w:name w:val="Char"/>
    <w:basedOn w:val="1"/>
    <w:qFormat/>
    <w:uiPriority w:val="0"/>
    <w:pPr>
      <w:tabs>
        <w:tab w:val="left" w:pos="360"/>
      </w:tabs>
    </w:pPr>
    <w:rPr>
      <w:rFonts w:ascii="Calibri" w:hAnsi="Calibri"/>
      <w:sz w:val="24"/>
    </w:rPr>
  </w:style>
  <w:style w:type="paragraph" w:customStyle="1" w:styleId="119">
    <w:name w:val="样式 标题 3 + 小三"/>
    <w:basedOn w:val="4"/>
    <w:next w:val="1"/>
    <w:qFormat/>
    <w:uiPriority w:val="0"/>
    <w:pPr>
      <w:tabs>
        <w:tab w:val="left" w:pos="540"/>
      </w:tabs>
      <w:ind w:firstLine="0" w:firstLineChars="0"/>
    </w:pPr>
    <w:rPr>
      <w:rFonts w:ascii="宋体" w:hAnsi="宋体" w:eastAsia="宋体"/>
      <w:sz w:val="28"/>
      <w:szCs w:val="28"/>
    </w:rPr>
  </w:style>
  <w:style w:type="paragraph" w:customStyle="1" w:styleId="120">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1">
    <w:name w:val="Char Char Char Char Char Char Char Char Char Char Char Char Char Char Char1 Char"/>
    <w:basedOn w:val="1"/>
    <w:qFormat/>
    <w:uiPriority w:val="0"/>
    <w:rPr>
      <w:rFonts w:ascii="Calibri" w:hAnsi="Calibri"/>
      <w:sz w:val="28"/>
      <w:szCs w:val="20"/>
    </w:rPr>
  </w:style>
  <w:style w:type="paragraph" w:customStyle="1" w:styleId="122">
    <w:name w:val="p17"/>
    <w:basedOn w:val="1"/>
    <w:qFormat/>
    <w:uiPriority w:val="0"/>
    <w:pPr>
      <w:widowControl/>
    </w:pPr>
    <w:rPr>
      <w:rFonts w:ascii="Calibri" w:hAnsi="Calibri"/>
      <w:kern w:val="0"/>
      <w:szCs w:val="21"/>
    </w:rPr>
  </w:style>
  <w:style w:type="paragraph" w:customStyle="1" w:styleId="123">
    <w:name w:val="无间隔111"/>
    <w:qFormat/>
    <w:uiPriority w:val="0"/>
    <w:rPr>
      <w:rFonts w:ascii="Calibri" w:hAnsi="Calibri" w:eastAsia="??" w:cs="宋体"/>
      <w:sz w:val="22"/>
      <w:szCs w:val="22"/>
      <w:lang w:val="en-US" w:eastAsia="en-US" w:bidi="ar-SA"/>
    </w:rPr>
  </w:style>
  <w:style w:type="paragraph" w:customStyle="1" w:styleId="124">
    <w:name w:val="z-窗体底端1"/>
    <w:basedOn w:val="1"/>
    <w:next w:val="1"/>
    <w:link w:val="218"/>
    <w:qFormat/>
    <w:uiPriority w:val="0"/>
    <w:pPr>
      <w:pBdr>
        <w:top w:val="single" w:color="auto" w:sz="6" w:space="1"/>
      </w:pBdr>
      <w:jc w:val="center"/>
    </w:pPr>
    <w:rPr>
      <w:rFonts w:ascii="Arial" w:hAnsi="Calibri"/>
      <w:vanish/>
      <w:sz w:val="16"/>
    </w:rPr>
  </w:style>
  <w:style w:type="paragraph" w:customStyle="1" w:styleId="125">
    <w:name w:val="无间隔11"/>
    <w:qFormat/>
    <w:uiPriority w:val="0"/>
    <w:rPr>
      <w:rFonts w:ascii="Calibri" w:hAnsi="Calibri" w:eastAsia="宋体" w:cs="Times New Roman"/>
      <w:sz w:val="22"/>
      <w:szCs w:val="22"/>
      <w:lang w:val="en-US" w:eastAsia="en-US" w:bidi="ar-SA"/>
    </w:rPr>
  </w:style>
  <w:style w:type="paragraph" w:customStyle="1" w:styleId="126">
    <w:name w:val="TableTitle"/>
    <w:basedOn w:val="19"/>
    <w:qFormat/>
    <w:uiPriority w:val="0"/>
    <w:pPr>
      <w:keepNext/>
      <w:widowControl/>
      <w:tabs>
        <w:tab w:val="left" w:pos="2558"/>
      </w:tabs>
      <w:spacing w:before="120"/>
      <w:jc w:val="center"/>
    </w:pPr>
    <w:rPr>
      <w:rFonts w:ascii="Calibri" w:hAnsi="Calibri"/>
      <w:b/>
      <w:kern w:val="0"/>
      <w:sz w:val="24"/>
      <w:szCs w:val="20"/>
    </w:rPr>
  </w:style>
  <w:style w:type="paragraph" w:customStyle="1" w:styleId="127">
    <w:name w:val="ParaAttribute6"/>
    <w:qFormat/>
    <w:uiPriority w:val="0"/>
    <w:pPr>
      <w:wordWrap w:val="0"/>
      <w:ind w:firstLine="941"/>
    </w:pPr>
    <w:rPr>
      <w:rFonts w:ascii="Calibri" w:hAnsi="Calibri" w:eastAsia="Batang" w:cs="Times New Roman"/>
      <w:sz w:val="21"/>
      <w:szCs w:val="22"/>
      <w:lang w:val="en-US" w:eastAsia="zh-CN" w:bidi="ar-SA"/>
    </w:rPr>
  </w:style>
  <w:style w:type="paragraph" w:customStyle="1" w:styleId="128">
    <w:name w:val="条款正文"/>
    <w:basedOn w:val="1"/>
    <w:qFormat/>
    <w:uiPriority w:val="0"/>
    <w:pPr>
      <w:adjustRightInd w:val="0"/>
      <w:snapToGrid w:val="0"/>
      <w:spacing w:line="360" w:lineRule="auto"/>
      <w:jc w:val="left"/>
    </w:pPr>
    <w:rPr>
      <w:sz w:val="28"/>
    </w:rPr>
  </w:style>
  <w:style w:type="paragraph" w:customStyle="1" w:styleId="129">
    <w:name w:val="列出段落2"/>
    <w:basedOn w:val="1"/>
    <w:qFormat/>
    <w:uiPriority w:val="99"/>
    <w:pPr>
      <w:ind w:firstLine="420" w:firstLineChars="200"/>
    </w:pPr>
  </w:style>
  <w:style w:type="paragraph" w:customStyle="1" w:styleId="13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标题 1 Char"/>
    <w:link w:val="3"/>
    <w:qFormat/>
    <w:uiPriority w:val="0"/>
    <w:rPr>
      <w:b/>
      <w:bCs/>
      <w:kern w:val="44"/>
      <w:sz w:val="44"/>
      <w:szCs w:val="44"/>
    </w:rPr>
  </w:style>
  <w:style w:type="character" w:customStyle="1" w:styleId="132">
    <w:name w:val="标题 2 Char"/>
    <w:link w:val="2"/>
    <w:qFormat/>
    <w:uiPriority w:val="9"/>
    <w:rPr>
      <w:rFonts w:ascii="仿宋_GB2312" w:eastAsia="仿宋_GB2312"/>
      <w:b/>
      <w:sz w:val="36"/>
    </w:rPr>
  </w:style>
  <w:style w:type="character" w:customStyle="1" w:styleId="133">
    <w:name w:val="正文缩进 Char"/>
    <w:link w:val="5"/>
    <w:qFormat/>
    <w:uiPriority w:val="0"/>
    <w:rPr>
      <w:kern w:val="2"/>
      <w:sz w:val="21"/>
    </w:rPr>
  </w:style>
  <w:style w:type="character" w:customStyle="1" w:styleId="134">
    <w:name w:val="标题 3 Char"/>
    <w:link w:val="4"/>
    <w:qFormat/>
    <w:uiPriority w:val="0"/>
    <w:rPr>
      <w:rFonts w:ascii="仿宋_GB2312" w:eastAsia="仿宋_GB2312"/>
      <w:b/>
      <w:bCs/>
      <w:kern w:val="2"/>
      <w:sz w:val="30"/>
    </w:rPr>
  </w:style>
  <w:style w:type="character" w:customStyle="1" w:styleId="135">
    <w:name w:val="标题 4 Char"/>
    <w:link w:val="7"/>
    <w:qFormat/>
    <w:uiPriority w:val="0"/>
    <w:rPr>
      <w:rFonts w:ascii="Cambria" w:hAnsi="Cambria" w:eastAsia="宋体" w:cs="Times New Roman"/>
      <w:b/>
      <w:bCs/>
      <w:kern w:val="2"/>
      <w:sz w:val="28"/>
      <w:szCs w:val="28"/>
    </w:rPr>
  </w:style>
  <w:style w:type="character" w:customStyle="1" w:styleId="136">
    <w:name w:val="标题 5 Char"/>
    <w:link w:val="8"/>
    <w:qFormat/>
    <w:uiPriority w:val="0"/>
    <w:rPr>
      <w:rFonts w:eastAsia="宋体"/>
      <w:b/>
      <w:bCs/>
      <w:kern w:val="2"/>
      <w:sz w:val="28"/>
      <w:szCs w:val="28"/>
    </w:rPr>
  </w:style>
  <w:style w:type="character" w:customStyle="1" w:styleId="137">
    <w:name w:val="标题 6 Char"/>
    <w:link w:val="9"/>
    <w:qFormat/>
    <w:uiPriority w:val="0"/>
    <w:rPr>
      <w:rFonts w:ascii="Cambria" w:hAnsi="Cambria" w:eastAsia="宋体" w:cs="Times New Roman"/>
      <w:b/>
      <w:bCs/>
      <w:kern w:val="2"/>
      <w:sz w:val="24"/>
      <w:szCs w:val="24"/>
    </w:rPr>
  </w:style>
  <w:style w:type="character" w:customStyle="1" w:styleId="138">
    <w:name w:val="标题 7 Char"/>
    <w:link w:val="10"/>
    <w:qFormat/>
    <w:uiPriority w:val="0"/>
    <w:rPr>
      <w:rFonts w:eastAsia="宋体"/>
      <w:b/>
      <w:bCs/>
      <w:kern w:val="2"/>
      <w:sz w:val="24"/>
      <w:szCs w:val="24"/>
    </w:rPr>
  </w:style>
  <w:style w:type="character" w:customStyle="1" w:styleId="139">
    <w:name w:val="标题 8 Char"/>
    <w:link w:val="11"/>
    <w:qFormat/>
    <w:uiPriority w:val="0"/>
    <w:rPr>
      <w:rFonts w:ascii="Cambria" w:hAnsi="Cambria" w:eastAsia="宋体" w:cs="Times New Roman"/>
      <w:b/>
      <w:kern w:val="2"/>
      <w:sz w:val="24"/>
      <w:szCs w:val="24"/>
    </w:rPr>
  </w:style>
  <w:style w:type="character" w:customStyle="1" w:styleId="140">
    <w:name w:val="标题 9 Char"/>
    <w:link w:val="12"/>
    <w:qFormat/>
    <w:uiPriority w:val="0"/>
    <w:rPr>
      <w:rFonts w:ascii="Cambria" w:hAnsi="Cambria" w:eastAsia="宋体" w:cs="Times New Roman"/>
      <w:b/>
      <w:kern w:val="2"/>
      <w:sz w:val="24"/>
      <w:szCs w:val="21"/>
    </w:rPr>
  </w:style>
  <w:style w:type="character" w:customStyle="1" w:styleId="141">
    <w:name w:val="题注 Char"/>
    <w:link w:val="15"/>
    <w:qFormat/>
    <w:locked/>
    <w:uiPriority w:val="0"/>
    <w:rPr>
      <w:rFonts w:ascii="Arial" w:hAnsi="Arial" w:eastAsia="黑体" w:cs="Arial"/>
      <w:kern w:val="2"/>
    </w:rPr>
  </w:style>
  <w:style w:type="character" w:customStyle="1" w:styleId="142">
    <w:name w:val="文档结构图 Char"/>
    <w:link w:val="16"/>
    <w:qFormat/>
    <w:uiPriority w:val="0"/>
    <w:rPr>
      <w:kern w:val="2"/>
      <w:sz w:val="21"/>
      <w:szCs w:val="24"/>
      <w:shd w:val="clear" w:color="auto" w:fill="000080"/>
    </w:rPr>
  </w:style>
  <w:style w:type="character" w:customStyle="1" w:styleId="143">
    <w:name w:val="批注文字 Char1"/>
    <w:link w:val="17"/>
    <w:qFormat/>
    <w:uiPriority w:val="0"/>
    <w:rPr>
      <w:kern w:val="2"/>
      <w:sz w:val="21"/>
      <w:szCs w:val="24"/>
    </w:rPr>
  </w:style>
  <w:style w:type="character" w:customStyle="1" w:styleId="144">
    <w:name w:val="正文文本 3 Char"/>
    <w:link w:val="18"/>
    <w:qFormat/>
    <w:uiPriority w:val="0"/>
    <w:rPr>
      <w:kern w:val="2"/>
      <w:sz w:val="16"/>
      <w:szCs w:val="16"/>
    </w:rPr>
  </w:style>
  <w:style w:type="character" w:customStyle="1" w:styleId="145">
    <w:name w:val="正文文本 Char"/>
    <w:link w:val="19"/>
    <w:qFormat/>
    <w:uiPriority w:val="0"/>
    <w:rPr>
      <w:kern w:val="2"/>
      <w:sz w:val="21"/>
      <w:szCs w:val="24"/>
    </w:rPr>
  </w:style>
  <w:style w:type="character" w:customStyle="1" w:styleId="146">
    <w:name w:val="正文文本缩进 Char"/>
    <w:link w:val="6"/>
    <w:qFormat/>
    <w:uiPriority w:val="0"/>
    <w:rPr>
      <w:rFonts w:ascii="宋体" w:hAnsi="Courier New"/>
      <w:spacing w:val="-4"/>
      <w:kern w:val="2"/>
      <w:sz w:val="18"/>
    </w:rPr>
  </w:style>
  <w:style w:type="character" w:customStyle="1" w:styleId="147">
    <w:name w:val="纯文本 Char"/>
    <w:link w:val="25"/>
    <w:qFormat/>
    <w:uiPriority w:val="0"/>
    <w:rPr>
      <w:rFonts w:ascii="宋体" w:hAnsi="Courier New"/>
      <w:kern w:val="2"/>
      <w:sz w:val="21"/>
    </w:rPr>
  </w:style>
  <w:style w:type="character" w:customStyle="1" w:styleId="148">
    <w:name w:val="日期 Char"/>
    <w:link w:val="20"/>
    <w:qFormat/>
    <w:uiPriority w:val="0"/>
    <w:rPr>
      <w:rFonts w:eastAsia="楷体_GB2312"/>
      <w:kern w:val="2"/>
      <w:sz w:val="32"/>
    </w:rPr>
  </w:style>
  <w:style w:type="character" w:customStyle="1" w:styleId="149">
    <w:name w:val="正文文本缩进 2 Char"/>
    <w:link w:val="27"/>
    <w:qFormat/>
    <w:uiPriority w:val="0"/>
    <w:rPr>
      <w:rFonts w:ascii="仿宋_GB2312" w:hAnsi="宋体" w:cs="Arial"/>
      <w:b/>
      <w:bCs/>
      <w:color w:val="000000"/>
      <w:kern w:val="2"/>
      <w:sz w:val="24"/>
      <w:szCs w:val="24"/>
    </w:rPr>
  </w:style>
  <w:style w:type="character" w:customStyle="1" w:styleId="150">
    <w:name w:val="批注框文本 Char"/>
    <w:link w:val="28"/>
    <w:qFormat/>
    <w:uiPriority w:val="0"/>
    <w:rPr>
      <w:kern w:val="2"/>
      <w:sz w:val="18"/>
      <w:szCs w:val="18"/>
    </w:rPr>
  </w:style>
  <w:style w:type="character" w:customStyle="1" w:styleId="151">
    <w:name w:val="页脚 Char"/>
    <w:link w:val="29"/>
    <w:qFormat/>
    <w:locked/>
    <w:uiPriority w:val="99"/>
    <w:rPr>
      <w:kern w:val="2"/>
      <w:sz w:val="18"/>
      <w:szCs w:val="18"/>
    </w:rPr>
  </w:style>
  <w:style w:type="character" w:customStyle="1" w:styleId="152">
    <w:name w:val="页眉 Char"/>
    <w:link w:val="30"/>
    <w:qFormat/>
    <w:uiPriority w:val="0"/>
    <w:rPr>
      <w:rFonts w:eastAsia="宋体"/>
      <w:kern w:val="2"/>
      <w:sz w:val="18"/>
      <w:szCs w:val="18"/>
      <w:lang w:val="en-US" w:eastAsia="zh-CN" w:bidi="ar-SA"/>
    </w:rPr>
  </w:style>
  <w:style w:type="character" w:customStyle="1" w:styleId="153">
    <w:name w:val="副标题 Char"/>
    <w:link w:val="33"/>
    <w:qFormat/>
    <w:uiPriority w:val="0"/>
    <w:rPr>
      <w:rFonts w:ascii="Cambria" w:hAnsi="Cambria"/>
      <w:b/>
      <w:bCs/>
      <w:kern w:val="28"/>
      <w:sz w:val="32"/>
      <w:szCs w:val="32"/>
    </w:rPr>
  </w:style>
  <w:style w:type="character" w:customStyle="1" w:styleId="154">
    <w:name w:val="脚注文本 Char"/>
    <w:basedOn w:val="50"/>
    <w:link w:val="35"/>
    <w:qFormat/>
    <w:uiPriority w:val="99"/>
    <w:rPr>
      <w:kern w:val="1"/>
      <w:sz w:val="18"/>
      <w:szCs w:val="18"/>
    </w:rPr>
  </w:style>
  <w:style w:type="character" w:customStyle="1" w:styleId="155">
    <w:name w:val="正文文本缩进 3 Char"/>
    <w:link w:val="37"/>
    <w:qFormat/>
    <w:uiPriority w:val="0"/>
    <w:rPr>
      <w:rFonts w:ascii="仿宋_GB2312" w:hAnsi="宋体" w:eastAsia="仿宋_GB2312"/>
      <w:color w:val="000000"/>
      <w:kern w:val="2"/>
      <w:sz w:val="24"/>
      <w:szCs w:val="24"/>
    </w:rPr>
  </w:style>
  <w:style w:type="character" w:customStyle="1" w:styleId="156">
    <w:name w:val="正文文本 2 Char"/>
    <w:link w:val="40"/>
    <w:qFormat/>
    <w:uiPriority w:val="0"/>
    <w:rPr>
      <w:rFonts w:ascii="宋体" w:hAnsi="宋体"/>
      <w:color w:val="000000"/>
      <w:kern w:val="2"/>
      <w:sz w:val="24"/>
      <w:szCs w:val="24"/>
    </w:rPr>
  </w:style>
  <w:style w:type="character" w:customStyle="1" w:styleId="157">
    <w:name w:val="普通(网站) Char"/>
    <w:link w:val="42"/>
    <w:qFormat/>
    <w:locked/>
    <w:uiPriority w:val="0"/>
    <w:rPr>
      <w:rFonts w:ascii="宋体" w:hAnsi="宋体" w:cs="宋体"/>
      <w:sz w:val="24"/>
      <w:szCs w:val="24"/>
    </w:rPr>
  </w:style>
  <w:style w:type="character" w:customStyle="1" w:styleId="158">
    <w:name w:val="标题 Char"/>
    <w:link w:val="43"/>
    <w:qFormat/>
    <w:uiPriority w:val="0"/>
    <w:rPr>
      <w:rFonts w:ascii="Cambria" w:hAnsi="Cambria"/>
      <w:b/>
      <w:bCs/>
      <w:kern w:val="2"/>
      <w:sz w:val="32"/>
      <w:szCs w:val="32"/>
    </w:rPr>
  </w:style>
  <w:style w:type="character" w:customStyle="1" w:styleId="159">
    <w:name w:val="批注主题 Char"/>
    <w:link w:val="44"/>
    <w:qFormat/>
    <w:uiPriority w:val="0"/>
    <w:rPr>
      <w:b/>
      <w:bCs/>
      <w:kern w:val="2"/>
      <w:sz w:val="21"/>
      <w:szCs w:val="24"/>
    </w:rPr>
  </w:style>
  <w:style w:type="character" w:customStyle="1" w:styleId="160">
    <w:name w:val="正文首行缩进 Char"/>
    <w:basedOn w:val="145"/>
    <w:link w:val="45"/>
    <w:qFormat/>
    <w:uiPriority w:val="0"/>
    <w:rPr>
      <w:kern w:val="2"/>
      <w:sz w:val="21"/>
      <w:szCs w:val="24"/>
    </w:rPr>
  </w:style>
  <w:style w:type="character" w:customStyle="1" w:styleId="161">
    <w:name w:val="正文首行缩进 2 Char"/>
    <w:link w:val="46"/>
    <w:qFormat/>
    <w:uiPriority w:val="0"/>
    <w:rPr>
      <w:rFonts w:ascii="宋体" w:hAnsi="Courier New"/>
      <w:spacing w:val="-4"/>
      <w:kern w:val="2"/>
      <w:sz w:val="24"/>
    </w:rPr>
  </w:style>
  <w:style w:type="character" w:customStyle="1" w:styleId="162">
    <w:name w:val="页眉 Char1"/>
    <w:qFormat/>
    <w:uiPriority w:val="0"/>
    <w:rPr>
      <w:kern w:val="2"/>
      <w:sz w:val="18"/>
      <w:szCs w:val="18"/>
    </w:rPr>
  </w:style>
  <w:style w:type="character" w:customStyle="1" w:styleId="163">
    <w:name w:val="hover"/>
    <w:qFormat/>
    <w:uiPriority w:val="0"/>
    <w:rPr>
      <w:color w:val="4178BE"/>
    </w:rPr>
  </w:style>
  <w:style w:type="character" w:customStyle="1" w:styleId="164">
    <w:name w:val="页眉 字符1"/>
    <w:qFormat/>
    <w:uiPriority w:val="99"/>
    <w:rPr>
      <w:rFonts w:eastAsia="宋体"/>
      <w:sz w:val="18"/>
      <w:szCs w:val="18"/>
    </w:rPr>
  </w:style>
  <w:style w:type="character" w:customStyle="1" w:styleId="165">
    <w:name w:val="font111"/>
    <w:qFormat/>
    <w:uiPriority w:val="0"/>
    <w:rPr>
      <w:rFonts w:ascii="宋体" w:hAnsi="宋体" w:eastAsia="宋体" w:cs="宋体"/>
      <w:color w:val="FF0000"/>
      <w:sz w:val="18"/>
      <w:szCs w:val="18"/>
      <w:u w:val="none"/>
    </w:rPr>
  </w:style>
  <w:style w:type="character" w:customStyle="1" w:styleId="166">
    <w:name w:val="页脚 字符1"/>
    <w:qFormat/>
    <w:locked/>
    <w:uiPriority w:val="99"/>
    <w:rPr>
      <w:sz w:val="18"/>
      <w:szCs w:val="18"/>
    </w:rPr>
  </w:style>
  <w:style w:type="character" w:customStyle="1" w:styleId="167">
    <w:name w:val="font21"/>
    <w:qFormat/>
    <w:uiPriority w:val="0"/>
    <w:rPr>
      <w:rFonts w:hint="eastAsia" w:ascii="微软雅黑" w:hAnsi="微软雅黑" w:eastAsia="微软雅黑" w:cs="微软雅黑"/>
      <w:color w:val="000000"/>
      <w:sz w:val="18"/>
      <w:szCs w:val="18"/>
      <w:u w:val="none"/>
    </w:rPr>
  </w:style>
  <w:style w:type="character" w:customStyle="1" w:styleId="168">
    <w:name w:val="样式一"/>
    <w:qFormat/>
    <w:uiPriority w:val="0"/>
    <w:rPr>
      <w:rFonts w:ascii="宋体" w:hAnsi="宋体"/>
      <w:b/>
      <w:bCs/>
      <w:color w:val="000000"/>
      <w:sz w:val="36"/>
    </w:rPr>
  </w:style>
  <w:style w:type="character" w:customStyle="1" w:styleId="169">
    <w:name w:val="optnmoresets"/>
    <w:qFormat/>
    <w:uiPriority w:val="0"/>
    <w:rPr>
      <w:color w:val="5596E6"/>
    </w:rPr>
  </w:style>
  <w:style w:type="character" w:customStyle="1" w:styleId="170">
    <w:name w:val="ca-92"/>
    <w:basedOn w:val="50"/>
    <w:qFormat/>
    <w:uiPriority w:val="0"/>
  </w:style>
  <w:style w:type="character" w:customStyle="1" w:styleId="171">
    <w:name w:val="font91"/>
    <w:qFormat/>
    <w:uiPriority w:val="0"/>
    <w:rPr>
      <w:rFonts w:ascii="宋体" w:hAnsi="宋体" w:eastAsia="宋体" w:cs="宋体"/>
      <w:color w:val="auto"/>
      <w:sz w:val="18"/>
      <w:szCs w:val="18"/>
      <w:u w:val="none"/>
    </w:rPr>
  </w:style>
  <w:style w:type="character" w:customStyle="1" w:styleId="172">
    <w:name w:val="纯文本 Char3"/>
    <w:qFormat/>
    <w:uiPriority w:val="0"/>
    <w:rPr>
      <w:rFonts w:ascii="宋体" w:hAnsi="Courier New" w:eastAsia="宋体"/>
      <w:kern w:val="2"/>
      <w:sz w:val="24"/>
      <w:szCs w:val="24"/>
      <w:lang w:val="en-US" w:eastAsia="zh-CN" w:bidi="ar-SA"/>
    </w:rPr>
  </w:style>
  <w:style w:type="character" w:customStyle="1" w:styleId="173">
    <w:name w:val="列出段落 Char1"/>
    <w:qFormat/>
    <w:uiPriority w:val="34"/>
    <w:rPr>
      <w:sz w:val="24"/>
    </w:rPr>
  </w:style>
  <w:style w:type="character" w:customStyle="1" w:styleId="174">
    <w:name w:val="标题字符1"/>
    <w:qFormat/>
    <w:uiPriority w:val="0"/>
    <w:rPr>
      <w:rFonts w:ascii="Cambria" w:hAnsi="Cambria" w:cs="Times New Roman"/>
      <w:b/>
      <w:bCs/>
      <w:snapToGrid w:val="0"/>
      <w:sz w:val="32"/>
      <w:szCs w:val="32"/>
    </w:rPr>
  </w:style>
  <w:style w:type="character" w:customStyle="1" w:styleId="175">
    <w:name w:val="sub"/>
    <w:basedOn w:val="50"/>
    <w:qFormat/>
    <w:uiPriority w:val="0"/>
  </w:style>
  <w:style w:type="character" w:customStyle="1" w:styleId="176">
    <w:name w:val="lotusbtndisabled2"/>
    <w:basedOn w:val="50"/>
    <w:qFormat/>
    <w:uiPriority w:val="0"/>
  </w:style>
  <w:style w:type="character" w:customStyle="1" w:styleId="177">
    <w:name w:val="列出段落 Char"/>
    <w:qFormat/>
    <w:uiPriority w:val="34"/>
    <w:rPr>
      <w:kern w:val="2"/>
      <w:sz w:val="21"/>
      <w:szCs w:val="22"/>
    </w:rPr>
  </w:style>
  <w:style w:type="character" w:customStyle="1" w:styleId="178">
    <w:name w:val="dijitarrowbuttoninner"/>
    <w:qFormat/>
    <w:uiPriority w:val="0"/>
    <w:rPr>
      <w:vanish/>
    </w:rPr>
  </w:style>
  <w:style w:type="character" w:customStyle="1" w:styleId="179">
    <w:name w:val="hover21"/>
    <w:qFormat/>
    <w:uiPriority w:val="0"/>
    <w:rPr>
      <w:color w:val="4178BE"/>
    </w:rPr>
  </w:style>
  <w:style w:type="character" w:customStyle="1" w:styleId="180">
    <w:name w:val="普通文字 Char Char2"/>
    <w:qFormat/>
    <w:uiPriority w:val="0"/>
    <w:rPr>
      <w:rFonts w:ascii="宋体" w:hAnsi="Courier New" w:eastAsia="宋体"/>
      <w:kern w:val="2"/>
      <w:sz w:val="24"/>
      <w:szCs w:val="24"/>
      <w:lang w:val="en-US" w:eastAsia="zh-CN" w:bidi="ar-SA"/>
    </w:rPr>
  </w:style>
  <w:style w:type="character" w:customStyle="1" w:styleId="181">
    <w:name w:val="font11"/>
    <w:qFormat/>
    <w:uiPriority w:val="0"/>
    <w:rPr>
      <w:rFonts w:hint="eastAsia" w:ascii="微软雅黑" w:hAnsi="微软雅黑" w:eastAsia="微软雅黑" w:cs="微软雅黑"/>
      <w:color w:val="FF0000"/>
      <w:sz w:val="18"/>
      <w:szCs w:val="18"/>
      <w:u w:val="none"/>
    </w:rPr>
  </w:style>
  <w:style w:type="character" w:customStyle="1" w:styleId="182">
    <w:name w:val="纯文本 Char1"/>
    <w:link w:val="60"/>
    <w:qFormat/>
    <w:uiPriority w:val="99"/>
    <w:rPr>
      <w:rFonts w:ascii="宋体" w:hAnsi="Courier New" w:eastAsia="宋体" w:cs="Times New Roman"/>
      <w:sz w:val="24"/>
      <w:szCs w:val="24"/>
    </w:rPr>
  </w:style>
  <w:style w:type="character" w:customStyle="1" w:styleId="183">
    <w:name w:val="lotusalttext10"/>
    <w:basedOn w:val="50"/>
    <w:qFormat/>
    <w:uiPriority w:val="0"/>
  </w:style>
  <w:style w:type="character" w:customStyle="1" w:styleId="184">
    <w:name w:val="纯文本 字符"/>
    <w:qFormat/>
    <w:uiPriority w:val="0"/>
    <w:rPr>
      <w:rFonts w:ascii="宋体" w:hAnsi="Courier New" w:eastAsia="宋体" w:cs="Courier New"/>
      <w:kern w:val="2"/>
      <w:sz w:val="21"/>
      <w:szCs w:val="24"/>
    </w:rPr>
  </w:style>
  <w:style w:type="character" w:customStyle="1" w:styleId="185">
    <w:name w:val="*正文 Char"/>
    <w:link w:val="61"/>
    <w:qFormat/>
    <w:uiPriority w:val="99"/>
    <w:rPr>
      <w:rFonts w:ascii="宋体" w:hAnsi="宋体"/>
      <w:sz w:val="24"/>
    </w:rPr>
  </w:style>
  <w:style w:type="character" w:customStyle="1" w:styleId="186">
    <w:name w:val="before"/>
    <w:basedOn w:val="50"/>
    <w:qFormat/>
    <w:uiPriority w:val="0"/>
  </w:style>
  <w:style w:type="character" w:customStyle="1" w:styleId="187">
    <w:name w:val="font101"/>
    <w:qFormat/>
    <w:uiPriority w:val="0"/>
    <w:rPr>
      <w:rFonts w:ascii="Times New Roman" w:hAnsi="Times New Roman" w:cs="Times New Roman"/>
      <w:color w:val="auto"/>
      <w:sz w:val="24"/>
      <w:szCs w:val="24"/>
      <w:u w:val="none"/>
    </w:rPr>
  </w:style>
  <w:style w:type="character" w:customStyle="1" w:styleId="188">
    <w:name w:val="font81"/>
    <w:qFormat/>
    <w:uiPriority w:val="0"/>
    <w:rPr>
      <w:rFonts w:ascii="Times New Roman" w:hAnsi="Times New Roman" w:cs="Times New Roman"/>
      <w:color w:val="FF0000"/>
      <w:sz w:val="18"/>
      <w:szCs w:val="18"/>
      <w:u w:val="none"/>
    </w:rPr>
  </w:style>
  <w:style w:type="character" w:customStyle="1" w:styleId="189">
    <w:name w:val="正文文本缩进字符1"/>
    <w:semiHidden/>
    <w:qFormat/>
    <w:uiPriority w:val="0"/>
    <w:rPr>
      <w:snapToGrid w:val="0"/>
      <w:sz w:val="21"/>
      <w:szCs w:val="21"/>
    </w:rPr>
  </w:style>
  <w:style w:type="character" w:customStyle="1" w:styleId="190">
    <w:name w:val="before1"/>
    <w:qFormat/>
    <w:uiPriority w:val="0"/>
    <w:rPr>
      <w:shd w:val="clear" w:color="auto" w:fill="4178BE"/>
    </w:rPr>
  </w:style>
  <w:style w:type="character" w:customStyle="1" w:styleId="191">
    <w:name w:val="font51"/>
    <w:qFormat/>
    <w:uiPriority w:val="0"/>
    <w:rPr>
      <w:rFonts w:hint="eastAsia" w:ascii="微软雅黑" w:hAnsi="微软雅黑" w:eastAsia="微软雅黑" w:cs="微软雅黑"/>
      <w:i/>
      <w:color w:val="FF0000"/>
      <w:sz w:val="18"/>
      <w:szCs w:val="18"/>
      <w:u w:val="none"/>
    </w:rPr>
  </w:style>
  <w:style w:type="character" w:customStyle="1" w:styleId="192">
    <w:name w:val="optnless"/>
    <w:qFormat/>
    <w:uiPriority w:val="0"/>
    <w:rPr>
      <w:color w:val="5596E6"/>
    </w:rPr>
  </w:style>
  <w:style w:type="character" w:customStyle="1" w:styleId="193">
    <w:name w:val="font01"/>
    <w:qFormat/>
    <w:uiPriority w:val="0"/>
    <w:rPr>
      <w:rFonts w:hint="eastAsia" w:ascii="微软雅黑" w:hAnsi="微软雅黑" w:eastAsia="微软雅黑" w:cs="微软雅黑"/>
      <w:color w:val="000000"/>
      <w:sz w:val="18"/>
      <w:szCs w:val="18"/>
      <w:u w:val="none"/>
    </w:rPr>
  </w:style>
  <w:style w:type="character" w:customStyle="1" w:styleId="194">
    <w:name w:val="列出段落 Char2"/>
    <w:link w:val="62"/>
    <w:qFormat/>
    <w:uiPriority w:val="34"/>
    <w:rPr>
      <w:kern w:val="2"/>
      <w:sz w:val="21"/>
      <w:szCs w:val="22"/>
    </w:rPr>
  </w:style>
  <w:style w:type="character" w:customStyle="1" w:styleId="195">
    <w:name w:val="bookmark-item"/>
    <w:basedOn w:val="50"/>
    <w:qFormat/>
    <w:uiPriority w:val="0"/>
  </w:style>
  <w:style w:type="character" w:customStyle="1" w:styleId="196">
    <w:name w:val="lotusalttext"/>
    <w:basedOn w:val="50"/>
    <w:qFormat/>
    <w:uiPriority w:val="0"/>
  </w:style>
  <w:style w:type="character" w:customStyle="1" w:styleId="197">
    <w:name w:val="optnmore"/>
    <w:qFormat/>
    <w:uiPriority w:val="0"/>
    <w:rPr>
      <w:color w:val="5596E6"/>
    </w:rPr>
  </w:style>
  <w:style w:type="character" w:customStyle="1" w:styleId="198">
    <w:name w:val="纯文本字符1"/>
    <w:semiHidden/>
    <w:qFormat/>
    <w:uiPriority w:val="0"/>
    <w:rPr>
      <w:rFonts w:ascii="宋体" w:hAnsi="Courier"/>
      <w:snapToGrid w:val="0"/>
      <w:sz w:val="24"/>
      <w:szCs w:val="24"/>
    </w:rPr>
  </w:style>
  <w:style w:type="character" w:customStyle="1" w:styleId="199">
    <w:name w:val="GW-正文 Char"/>
    <w:link w:val="63"/>
    <w:qFormat/>
    <w:uiPriority w:val="0"/>
    <w:rPr>
      <w:rFonts w:eastAsia="仿宋_GB2312"/>
      <w:sz w:val="24"/>
      <w:szCs w:val="24"/>
      <w:lang w:val="en-US" w:eastAsia="zh-CN" w:bidi="ar-SA"/>
    </w:rPr>
  </w:style>
  <w:style w:type="character" w:customStyle="1" w:styleId="200">
    <w:name w:val="optnsets"/>
    <w:qFormat/>
    <w:uiPriority w:val="0"/>
    <w:rPr>
      <w:color w:val="5596E6"/>
    </w:rPr>
  </w:style>
  <w:style w:type="character" w:customStyle="1" w:styleId="201">
    <w:name w:val="批注文字 Char"/>
    <w:qFormat/>
    <w:uiPriority w:val="99"/>
    <w:rPr>
      <w:kern w:val="2"/>
      <w:sz w:val="21"/>
      <w:szCs w:val="24"/>
    </w:rPr>
  </w:style>
  <w:style w:type="character" w:customStyle="1" w:styleId="202">
    <w:name w:val="标题 Char3"/>
    <w:qFormat/>
    <w:uiPriority w:val="0"/>
    <w:rPr>
      <w:rFonts w:ascii="Calibri Light" w:hAnsi="Calibri Light"/>
      <w:b/>
      <w:bCs/>
      <w:kern w:val="2"/>
      <w:sz w:val="32"/>
      <w:szCs w:val="32"/>
    </w:rPr>
  </w:style>
  <w:style w:type="character" w:customStyle="1" w:styleId="203">
    <w:name w:val="样式二"/>
    <w:basedOn w:val="168"/>
    <w:qFormat/>
    <w:uiPriority w:val="0"/>
    <w:rPr>
      <w:rFonts w:ascii="宋体" w:hAnsi="宋体"/>
      <w:color w:val="000000"/>
      <w:sz w:val="36"/>
    </w:rPr>
  </w:style>
  <w:style w:type="character" w:customStyle="1" w:styleId="204">
    <w:name w:val="after1"/>
    <w:basedOn w:val="50"/>
    <w:qFormat/>
    <w:uiPriority w:val="0"/>
  </w:style>
  <w:style w:type="character" w:customStyle="1" w:styleId="205">
    <w:name w:val="after"/>
    <w:qFormat/>
    <w:uiPriority w:val="0"/>
    <w:rPr>
      <w:shd w:val="clear" w:color="auto" w:fill="008571"/>
    </w:rPr>
  </w:style>
  <w:style w:type="character" w:customStyle="1" w:styleId="206">
    <w:name w:val="无间隔 Char"/>
    <w:link w:val="107"/>
    <w:qFormat/>
    <w:uiPriority w:val="1"/>
    <w:rPr>
      <w:kern w:val="2"/>
      <w:sz w:val="21"/>
      <w:szCs w:val="22"/>
    </w:rPr>
  </w:style>
  <w:style w:type="character" w:customStyle="1" w:styleId="207">
    <w:name w:val="表格文字 Char"/>
    <w:link w:val="108"/>
    <w:qFormat/>
    <w:uiPriority w:val="0"/>
    <w:rPr>
      <w:kern w:val="2"/>
      <w:sz w:val="18"/>
      <w:szCs w:val="24"/>
    </w:rPr>
  </w:style>
  <w:style w:type="character" w:customStyle="1" w:styleId="208">
    <w:name w:val="纯文本 Char4"/>
    <w:qFormat/>
    <w:uiPriority w:val="0"/>
    <w:rPr>
      <w:rFonts w:ascii="宋体" w:hAnsi="Courier New" w:eastAsia="宋体" w:cs="Times New Roman"/>
      <w:kern w:val="2"/>
      <w:sz w:val="24"/>
      <w:szCs w:val="24"/>
      <w:lang w:val="en-US" w:eastAsia="zh-CN" w:bidi="ar-SA"/>
    </w:rPr>
  </w:style>
  <w:style w:type="character" w:customStyle="1" w:styleId="209">
    <w:name w:val="金保标题2 Char"/>
    <w:link w:val="109"/>
    <w:qFormat/>
    <w:uiPriority w:val="0"/>
    <w:rPr>
      <w:rFonts w:ascii="宋体" w:hAnsi="宋体"/>
      <w:b/>
      <w:sz w:val="24"/>
      <w:szCs w:val="24"/>
    </w:rPr>
  </w:style>
  <w:style w:type="character" w:customStyle="1" w:styleId="210">
    <w:name w:val="long_text1"/>
    <w:qFormat/>
    <w:uiPriority w:val="0"/>
    <w:rPr>
      <w:sz w:val="15"/>
      <w:szCs w:val="15"/>
    </w:rPr>
  </w:style>
  <w:style w:type="character" w:customStyle="1" w:styleId="211">
    <w:name w:val="List Paragraph Char"/>
    <w:link w:val="75"/>
    <w:qFormat/>
    <w:uiPriority w:val="0"/>
    <w:rPr>
      <w:kern w:val="2"/>
      <w:sz w:val="21"/>
      <w:szCs w:val="21"/>
    </w:rPr>
  </w:style>
  <w:style w:type="character" w:customStyle="1" w:styleId="212">
    <w:name w:val="方案正文-样式 小四 行距: 1.5 倍行距 Char Char"/>
    <w:link w:val="111"/>
    <w:qFormat/>
    <w:uiPriority w:val="0"/>
    <w:rPr>
      <w:kern w:val="2"/>
      <w:sz w:val="24"/>
    </w:rPr>
  </w:style>
  <w:style w:type="character" w:customStyle="1" w:styleId="213">
    <w:name w:val="正文JK Char"/>
    <w:link w:val="112"/>
    <w:qFormat/>
    <w:uiPriority w:val="0"/>
    <w:rPr>
      <w:rFonts w:ascii="Calibri" w:hAnsi="Calibri"/>
      <w:kern w:val="2"/>
      <w:sz w:val="21"/>
      <w:szCs w:val="21"/>
    </w:rPr>
  </w:style>
  <w:style w:type="character" w:customStyle="1" w:styleId="214">
    <w:name w:val="投标书正文无序编号 Char Char"/>
    <w:link w:val="113"/>
    <w:qFormat/>
    <w:uiPriority w:val="0"/>
    <w:rPr>
      <w:kern w:val="2"/>
      <w:sz w:val="24"/>
      <w:szCs w:val="24"/>
    </w:rPr>
  </w:style>
  <w:style w:type="character" w:customStyle="1" w:styleId="215">
    <w:name w:val="正文2 Char Char"/>
    <w:link w:val="74"/>
    <w:qFormat/>
    <w:uiPriority w:val="0"/>
    <w:rPr>
      <w:kern w:val="2"/>
      <w:sz w:val="24"/>
    </w:rPr>
  </w:style>
  <w:style w:type="character" w:customStyle="1" w:styleId="216">
    <w:name w:val="投标书正文 Char Char"/>
    <w:link w:val="114"/>
    <w:qFormat/>
    <w:uiPriority w:val="0"/>
    <w:rPr>
      <w:rFonts w:eastAsia="Times New Roman"/>
      <w:kern w:val="2"/>
      <w:sz w:val="24"/>
      <w:szCs w:val="24"/>
    </w:rPr>
  </w:style>
  <w:style w:type="character" w:customStyle="1" w:styleId="217">
    <w:name w:val="z-窗体顶端 Char"/>
    <w:basedOn w:val="50"/>
    <w:link w:val="117"/>
    <w:qFormat/>
    <w:uiPriority w:val="0"/>
    <w:rPr>
      <w:rFonts w:ascii="Arial" w:hAnsi="Calibri"/>
      <w:vanish/>
      <w:kern w:val="2"/>
      <w:sz w:val="16"/>
      <w:szCs w:val="24"/>
    </w:rPr>
  </w:style>
  <w:style w:type="character" w:customStyle="1" w:styleId="218">
    <w:name w:val="z-窗体底端 Char"/>
    <w:basedOn w:val="50"/>
    <w:link w:val="124"/>
    <w:qFormat/>
    <w:uiPriority w:val="0"/>
    <w:rPr>
      <w:rFonts w:ascii="Arial" w:hAnsi="Calibri"/>
      <w:vanish/>
      <w:kern w:val="2"/>
      <w:sz w:val="16"/>
      <w:szCs w:val="24"/>
    </w:rPr>
  </w:style>
  <w:style w:type="character" w:customStyle="1" w:styleId="219">
    <w:name w:val="正文2 Char"/>
    <w:qFormat/>
    <w:uiPriority w:val="0"/>
    <w:rPr>
      <w:rFonts w:eastAsia="宋体"/>
      <w:kern w:val="2"/>
      <w:sz w:val="24"/>
      <w:lang w:val="en-US" w:eastAsia="zh-CN" w:bidi="ar-SA"/>
    </w:rPr>
  </w:style>
  <w:style w:type="table" w:customStyle="1" w:styleId="220">
    <w:name w:val="表样式"/>
    <w:basedOn w:val="47"/>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221">
    <w:name w:val="浅色列表1"/>
    <w:basedOn w:val="47"/>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22">
    <w:name w:val="Table Normal"/>
    <w:qFormat/>
    <w:uiPriority w:val="0"/>
    <w:tblPr>
      <w:tblCellMar>
        <w:top w:w="0" w:type="dxa"/>
        <w:left w:w="0" w:type="dxa"/>
        <w:bottom w:w="0" w:type="dxa"/>
        <w:right w:w="0" w:type="dxa"/>
      </w:tblCellMar>
    </w:tblPr>
  </w:style>
  <w:style w:type="paragraph" w:styleId="223">
    <w:name w:val="List Paragraph"/>
    <w:basedOn w:val="1"/>
    <w:qFormat/>
    <w:uiPriority w:val="99"/>
    <w:pPr>
      <w:spacing w:line="360" w:lineRule="auto"/>
      <w:ind w:firstLine="420" w:firstLineChars="200"/>
    </w:pPr>
    <w:rPr>
      <w:rFonts w:eastAsiaTheme="minorEastAsia" w:cstheme="minorBidi"/>
      <w:sz w:val="24"/>
      <w:szCs w:val="22"/>
    </w:rPr>
  </w:style>
  <w:style w:type="paragraph" w:customStyle="1" w:styleId="224">
    <w:name w:val="正文缩进2格"/>
    <w:basedOn w:val="1"/>
    <w:qFormat/>
    <w:uiPriority w:val="0"/>
    <w:pPr>
      <w:widowControl/>
      <w:spacing w:line="600" w:lineRule="exact"/>
      <w:ind w:firstLine="639" w:firstLineChars="206"/>
      <w:jc w:val="left"/>
    </w:pPr>
    <w:rPr>
      <w:rFonts w:ascii="仿宋_GB2312" w:hAnsi="宋体" w:eastAsia="仿宋_GB2312"/>
      <w:kern w:val="0"/>
      <w:sz w:val="31"/>
      <w:szCs w:val="28"/>
    </w:rPr>
  </w:style>
  <w:style w:type="paragraph" w:customStyle="1" w:styleId="225">
    <w:name w:val="正文 A"/>
    <w:qFormat/>
    <w:uiPriority w:val="0"/>
    <w:pPr>
      <w:widowControl w:val="0"/>
      <w:jc w:val="both"/>
    </w:pPr>
    <w:rPr>
      <w:rFonts w:ascii="Times New Roman" w:hAnsi="Times New Roman" w:eastAsia="宋体" w:cs="Times New Roman"/>
      <w:color w:val="000000"/>
      <w:kern w:val="2"/>
      <w:sz w:val="28"/>
      <w:szCs w:val="28"/>
      <w:u w:color="000000"/>
      <w:lang w:val="en-US" w:eastAsia="zh-CN" w:bidi="ar-SA"/>
    </w:rPr>
  </w:style>
  <w:style w:type="paragraph" w:customStyle="1" w:styleId="226">
    <w:name w:val="纯文本3"/>
    <w:basedOn w:val="1"/>
    <w:qFormat/>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43705-90BF-437E-8B91-DE98E97B18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34920</Words>
  <Characters>36817</Characters>
  <Lines>285</Lines>
  <Paragraphs>80</Paragraphs>
  <TotalTime>0</TotalTime>
  <ScaleCrop>false</ScaleCrop>
  <LinksUpToDate>false</LinksUpToDate>
  <CharactersWithSpaces>37940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2024-08-29T02:54:00Z</dcterms:created>
  <dc:creator>微软用户</dc:creator>
  <cp:lastModifiedBy>浅墨</cp:lastModifiedBy>
  <cp:lastPrinted>2022-06-17T07:39:00Z</cp:lastPrinted>
  <dcterms:modified xsi:type="dcterms:W3CDTF">2024-09-06T07:26:49Z</dcterms:modified>
  <dc:title>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D140004A4CA04BD9BEC1BB3359BF6237_13</vt:lpwstr>
  </property>
</Properties>
</file>